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Opioid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(n=1) vs. 2010+ (n=2);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50.0 (27.0–61.5)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 (73–73)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23.5 (21.8–25.2)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320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47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6.0 (2.6–12.0)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(12–12)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3.6 (2.4–4.8)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(86%)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(43%)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12.8 (9.2), n=7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11.1 (15.7), n=2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51.0 (35.4), n=2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25.9 (nan), n=1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92.0 (10.7), n=6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94.9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100.0 (0.0), n=2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(43%)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(43%)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(n=7)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(71%)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(43%)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