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0"/>
        </w:rPr>
        <w:t>Descriptive Analyses — Psychedelics for Tobacco/Smoking Cessation</w:t>
      </w:r>
    </w:p>
    <w:p>
      <w:r>
        <w:rPr>
          <w:rFonts w:ascii="Arial" w:hAnsi="Arial"/>
          <w:i/>
          <w:color w:val="555555"/>
          <w:sz w:val="18"/>
        </w:rPr>
        <w:t>Five descriptive tables supporting the USPSTF evidentiary-gap analysis. Era split: Pre-1980 (n=0) vs. 2010+ (n=4); the 1980–2009 interval contains zero studies.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1. Study Characteristics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 w:type="dxa"/>
        <w:gridCol w:w="1872" w:type="dxa"/>
        <w:gridCol w:w="1872" w:type="dxa"/>
        <w:gridCol w:w="1872" w:type="dxa"/>
      </w:tblGrid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Characteristic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(n=4)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(n=4)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Sample size, median (IQR)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15.0 (15.0–31.8)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15.0 (15.0–31.8)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Total participants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127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127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Follow-up months, median (IQR)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6.0 (6.0–10.5)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6.0 (6.0–10.5)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Country,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(75%)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(75%)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Non-US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US and Non-US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Baseline severity,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Severe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Moderate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Mild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Not reported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Age bracket,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&lt;30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30-50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50+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Not reported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Female %, mean (SD), n reporting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36.0 (6.0), n=4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 (n=0)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36.0 (6.0), n=4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BIPOC %, mean (SD), n reporting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7.8 (1.5), n=4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 (n=0)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7.8 (1.5), n=4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Retention %, mean (SD)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50.2 (57.5), n=4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— (n=0)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50.2 (57.5), n=4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Substance studied, n (%)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Psilocybin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LSD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Ketamine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388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MDMA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87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values: median (IQR) for continuous; mean (SD), n reporting where missingness is high; n (%) for categorical. Substance categories are non-exclusive (a study can use multiple substances).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2. Methodological Quality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Methodological criterion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(n=4)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(n=0)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(n=4)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Randomization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Any blinding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Double-blind or above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Comparator/control group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Power reported or discussed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≥80% retention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Validated outcome scale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Confounders assessed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Inclusion/exclusion criteria stated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≥13/14 design criteria described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Funding/COI disclosed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Primary care interface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 are the % of studies in each stratum that positively met the criterion. Missing or "not reported" values are treated as not met (strict USPSTF gap interpretation). The retention criterion uses ≥80% as the USPSTF-style threshold.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3. USPSTF Indicator Gap Heat Map (52 Indicators × 6 Domains)</w:t>
      </w:r>
    </w:p>
    <w:p>
      <w:r>
        <w:rPr>
          <w:rFonts w:ascii="Arial" w:hAnsi="Arial"/>
          <w:i/>
          <w:color w:val="555555"/>
          <w:sz w:val="18"/>
        </w:rPr>
        <w:t>Cell shading reflects % of all studies (n=4) meeting/reporting each indicator. Red = low (gap); green = high (well covered). For binary criteria, % is the proportion with value 1. For continuous/categorical variables (denoted "reported"), % is the proportion with any non-null value. Substance Category rows describe the literature's coverage, not USPSTF criteria per 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 w:type="dxa"/>
        <w:gridCol w:w="5328" w:type="dxa"/>
        <w:gridCol w:w="1152" w:type="dxa"/>
      </w:tblGrid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Domain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Indicator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% Met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Study Identification &amp; Design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Study design type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Clinical trial (any type)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Randomization performed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Any blinding implemented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Double-blind or above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Control/comparator group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Final analyzed sample size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Primary care interface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Power reported or discussed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≥80% retention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F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Validated scale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Confounders assessed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Inclusion/exclusion criteria stated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F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≥13/14 design criteria present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Funding/COI disclosed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Population &amp; Generalizability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Baseline severity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Age bracket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Female %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BIPOC %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Low-SES participants included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5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Country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5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Recruitment representative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Intervention &amp; Safety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Intervention described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Therapy/integration included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Harms/AEs assessed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Equity &amp; Cultural Framing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Cultural framing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Indigenous frameworks referenced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Reciprocity addressed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Outcomes &amp; Follow-Up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Positive primary result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Effect size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Test statistic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F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P-value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Follow-up duration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Behavioral changes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Physical/biological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C5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Mental health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Quality of life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Implementation outcomes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C5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Partial reduction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F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Complete cessation reported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Relapse tracked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FF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Mortality measured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Substance Category</w:t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Psilocybin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8CE6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Ayahuasca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LSD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Mescaline/peyote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Ibogaine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MDMA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Ketamine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Cannabis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Other psychedelic studied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</w:r>
          </w:p>
        </w:tc>
        <w:tc>
          <w:tcPr>
            <w:tcW w:type="dxa" w:w="53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Multiple psychedelics used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F8C8C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sz w:val="26"/>
        </w:rPr>
        <w:t>Table 4. Outcome Domains Measured by 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Outcome domain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(n=4)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(n=0)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(n=4)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Behavioral changes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Physical/biological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75%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Mental health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Quality of life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Implementation outcomes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25%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Partial reduction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Complete cessation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100%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Relapse tracked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50%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Mortality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nan%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0%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Cell values are the % of studies measuring each outcome domain. Note that USPSTF-relevant "hard" endpoints (mortality, durable cessation, relapse over long follow-up) are markedly under-measured.</w:t>
      </w:r>
    </w:p>
    <w:p>
      <w:pPr>
        <w:spacing w:before="240" w:after="120"/>
      </w:pPr>
      <w:r>
        <w:rPr>
          <w:rFonts w:ascii="Arial" w:hAnsi="Arial"/>
          <w:b/>
          <w:sz w:val="26"/>
        </w:rPr>
        <w:t>Table 5. Follow-up Duration Distribution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 w:type="dxa"/>
        <w:gridCol w:w="1728" w:type="dxa"/>
        <w:gridCol w:w="1728" w:type="dxa"/>
        <w:gridCol w:w="1728" w:type="dxa"/>
      </w:tblGrid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Follow-up duration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All studies</w:t>
              <w:br/>
              <w:t>(n=4)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Pre-1980</w:t>
              <w:br/>
              <w:t>(n=0)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  <w:t>2010+</w:t>
              <w:br/>
              <w:t>(n=4)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Distribution by bin, n (%)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&lt; 1 month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1 to &lt;3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3 to &lt;6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6 to &lt;12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(75%)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3 (75%)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12 to &lt;24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20"/>
              </w:rPr>
              <w:t>Cumulative, n (%) at or above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20"/>
              </w:rPr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≥3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≥6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4 (100%)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≥12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</w:tr>
      <w:tr>
        <w:tc>
          <w:tcPr>
            <w:tcW w:type="dxa" w:w="43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 xml:space="preserve">    ≥24 months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0 (—)</w:t>
            </w:r>
          </w:p>
        </w:tc>
        <w:tc>
          <w:tcPr>
            <w:tcW w:type="dxa" w:w="172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20"/>
              </w:rPr>
              <w:t>1 (25%)</w:t>
            </w:r>
          </w:p>
        </w:tc>
      </w:tr>
    </w:tbl>
    <w:p>
      <w:r>
        <w:rPr>
          <w:rFonts w:ascii="Arial" w:hAnsi="Arial"/>
          <w:i/>
          <w:color w:val="555555"/>
          <w:sz w:val="18"/>
        </w:rPr>
        <w:t>USPSTF behavioral-intervention recommendations typically rely on evidence with ≥6–12 months follow-up. Cumulative rows show the fraction of studies meeting common durability thresholds.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