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0"/>
        </w:rPr>
        <w:t>Descriptive Analyses — Psychedelics for Opioid Use Disorder</w:t>
      </w:r>
    </w:p>
    <w:p>
      <w:r>
        <w:rPr>
          <w:rFonts w:ascii="Arial" w:hAnsi="Arial"/>
          <w:i/>
          <w:color w:val="555555"/>
          <w:sz w:val="18"/>
        </w:rPr>
        <w:t>Five descriptive tables supporting the USPSTF evidentiary-gap analysis. Era split: Pre-1980 (n=1) vs. 2010+ (n=2); the 1980–2009 interval contains zero studies.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1. Study Characteristics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 w:type="dxa"/>
        <w:gridCol w:w="1872" w:type="dxa"/>
        <w:gridCol w:w="1872" w:type="dxa"/>
        <w:gridCol w:w="1872" w:type="dxa"/>
      </w:tblGrid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Characteristic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(n=7)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(n=1)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(n=2)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Sample size, median (IQR)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51.5 (32.8–65.8)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73 (73–73)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23.5 (21.8–25.2)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 participants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293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73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47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Follow-up months, median (IQR)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6.0 (2.6–12.0)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 (12–12)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3.6 (2.4–4.8)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Country,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(14%)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(100%)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Non-US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 (86%)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(100%)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US and Non-US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Baseline severity,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Severe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(57%)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(100%)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Moderate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Mild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Not reported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(43%)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(100%)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Age bracket,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&lt;30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(57%)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(100%)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30-50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(29%)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(50%)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50+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Not reported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(14%)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(50%)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Female %, mean (SD), n reporting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12.8 (9.2), n=7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0.0 (nan), n=1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11.1 (15.7), n=2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BIPOC %, mean (SD), n reporting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51.0 (35.4), n=2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76.0 (nan), n=1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25.9 (nan), n=1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Retention %, mean (SD)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92.0 (10.7), n=6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94.9 (nan), n=1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100.0 (0.0), n=2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Substance studied,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Psilocybin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LSD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(14%)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(100%)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Ketamine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(43%)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MDMA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Ibogaine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(43%)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(100%)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values: median (IQR) for continuous; mean (SD), n reporting where missingness is high; n (%) for categorical. Substance categories are non-exclusive (a study can use multiple substances).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2. Methodological Quality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Methodological criterion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(n=7)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(n=1)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(n=2)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Randomization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71%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blinding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71%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Double-blind or above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57%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Comparator/control group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Power reported or discussed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≥80% retention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57%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Validated outcome scale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Confounders assessed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Inclusion/exclusion criteria stated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≥13/14 design criteria described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43%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Funding/COI disclosed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Primary care interface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 are the % of studies in each stratum that positively met the criterion. Missing or "not reported" values are treated as not met (strict USPSTF gap interpretation). The retention criterion uses ≥80% as the USPSTF-style threshold.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3. USPSTF Indicator Gap Heat Map (52 Indicators × 6 Domains)</w:t>
      </w:r>
    </w:p>
    <w:p>
      <w:r>
        <w:rPr>
          <w:rFonts w:ascii="Arial" w:hAnsi="Arial"/>
          <w:i/>
          <w:color w:val="555555"/>
          <w:sz w:val="18"/>
        </w:rPr>
        <w:t>Cell shading reflects % of all studies (n=7) meeting/reporting each indicator. Red = low (gap); green = high (well covered). For binary criteria, % is the proportion with value 1. For continuous/categorical variables (denoted "reported"), % is the proportion with any non-null value. Substance Category rows describe the literature's coverage, not USPSTF criteria per 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 w:type="dxa"/>
        <w:gridCol w:w="5328" w:type="dxa"/>
        <w:gridCol w:w="1152" w:type="dxa"/>
      </w:tblGrid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Domain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Indicator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% Met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Study Identification &amp; Design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Study design type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Clinical trial (any type)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Randomization performed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CD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71%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Any blinding implemented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CD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71%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Double-blind or above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EE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57%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Control/comparator group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Final analyzed sample size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Primary care interface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A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Power reported or discussed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D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≥80% retention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EE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57%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Validated scale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Confounders assessed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Inclusion/exclusion criteria stated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≥13/14 design criteria present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EE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43%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Funding/COI disclosed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Population &amp; Generalizability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Baseline severity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EE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57%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Age bracket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Female %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BIPOC %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D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29%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Low-SES participants included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A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Country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Recruitment representative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Intervention &amp; Safety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Intervention described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Therapy/integration included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EE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43%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Harms/AEs assessed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Equity &amp; Cultural Framing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Cultural framing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A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Indigenous frameworks referenced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Reciprocity addressed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Outcomes &amp; Follow-Up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Positive primary result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Effect size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Test statistic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EE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43%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P-value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Follow-up duration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Behavioral changes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Physical/biological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Mental health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EE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57%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Quality of life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Implementation outcomes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Partial reduction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A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Complete cessation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CD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71%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Relapse tracked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A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Mortality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EE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43%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Substance Category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Psilocybin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Ayahuasca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LSD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A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Mescaline/peyote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Ibogaine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EE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43%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MDMA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Ketamine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EE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43%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Cannabis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Other psychedelic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Multiple psychedelics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sz w:val="26"/>
        </w:rPr>
        <w:t>Table 4. Outcome Domains Measured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Outcome domain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(n=7)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(n=1)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(n=2)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Behavioral changes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Physical/biological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Mental health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57%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Quality of life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Implementation outcomes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Partial reduction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14%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cessation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71%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Relapse tracked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86%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Mortality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43%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 are the % of studies measuring each outcome domain. Note that USPSTF-relevant "hard" endpoints (mortality, durable cessation, relapse over long follow-up) are markedly under-measured.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5. Follow-up Duration Distribution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Follow-up duration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(n=7)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(n=1)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(n=2)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Distribution by bin, n (%)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&lt; 1 month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1 to &lt;3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(29%)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(50%)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3 to &lt;6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(14%)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6 to &lt;12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(14%)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(50%)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12 to &lt;24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 (29%)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(100%)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(14%)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Cumulative, n (%) at or above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≥3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 (71%)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(100%)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(50%)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≥6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(57%)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(100%)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(50%)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≥12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(43%)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(100%)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(14%)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USPSTF behavioral-intervention recommendations typically rely on evidence with ≥6–12 months follow-up. Cumulative rows show the fraction of studies meeting common durability thresholds.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