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Tobacco/Smoking Cessation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(n=0) vs. 2010+ (n=4);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15.0 (15.0–31.8)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15.0 (15.0–31.8)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127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(6–12)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(6–12)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35.0 (3.5), n=4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35.0 (3.5), n=4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8.3 (2.3), n=3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8.3 (2.3), n=3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90.7 (10.8), n=4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90.7 (10.8), n=4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(n=4)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severity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