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Opioid Use Disorder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(n=1) vs. 2010+ (n=2);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50.0 (27.0–61.5)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74 (74–74)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23.5 (21.8–25.2)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321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47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6.0 (2.6–12.0)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(12–12)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3.6 (2.4–4.8)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(86%)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(86%)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(57%)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12.8 (9.2), n=7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0.0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11.1 (15.7), n=2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51.0 (35.4), n=2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76.0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25.9 (nan), n=1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93.4 (8.8), n=6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94.9 (nan), n=1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100.0 (0.0), n=2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(57%)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(n=7)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severity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E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E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D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(n=7)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(29%)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(71%)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(57%)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(43%)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(14%)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