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executar o Server.jar o arquivo security.policy deve estar no mesmo diretório.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o no terminal no sistema operacional Linux: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 -Djava.security.manager -Djava.security.policy=security.policy  -jar Server.jar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Obs: Para cada VM pode ser criado apenas um registro.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jjeulqao7qjo" w:id="0"/>
      <w:bookmarkEnd w:id="0"/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red"/>
        </w:rPr>
      </w:pPr>
      <w:r w:rsidDel="00000000" w:rsidR="00000000" w:rsidRPr="00000000">
        <w:rPr>
          <w:rtl w:val="0"/>
        </w:rPr>
        <w:t xml:space="preserve">Os ícones de lupa, servem para visualizar o código para cada função.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Exemplo clicar na lupa do botão start.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3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Deve ser inserido a porta na qual o RMI irá rodar.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Exemplo inserindo porta 1099.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Então deve-se clicar no botão start, para criar o registro na porta 1099.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Após criar o registro deve-se fazer o bind com o objeto remoto, inserindo um nome para o objeto, e então clicando no botão adicionar.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Exemplo inserindo o nome “calc”: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Após iniciado o RMI deve-se ir para aba de servidor.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Inserir a porta que o servidor irá rodar.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Exemplo a porta 10000: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Agora deve configurar a conexão entre servidor e o RMI, onde é inserindo a porta que o RMI está rodando e o nome do objeto remoto que irá ser utilizado pelo servidor.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Exemplo, inserindo porta 1099 na qual o RMI está rodando e o nome do objeto remoto “calc”: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Agora é apenas clicar no botão start e o servidor irá rodar, e esperar por conexões.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Caso queira interromper o servidor basta clicar no botão stop.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