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nual-geral-do-o3cloud-manager"/>
    <w:p>
      <w:pPr>
        <w:pStyle w:val="Heading1"/>
      </w:pPr>
      <w:r>
        <w:t xml:space="preserve">Manual Geral do O3Cloud Manager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 O3Cloud Manager centraliza informações comerciais, operacionais, financeiras, administrativas e de infraestrutura para apoiar a gestão da O3Cloud.</w:t>
      </w:r>
    </w:p>
    <w:p>
      <w:pPr>
        <w:pStyle w:val="BodyText"/>
      </w:pPr>
      <w:r>
        <w:t xml:space="preserve">O sistema não substitui todos os sistemas especialistas, como OMIE, Proxmox, PBS, TrueNAS ou Zabbix. Ele consolida os dados importantes desses ambientes e organiza os processos internos em uma visão operacional e gerencial.</w:t>
      </w:r>
    </w:p>
    <w:bookmarkEnd w:id="20"/>
    <w:bookmarkStart w:id="21" w:name="quem-deve-usar"/>
    <w:p>
      <w:pPr>
        <w:pStyle w:val="Heading2"/>
      </w:pPr>
      <w:r>
        <w:t xml:space="preserve">Quem deve usar</w:t>
      </w:r>
    </w:p>
    <w:p>
      <w:pPr>
        <w:numPr>
          <w:ilvl w:val="0"/>
          <w:numId w:val="1001"/>
        </w:numPr>
        <w:pStyle w:val="Compact"/>
      </w:pPr>
      <w:r>
        <w:t xml:space="preserve">Diretoria.</w:t>
      </w:r>
    </w:p>
    <w:p>
      <w:pPr>
        <w:numPr>
          <w:ilvl w:val="0"/>
          <w:numId w:val="1001"/>
        </w:numPr>
        <w:pStyle w:val="Compact"/>
      </w:pPr>
      <w:r>
        <w:t xml:space="preserve">Comercial.</w:t>
      </w:r>
    </w:p>
    <w:p>
      <w:pPr>
        <w:numPr>
          <w:ilvl w:val="0"/>
          <w:numId w:val="1001"/>
        </w:numPr>
        <w:pStyle w:val="Compact"/>
      </w:pPr>
      <w:r>
        <w:t xml:space="preserve">Financeiro.</w:t>
      </w:r>
    </w:p>
    <w:p>
      <w:pPr>
        <w:numPr>
          <w:ilvl w:val="0"/>
          <w:numId w:val="1001"/>
        </w:numPr>
        <w:pStyle w:val="Compact"/>
      </w:pPr>
      <w:r>
        <w:t xml:space="preserve">Administrativo.</w:t>
      </w:r>
    </w:p>
    <w:p>
      <w:pPr>
        <w:numPr>
          <w:ilvl w:val="0"/>
          <w:numId w:val="1001"/>
        </w:numPr>
        <w:pStyle w:val="Compact"/>
      </w:pPr>
      <w:r>
        <w:t xml:space="preserve">Implantação.</w:t>
      </w:r>
    </w:p>
    <w:p>
      <w:pPr>
        <w:numPr>
          <w:ilvl w:val="0"/>
          <w:numId w:val="1001"/>
        </w:numPr>
        <w:pStyle w:val="Compact"/>
      </w:pPr>
      <w:r>
        <w:t xml:space="preserve">Operações.</w:t>
      </w:r>
    </w:p>
    <w:p>
      <w:pPr>
        <w:numPr>
          <w:ilvl w:val="0"/>
          <w:numId w:val="1001"/>
        </w:numPr>
        <w:pStyle w:val="Compact"/>
      </w:pPr>
      <w:r>
        <w:t xml:space="preserve">Engenharia.</w:t>
      </w:r>
    </w:p>
    <w:p>
      <w:pPr>
        <w:numPr>
          <w:ilvl w:val="0"/>
          <w:numId w:val="1001"/>
        </w:numPr>
        <w:pStyle w:val="Compact"/>
      </w:pPr>
      <w:r>
        <w:t xml:space="preserve">Suporte.</w:t>
      </w:r>
    </w:p>
    <w:p>
      <w:pPr>
        <w:pStyle w:val="FirstParagraph"/>
      </w:pPr>
      <w:r>
        <w:t xml:space="preserve">Cada usuário deve acessar apenas os módulos compatíveis com sua função e permissões.</w:t>
      </w:r>
    </w:p>
    <w:bookmarkEnd w:id="21"/>
    <w:bookmarkStart w:id="22" w:name="acesso-ao-sistema"/>
    <w:p>
      <w:pPr>
        <w:pStyle w:val="Heading2"/>
      </w:pPr>
      <w:r>
        <w:t xml:space="preserve">Acesso ao sistema</w:t>
      </w:r>
    </w:p>
    <w:p>
      <w:pPr>
        <w:pStyle w:val="FirstParagraph"/>
      </w:pPr>
      <w:r>
        <w:t xml:space="preserve">O acesso é feito pela tela de login do O3Cloud Manager.</w:t>
      </w:r>
    </w:p>
    <w:p>
      <w:pPr>
        <w:pStyle w:val="BodyText"/>
      </w:pPr>
      <w:r>
        <w:t xml:space="preserve">Fluxo básico:</w:t>
      </w:r>
    </w:p>
    <w:p>
      <w:pPr>
        <w:numPr>
          <w:ilvl w:val="0"/>
          <w:numId w:val="1002"/>
        </w:numPr>
        <w:pStyle w:val="Compact"/>
      </w:pPr>
      <w:r>
        <w:t xml:space="preserve">Acesse a URL do sistema.</w:t>
      </w:r>
    </w:p>
    <w:p>
      <w:pPr>
        <w:numPr>
          <w:ilvl w:val="0"/>
          <w:numId w:val="1002"/>
        </w:numPr>
        <w:pStyle w:val="Compact"/>
      </w:pPr>
      <w:r>
        <w:t xml:space="preserve">Informe e-mail e senha.</w:t>
      </w:r>
    </w:p>
    <w:p>
      <w:pPr>
        <w:numPr>
          <w:ilvl w:val="0"/>
          <w:numId w:val="1002"/>
        </w:numPr>
        <w:pStyle w:val="Compact"/>
      </w:pPr>
      <w:r>
        <w:t xml:space="preserve">Caso o segundo fator esteja habilitado, conclua a validação solicitada.</w:t>
      </w:r>
    </w:p>
    <w:p>
      <w:pPr>
        <w:numPr>
          <w:ilvl w:val="0"/>
          <w:numId w:val="1002"/>
        </w:numPr>
        <w:pStyle w:val="Compact"/>
      </w:pPr>
      <w:r>
        <w:t xml:space="preserve">Após o login, o sistema exibirá o painel e o menu lateral.</w:t>
      </w:r>
    </w:p>
    <w:bookmarkEnd w:id="22"/>
    <w:bookmarkStart w:id="23" w:name="navegação"/>
    <w:p>
      <w:pPr>
        <w:pStyle w:val="Heading2"/>
      </w:pPr>
      <w:r>
        <w:t xml:space="preserve">Navegação</w:t>
      </w:r>
    </w:p>
    <w:p>
      <w:pPr>
        <w:pStyle w:val="FirstParagraph"/>
      </w:pPr>
      <w:r>
        <w:t xml:space="preserve">O menu lateral organiza os módulos principais do sistema. Os itens exibidos podem variar conforme o perfil do usuário.</w:t>
      </w:r>
    </w:p>
    <w:p>
      <w:pPr>
        <w:pStyle w:val="BodyText"/>
      </w:pPr>
      <w:r>
        <w:t xml:space="preserve">Áreas comuns:</w:t>
      </w:r>
    </w:p>
    <w:p>
      <w:pPr>
        <w:numPr>
          <w:ilvl w:val="0"/>
          <w:numId w:val="1003"/>
        </w:numPr>
        <w:pStyle w:val="Compact"/>
      </w:pPr>
      <w:r>
        <w:t xml:space="preserve">Dashboards.</w:t>
      </w:r>
    </w:p>
    <w:p>
      <w:pPr>
        <w:numPr>
          <w:ilvl w:val="0"/>
          <w:numId w:val="1003"/>
        </w:numPr>
        <w:pStyle w:val="Compact"/>
      </w:pPr>
      <w:r>
        <w:t xml:space="preserve">Clientes e contatos.</w:t>
      </w:r>
    </w:p>
    <w:p>
      <w:pPr>
        <w:numPr>
          <w:ilvl w:val="0"/>
          <w:numId w:val="1003"/>
        </w:numPr>
        <w:pStyle w:val="Compact"/>
      </w:pPr>
      <w:r>
        <w:t xml:space="preserve">Leads, oportunidades e pipeline.</w:t>
      </w:r>
    </w:p>
    <w:p>
      <w:pPr>
        <w:numPr>
          <w:ilvl w:val="0"/>
          <w:numId w:val="1003"/>
        </w:numPr>
        <w:pStyle w:val="Compact"/>
      </w:pPr>
      <w:r>
        <w:t xml:space="preserve">Propostas e contratos.</w:t>
      </w:r>
    </w:p>
    <w:p>
      <w:pPr>
        <w:numPr>
          <w:ilvl w:val="0"/>
          <w:numId w:val="1003"/>
        </w:numPr>
        <w:pStyle w:val="Compact"/>
      </w:pPr>
      <w:r>
        <w:t xml:space="preserve">Catálogo.</w:t>
      </w:r>
    </w:p>
    <w:p>
      <w:pPr>
        <w:numPr>
          <w:ilvl w:val="0"/>
          <w:numId w:val="1003"/>
        </w:numPr>
        <w:pStyle w:val="Compact"/>
      </w:pPr>
      <w:r>
        <w:t xml:space="preserve">Implantação.</w:t>
      </w:r>
    </w:p>
    <w:p>
      <w:pPr>
        <w:numPr>
          <w:ilvl w:val="0"/>
          <w:numId w:val="1003"/>
        </w:numPr>
        <w:pStyle w:val="Compact"/>
      </w:pPr>
      <w:r>
        <w:t xml:space="preserve">Financeiro.</w:t>
      </w:r>
    </w:p>
    <w:p>
      <w:pPr>
        <w:numPr>
          <w:ilvl w:val="0"/>
          <w:numId w:val="1003"/>
        </w:numPr>
        <w:pStyle w:val="Compact"/>
      </w:pPr>
      <w:r>
        <w:t xml:space="preserve">Administrativo.</w:t>
      </w:r>
    </w:p>
    <w:p>
      <w:pPr>
        <w:numPr>
          <w:ilvl w:val="0"/>
          <w:numId w:val="1003"/>
        </w:numPr>
        <w:pStyle w:val="Compact"/>
      </w:pPr>
      <w:r>
        <w:t xml:space="preserve">Infraestrutura.</w:t>
      </w:r>
    </w:p>
    <w:p>
      <w:pPr>
        <w:numPr>
          <w:ilvl w:val="0"/>
          <w:numId w:val="1003"/>
        </w:numPr>
        <w:pStyle w:val="Compact"/>
      </w:pPr>
      <w:r>
        <w:t xml:space="preserve">Relatórios.</w:t>
      </w:r>
    </w:p>
    <w:p>
      <w:pPr>
        <w:numPr>
          <w:ilvl w:val="0"/>
          <w:numId w:val="1003"/>
        </w:numPr>
        <w:pStyle w:val="Compact"/>
      </w:pPr>
      <w:r>
        <w:t xml:space="preserve">Configurações.</w:t>
      </w:r>
    </w:p>
    <w:bookmarkEnd w:id="23"/>
    <w:bookmarkStart w:id="24" w:name="padrão-das-telas"/>
    <w:p>
      <w:pPr>
        <w:pStyle w:val="Heading2"/>
      </w:pPr>
      <w:r>
        <w:t xml:space="preserve">Padrão das telas</w:t>
      </w:r>
    </w:p>
    <w:p>
      <w:pPr>
        <w:pStyle w:val="FirstParagraph"/>
      </w:pPr>
      <w:r>
        <w:t xml:space="preserve">A maioria das telas segue o mesmo padrão:</w:t>
      </w:r>
    </w:p>
    <w:p>
      <w:pPr>
        <w:numPr>
          <w:ilvl w:val="0"/>
          <w:numId w:val="1004"/>
        </w:numPr>
        <w:pStyle w:val="Compact"/>
      </w:pPr>
      <w:r>
        <w:t xml:space="preserve">Lista de registros.</w:t>
      </w:r>
    </w:p>
    <w:p>
      <w:pPr>
        <w:numPr>
          <w:ilvl w:val="0"/>
          <w:numId w:val="1004"/>
        </w:numPr>
        <w:pStyle w:val="Compact"/>
      </w:pPr>
      <w:r>
        <w:t xml:space="preserve">Filtros de pesquisa.</w:t>
      </w:r>
    </w:p>
    <w:p>
      <w:pPr>
        <w:numPr>
          <w:ilvl w:val="0"/>
          <w:numId w:val="1004"/>
        </w:numPr>
        <w:pStyle w:val="Compact"/>
      </w:pPr>
      <w:r>
        <w:t xml:space="preserve">Botão para novo cadastro.</w:t>
      </w:r>
    </w:p>
    <w:p>
      <w:pPr>
        <w:numPr>
          <w:ilvl w:val="0"/>
          <w:numId w:val="1004"/>
        </w:numPr>
        <w:pStyle w:val="Compact"/>
      </w:pPr>
      <w:r>
        <w:t xml:space="preserve">Ações de visualizar, editar ou excluir, conforme permissão.</w:t>
      </w:r>
    </w:p>
    <w:p>
      <w:pPr>
        <w:numPr>
          <w:ilvl w:val="0"/>
          <w:numId w:val="1004"/>
        </w:numPr>
        <w:pStyle w:val="Compact"/>
      </w:pPr>
      <w:r>
        <w:t xml:space="preserve">Página de detalhe com informações do registro.</w:t>
      </w:r>
    </w:p>
    <w:p>
      <w:pPr>
        <w:numPr>
          <w:ilvl w:val="0"/>
          <w:numId w:val="1004"/>
        </w:numPr>
        <w:pStyle w:val="Compact"/>
      </w:pPr>
      <w:r>
        <w:t xml:space="preserve">Histórico ou rastreabilidade quando aplicável.</w:t>
      </w:r>
    </w:p>
    <w:bookmarkEnd w:id="24"/>
    <w:bookmarkStart w:id="25" w:name="permissões"/>
    <w:p>
      <w:pPr>
        <w:pStyle w:val="Heading2"/>
      </w:pPr>
      <w:r>
        <w:t xml:space="preserve">Permissões</w:t>
      </w:r>
    </w:p>
    <w:p>
      <w:pPr>
        <w:pStyle w:val="FirstParagraph"/>
      </w:pPr>
      <w:r>
        <w:t xml:space="preserve">O sistema usa perfis e permissões para controlar acesso.</w:t>
      </w:r>
    </w:p>
    <w:p>
      <w:pPr>
        <w:pStyle w:val="BodyText"/>
      </w:pPr>
      <w:r>
        <w:t xml:space="preserve">Conceitos importantes:</w:t>
      </w:r>
    </w:p>
    <w:p>
      <w:pPr>
        <w:numPr>
          <w:ilvl w:val="0"/>
          <w:numId w:val="1005"/>
        </w:numPr>
        <w:pStyle w:val="Compact"/>
      </w:pPr>
      <w:r>
        <w:t xml:space="preserve">Usuário: pessoa que acessa o sistema.</w:t>
      </w:r>
    </w:p>
    <w:p>
      <w:pPr>
        <w:numPr>
          <w:ilvl w:val="0"/>
          <w:numId w:val="1005"/>
        </w:numPr>
        <w:pStyle w:val="Compact"/>
      </w:pPr>
      <w:r>
        <w:t xml:space="preserve">Perfil: conjunto de permissões aplicado a um ou mais usuários.</w:t>
      </w:r>
    </w:p>
    <w:p>
      <w:pPr>
        <w:numPr>
          <w:ilvl w:val="0"/>
          <w:numId w:val="1005"/>
        </w:numPr>
        <w:pStyle w:val="Compact"/>
      </w:pPr>
      <w:r>
        <w:t xml:space="preserve">Permissão: autorização para visualizar, criar, editar, excluir ou executar uma função.</w:t>
      </w:r>
    </w:p>
    <w:p>
      <w:pPr>
        <w:numPr>
          <w:ilvl w:val="0"/>
          <w:numId w:val="1005"/>
        </w:numPr>
        <w:pStyle w:val="Compact"/>
      </w:pPr>
      <w:r>
        <w:t xml:space="preserve">Administrador: usuário com acesso às rotinas sensíveis do sistema.</w:t>
      </w:r>
    </w:p>
    <w:p>
      <w:pPr>
        <w:pStyle w:val="FirstParagraph"/>
      </w:pPr>
      <w:r>
        <w:t xml:space="preserve">Boas práticas:</w:t>
      </w:r>
    </w:p>
    <w:p>
      <w:pPr>
        <w:numPr>
          <w:ilvl w:val="0"/>
          <w:numId w:val="1006"/>
        </w:numPr>
        <w:pStyle w:val="Compact"/>
      </w:pPr>
      <w:r>
        <w:t xml:space="preserve">Cada colaborador deve usar seu próprio usuário.</w:t>
      </w:r>
    </w:p>
    <w:p>
      <w:pPr>
        <w:numPr>
          <w:ilvl w:val="0"/>
          <w:numId w:val="1006"/>
        </w:numPr>
        <w:pStyle w:val="Compact"/>
      </w:pPr>
      <w:r>
        <w:t xml:space="preserve">Evite compartilhar senhas.</w:t>
      </w:r>
    </w:p>
    <w:p>
      <w:pPr>
        <w:numPr>
          <w:ilvl w:val="0"/>
          <w:numId w:val="1006"/>
        </w:numPr>
        <w:pStyle w:val="Compact"/>
      </w:pPr>
      <w:r>
        <w:t xml:space="preserve">Permissões administrativas devem ser restritas.</w:t>
      </w:r>
    </w:p>
    <w:p>
      <w:pPr>
        <w:numPr>
          <w:ilvl w:val="0"/>
          <w:numId w:val="1006"/>
        </w:numPr>
        <w:pStyle w:val="Compact"/>
      </w:pPr>
      <w:r>
        <w:t xml:space="preserve">Usuários desligados devem ser desativados.</w:t>
      </w:r>
    </w:p>
    <w:bookmarkEnd w:id="25"/>
    <w:bookmarkStart w:id="26" w:name="cadastro-e-edição"/>
    <w:p>
      <w:pPr>
        <w:pStyle w:val="Heading2"/>
      </w:pPr>
      <w:r>
        <w:t xml:space="preserve">Cadastro e edição</w:t>
      </w:r>
    </w:p>
    <w:p>
      <w:pPr>
        <w:pStyle w:val="FirstParagraph"/>
      </w:pPr>
      <w:r>
        <w:t xml:space="preserve">Ao criar ou editar registros:</w:t>
      </w:r>
    </w:p>
    <w:p>
      <w:pPr>
        <w:numPr>
          <w:ilvl w:val="0"/>
          <w:numId w:val="1007"/>
        </w:numPr>
        <w:pStyle w:val="Compact"/>
      </w:pPr>
      <w:r>
        <w:t xml:space="preserve">Preencha os campos obrigatórios.</w:t>
      </w:r>
    </w:p>
    <w:p>
      <w:pPr>
        <w:numPr>
          <w:ilvl w:val="0"/>
          <w:numId w:val="1007"/>
        </w:numPr>
        <w:pStyle w:val="Compact"/>
      </w:pPr>
      <w:r>
        <w:t xml:space="preserve">Revise nomes, e-mails, CNPJ, valores e datas.</w:t>
      </w:r>
    </w:p>
    <w:p>
      <w:pPr>
        <w:numPr>
          <w:ilvl w:val="0"/>
          <w:numId w:val="1007"/>
        </w:numPr>
        <w:pStyle w:val="Compact"/>
      </w:pPr>
      <w:r>
        <w:t xml:space="preserve">Salve o registro.</w:t>
      </w:r>
    </w:p>
    <w:p>
      <w:pPr>
        <w:numPr>
          <w:ilvl w:val="0"/>
          <w:numId w:val="1007"/>
        </w:numPr>
        <w:pStyle w:val="Compact"/>
      </w:pPr>
      <w:r>
        <w:t xml:space="preserve">Confira se o registro apareceu corretamente na lista ou na tela de detalhe.</w:t>
      </w:r>
    </w:p>
    <w:bookmarkEnd w:id="26"/>
    <w:bookmarkStart w:id="27" w:name="anexos-e-documentos"/>
    <w:p>
      <w:pPr>
        <w:pStyle w:val="Heading2"/>
      </w:pPr>
      <w:r>
        <w:t xml:space="preserve">Anexos e documentos</w:t>
      </w:r>
    </w:p>
    <w:p>
      <w:pPr>
        <w:pStyle w:val="FirstParagraph"/>
      </w:pPr>
      <w:r>
        <w:t xml:space="preserve">Alguns módulos permitem anexar arquivos, documentos, propostas, contratos ou evidências.</w:t>
      </w:r>
    </w:p>
    <w:p>
      <w:pPr>
        <w:pStyle w:val="BodyText"/>
      </w:pPr>
      <w:r>
        <w:t xml:space="preserve">Cuidados:</w:t>
      </w:r>
    </w:p>
    <w:p>
      <w:pPr>
        <w:numPr>
          <w:ilvl w:val="0"/>
          <w:numId w:val="1008"/>
        </w:numPr>
        <w:pStyle w:val="Compact"/>
      </w:pPr>
      <w:r>
        <w:t xml:space="preserve">Use nomes de arquivo claros.</w:t>
      </w:r>
    </w:p>
    <w:p>
      <w:pPr>
        <w:numPr>
          <w:ilvl w:val="0"/>
          <w:numId w:val="1008"/>
        </w:numPr>
        <w:pStyle w:val="Compact"/>
      </w:pPr>
      <w:r>
        <w:t xml:space="preserve">Evite duplicar documentos.</w:t>
      </w:r>
    </w:p>
    <w:p>
      <w:pPr>
        <w:numPr>
          <w:ilvl w:val="0"/>
          <w:numId w:val="1008"/>
        </w:numPr>
        <w:pStyle w:val="Compact"/>
      </w:pPr>
      <w:r>
        <w:t xml:space="preserve">Confira se o arquivo pertence ao cliente ou processo correto.</w:t>
      </w:r>
    </w:p>
    <w:p>
      <w:pPr>
        <w:numPr>
          <w:ilvl w:val="0"/>
          <w:numId w:val="1008"/>
        </w:numPr>
        <w:pStyle w:val="Compact"/>
      </w:pPr>
      <w:r>
        <w:t xml:space="preserve">Não envie arquivos sensíveis para registros errados.</w:t>
      </w:r>
    </w:p>
    <w:bookmarkEnd w:id="27"/>
    <w:bookmarkStart w:id="28" w:name="erros-comuns"/>
    <w:p>
      <w:pPr>
        <w:pStyle w:val="Heading2"/>
      </w:pPr>
      <w:r>
        <w:t xml:space="preserve">Erros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 não vê um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de permissão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revisão do perfil ao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não avança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Senha, 2FA ou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credenciais e configuração de e-mail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 não salva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obrigatório ou formato 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mensagens da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não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Limpar filtros e pesquisar novamente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Tela apresenta erro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de aplicação ou permissão de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Acionar administrador com horário e ação realizada</w:t>
            </w:r>
          </w:p>
        </w:tc>
      </w:tr>
    </w:tbl>
    <w:bookmarkEnd w:id="28"/>
    <w:bookmarkStart w:id="29" w:name="boas-práticas-gerais"/>
    <w:p>
      <w:pPr>
        <w:pStyle w:val="Heading2"/>
      </w:pPr>
      <w:r>
        <w:t xml:space="preserve">Boas práticas gerais</w:t>
      </w:r>
    </w:p>
    <w:p>
      <w:pPr>
        <w:numPr>
          <w:ilvl w:val="0"/>
          <w:numId w:val="1009"/>
        </w:numPr>
        <w:pStyle w:val="Compact"/>
      </w:pPr>
      <w:r>
        <w:t xml:space="preserve">Pesquise antes de cadastrar para evitar duplicidade.</w:t>
      </w:r>
    </w:p>
    <w:p>
      <w:pPr>
        <w:numPr>
          <w:ilvl w:val="0"/>
          <w:numId w:val="1009"/>
        </w:numPr>
        <w:pStyle w:val="Compact"/>
      </w:pPr>
      <w:r>
        <w:t xml:space="preserve">Mantenha dados cadastrais atualizados.</w:t>
      </w:r>
    </w:p>
    <w:p>
      <w:pPr>
        <w:numPr>
          <w:ilvl w:val="0"/>
          <w:numId w:val="1009"/>
        </w:numPr>
        <w:pStyle w:val="Compact"/>
      </w:pPr>
      <w:r>
        <w:t xml:space="preserve">Registre informações relevantes no sistema, não apenas em conversas externas.</w:t>
      </w:r>
    </w:p>
    <w:p>
      <w:pPr>
        <w:numPr>
          <w:ilvl w:val="0"/>
          <w:numId w:val="1009"/>
        </w:numPr>
        <w:pStyle w:val="Compact"/>
      </w:pPr>
      <w:r>
        <w:t xml:space="preserve">Use filtros e relatórios para acompanhar pendências.</w:t>
      </w:r>
    </w:p>
    <w:p>
      <w:pPr>
        <w:numPr>
          <w:ilvl w:val="0"/>
          <w:numId w:val="1009"/>
        </w:numPr>
        <w:pStyle w:val="Compact"/>
      </w:pPr>
      <w:r>
        <w:t xml:space="preserve">Em caso de dúvida operacional, consulte o manual do módulo específico.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2026-08-15T19:04:17Z</dcterms:created>
  <dcterms:modified xsi:type="dcterms:W3CDTF">2026-08-15T19:04:17Z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