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anual-comercial"/>
    <w:p>
      <w:pPr>
        <w:pStyle w:val="Heading1"/>
      </w:pPr>
      <w:r>
        <w:t xml:space="preserve">Manual Comercial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 módulo comercial organiza o relacionamento com clientes, contatos, leads, oportunidades, propostas, contratos e pipeline de vendas.</w:t>
      </w:r>
    </w:p>
    <w:p>
      <w:pPr>
        <w:pStyle w:val="BodyText"/>
      </w:pPr>
      <w:r>
        <w:t xml:space="preserve">Ele permite acompanhar a jornada comercial desde a entrada de um lead até a formalização de uma proposta ou contrato.</w:t>
      </w:r>
    </w:p>
    <w:bookmarkEnd w:id="20"/>
    <w:bookmarkStart w:id="21" w:name="quem-deve-usar"/>
    <w:p>
      <w:pPr>
        <w:pStyle w:val="Heading2"/>
      </w:pPr>
      <w:r>
        <w:t xml:space="preserve">Quem deve usar</w:t>
      </w:r>
    </w:p>
    <w:p>
      <w:pPr>
        <w:numPr>
          <w:ilvl w:val="0"/>
          <w:numId w:val="1001"/>
        </w:numPr>
        <w:pStyle w:val="Compact"/>
      </w:pPr>
      <w:r>
        <w:t xml:space="preserve">Time Comercial.</w:t>
      </w:r>
    </w:p>
    <w:p>
      <w:pPr>
        <w:numPr>
          <w:ilvl w:val="0"/>
          <w:numId w:val="1001"/>
        </w:numPr>
        <w:pStyle w:val="Compact"/>
      </w:pPr>
      <w:r>
        <w:t xml:space="preserve">Diretoria.</w:t>
      </w:r>
    </w:p>
    <w:p>
      <w:pPr>
        <w:numPr>
          <w:ilvl w:val="0"/>
          <w:numId w:val="1001"/>
        </w:numPr>
        <w:pStyle w:val="Compact"/>
      </w:pPr>
      <w:r>
        <w:t xml:space="preserve">Financeiro, quando houver análise de proposta, contrato ou bloqueio.</w:t>
      </w:r>
    </w:p>
    <w:p>
      <w:pPr>
        <w:numPr>
          <w:ilvl w:val="0"/>
          <w:numId w:val="1001"/>
        </w:numPr>
        <w:pStyle w:val="Compact"/>
      </w:pPr>
      <w:r>
        <w:t xml:space="preserve">Implantação, quando a venda virar entrega operacional.</w:t>
      </w:r>
    </w:p>
    <w:bookmarkEnd w:id="21"/>
    <w:bookmarkStart w:id="22" w:name="principais-telas"/>
    <w:p>
      <w:pPr>
        <w:pStyle w:val="Heading2"/>
      </w:pPr>
      <w:r>
        <w:t xml:space="preserve">Principais telas</w:t>
      </w:r>
    </w:p>
    <w:p>
      <w:pPr>
        <w:numPr>
          <w:ilvl w:val="0"/>
          <w:numId w:val="1002"/>
        </w:numPr>
        <w:pStyle w:val="Compact"/>
      </w:pPr>
      <w:r>
        <w:t xml:space="preserve">Clientes.</w:t>
      </w:r>
    </w:p>
    <w:p>
      <w:pPr>
        <w:numPr>
          <w:ilvl w:val="0"/>
          <w:numId w:val="1002"/>
        </w:numPr>
        <w:pStyle w:val="Compact"/>
      </w:pPr>
      <w:r>
        <w:t xml:space="preserve">Contatos.</w:t>
      </w:r>
    </w:p>
    <w:p>
      <w:pPr>
        <w:numPr>
          <w:ilvl w:val="0"/>
          <w:numId w:val="1002"/>
        </w:numPr>
        <w:pStyle w:val="Compact"/>
      </w:pPr>
      <w:r>
        <w:t xml:space="preserve">Leads.</w:t>
      </w:r>
    </w:p>
    <w:p>
      <w:pPr>
        <w:numPr>
          <w:ilvl w:val="0"/>
          <w:numId w:val="1002"/>
        </w:numPr>
        <w:pStyle w:val="Compact"/>
      </w:pPr>
      <w:r>
        <w:t xml:space="preserve">Eventos de leads.</w:t>
      </w:r>
    </w:p>
    <w:p>
      <w:pPr>
        <w:numPr>
          <w:ilvl w:val="0"/>
          <w:numId w:val="1002"/>
        </w:numPr>
        <w:pStyle w:val="Compact"/>
      </w:pPr>
      <w:r>
        <w:t xml:space="preserve">Oportunidades.</w:t>
      </w:r>
    </w:p>
    <w:p>
      <w:pPr>
        <w:numPr>
          <w:ilvl w:val="0"/>
          <w:numId w:val="1002"/>
        </w:numPr>
        <w:pStyle w:val="Compact"/>
      </w:pPr>
      <w:r>
        <w:t xml:space="preserve">Pipeline.</w:t>
      </w:r>
    </w:p>
    <w:p>
      <w:pPr>
        <w:numPr>
          <w:ilvl w:val="0"/>
          <w:numId w:val="1002"/>
        </w:numPr>
        <w:pStyle w:val="Compact"/>
      </w:pPr>
      <w:r>
        <w:t xml:space="preserve">Propostas.</w:t>
      </w:r>
    </w:p>
    <w:p>
      <w:pPr>
        <w:numPr>
          <w:ilvl w:val="0"/>
          <w:numId w:val="1002"/>
        </w:numPr>
        <w:pStyle w:val="Compact"/>
      </w:pPr>
      <w:r>
        <w:t xml:space="preserve">Contratos.</w:t>
      </w:r>
    </w:p>
    <w:bookmarkEnd w:id="22"/>
    <w:bookmarkStart w:id="23" w:name="clientes"/>
    <w:p>
      <w:pPr>
        <w:pStyle w:val="Heading2"/>
      </w:pPr>
      <w:r>
        <w:t xml:space="preserve">Clientes</w:t>
      </w:r>
    </w:p>
    <w:p>
      <w:pPr>
        <w:pStyle w:val="FirstParagraph"/>
      </w:pPr>
      <w:r>
        <w:t xml:space="preserve">Use Clientes para manter a base de empresas atendidas ou em negociação.</w:t>
      </w:r>
    </w:p>
    <w:p>
      <w:pPr>
        <w:pStyle w:val="BodyText"/>
      </w:pPr>
      <w:r>
        <w:t xml:space="preserve">Informações comuns:</w:t>
      </w:r>
    </w:p>
    <w:p>
      <w:pPr>
        <w:numPr>
          <w:ilvl w:val="0"/>
          <w:numId w:val="1003"/>
        </w:numPr>
        <w:pStyle w:val="Compact"/>
      </w:pPr>
      <w:r>
        <w:t xml:space="preserve">Razão social ou nome fantasia.</w:t>
      </w:r>
    </w:p>
    <w:p>
      <w:pPr>
        <w:numPr>
          <w:ilvl w:val="0"/>
          <w:numId w:val="1003"/>
        </w:numPr>
        <w:pStyle w:val="Compact"/>
      </w:pPr>
      <w:r>
        <w:t xml:space="preserve">CNPJ.</w:t>
      </w:r>
    </w:p>
    <w:p>
      <w:pPr>
        <w:numPr>
          <w:ilvl w:val="0"/>
          <w:numId w:val="1003"/>
        </w:numPr>
        <w:pStyle w:val="Compact"/>
      </w:pPr>
      <w:r>
        <w:t xml:space="preserve">Dados de contato.</w:t>
      </w:r>
    </w:p>
    <w:p>
      <w:pPr>
        <w:numPr>
          <w:ilvl w:val="0"/>
          <w:numId w:val="1003"/>
        </w:numPr>
        <w:pStyle w:val="Compact"/>
      </w:pPr>
      <w:r>
        <w:t xml:space="preserve">Situação do cliente.</w:t>
      </w:r>
    </w:p>
    <w:p>
      <w:pPr>
        <w:numPr>
          <w:ilvl w:val="0"/>
          <w:numId w:val="1003"/>
        </w:numPr>
        <w:pStyle w:val="Compact"/>
      </w:pPr>
      <w:r>
        <w:t xml:space="preserve">Relacionamentos comerciais e operacionais.</w:t>
      </w:r>
    </w:p>
    <w:p>
      <w:pPr>
        <w:pStyle w:val="FirstParagraph"/>
      </w:pPr>
      <w:r>
        <w:t xml:space="preserve">Fluxo recomendado:</w:t>
      </w:r>
    </w:p>
    <w:p>
      <w:pPr>
        <w:numPr>
          <w:ilvl w:val="0"/>
          <w:numId w:val="1004"/>
        </w:numPr>
        <w:pStyle w:val="Compact"/>
      </w:pPr>
      <w:r>
        <w:t xml:space="preserve">Pesquise se o cliente já existe.</w:t>
      </w:r>
    </w:p>
    <w:p>
      <w:pPr>
        <w:numPr>
          <w:ilvl w:val="0"/>
          <w:numId w:val="1004"/>
        </w:numPr>
        <w:pStyle w:val="Compact"/>
      </w:pPr>
      <w:r>
        <w:t xml:space="preserve">Cadastre ou atualize os dados principais.</w:t>
      </w:r>
    </w:p>
    <w:p>
      <w:pPr>
        <w:numPr>
          <w:ilvl w:val="0"/>
          <w:numId w:val="1004"/>
        </w:numPr>
        <w:pStyle w:val="Compact"/>
      </w:pPr>
      <w:r>
        <w:t xml:space="preserve">Vincule contatos, oportunidades, propostas e contratos.</w:t>
      </w:r>
    </w:p>
    <w:p>
      <w:pPr>
        <w:numPr>
          <w:ilvl w:val="0"/>
          <w:numId w:val="1004"/>
        </w:numPr>
        <w:pStyle w:val="Compact"/>
      </w:pPr>
      <w:r>
        <w:t xml:space="preserve">Revise dados antes de iniciar uma proposta.</w:t>
      </w:r>
    </w:p>
    <w:bookmarkEnd w:id="23"/>
    <w:bookmarkStart w:id="24" w:name="contatos"/>
    <w:p>
      <w:pPr>
        <w:pStyle w:val="Heading2"/>
      </w:pPr>
      <w:r>
        <w:t xml:space="preserve">Contatos</w:t>
      </w:r>
    </w:p>
    <w:p>
      <w:pPr>
        <w:pStyle w:val="FirstParagraph"/>
      </w:pPr>
      <w:r>
        <w:t xml:space="preserve">Contatos representam pessoas vinculadas a clientes, parceiros ou oportunidades.</w:t>
      </w:r>
    </w:p>
    <w:p>
      <w:pPr>
        <w:pStyle w:val="BodyText"/>
      </w:pPr>
      <w:r>
        <w:t xml:space="preserve">Boas práticas:</w:t>
      </w:r>
    </w:p>
    <w:p>
      <w:pPr>
        <w:numPr>
          <w:ilvl w:val="0"/>
          <w:numId w:val="1005"/>
        </w:numPr>
        <w:pStyle w:val="Compact"/>
      </w:pPr>
      <w:r>
        <w:t xml:space="preserve">Informe nome, e-mail, telefone e cargo.</w:t>
      </w:r>
    </w:p>
    <w:p>
      <w:pPr>
        <w:numPr>
          <w:ilvl w:val="0"/>
          <w:numId w:val="1005"/>
        </w:numPr>
        <w:pStyle w:val="Compact"/>
      </w:pPr>
      <w:r>
        <w:t xml:space="preserve">Mantenha o vínculo correto com a empresa.</w:t>
      </w:r>
    </w:p>
    <w:p>
      <w:pPr>
        <w:numPr>
          <w:ilvl w:val="0"/>
          <w:numId w:val="1005"/>
        </w:numPr>
        <w:pStyle w:val="Compact"/>
      </w:pPr>
      <w:r>
        <w:t xml:space="preserve">Atualize contatos inativos ou substituídos.</w:t>
      </w:r>
    </w:p>
    <w:bookmarkEnd w:id="24"/>
    <w:bookmarkStart w:id="25" w:name="leads"/>
    <w:p>
      <w:pPr>
        <w:pStyle w:val="Heading2"/>
      </w:pPr>
      <w:r>
        <w:t xml:space="preserve">Leads</w:t>
      </w:r>
    </w:p>
    <w:p>
      <w:pPr>
        <w:pStyle w:val="FirstParagraph"/>
      </w:pPr>
      <w:r>
        <w:t xml:space="preserve">Leads registram potenciais clientes ou interessados antes de virarem oportunidade formal.</w:t>
      </w:r>
    </w:p>
    <w:p>
      <w:pPr>
        <w:pStyle w:val="BodyText"/>
      </w:pPr>
      <w:r>
        <w:t xml:space="preserve">Uso recomendado:</w:t>
      </w:r>
    </w:p>
    <w:p>
      <w:pPr>
        <w:numPr>
          <w:ilvl w:val="0"/>
          <w:numId w:val="1006"/>
        </w:numPr>
        <w:pStyle w:val="Compact"/>
      </w:pPr>
      <w:r>
        <w:t xml:space="preserve">Cadastre o lead com origem e dados mínimos.</w:t>
      </w:r>
    </w:p>
    <w:p>
      <w:pPr>
        <w:numPr>
          <w:ilvl w:val="0"/>
          <w:numId w:val="1006"/>
        </w:numPr>
        <w:pStyle w:val="Compact"/>
      </w:pPr>
      <w:r>
        <w:t xml:space="preserve">Registre evolução e qualificação.</w:t>
      </w:r>
    </w:p>
    <w:p>
      <w:pPr>
        <w:numPr>
          <w:ilvl w:val="0"/>
          <w:numId w:val="1006"/>
        </w:numPr>
        <w:pStyle w:val="Compact"/>
      </w:pPr>
      <w:r>
        <w:t xml:space="preserve">Converta para oportunidade quando houver potencial real.</w:t>
      </w:r>
    </w:p>
    <w:bookmarkEnd w:id="25"/>
    <w:bookmarkStart w:id="26" w:name="eventos-de-leads"/>
    <w:p>
      <w:pPr>
        <w:pStyle w:val="Heading2"/>
      </w:pPr>
      <w:r>
        <w:t xml:space="preserve">Eventos de leads</w:t>
      </w:r>
    </w:p>
    <w:p>
      <w:pPr>
        <w:pStyle w:val="FirstParagraph"/>
      </w:pPr>
      <w:r>
        <w:t xml:space="preserve">Eventos ajudam a controlar campanhas, feiras, listas importadas e disparos relacionados a leads.</w:t>
      </w:r>
    </w:p>
    <w:p>
      <w:pPr>
        <w:pStyle w:val="BodyText"/>
      </w:pPr>
      <w:r>
        <w:t xml:space="preserve">Cuidados:</w:t>
      </w:r>
    </w:p>
    <w:p>
      <w:pPr>
        <w:numPr>
          <w:ilvl w:val="0"/>
          <w:numId w:val="1007"/>
        </w:numPr>
        <w:pStyle w:val="Compact"/>
      </w:pPr>
      <w:r>
        <w:t xml:space="preserve">Revise a base antes de importar.</w:t>
      </w:r>
    </w:p>
    <w:p>
      <w:pPr>
        <w:numPr>
          <w:ilvl w:val="0"/>
          <w:numId w:val="1007"/>
        </w:numPr>
        <w:pStyle w:val="Compact"/>
      </w:pPr>
      <w:r>
        <w:t xml:space="preserve">Evite duplicidades.</w:t>
      </w:r>
    </w:p>
    <w:p>
      <w:pPr>
        <w:numPr>
          <w:ilvl w:val="0"/>
          <w:numId w:val="1007"/>
        </w:numPr>
        <w:pStyle w:val="Compact"/>
      </w:pPr>
      <w:r>
        <w:t xml:space="preserve">Confira regras de campanha antes de disparos.</w:t>
      </w:r>
    </w:p>
    <w:bookmarkEnd w:id="26"/>
    <w:bookmarkStart w:id="27" w:name="oportunidades"/>
    <w:p>
      <w:pPr>
        <w:pStyle w:val="Heading2"/>
      </w:pPr>
      <w:r>
        <w:t xml:space="preserve">Oportunidades</w:t>
      </w:r>
    </w:p>
    <w:p>
      <w:pPr>
        <w:pStyle w:val="FirstParagraph"/>
      </w:pPr>
      <w:r>
        <w:t xml:space="preserve">Oportunidades representam negociações em andamento.</w:t>
      </w:r>
    </w:p>
    <w:p>
      <w:pPr>
        <w:pStyle w:val="BodyText"/>
      </w:pPr>
      <w:r>
        <w:t xml:space="preserve">Campos importantes:</w:t>
      </w:r>
    </w:p>
    <w:p>
      <w:pPr>
        <w:numPr>
          <w:ilvl w:val="0"/>
          <w:numId w:val="1008"/>
        </w:numPr>
        <w:pStyle w:val="Compact"/>
      </w:pPr>
      <w:r>
        <w:t xml:space="preserve">Cliente ou lead relacionado.</w:t>
      </w:r>
    </w:p>
    <w:p>
      <w:pPr>
        <w:numPr>
          <w:ilvl w:val="0"/>
          <w:numId w:val="1008"/>
        </w:numPr>
        <w:pStyle w:val="Compact"/>
      </w:pPr>
      <w:r>
        <w:t xml:space="preserve">Responsável comercial.</w:t>
      </w:r>
    </w:p>
    <w:p>
      <w:pPr>
        <w:numPr>
          <w:ilvl w:val="0"/>
          <w:numId w:val="1008"/>
        </w:numPr>
        <w:pStyle w:val="Compact"/>
      </w:pPr>
      <w:r>
        <w:t xml:space="preserve">Etapa ou status.</w:t>
      </w:r>
    </w:p>
    <w:p>
      <w:pPr>
        <w:numPr>
          <w:ilvl w:val="0"/>
          <w:numId w:val="1008"/>
        </w:numPr>
        <w:pStyle w:val="Compact"/>
      </w:pPr>
      <w:r>
        <w:t xml:space="preserve">Valor estimado.</w:t>
      </w:r>
    </w:p>
    <w:p>
      <w:pPr>
        <w:numPr>
          <w:ilvl w:val="0"/>
          <w:numId w:val="1008"/>
        </w:numPr>
        <w:pStyle w:val="Compact"/>
      </w:pPr>
      <w:r>
        <w:t xml:space="preserve">Previsão de fechamento.</w:t>
      </w:r>
    </w:p>
    <w:p>
      <w:pPr>
        <w:numPr>
          <w:ilvl w:val="0"/>
          <w:numId w:val="1008"/>
        </w:numPr>
        <w:pStyle w:val="Compact"/>
      </w:pPr>
      <w:r>
        <w:t xml:space="preserve">Histórico de interação.</w:t>
      </w:r>
    </w:p>
    <w:p>
      <w:pPr>
        <w:pStyle w:val="FirstParagraph"/>
      </w:pPr>
      <w:r>
        <w:t xml:space="preserve">Fluxo recomendado:</w:t>
      </w:r>
    </w:p>
    <w:p>
      <w:pPr>
        <w:numPr>
          <w:ilvl w:val="0"/>
          <w:numId w:val="1009"/>
        </w:numPr>
        <w:pStyle w:val="Compact"/>
      </w:pPr>
      <w:r>
        <w:t xml:space="preserve">Criar oportunidade qualificada.</w:t>
      </w:r>
    </w:p>
    <w:p>
      <w:pPr>
        <w:numPr>
          <w:ilvl w:val="0"/>
          <w:numId w:val="1009"/>
        </w:numPr>
        <w:pStyle w:val="Compact"/>
      </w:pPr>
      <w:r>
        <w:t xml:space="preserve">Atualizar etapa conforme avanço.</w:t>
      </w:r>
    </w:p>
    <w:p>
      <w:pPr>
        <w:numPr>
          <w:ilvl w:val="0"/>
          <w:numId w:val="1009"/>
        </w:numPr>
        <w:pStyle w:val="Compact"/>
      </w:pPr>
      <w:r>
        <w:t xml:space="preserve">Registrar observações relevantes.</w:t>
      </w:r>
    </w:p>
    <w:p>
      <w:pPr>
        <w:numPr>
          <w:ilvl w:val="0"/>
          <w:numId w:val="1009"/>
        </w:numPr>
        <w:pStyle w:val="Compact"/>
      </w:pPr>
      <w:r>
        <w:t xml:space="preserve">Gerar proposta quando houver escopo definido.</w:t>
      </w:r>
    </w:p>
    <w:bookmarkEnd w:id="27"/>
    <w:bookmarkStart w:id="28" w:name="pipeline"/>
    <w:p>
      <w:pPr>
        <w:pStyle w:val="Heading2"/>
      </w:pPr>
      <w:r>
        <w:t xml:space="preserve">Pipeline</w:t>
      </w:r>
    </w:p>
    <w:p>
      <w:pPr>
        <w:pStyle w:val="FirstParagraph"/>
      </w:pPr>
      <w:r>
        <w:t xml:space="preserve">O Pipeline permite visualizar oportunidades por etapa.</w:t>
      </w:r>
    </w:p>
    <w:p>
      <w:pPr>
        <w:pStyle w:val="BodyText"/>
      </w:pPr>
      <w:r>
        <w:t xml:space="preserve">Uso recomendado:</w:t>
      </w:r>
    </w:p>
    <w:p>
      <w:pPr>
        <w:numPr>
          <w:ilvl w:val="0"/>
          <w:numId w:val="1010"/>
        </w:numPr>
        <w:pStyle w:val="Compact"/>
      </w:pPr>
      <w:r>
        <w:t xml:space="preserve">Acompanhar gargalos.</w:t>
      </w:r>
    </w:p>
    <w:p>
      <w:pPr>
        <w:numPr>
          <w:ilvl w:val="0"/>
          <w:numId w:val="1010"/>
        </w:numPr>
        <w:pStyle w:val="Compact"/>
      </w:pPr>
      <w:r>
        <w:t xml:space="preserve">Revisar oportunidades paradas.</w:t>
      </w:r>
    </w:p>
    <w:p>
      <w:pPr>
        <w:numPr>
          <w:ilvl w:val="0"/>
          <w:numId w:val="1010"/>
        </w:numPr>
        <w:pStyle w:val="Compact"/>
      </w:pPr>
      <w:r>
        <w:t xml:space="preserve">Priorizar negociações com maior chance de fechamento.</w:t>
      </w:r>
    </w:p>
    <w:p>
      <w:pPr>
        <w:numPr>
          <w:ilvl w:val="0"/>
          <w:numId w:val="1010"/>
        </w:numPr>
        <w:pStyle w:val="Compact"/>
      </w:pPr>
      <w:r>
        <w:t xml:space="preserve">Usar em reuniões comerciais.</w:t>
      </w:r>
    </w:p>
    <w:bookmarkEnd w:id="28"/>
    <w:bookmarkStart w:id="29" w:name="propostas"/>
    <w:p>
      <w:pPr>
        <w:pStyle w:val="Heading2"/>
      </w:pPr>
      <w:r>
        <w:t xml:space="preserve">Propostas</w:t>
      </w:r>
    </w:p>
    <w:p>
      <w:pPr>
        <w:pStyle w:val="FirstParagraph"/>
      </w:pPr>
      <w:r>
        <w:t xml:space="preserve">Propostas formalizam uma oferta comercial.</w:t>
      </w:r>
    </w:p>
    <w:p>
      <w:pPr>
        <w:pStyle w:val="BodyText"/>
      </w:pPr>
      <w:r>
        <w:t xml:space="preserve">Fluxo recomendado:</w:t>
      </w:r>
    </w:p>
    <w:p>
      <w:pPr>
        <w:numPr>
          <w:ilvl w:val="0"/>
          <w:numId w:val="1011"/>
        </w:numPr>
        <w:pStyle w:val="Compact"/>
      </w:pPr>
      <w:r>
        <w:t xml:space="preserve">Selecione cliente e oportunidade quando aplicável.</w:t>
      </w:r>
    </w:p>
    <w:p>
      <w:pPr>
        <w:numPr>
          <w:ilvl w:val="0"/>
          <w:numId w:val="1011"/>
        </w:numPr>
        <w:pStyle w:val="Compact"/>
      </w:pPr>
      <w:r>
        <w:t xml:space="preserve">Informe produtos, serviços, valores e condições.</w:t>
      </w:r>
    </w:p>
    <w:p>
      <w:pPr>
        <w:numPr>
          <w:ilvl w:val="0"/>
          <w:numId w:val="1011"/>
        </w:numPr>
        <w:pStyle w:val="Compact"/>
      </w:pPr>
      <w:r>
        <w:t xml:space="preserve">Revise escopo, prazo e validade.</w:t>
      </w:r>
    </w:p>
    <w:p>
      <w:pPr>
        <w:numPr>
          <w:ilvl w:val="0"/>
          <w:numId w:val="1011"/>
        </w:numPr>
        <w:pStyle w:val="Compact"/>
      </w:pPr>
      <w:r>
        <w:t xml:space="preserve">Gere documento quando aplicável.</w:t>
      </w:r>
    </w:p>
    <w:p>
      <w:pPr>
        <w:numPr>
          <w:ilvl w:val="0"/>
          <w:numId w:val="1011"/>
        </w:numPr>
        <w:pStyle w:val="Compact"/>
      </w:pPr>
      <w:r>
        <w:t xml:space="preserve">Acompanhe status até aprovação, rejeição ou cancelamento.</w:t>
      </w:r>
    </w:p>
    <w:p>
      <w:pPr>
        <w:pStyle w:val="FirstParagraph"/>
      </w:pPr>
      <w:r>
        <w:t xml:space="preserve">Atenção: propostas podem ser bloqueadas se houver restrição financeira ou inadimplência vinculada ao cliente, conforme regras internas.</w:t>
      </w:r>
    </w:p>
    <w:bookmarkEnd w:id="29"/>
    <w:bookmarkStart w:id="30" w:name="contratos"/>
    <w:p>
      <w:pPr>
        <w:pStyle w:val="Heading2"/>
      </w:pPr>
      <w:r>
        <w:t xml:space="preserve">Contratos</w:t>
      </w:r>
    </w:p>
    <w:p>
      <w:pPr>
        <w:pStyle w:val="FirstParagraph"/>
      </w:pPr>
      <w:r>
        <w:t xml:space="preserve">Contratos registram compromissos ativos ou formalizados com clientes.</w:t>
      </w:r>
    </w:p>
    <w:p>
      <w:pPr>
        <w:pStyle w:val="BodyText"/>
      </w:pPr>
      <w:r>
        <w:t xml:space="preserve">Informações comuns:</w:t>
      </w:r>
    </w:p>
    <w:p>
      <w:pPr>
        <w:numPr>
          <w:ilvl w:val="0"/>
          <w:numId w:val="1012"/>
        </w:numPr>
        <w:pStyle w:val="Compact"/>
      </w:pPr>
      <w:r>
        <w:t xml:space="preserve">Cliente.</w:t>
      </w:r>
    </w:p>
    <w:p>
      <w:pPr>
        <w:numPr>
          <w:ilvl w:val="0"/>
          <w:numId w:val="1012"/>
        </w:numPr>
        <w:pStyle w:val="Compact"/>
      </w:pPr>
      <w:r>
        <w:t xml:space="preserve">Vigência.</w:t>
      </w:r>
    </w:p>
    <w:p>
      <w:pPr>
        <w:numPr>
          <w:ilvl w:val="0"/>
          <w:numId w:val="1012"/>
        </w:numPr>
        <w:pStyle w:val="Compact"/>
      </w:pPr>
      <w:r>
        <w:t xml:space="preserve">Valor.</w:t>
      </w:r>
    </w:p>
    <w:p>
      <w:pPr>
        <w:numPr>
          <w:ilvl w:val="0"/>
          <w:numId w:val="1012"/>
        </w:numPr>
        <w:pStyle w:val="Compact"/>
      </w:pPr>
      <w:r>
        <w:t xml:space="preserve">Produtos e serviços contratados.</w:t>
      </w:r>
    </w:p>
    <w:p>
      <w:pPr>
        <w:numPr>
          <w:ilvl w:val="0"/>
          <w:numId w:val="1012"/>
        </w:numPr>
        <w:pStyle w:val="Compact"/>
      </w:pPr>
      <w:r>
        <w:t xml:space="preserve">Status.</w:t>
      </w:r>
    </w:p>
    <w:p>
      <w:pPr>
        <w:numPr>
          <w:ilvl w:val="0"/>
          <w:numId w:val="1012"/>
        </w:numPr>
        <w:pStyle w:val="Compact"/>
      </w:pPr>
      <w:r>
        <w:t xml:space="preserve">Anexos e documentos.</w:t>
      </w:r>
    </w:p>
    <w:p>
      <w:pPr>
        <w:pStyle w:val="FirstParagraph"/>
      </w:pPr>
      <w:r>
        <w:t xml:space="preserve">Boas práticas:</w:t>
      </w:r>
    </w:p>
    <w:p>
      <w:pPr>
        <w:numPr>
          <w:ilvl w:val="0"/>
          <w:numId w:val="1013"/>
        </w:numPr>
        <w:pStyle w:val="Compact"/>
      </w:pPr>
      <w:r>
        <w:t xml:space="preserve">Manter vigência e valores atualizados.</w:t>
      </w:r>
    </w:p>
    <w:p>
      <w:pPr>
        <w:numPr>
          <w:ilvl w:val="0"/>
          <w:numId w:val="1013"/>
        </w:numPr>
        <w:pStyle w:val="Compact"/>
      </w:pPr>
      <w:r>
        <w:t xml:space="preserve">Conferir vínculo com proposta aprovada.</w:t>
      </w:r>
    </w:p>
    <w:p>
      <w:pPr>
        <w:numPr>
          <w:ilvl w:val="0"/>
          <w:numId w:val="1013"/>
        </w:numPr>
        <w:pStyle w:val="Compact"/>
      </w:pPr>
      <w:r>
        <w:t xml:space="preserve">Usar anexos para documentos assinados.</w:t>
      </w:r>
    </w:p>
    <w:p>
      <w:pPr>
        <w:numPr>
          <w:ilvl w:val="0"/>
          <w:numId w:val="1013"/>
        </w:numPr>
        <w:pStyle w:val="Compact"/>
      </w:pPr>
      <w:r>
        <w:t xml:space="preserve">Verificar impacto financeiro e operacional.</w:t>
      </w:r>
    </w:p>
    <w:bookmarkEnd w:id="30"/>
    <w:bookmarkStart w:id="31" w:name="erros-comuns"/>
    <w:p>
      <w:pPr>
        <w:pStyle w:val="Heading2"/>
      </w:pPr>
      <w:r>
        <w:t xml:space="preserve">Erros comuns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Possível 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duplicado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sem pesquisa prévia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Pesquisar por CNPJ antes de criar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Proposta 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Inadimplência ou regra financeira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Acionar financeiro para análise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Oportunidade sem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de atualização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próximos passos 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sem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não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Anexar contrato assinado ou documento válido</w:t>
            </w:r>
          </w:p>
        </w:tc>
      </w:tr>
    </w:tbl>
    <w:bookmarkEnd w:id="31"/>
    <w:bookmarkStart w:id="32" w:name="boas-práticas"/>
    <w:p>
      <w:pPr>
        <w:pStyle w:val="Heading2"/>
      </w:pPr>
      <w:r>
        <w:t xml:space="preserve">Boas práticas</w:t>
      </w:r>
    </w:p>
    <w:p>
      <w:pPr>
        <w:numPr>
          <w:ilvl w:val="0"/>
          <w:numId w:val="1014"/>
        </w:numPr>
        <w:pStyle w:val="Compact"/>
      </w:pPr>
      <w:r>
        <w:t xml:space="preserve">Centralize o histórico comercial no sistema.</w:t>
      </w:r>
    </w:p>
    <w:p>
      <w:pPr>
        <w:numPr>
          <w:ilvl w:val="0"/>
          <w:numId w:val="1014"/>
        </w:numPr>
        <w:pStyle w:val="Compact"/>
      </w:pPr>
      <w:r>
        <w:t xml:space="preserve">Evite criar propostas sem escopo validado.</w:t>
      </w:r>
    </w:p>
    <w:p>
      <w:pPr>
        <w:numPr>
          <w:ilvl w:val="0"/>
          <w:numId w:val="1014"/>
        </w:numPr>
        <w:pStyle w:val="Compact"/>
      </w:pPr>
      <w:r>
        <w:t xml:space="preserve">Atualize oportunidades antes das reuniões de pipeline.</w:t>
      </w:r>
    </w:p>
    <w:p>
      <w:pPr>
        <w:numPr>
          <w:ilvl w:val="0"/>
          <w:numId w:val="1014"/>
        </w:numPr>
        <w:pStyle w:val="Compact"/>
      </w:pPr>
      <w:r>
        <w:t xml:space="preserve">Não use campos de observação para substituir dados estruturados.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2026-08-15T19:04:17Z</dcterms:created>
  <dcterms:modified xsi:type="dcterms:W3CDTF">2026-08-15T19:04:17Z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