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nual-do-catálogo"/>
    <w:p>
      <w:pPr>
        <w:pStyle w:val="Heading1"/>
      </w:pPr>
      <w:r>
        <w:t xml:space="preserve">Manual do Catálogo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Catálogo organiza produtos, categorias, modelos, faixas, recursos, servidores e preços usados em propostas, contratos e análises operacionais.</w:t>
      </w:r>
    </w:p>
    <w:p>
      <w:pPr>
        <w:pStyle w:val="BodyText"/>
      </w:pPr>
      <w:r>
        <w:t xml:space="preserve">Ele deve ser mantido com cuidado, pois dados incorretos podem impactar valores comerciais, provisionamento e relatórios.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Administradores do catálogo.</w:t>
      </w:r>
    </w:p>
    <w:p>
      <w:pPr>
        <w:numPr>
          <w:ilvl w:val="0"/>
          <w:numId w:val="1001"/>
        </w:numPr>
        <w:pStyle w:val="Compact"/>
      </w:pPr>
      <w:r>
        <w:t xml:space="preserve">Comercial.</w:t>
      </w:r>
    </w:p>
    <w:p>
      <w:pPr>
        <w:numPr>
          <w:ilvl w:val="0"/>
          <w:numId w:val="1001"/>
        </w:numPr>
        <w:pStyle w:val="Compact"/>
      </w:pPr>
      <w:r>
        <w:t xml:space="preserve">Operações.</w:t>
      </w:r>
    </w:p>
    <w:p>
      <w:pPr>
        <w:numPr>
          <w:ilvl w:val="0"/>
          <w:numId w:val="1001"/>
        </w:numPr>
        <w:pStyle w:val="Compact"/>
      </w:pPr>
      <w:r>
        <w:t xml:space="preserve">Financeiro.</w:t>
      </w:r>
    </w:p>
    <w:p>
      <w:pPr>
        <w:numPr>
          <w:ilvl w:val="0"/>
          <w:numId w:val="1001"/>
        </w:numPr>
        <w:pStyle w:val="Compact"/>
      </w:pPr>
      <w:r>
        <w:t xml:space="preserve">Diretoria para consulta.</w:t>
      </w:r>
    </w:p>
    <w:bookmarkEnd w:id="21"/>
    <w:bookmarkStart w:id="22" w:name="principais-telas"/>
    <w:p>
      <w:pPr>
        <w:pStyle w:val="Heading2"/>
      </w:pPr>
      <w:r>
        <w:t xml:space="preserve">Principais telas</w:t>
      </w:r>
    </w:p>
    <w:p>
      <w:pPr>
        <w:numPr>
          <w:ilvl w:val="0"/>
          <w:numId w:val="1002"/>
        </w:numPr>
        <w:pStyle w:val="Compact"/>
      </w:pPr>
      <w:r>
        <w:t xml:space="preserve">Visão geral do Catálogo.</w:t>
      </w:r>
    </w:p>
    <w:p>
      <w:pPr>
        <w:numPr>
          <w:ilvl w:val="0"/>
          <w:numId w:val="1002"/>
        </w:numPr>
        <w:pStyle w:val="Compact"/>
      </w:pPr>
      <w:r>
        <w:t xml:space="preserve">Categorias.</w:t>
      </w:r>
    </w:p>
    <w:p>
      <w:pPr>
        <w:numPr>
          <w:ilvl w:val="0"/>
          <w:numId w:val="1002"/>
        </w:numPr>
        <w:pStyle w:val="Compact"/>
      </w:pPr>
      <w:r>
        <w:t xml:space="preserve">Produtos.</w:t>
      </w:r>
    </w:p>
    <w:p>
      <w:pPr>
        <w:numPr>
          <w:ilvl w:val="0"/>
          <w:numId w:val="1002"/>
        </w:numPr>
        <w:pStyle w:val="Compact"/>
      </w:pPr>
      <w:r>
        <w:t xml:space="preserve">Modelos.</w:t>
      </w:r>
    </w:p>
    <w:p>
      <w:pPr>
        <w:numPr>
          <w:ilvl w:val="0"/>
          <w:numId w:val="1002"/>
        </w:numPr>
        <w:pStyle w:val="Compact"/>
      </w:pPr>
      <w:r>
        <w:t xml:space="preserve">Faixas.</w:t>
      </w:r>
    </w:p>
    <w:p>
      <w:pPr>
        <w:numPr>
          <w:ilvl w:val="0"/>
          <w:numId w:val="1002"/>
        </w:numPr>
        <w:pStyle w:val="Compact"/>
      </w:pPr>
      <w:r>
        <w:t xml:space="preserve">Recursos.</w:t>
      </w:r>
    </w:p>
    <w:p>
      <w:pPr>
        <w:numPr>
          <w:ilvl w:val="0"/>
          <w:numId w:val="1002"/>
        </w:numPr>
        <w:pStyle w:val="Compact"/>
      </w:pPr>
      <w:r>
        <w:t xml:space="preserve">Servidores.</w:t>
      </w:r>
    </w:p>
    <w:p>
      <w:pPr>
        <w:numPr>
          <w:ilvl w:val="0"/>
          <w:numId w:val="1002"/>
        </w:numPr>
        <w:pStyle w:val="Compact"/>
      </w:pPr>
      <w:r>
        <w:t xml:space="preserve">Preços.</w:t>
      </w:r>
    </w:p>
    <w:p>
      <w:pPr>
        <w:numPr>
          <w:ilvl w:val="0"/>
          <w:numId w:val="1002"/>
        </w:numPr>
        <w:pStyle w:val="Compact"/>
      </w:pPr>
      <w:r>
        <w:t xml:space="preserve">Importação.</w:t>
      </w:r>
    </w:p>
    <w:bookmarkEnd w:id="22"/>
    <w:bookmarkStart w:id="23" w:name="categorias"/>
    <w:p>
      <w:pPr>
        <w:pStyle w:val="Heading2"/>
      </w:pPr>
      <w:r>
        <w:t xml:space="preserve">Categorias</w:t>
      </w:r>
    </w:p>
    <w:p>
      <w:pPr>
        <w:pStyle w:val="FirstParagraph"/>
      </w:pPr>
      <w:r>
        <w:t xml:space="preserve">Categorias agrupam produtos e serviços.</w:t>
      </w:r>
    </w:p>
    <w:p>
      <w:pPr>
        <w:pStyle w:val="BodyText"/>
      </w:pPr>
      <w:r>
        <w:t xml:space="preserve">Exemplos de uso:</w:t>
      </w:r>
    </w:p>
    <w:p>
      <w:pPr>
        <w:numPr>
          <w:ilvl w:val="0"/>
          <w:numId w:val="1003"/>
        </w:numPr>
        <w:pStyle w:val="Compact"/>
      </w:pPr>
      <w:r>
        <w:t xml:space="preserve">Servidores.</w:t>
      </w:r>
    </w:p>
    <w:p>
      <w:pPr>
        <w:numPr>
          <w:ilvl w:val="0"/>
          <w:numId w:val="1003"/>
        </w:numPr>
        <w:pStyle w:val="Compact"/>
      </w:pPr>
      <w:r>
        <w:t xml:space="preserve">Backup.</w:t>
      </w:r>
    </w:p>
    <w:p>
      <w:pPr>
        <w:numPr>
          <w:ilvl w:val="0"/>
          <w:numId w:val="1003"/>
        </w:numPr>
        <w:pStyle w:val="Compact"/>
      </w:pPr>
      <w:r>
        <w:t xml:space="preserve">Licenças.</w:t>
      </w:r>
    </w:p>
    <w:p>
      <w:pPr>
        <w:numPr>
          <w:ilvl w:val="0"/>
          <w:numId w:val="1003"/>
        </w:numPr>
        <w:pStyle w:val="Compact"/>
      </w:pPr>
      <w:r>
        <w:t xml:space="preserve">Serviços gerenciados.</w:t>
      </w:r>
    </w:p>
    <w:p>
      <w:pPr>
        <w:pStyle w:val="FirstParagraph"/>
      </w:pPr>
      <w:r>
        <w:t xml:space="preserve">Boas práticas:</w:t>
      </w:r>
    </w:p>
    <w:p>
      <w:pPr>
        <w:numPr>
          <w:ilvl w:val="0"/>
          <w:numId w:val="1004"/>
        </w:numPr>
        <w:pStyle w:val="Compact"/>
      </w:pPr>
      <w:r>
        <w:t xml:space="preserve">Use nomes claros.</w:t>
      </w:r>
    </w:p>
    <w:p>
      <w:pPr>
        <w:numPr>
          <w:ilvl w:val="0"/>
          <w:numId w:val="1004"/>
        </w:numPr>
        <w:pStyle w:val="Compact"/>
      </w:pPr>
      <w:r>
        <w:t xml:space="preserve">Evite categorias muito genéricas.</w:t>
      </w:r>
    </w:p>
    <w:p>
      <w:pPr>
        <w:numPr>
          <w:ilvl w:val="0"/>
          <w:numId w:val="1004"/>
        </w:numPr>
        <w:pStyle w:val="Compact"/>
      </w:pPr>
      <w:r>
        <w:t xml:space="preserve">Não exclua categorias em uso sem avaliar impacto.</w:t>
      </w:r>
    </w:p>
    <w:bookmarkEnd w:id="23"/>
    <w:bookmarkStart w:id="24" w:name="produtos"/>
    <w:p>
      <w:pPr>
        <w:pStyle w:val="Heading2"/>
      </w:pPr>
      <w:r>
        <w:t xml:space="preserve">Produtos</w:t>
      </w:r>
    </w:p>
    <w:p>
      <w:pPr>
        <w:pStyle w:val="FirstParagraph"/>
      </w:pPr>
      <w:r>
        <w:t xml:space="preserve">Produtos representam itens comercializados ou controlados operacionalmente.</w:t>
      </w:r>
    </w:p>
    <w:p>
      <w:pPr>
        <w:pStyle w:val="BodyText"/>
      </w:pPr>
      <w:r>
        <w:t xml:space="preserve">Informações comuns:</w:t>
      </w:r>
    </w:p>
    <w:p>
      <w:pPr>
        <w:numPr>
          <w:ilvl w:val="0"/>
          <w:numId w:val="1005"/>
        </w:numPr>
        <w:pStyle w:val="Compact"/>
      </w:pPr>
      <w:r>
        <w:t xml:space="preserve">Código.</w:t>
      </w:r>
    </w:p>
    <w:p>
      <w:pPr>
        <w:numPr>
          <w:ilvl w:val="0"/>
          <w:numId w:val="1005"/>
        </w:numPr>
        <w:pStyle w:val="Compact"/>
      </w:pPr>
      <w:r>
        <w:t xml:space="preserve">Nome.</w:t>
      </w:r>
    </w:p>
    <w:p>
      <w:pPr>
        <w:numPr>
          <w:ilvl w:val="0"/>
          <w:numId w:val="1005"/>
        </w:numPr>
        <w:pStyle w:val="Compact"/>
      </w:pPr>
      <w:r>
        <w:t xml:space="preserve">Categoria.</w:t>
      </w:r>
    </w:p>
    <w:p>
      <w:pPr>
        <w:numPr>
          <w:ilvl w:val="0"/>
          <w:numId w:val="1005"/>
        </w:numPr>
        <w:pStyle w:val="Compact"/>
      </w:pPr>
      <w:r>
        <w:t xml:space="preserve">Status ativo/inativo.</w:t>
      </w:r>
    </w:p>
    <w:p>
      <w:pPr>
        <w:numPr>
          <w:ilvl w:val="0"/>
          <w:numId w:val="1005"/>
        </w:numPr>
        <w:pStyle w:val="Compact"/>
      </w:pPr>
      <w:r>
        <w:t xml:space="preserve">Parceiro, quando aplicável.</w:t>
      </w:r>
    </w:p>
    <w:p>
      <w:pPr>
        <w:numPr>
          <w:ilvl w:val="0"/>
          <w:numId w:val="1005"/>
        </w:numPr>
        <w:pStyle w:val="Compact"/>
      </w:pPr>
      <w:r>
        <w:t xml:space="preserve">Custos e regras comerciais.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6"/>
        </w:numPr>
        <w:pStyle w:val="Compact"/>
      </w:pPr>
      <w:r>
        <w:t xml:space="preserve">Verifique se a categoria existe.</w:t>
      </w:r>
    </w:p>
    <w:p>
      <w:pPr>
        <w:numPr>
          <w:ilvl w:val="0"/>
          <w:numId w:val="1006"/>
        </w:numPr>
        <w:pStyle w:val="Compact"/>
      </w:pPr>
      <w:r>
        <w:t xml:space="preserve">Cadastre o produto com código padronizado.</w:t>
      </w:r>
    </w:p>
    <w:p>
      <w:pPr>
        <w:numPr>
          <w:ilvl w:val="0"/>
          <w:numId w:val="1006"/>
        </w:numPr>
        <w:pStyle w:val="Compact"/>
      </w:pPr>
      <w:r>
        <w:t xml:space="preserve">Configure modelos, faixas ou preços relacionados.</w:t>
      </w:r>
    </w:p>
    <w:p>
      <w:pPr>
        <w:numPr>
          <w:ilvl w:val="0"/>
          <w:numId w:val="1006"/>
        </w:numPr>
        <w:pStyle w:val="Compact"/>
      </w:pPr>
      <w:r>
        <w:t xml:space="preserve">Valide se o produto aparece corretamente nas telas comerciais.</w:t>
      </w:r>
    </w:p>
    <w:bookmarkEnd w:id="24"/>
    <w:bookmarkStart w:id="25" w:name="modelos"/>
    <w:p>
      <w:pPr>
        <w:pStyle w:val="Heading2"/>
      </w:pPr>
      <w:r>
        <w:t xml:space="preserve">Modelos</w:t>
      </w:r>
    </w:p>
    <w:p>
      <w:pPr>
        <w:pStyle w:val="FirstParagraph"/>
      </w:pPr>
      <w:r>
        <w:t xml:space="preserve">Modelos detalham variações de um produto.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7"/>
        </w:numPr>
        <w:pStyle w:val="Compact"/>
      </w:pPr>
      <w:r>
        <w:t xml:space="preserve">Plano básico, profissional ou avançado.</w:t>
      </w:r>
    </w:p>
    <w:p>
      <w:pPr>
        <w:numPr>
          <w:ilvl w:val="0"/>
          <w:numId w:val="1007"/>
        </w:numPr>
        <w:pStyle w:val="Compact"/>
      </w:pPr>
      <w:r>
        <w:t xml:space="preserve">Tipos de servidor.</w:t>
      </w:r>
    </w:p>
    <w:p>
      <w:pPr>
        <w:numPr>
          <w:ilvl w:val="0"/>
          <w:numId w:val="1007"/>
        </w:numPr>
        <w:pStyle w:val="Compact"/>
      </w:pPr>
      <w:r>
        <w:t xml:space="preserve">Combinações de recursos.</w:t>
      </w:r>
    </w:p>
    <w:bookmarkEnd w:id="25"/>
    <w:bookmarkStart w:id="26" w:name="faixas"/>
    <w:p>
      <w:pPr>
        <w:pStyle w:val="Heading2"/>
      </w:pPr>
      <w:r>
        <w:t xml:space="preserve">Faixas</w:t>
      </w:r>
    </w:p>
    <w:p>
      <w:pPr>
        <w:pStyle w:val="FirstParagraph"/>
      </w:pPr>
      <w:r>
        <w:t xml:space="preserve">Faixas são usadas para tabelas por volume, quantidade, porte ou condição comercial.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8"/>
        </w:numPr>
        <w:pStyle w:val="Compact"/>
      </w:pPr>
      <w:r>
        <w:t xml:space="preserve">Faixa por quantidade de usuários.</w:t>
      </w:r>
    </w:p>
    <w:p>
      <w:pPr>
        <w:numPr>
          <w:ilvl w:val="0"/>
          <w:numId w:val="1008"/>
        </w:numPr>
        <w:pStyle w:val="Compact"/>
      </w:pPr>
      <w:r>
        <w:t xml:space="preserve">Faixa por capacidade.</w:t>
      </w:r>
    </w:p>
    <w:p>
      <w:pPr>
        <w:numPr>
          <w:ilvl w:val="0"/>
          <w:numId w:val="1008"/>
        </w:numPr>
        <w:pStyle w:val="Compact"/>
      </w:pPr>
      <w:r>
        <w:t xml:space="preserve">Faixa por recurso contratado.</w:t>
      </w:r>
    </w:p>
    <w:bookmarkEnd w:id="26"/>
    <w:bookmarkStart w:id="27" w:name="recursos"/>
    <w:p>
      <w:pPr>
        <w:pStyle w:val="Heading2"/>
      </w:pPr>
      <w:r>
        <w:t xml:space="preserve">Recursos</w:t>
      </w:r>
    </w:p>
    <w:p>
      <w:pPr>
        <w:pStyle w:val="FirstParagraph"/>
      </w:pPr>
      <w:r>
        <w:t xml:space="preserve">Recursos descrevem componentes técnicos ou comerciais associados aos produtos.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9"/>
        </w:numPr>
        <w:pStyle w:val="Compact"/>
      </w:pPr>
      <w:r>
        <w:t xml:space="preserve">CPU.</w:t>
      </w:r>
    </w:p>
    <w:p>
      <w:pPr>
        <w:numPr>
          <w:ilvl w:val="0"/>
          <w:numId w:val="1009"/>
        </w:numPr>
        <w:pStyle w:val="Compact"/>
      </w:pPr>
      <w:r>
        <w:t xml:space="preserve">Memória.</w:t>
      </w:r>
    </w:p>
    <w:p>
      <w:pPr>
        <w:numPr>
          <w:ilvl w:val="0"/>
          <w:numId w:val="1009"/>
        </w:numPr>
        <w:pStyle w:val="Compact"/>
      </w:pPr>
      <w:r>
        <w:t xml:space="preserve">Armazenamento.</w:t>
      </w:r>
    </w:p>
    <w:p>
      <w:pPr>
        <w:numPr>
          <w:ilvl w:val="0"/>
          <w:numId w:val="1009"/>
        </w:numPr>
        <w:pStyle w:val="Compact"/>
      </w:pPr>
      <w:r>
        <w:t xml:space="preserve">Backup.</w:t>
      </w:r>
    </w:p>
    <w:p>
      <w:pPr>
        <w:numPr>
          <w:ilvl w:val="0"/>
          <w:numId w:val="1009"/>
        </w:numPr>
        <w:pStyle w:val="Compact"/>
      </w:pPr>
      <w:r>
        <w:t xml:space="preserve">Licenças.</w:t>
      </w:r>
    </w:p>
    <w:bookmarkEnd w:id="27"/>
    <w:bookmarkStart w:id="28" w:name="servidores"/>
    <w:p>
      <w:pPr>
        <w:pStyle w:val="Heading2"/>
      </w:pPr>
      <w:r>
        <w:t xml:space="preserve">Servidores</w:t>
      </w:r>
    </w:p>
    <w:p>
      <w:pPr>
        <w:pStyle w:val="FirstParagraph"/>
      </w:pPr>
      <w:r>
        <w:t xml:space="preserve">A área de servidores ajuda a relacionar hardware, custos, parceiros e capacidade operacional.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10"/>
        </w:numPr>
        <w:pStyle w:val="Compact"/>
      </w:pPr>
      <w:r>
        <w:t xml:space="preserve">Manter inventário comercial/operacional consistente.</w:t>
      </w:r>
    </w:p>
    <w:p>
      <w:pPr>
        <w:numPr>
          <w:ilvl w:val="0"/>
          <w:numId w:val="1010"/>
        </w:numPr>
        <w:pStyle w:val="Compact"/>
      </w:pPr>
      <w:r>
        <w:t xml:space="preserve">Apoiar cálculo de receita por servidor.</w:t>
      </w:r>
    </w:p>
    <w:p>
      <w:pPr>
        <w:numPr>
          <w:ilvl w:val="0"/>
          <w:numId w:val="1010"/>
        </w:numPr>
        <w:pStyle w:val="Compact"/>
      </w:pPr>
      <w:r>
        <w:t xml:space="preserve">Relacionar infraestrutura com clientes e contratos.</w:t>
      </w:r>
    </w:p>
    <w:bookmarkEnd w:id="28"/>
    <w:bookmarkStart w:id="29" w:name="preços"/>
    <w:p>
      <w:pPr>
        <w:pStyle w:val="Heading2"/>
      </w:pPr>
      <w:r>
        <w:t xml:space="preserve">Preços</w:t>
      </w:r>
    </w:p>
    <w:p>
      <w:pPr>
        <w:pStyle w:val="FirstParagraph"/>
      </w:pPr>
      <w:r>
        <w:t xml:space="preserve">Preços devem refletir a regra comercial aprovada.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11"/>
        </w:numPr>
        <w:pStyle w:val="Compact"/>
      </w:pPr>
      <w:r>
        <w:t xml:space="preserve">Validar valores antes de liberar para uso comercial.</w:t>
      </w:r>
    </w:p>
    <w:p>
      <w:pPr>
        <w:numPr>
          <w:ilvl w:val="0"/>
          <w:numId w:val="1011"/>
        </w:numPr>
        <w:pStyle w:val="Compact"/>
      </w:pPr>
      <w:r>
        <w:t xml:space="preserve">Evitar alterações sem comunicação ao time.</w:t>
      </w:r>
    </w:p>
    <w:p>
      <w:pPr>
        <w:numPr>
          <w:ilvl w:val="0"/>
          <w:numId w:val="1011"/>
        </w:numPr>
        <w:pStyle w:val="Compact"/>
      </w:pPr>
      <w:r>
        <w:t xml:space="preserve">Manter histórico ou registro de decisão quando houver mudança relevante.</w:t>
      </w:r>
    </w:p>
    <w:bookmarkEnd w:id="29"/>
    <w:bookmarkStart w:id="30" w:name="importação"/>
    <w:p>
      <w:pPr>
        <w:pStyle w:val="Heading2"/>
      </w:pPr>
      <w:r>
        <w:t xml:space="preserve">Importação</w:t>
      </w:r>
    </w:p>
    <w:p>
      <w:pPr>
        <w:pStyle w:val="FirstParagraph"/>
      </w:pPr>
      <w:r>
        <w:t xml:space="preserve">Use importação quando houver grande volume de dados.</w:t>
      </w:r>
    </w:p>
    <w:p>
      <w:pPr>
        <w:pStyle w:val="BodyText"/>
      </w:pPr>
      <w:r>
        <w:t xml:space="preserve">Antes de importar:</w:t>
      </w:r>
    </w:p>
    <w:p>
      <w:pPr>
        <w:numPr>
          <w:ilvl w:val="0"/>
          <w:numId w:val="1012"/>
        </w:numPr>
        <w:pStyle w:val="Compact"/>
      </w:pPr>
      <w:r>
        <w:t xml:space="preserve">Revise o arquivo de origem.</w:t>
      </w:r>
    </w:p>
    <w:p>
      <w:pPr>
        <w:numPr>
          <w:ilvl w:val="0"/>
          <w:numId w:val="1012"/>
        </w:numPr>
        <w:pStyle w:val="Compact"/>
      </w:pPr>
      <w:r>
        <w:t xml:space="preserve">Confira colunas obrigatórias.</w:t>
      </w:r>
    </w:p>
    <w:p>
      <w:pPr>
        <w:numPr>
          <w:ilvl w:val="0"/>
          <w:numId w:val="1012"/>
        </w:numPr>
        <w:pStyle w:val="Compact"/>
      </w:pPr>
      <w:r>
        <w:t xml:space="preserve">Faça teste com pequena amostra quando possível.</w:t>
      </w:r>
    </w:p>
    <w:p>
      <w:pPr>
        <w:numPr>
          <w:ilvl w:val="0"/>
          <w:numId w:val="1012"/>
        </w:numPr>
        <w:pStyle w:val="Compact"/>
      </w:pPr>
      <w:r>
        <w:t xml:space="preserve">Valide os registros criados.</w:t>
      </w:r>
    </w:p>
    <w:bookmarkEnd w:id="30"/>
    <w:bookmarkStart w:id="31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 não aparece em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inativo ou sem vínculo necessário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cadastro 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desatualizada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preço e comunicar o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Duplicidade de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sem padrão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Padronizar códigos e nomes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sem categoria ou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cadastro</w:t>
            </w:r>
          </w:p>
        </w:tc>
      </w:tr>
    </w:tbl>
    <w:bookmarkEnd w:id="31"/>
    <w:bookmarkStart w:id="32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3"/>
        </w:numPr>
        <w:pStyle w:val="Compact"/>
      </w:pPr>
      <w:r>
        <w:t xml:space="preserve">Restrinja edição do catálogo a poucos responsáveis.</w:t>
      </w:r>
    </w:p>
    <w:p>
      <w:pPr>
        <w:numPr>
          <w:ilvl w:val="0"/>
          <w:numId w:val="1013"/>
        </w:numPr>
        <w:pStyle w:val="Compact"/>
      </w:pPr>
      <w:r>
        <w:t xml:space="preserve">Padronize códigos e nomes.</w:t>
      </w:r>
    </w:p>
    <w:p>
      <w:pPr>
        <w:numPr>
          <w:ilvl w:val="0"/>
          <w:numId w:val="1013"/>
        </w:numPr>
        <w:pStyle w:val="Compact"/>
      </w:pPr>
      <w:r>
        <w:t xml:space="preserve">Documente alterações comerciais importantes.</w:t>
      </w:r>
    </w:p>
    <w:p>
      <w:pPr>
        <w:numPr>
          <w:ilvl w:val="0"/>
          <w:numId w:val="1013"/>
        </w:numPr>
        <w:pStyle w:val="Compact"/>
      </w:pPr>
      <w:r>
        <w:t xml:space="preserve">Revise catálogo antes de campanhas ou novas propostas.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2026-08-15T19:04:17Z</dcterms:created>
  <dcterms:modified xsi:type="dcterms:W3CDTF">2026-08-15T19:04:17Z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