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manual-de-implantação"/>
    <w:p>
      <w:pPr>
        <w:pStyle w:val="Heading1"/>
      </w:pPr>
      <w:r>
        <w:t xml:space="preserve">Manual de Implantação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O módulo de Implantação organiza o processo de entrega após a venda, conectando contratos, ambientes, etapas, responsáveis, integrações e informações técnicas necessárias para ativação do cliente.</w:t>
      </w:r>
    </w:p>
    <w:bookmarkEnd w:id="20"/>
    <w:bookmarkStart w:id="21" w:name="quem-deve-usar"/>
    <w:p>
      <w:pPr>
        <w:pStyle w:val="Heading2"/>
      </w:pPr>
      <w:r>
        <w:t xml:space="preserve">Quem deve usar</w:t>
      </w:r>
    </w:p>
    <w:p>
      <w:pPr>
        <w:numPr>
          <w:ilvl w:val="0"/>
          <w:numId w:val="1001"/>
        </w:numPr>
        <w:pStyle w:val="Compact"/>
      </w:pPr>
      <w:r>
        <w:t xml:space="preserve">Time de Implantação.</w:t>
      </w:r>
    </w:p>
    <w:p>
      <w:pPr>
        <w:numPr>
          <w:ilvl w:val="0"/>
          <w:numId w:val="1001"/>
        </w:numPr>
        <w:pStyle w:val="Compact"/>
      </w:pPr>
      <w:r>
        <w:t xml:space="preserve">Operações.</w:t>
      </w:r>
    </w:p>
    <w:p>
      <w:pPr>
        <w:numPr>
          <w:ilvl w:val="0"/>
          <w:numId w:val="1001"/>
        </w:numPr>
        <w:pStyle w:val="Compact"/>
      </w:pPr>
      <w:r>
        <w:t xml:space="preserve">Engenharia.</w:t>
      </w:r>
    </w:p>
    <w:p>
      <w:pPr>
        <w:numPr>
          <w:ilvl w:val="0"/>
          <w:numId w:val="1001"/>
        </w:numPr>
        <w:pStyle w:val="Compact"/>
      </w:pPr>
      <w:r>
        <w:t xml:space="preserve">Comercial para acompanhamento.</w:t>
      </w:r>
    </w:p>
    <w:p>
      <w:pPr>
        <w:numPr>
          <w:ilvl w:val="0"/>
          <w:numId w:val="1001"/>
        </w:numPr>
        <w:pStyle w:val="Compact"/>
      </w:pPr>
      <w:r>
        <w:t xml:space="preserve">Diretoria para visão gerencial.</w:t>
      </w:r>
    </w:p>
    <w:bookmarkEnd w:id="21"/>
    <w:bookmarkStart w:id="22" w:name="principais-telas"/>
    <w:p>
      <w:pPr>
        <w:pStyle w:val="Heading2"/>
      </w:pPr>
      <w:r>
        <w:t xml:space="preserve">Principais telas</w:t>
      </w:r>
    </w:p>
    <w:p>
      <w:pPr>
        <w:numPr>
          <w:ilvl w:val="0"/>
          <w:numId w:val="1002"/>
        </w:numPr>
        <w:pStyle w:val="Compact"/>
      </w:pPr>
      <w:r>
        <w:t xml:space="preserve">Implantação.</w:t>
      </w:r>
    </w:p>
    <w:p>
      <w:pPr>
        <w:numPr>
          <w:ilvl w:val="0"/>
          <w:numId w:val="1002"/>
        </w:numPr>
        <w:pStyle w:val="Compact"/>
      </w:pPr>
      <w:r>
        <w:t xml:space="preserve">Kanban de implantação.</w:t>
      </w:r>
    </w:p>
    <w:p>
      <w:pPr>
        <w:numPr>
          <w:ilvl w:val="0"/>
          <w:numId w:val="1002"/>
        </w:numPr>
        <w:pStyle w:val="Compact"/>
      </w:pPr>
      <w:r>
        <w:t xml:space="preserve">Contrato operacional.</w:t>
      </w:r>
    </w:p>
    <w:p>
      <w:pPr>
        <w:numPr>
          <w:ilvl w:val="0"/>
          <w:numId w:val="1002"/>
        </w:numPr>
        <w:pStyle w:val="Compact"/>
      </w:pPr>
      <w:r>
        <w:t xml:space="preserve">Ambientes.</w:t>
      </w:r>
    </w:p>
    <w:p>
      <w:pPr>
        <w:numPr>
          <w:ilvl w:val="0"/>
          <w:numId w:val="1002"/>
        </w:numPr>
        <w:pStyle w:val="Compact"/>
      </w:pPr>
      <w:r>
        <w:t xml:space="preserve">Implantadores.</w:t>
      </w:r>
    </w:p>
    <w:p>
      <w:pPr>
        <w:numPr>
          <w:ilvl w:val="0"/>
          <w:numId w:val="1002"/>
        </w:numPr>
        <w:pStyle w:val="Compact"/>
      </w:pPr>
      <w:r>
        <w:t xml:space="preserve">Integrações.</w:t>
      </w:r>
    </w:p>
    <w:p>
      <w:pPr>
        <w:numPr>
          <w:ilvl w:val="0"/>
          <w:numId w:val="1002"/>
        </w:numPr>
        <w:pStyle w:val="Compact"/>
      </w:pPr>
      <w:r>
        <w:t xml:space="preserve">Licenças O3Web.</w:t>
      </w:r>
    </w:p>
    <w:p>
      <w:pPr>
        <w:numPr>
          <w:ilvl w:val="0"/>
          <w:numId w:val="1002"/>
        </w:numPr>
        <w:pStyle w:val="Compact"/>
      </w:pPr>
      <w:r>
        <w:t xml:space="preserve">Faixas de rede.</w:t>
      </w:r>
    </w:p>
    <w:p>
      <w:pPr>
        <w:numPr>
          <w:ilvl w:val="0"/>
          <w:numId w:val="1002"/>
        </w:numPr>
        <w:pStyle w:val="Compact"/>
      </w:pPr>
      <w:r>
        <w:t xml:space="preserve">Cofre de senhas.</w:t>
      </w:r>
    </w:p>
    <w:bookmarkEnd w:id="22"/>
    <w:bookmarkStart w:id="23" w:name="implantação"/>
    <w:p>
      <w:pPr>
        <w:pStyle w:val="Heading2"/>
      </w:pPr>
      <w:r>
        <w:t xml:space="preserve">Implantação</w:t>
      </w:r>
    </w:p>
    <w:p>
      <w:pPr>
        <w:pStyle w:val="FirstParagraph"/>
      </w:pPr>
      <w:r>
        <w:t xml:space="preserve">Registra o processo de entrega de um cliente ou contrato.</w:t>
      </w:r>
    </w:p>
    <w:p>
      <w:pPr>
        <w:pStyle w:val="BodyText"/>
      </w:pPr>
      <w:r>
        <w:t xml:space="preserve">Informações comuns:</w:t>
      </w:r>
    </w:p>
    <w:p>
      <w:pPr>
        <w:numPr>
          <w:ilvl w:val="0"/>
          <w:numId w:val="1003"/>
        </w:numPr>
        <w:pStyle w:val="Compact"/>
      </w:pPr>
      <w:r>
        <w:t xml:space="preserve">Cliente.</w:t>
      </w:r>
    </w:p>
    <w:p>
      <w:pPr>
        <w:numPr>
          <w:ilvl w:val="0"/>
          <w:numId w:val="1003"/>
        </w:numPr>
        <w:pStyle w:val="Compact"/>
      </w:pPr>
      <w:r>
        <w:t xml:space="preserve">Contrato ou proposta relacionada.</w:t>
      </w:r>
    </w:p>
    <w:p>
      <w:pPr>
        <w:numPr>
          <w:ilvl w:val="0"/>
          <w:numId w:val="1003"/>
        </w:numPr>
        <w:pStyle w:val="Compact"/>
      </w:pPr>
      <w:r>
        <w:t xml:space="preserve">Responsável.</w:t>
      </w:r>
    </w:p>
    <w:p>
      <w:pPr>
        <w:numPr>
          <w:ilvl w:val="0"/>
          <w:numId w:val="1003"/>
        </w:numPr>
        <w:pStyle w:val="Compact"/>
      </w:pPr>
      <w:r>
        <w:t xml:space="preserve">Status.</w:t>
      </w:r>
    </w:p>
    <w:p>
      <w:pPr>
        <w:numPr>
          <w:ilvl w:val="0"/>
          <w:numId w:val="1003"/>
        </w:numPr>
        <w:pStyle w:val="Compact"/>
      </w:pPr>
      <w:r>
        <w:t xml:space="preserve">Etapas.</w:t>
      </w:r>
    </w:p>
    <w:p>
      <w:pPr>
        <w:numPr>
          <w:ilvl w:val="0"/>
          <w:numId w:val="1003"/>
        </w:numPr>
        <w:pStyle w:val="Compact"/>
      </w:pPr>
      <w:r>
        <w:t xml:space="preserve">Datas previstas e realizadas.</w:t>
      </w:r>
    </w:p>
    <w:p>
      <w:pPr>
        <w:numPr>
          <w:ilvl w:val="0"/>
          <w:numId w:val="1003"/>
        </w:numPr>
        <w:pStyle w:val="Compact"/>
      </w:pPr>
      <w:r>
        <w:t xml:space="preserve">Observações e anexos.</w:t>
      </w:r>
    </w:p>
    <w:p>
      <w:pPr>
        <w:pStyle w:val="FirstParagraph"/>
      </w:pPr>
      <w:r>
        <w:t xml:space="preserve">Fluxo recomendado:</w:t>
      </w:r>
    </w:p>
    <w:p>
      <w:pPr>
        <w:numPr>
          <w:ilvl w:val="0"/>
          <w:numId w:val="1004"/>
        </w:numPr>
        <w:pStyle w:val="Compact"/>
      </w:pPr>
      <w:r>
        <w:t xml:space="preserve">Criar implantação a partir de contrato aprovado.</w:t>
      </w:r>
    </w:p>
    <w:p>
      <w:pPr>
        <w:numPr>
          <w:ilvl w:val="0"/>
          <w:numId w:val="1004"/>
        </w:numPr>
        <w:pStyle w:val="Compact"/>
      </w:pPr>
      <w:r>
        <w:t xml:space="preserve">Definir responsáveis.</w:t>
      </w:r>
    </w:p>
    <w:p>
      <w:pPr>
        <w:numPr>
          <w:ilvl w:val="0"/>
          <w:numId w:val="1004"/>
        </w:numPr>
        <w:pStyle w:val="Compact"/>
      </w:pPr>
      <w:r>
        <w:t xml:space="preserve">Preencher informações técnicas obrigatórias.</w:t>
      </w:r>
    </w:p>
    <w:p>
      <w:pPr>
        <w:numPr>
          <w:ilvl w:val="0"/>
          <w:numId w:val="1004"/>
        </w:numPr>
        <w:pStyle w:val="Compact"/>
      </w:pPr>
      <w:r>
        <w:t xml:space="preserve">Acompanhar pelo Kanban.</w:t>
      </w:r>
    </w:p>
    <w:p>
      <w:pPr>
        <w:numPr>
          <w:ilvl w:val="0"/>
          <w:numId w:val="1004"/>
        </w:numPr>
        <w:pStyle w:val="Compact"/>
      </w:pPr>
      <w:r>
        <w:t xml:space="preserve">Atualizar status até conclusão.</w:t>
      </w:r>
    </w:p>
    <w:bookmarkEnd w:id="23"/>
    <w:bookmarkStart w:id="24" w:name="kanban-de-implantação"/>
    <w:p>
      <w:pPr>
        <w:pStyle w:val="Heading2"/>
      </w:pPr>
      <w:r>
        <w:t xml:space="preserve">Kanban de implantação</w:t>
      </w:r>
    </w:p>
    <w:p>
      <w:pPr>
        <w:pStyle w:val="FirstParagraph"/>
      </w:pPr>
      <w:r>
        <w:t xml:space="preserve">O Kanban mostra implantações por etapa.</w:t>
      </w:r>
    </w:p>
    <w:p>
      <w:pPr>
        <w:pStyle w:val="BodyText"/>
      </w:pPr>
      <w:r>
        <w:t xml:space="preserve">Uso recomendado:</w:t>
      </w:r>
    </w:p>
    <w:p>
      <w:pPr>
        <w:numPr>
          <w:ilvl w:val="0"/>
          <w:numId w:val="1005"/>
        </w:numPr>
        <w:pStyle w:val="Compact"/>
      </w:pPr>
      <w:r>
        <w:t xml:space="preserve">Acompanhar prioridades.</w:t>
      </w:r>
    </w:p>
    <w:p>
      <w:pPr>
        <w:numPr>
          <w:ilvl w:val="0"/>
          <w:numId w:val="1005"/>
        </w:numPr>
        <w:pStyle w:val="Compact"/>
      </w:pPr>
      <w:r>
        <w:t xml:space="preserve">Identificar bloqueios.</w:t>
      </w:r>
    </w:p>
    <w:p>
      <w:pPr>
        <w:numPr>
          <w:ilvl w:val="0"/>
          <w:numId w:val="1005"/>
        </w:numPr>
        <w:pStyle w:val="Compact"/>
      </w:pPr>
      <w:r>
        <w:t xml:space="preserve">Revisar tarefas em reunião operacional.</w:t>
      </w:r>
    </w:p>
    <w:p>
      <w:pPr>
        <w:numPr>
          <w:ilvl w:val="0"/>
          <w:numId w:val="1005"/>
        </w:numPr>
        <w:pStyle w:val="Compact"/>
      </w:pPr>
      <w:r>
        <w:t xml:space="preserve">Manter etapas atualizadas para evitar perda de visibilidade.</w:t>
      </w:r>
    </w:p>
    <w:bookmarkEnd w:id="24"/>
    <w:bookmarkStart w:id="25" w:name="ambientes"/>
    <w:p>
      <w:pPr>
        <w:pStyle w:val="Heading2"/>
      </w:pPr>
      <w:r>
        <w:t xml:space="preserve">Ambientes</w:t>
      </w:r>
    </w:p>
    <w:p>
      <w:pPr>
        <w:pStyle w:val="FirstParagraph"/>
      </w:pPr>
      <w:r>
        <w:t xml:space="preserve">Ambientes representam estruturas técnicas associadas ao cliente.</w:t>
      </w:r>
    </w:p>
    <w:p>
      <w:pPr>
        <w:pStyle w:val="BodyText"/>
      </w:pPr>
      <w:r>
        <w:t xml:space="preserve">Exemplos:</w:t>
      </w:r>
    </w:p>
    <w:p>
      <w:pPr>
        <w:numPr>
          <w:ilvl w:val="0"/>
          <w:numId w:val="1006"/>
        </w:numPr>
        <w:pStyle w:val="Compact"/>
      </w:pPr>
      <w:r>
        <w:t xml:space="preserve">Ambiente de produção.</w:t>
      </w:r>
    </w:p>
    <w:p>
      <w:pPr>
        <w:numPr>
          <w:ilvl w:val="0"/>
          <w:numId w:val="1006"/>
        </w:numPr>
        <w:pStyle w:val="Compact"/>
      </w:pPr>
      <w:r>
        <w:t xml:space="preserve">Ambiente de homologação.</w:t>
      </w:r>
    </w:p>
    <w:p>
      <w:pPr>
        <w:numPr>
          <w:ilvl w:val="0"/>
          <w:numId w:val="1006"/>
        </w:numPr>
        <w:pStyle w:val="Compact"/>
      </w:pPr>
      <w:r>
        <w:t xml:space="preserve">Serviços contratados.</w:t>
      </w:r>
    </w:p>
    <w:p>
      <w:pPr>
        <w:numPr>
          <w:ilvl w:val="0"/>
          <w:numId w:val="1006"/>
        </w:numPr>
        <w:pStyle w:val="Compact"/>
      </w:pPr>
      <w:r>
        <w:t xml:space="preserve">Relação com infraestrutura.</w:t>
      </w:r>
    </w:p>
    <w:bookmarkEnd w:id="25"/>
    <w:bookmarkStart w:id="26" w:name="contrato-operacional"/>
    <w:p>
      <w:pPr>
        <w:pStyle w:val="Heading2"/>
      </w:pPr>
      <w:r>
        <w:t xml:space="preserve">Contrato operacional</w:t>
      </w:r>
    </w:p>
    <w:p>
      <w:pPr>
        <w:pStyle w:val="FirstParagraph"/>
      </w:pPr>
      <w:r>
        <w:t xml:space="preserve">A tela de contrato operacional consolida informações necessárias para execução técnica do contrato.</w:t>
      </w:r>
    </w:p>
    <w:p>
      <w:pPr>
        <w:pStyle w:val="BodyText"/>
      </w:pPr>
      <w:r>
        <w:t xml:space="preserve">Uso recomendado:</w:t>
      </w:r>
    </w:p>
    <w:p>
      <w:pPr>
        <w:numPr>
          <w:ilvl w:val="0"/>
          <w:numId w:val="1007"/>
        </w:numPr>
        <w:pStyle w:val="Compact"/>
      </w:pPr>
      <w:r>
        <w:t xml:space="preserve">Validar escopo contratado.</w:t>
      </w:r>
    </w:p>
    <w:p>
      <w:pPr>
        <w:numPr>
          <w:ilvl w:val="0"/>
          <w:numId w:val="1007"/>
        </w:numPr>
        <w:pStyle w:val="Compact"/>
      </w:pPr>
      <w:r>
        <w:t xml:space="preserve">Conferir recursos provisionados.</w:t>
      </w:r>
    </w:p>
    <w:p>
      <w:pPr>
        <w:numPr>
          <w:ilvl w:val="0"/>
          <w:numId w:val="1007"/>
        </w:numPr>
        <w:pStyle w:val="Compact"/>
      </w:pPr>
      <w:r>
        <w:t xml:space="preserve">Registrar dados que impactam operação e suporte.</w:t>
      </w:r>
    </w:p>
    <w:bookmarkEnd w:id="26"/>
    <w:bookmarkStart w:id="27" w:name="integrações"/>
    <w:p>
      <w:pPr>
        <w:pStyle w:val="Heading2"/>
      </w:pPr>
      <w:r>
        <w:t xml:space="preserve">Integrações</w:t>
      </w:r>
    </w:p>
    <w:p>
      <w:pPr>
        <w:pStyle w:val="FirstParagraph"/>
      </w:pPr>
      <w:r>
        <w:t xml:space="preserve">Integrações registram conexões ou dependências técnicas do ambiente do cliente.</w:t>
      </w:r>
    </w:p>
    <w:p>
      <w:pPr>
        <w:pStyle w:val="BodyText"/>
      </w:pPr>
      <w:r>
        <w:t xml:space="preserve">Cuidados:</w:t>
      </w:r>
    </w:p>
    <w:p>
      <w:pPr>
        <w:numPr>
          <w:ilvl w:val="0"/>
          <w:numId w:val="1008"/>
        </w:numPr>
        <w:pStyle w:val="Compact"/>
      </w:pPr>
      <w:r>
        <w:t xml:space="preserve">Validar credenciais e endpoints.</w:t>
      </w:r>
    </w:p>
    <w:p>
      <w:pPr>
        <w:numPr>
          <w:ilvl w:val="0"/>
          <w:numId w:val="1008"/>
        </w:numPr>
        <w:pStyle w:val="Compact"/>
      </w:pPr>
      <w:r>
        <w:t xml:space="preserve">Registrar responsáveis.</w:t>
      </w:r>
    </w:p>
    <w:p>
      <w:pPr>
        <w:numPr>
          <w:ilvl w:val="0"/>
          <w:numId w:val="1008"/>
        </w:numPr>
        <w:pStyle w:val="Compact"/>
      </w:pPr>
      <w:r>
        <w:t xml:space="preserve">Atualizar status em caso de falha.</w:t>
      </w:r>
    </w:p>
    <w:bookmarkEnd w:id="27"/>
    <w:bookmarkStart w:id="28" w:name="licenças-o3web"/>
    <w:p>
      <w:pPr>
        <w:pStyle w:val="Heading2"/>
      </w:pPr>
      <w:r>
        <w:t xml:space="preserve">Licenças O3Web</w:t>
      </w:r>
    </w:p>
    <w:p>
      <w:pPr>
        <w:pStyle w:val="FirstParagraph"/>
      </w:pPr>
      <w:r>
        <w:t xml:space="preserve">Controla licenças associadas aos clientes e ambientes.</w:t>
      </w:r>
    </w:p>
    <w:p>
      <w:pPr>
        <w:pStyle w:val="BodyText"/>
      </w:pPr>
      <w:r>
        <w:t xml:space="preserve">Boas práticas:</w:t>
      </w:r>
    </w:p>
    <w:p>
      <w:pPr>
        <w:numPr>
          <w:ilvl w:val="0"/>
          <w:numId w:val="1009"/>
        </w:numPr>
        <w:pStyle w:val="Compact"/>
      </w:pPr>
      <w:r>
        <w:t xml:space="preserve">Manter quantidade e status atualizados.</w:t>
      </w:r>
    </w:p>
    <w:p>
      <w:pPr>
        <w:numPr>
          <w:ilvl w:val="0"/>
          <w:numId w:val="1009"/>
        </w:numPr>
        <w:pStyle w:val="Compact"/>
      </w:pPr>
      <w:r>
        <w:t xml:space="preserve">Importar dados com atenção.</w:t>
      </w:r>
    </w:p>
    <w:p>
      <w:pPr>
        <w:numPr>
          <w:ilvl w:val="0"/>
          <w:numId w:val="1009"/>
        </w:numPr>
        <w:pStyle w:val="Compact"/>
      </w:pPr>
      <w:r>
        <w:t xml:space="preserve">Revisar licenças antes da entrega final.</w:t>
      </w:r>
    </w:p>
    <w:bookmarkEnd w:id="28"/>
    <w:bookmarkStart w:id="29" w:name="faixas-de-rede"/>
    <w:p>
      <w:pPr>
        <w:pStyle w:val="Heading2"/>
      </w:pPr>
      <w:r>
        <w:t xml:space="preserve">Faixas de rede</w:t>
      </w:r>
    </w:p>
    <w:p>
      <w:pPr>
        <w:pStyle w:val="FirstParagraph"/>
      </w:pPr>
      <w:r>
        <w:t xml:space="preserve">Registra redes e faixas utilizadas em ambientes de clientes.</w:t>
      </w:r>
    </w:p>
    <w:p>
      <w:pPr>
        <w:pStyle w:val="BodyText"/>
      </w:pPr>
      <w:r>
        <w:t xml:space="preserve">Cuidados:</w:t>
      </w:r>
    </w:p>
    <w:p>
      <w:pPr>
        <w:numPr>
          <w:ilvl w:val="0"/>
          <w:numId w:val="1010"/>
        </w:numPr>
        <w:pStyle w:val="Compact"/>
      </w:pPr>
      <w:r>
        <w:t xml:space="preserve">Evitar conflito de faixas.</w:t>
      </w:r>
    </w:p>
    <w:p>
      <w:pPr>
        <w:numPr>
          <w:ilvl w:val="0"/>
          <w:numId w:val="1010"/>
        </w:numPr>
        <w:pStyle w:val="Compact"/>
      </w:pPr>
      <w:r>
        <w:t xml:space="preserve">Confirmar dados técnicos antes de salvar.</w:t>
      </w:r>
    </w:p>
    <w:p>
      <w:pPr>
        <w:numPr>
          <w:ilvl w:val="0"/>
          <w:numId w:val="1010"/>
        </w:numPr>
        <w:pStyle w:val="Compact"/>
      </w:pPr>
      <w:r>
        <w:t xml:space="preserve">Manter rastreabilidade de alterações.</w:t>
      </w:r>
    </w:p>
    <w:bookmarkEnd w:id="29"/>
    <w:bookmarkStart w:id="30" w:name="cofre-de-senhas"/>
    <w:p>
      <w:pPr>
        <w:pStyle w:val="Heading2"/>
      </w:pPr>
      <w:r>
        <w:t xml:space="preserve">Cofre de senhas</w:t>
      </w:r>
    </w:p>
    <w:p>
      <w:pPr>
        <w:pStyle w:val="FirstParagraph"/>
      </w:pPr>
      <w:r>
        <w:t xml:space="preserve">Armazena ou organiza credenciais sensíveis conforme permissões.</w:t>
      </w:r>
    </w:p>
    <w:p>
      <w:pPr>
        <w:pStyle w:val="BodyText"/>
      </w:pPr>
      <w:r>
        <w:t xml:space="preserve">Regras importantes:</w:t>
      </w:r>
    </w:p>
    <w:p>
      <w:pPr>
        <w:numPr>
          <w:ilvl w:val="0"/>
          <w:numId w:val="1011"/>
        </w:numPr>
        <w:pStyle w:val="Compact"/>
      </w:pPr>
      <w:r>
        <w:t xml:space="preserve">Acesso deve ser restrito.</w:t>
      </w:r>
    </w:p>
    <w:p>
      <w:pPr>
        <w:numPr>
          <w:ilvl w:val="0"/>
          <w:numId w:val="1011"/>
        </w:numPr>
        <w:pStyle w:val="Compact"/>
      </w:pPr>
      <w:r>
        <w:t xml:space="preserve">Compartilhamentos devem ter validade quando aplicável.</w:t>
      </w:r>
    </w:p>
    <w:p>
      <w:pPr>
        <w:numPr>
          <w:ilvl w:val="0"/>
          <w:numId w:val="1011"/>
        </w:numPr>
        <w:pStyle w:val="Compact"/>
      </w:pPr>
      <w:r>
        <w:t xml:space="preserve">Nunca registrar senha em campo inadequado ou observação pública.</w:t>
      </w:r>
    </w:p>
    <w:p>
      <w:pPr>
        <w:numPr>
          <w:ilvl w:val="0"/>
          <w:numId w:val="1011"/>
        </w:numPr>
        <w:pStyle w:val="Compact"/>
      </w:pPr>
      <w:r>
        <w:t xml:space="preserve">Remover acessos desnecessários.</w:t>
      </w:r>
    </w:p>
    <w:bookmarkEnd w:id="30"/>
    <w:bookmarkStart w:id="31" w:name="erros-comuns"/>
    <w:p>
      <w:pPr>
        <w:pStyle w:val="Heading2"/>
      </w:pPr>
      <w:r>
        <w:t xml:space="preserve">Erros comuns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Possível causa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Ação recomendada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Implantação parada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Etapa não atualizada ou bloqueio não registrado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Atualizar Kanban e observações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Ambiente incompleto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Dados técnicos ausentes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Revisar contrato operacional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Credencial indisponível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Permissão ou cofre não configurado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Acionar responsável pelo cofre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Conflito de rede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Faixa cadastrada incorretamente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com engenharia</w:t>
            </w:r>
          </w:p>
        </w:tc>
      </w:tr>
    </w:tbl>
    <w:bookmarkEnd w:id="31"/>
    <w:bookmarkStart w:id="32" w:name="boas-práticas"/>
    <w:p>
      <w:pPr>
        <w:pStyle w:val="Heading2"/>
      </w:pPr>
      <w:r>
        <w:t xml:space="preserve">Boas práticas</w:t>
      </w:r>
    </w:p>
    <w:p>
      <w:pPr>
        <w:numPr>
          <w:ilvl w:val="0"/>
          <w:numId w:val="1012"/>
        </w:numPr>
        <w:pStyle w:val="Compact"/>
      </w:pPr>
      <w:r>
        <w:t xml:space="preserve">Não iniciar implantação sem escopo validado.</w:t>
      </w:r>
    </w:p>
    <w:p>
      <w:pPr>
        <w:numPr>
          <w:ilvl w:val="0"/>
          <w:numId w:val="1012"/>
        </w:numPr>
        <w:pStyle w:val="Compact"/>
      </w:pPr>
      <w:r>
        <w:t xml:space="preserve">Atualizar status no mesmo dia em que houver mudança.</w:t>
      </w:r>
    </w:p>
    <w:p>
      <w:pPr>
        <w:numPr>
          <w:ilvl w:val="0"/>
          <w:numId w:val="1012"/>
        </w:numPr>
        <w:pStyle w:val="Compact"/>
      </w:pPr>
      <w:r>
        <w:t xml:space="preserve">Registrar bloqueios de forma objetiva.</w:t>
      </w:r>
    </w:p>
    <w:p>
      <w:pPr>
        <w:numPr>
          <w:ilvl w:val="0"/>
          <w:numId w:val="1012"/>
        </w:numPr>
        <w:pStyle w:val="Compact"/>
      </w:pPr>
      <w:r>
        <w:t xml:space="preserve">Usar anexos para evidências e documentos técnicos.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2026-08-15T19:04:18Z</dcterms:created>
  <dcterms:modified xsi:type="dcterms:W3CDTF">2026-08-15T19:04:18Z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