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manual-financeiro-e-administrativo"/>
    <w:p>
      <w:pPr>
        <w:pStyle w:val="Heading1"/>
      </w:pPr>
      <w:r>
        <w:t xml:space="preserve">Manual Financeiro e Administrativo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Os módulos Financeiro e Administrativo ajudam a acompanhar inadimplências, comissões, faturamentos, reajustes contratuais, receitas por servidor, ASO, notificações, agenda e demandas administrativas.</w:t>
      </w:r>
    </w:p>
    <w:bookmarkEnd w:id="20"/>
    <w:bookmarkStart w:id="21" w:name="quem-deve-usar"/>
    <w:p>
      <w:pPr>
        <w:pStyle w:val="Heading2"/>
      </w:pPr>
      <w:r>
        <w:t xml:space="preserve">Quem deve usar</w:t>
      </w:r>
    </w:p>
    <w:p>
      <w:pPr>
        <w:numPr>
          <w:ilvl w:val="0"/>
          <w:numId w:val="1001"/>
        </w:numPr>
        <w:pStyle w:val="Compact"/>
      </w:pPr>
      <w:r>
        <w:t xml:space="preserve">Financeiro.</w:t>
      </w:r>
    </w:p>
    <w:p>
      <w:pPr>
        <w:numPr>
          <w:ilvl w:val="0"/>
          <w:numId w:val="1001"/>
        </w:numPr>
        <w:pStyle w:val="Compact"/>
      </w:pPr>
      <w:r>
        <w:t xml:space="preserve">Administrativo.</w:t>
      </w:r>
    </w:p>
    <w:p>
      <w:pPr>
        <w:numPr>
          <w:ilvl w:val="0"/>
          <w:numId w:val="1001"/>
        </w:numPr>
        <w:pStyle w:val="Compact"/>
      </w:pPr>
      <w:r>
        <w:t xml:space="preserve">Diretoria.</w:t>
      </w:r>
    </w:p>
    <w:p>
      <w:pPr>
        <w:numPr>
          <w:ilvl w:val="0"/>
          <w:numId w:val="1001"/>
        </w:numPr>
        <w:pStyle w:val="Compact"/>
      </w:pPr>
      <w:r>
        <w:t xml:space="preserve">Comercial para consulta de bloqueios e comissões.</w:t>
      </w:r>
    </w:p>
    <w:p>
      <w:pPr>
        <w:numPr>
          <w:ilvl w:val="0"/>
          <w:numId w:val="1001"/>
        </w:numPr>
        <w:pStyle w:val="Compact"/>
      </w:pPr>
      <w:r>
        <w:t xml:space="preserve">Operações quando houver impacto em contrato ou implantação.</w:t>
      </w:r>
    </w:p>
    <w:bookmarkEnd w:id="21"/>
    <w:bookmarkStart w:id="22" w:name="principais-telas-financeiras"/>
    <w:p>
      <w:pPr>
        <w:pStyle w:val="Heading2"/>
      </w:pPr>
      <w:r>
        <w:t xml:space="preserve">Principais telas financeiras</w:t>
      </w:r>
    </w:p>
    <w:p>
      <w:pPr>
        <w:numPr>
          <w:ilvl w:val="0"/>
          <w:numId w:val="1002"/>
        </w:numPr>
        <w:pStyle w:val="Compact"/>
      </w:pPr>
      <w:r>
        <w:t xml:space="preserve">Inadimplências.</w:t>
      </w:r>
    </w:p>
    <w:p>
      <w:pPr>
        <w:numPr>
          <w:ilvl w:val="0"/>
          <w:numId w:val="1002"/>
        </w:numPr>
        <w:pStyle w:val="Compact"/>
      </w:pPr>
      <w:r>
        <w:t xml:space="preserve">Comissões.</w:t>
      </w:r>
    </w:p>
    <w:p>
      <w:pPr>
        <w:numPr>
          <w:ilvl w:val="0"/>
          <w:numId w:val="1002"/>
        </w:numPr>
        <w:pStyle w:val="Compact"/>
      </w:pPr>
      <w:r>
        <w:t xml:space="preserve">Cálculo de comissão.</w:t>
      </w:r>
    </w:p>
    <w:p>
      <w:pPr>
        <w:numPr>
          <w:ilvl w:val="0"/>
          <w:numId w:val="1002"/>
        </w:numPr>
        <w:pStyle w:val="Compact"/>
      </w:pPr>
      <w:r>
        <w:t xml:space="preserve">Receitas por servidor.</w:t>
      </w:r>
    </w:p>
    <w:p>
      <w:pPr>
        <w:numPr>
          <w:ilvl w:val="0"/>
          <w:numId w:val="1002"/>
        </w:numPr>
        <w:pStyle w:val="Compact"/>
      </w:pPr>
      <w:r>
        <w:t xml:space="preserve">Faturamentos.</w:t>
      </w:r>
    </w:p>
    <w:p>
      <w:pPr>
        <w:numPr>
          <w:ilvl w:val="0"/>
          <w:numId w:val="1002"/>
        </w:numPr>
        <w:pStyle w:val="Compact"/>
      </w:pPr>
      <w:r>
        <w:t xml:space="preserve">Reajustes contratuais.</w:t>
      </w:r>
    </w:p>
    <w:bookmarkEnd w:id="22"/>
    <w:bookmarkStart w:id="23" w:name="principais-telas-administrativas"/>
    <w:p>
      <w:pPr>
        <w:pStyle w:val="Heading2"/>
      </w:pPr>
      <w:r>
        <w:t xml:space="preserve">Principais telas administrativas</w:t>
      </w:r>
    </w:p>
    <w:p>
      <w:pPr>
        <w:numPr>
          <w:ilvl w:val="0"/>
          <w:numId w:val="1003"/>
        </w:numPr>
        <w:pStyle w:val="Compact"/>
      </w:pPr>
      <w:r>
        <w:t xml:space="preserve">Demandas administrativas.</w:t>
      </w:r>
    </w:p>
    <w:p>
      <w:pPr>
        <w:numPr>
          <w:ilvl w:val="0"/>
          <w:numId w:val="1003"/>
        </w:numPr>
        <w:pStyle w:val="Compact"/>
      </w:pPr>
      <w:r>
        <w:t xml:space="preserve">Detalhe e formulário de demanda.</w:t>
      </w:r>
    </w:p>
    <w:p>
      <w:pPr>
        <w:numPr>
          <w:ilvl w:val="0"/>
          <w:numId w:val="1003"/>
        </w:numPr>
        <w:pStyle w:val="Compact"/>
      </w:pPr>
      <w:r>
        <w:t xml:space="preserve">Notificações.</w:t>
      </w:r>
    </w:p>
    <w:p>
      <w:pPr>
        <w:numPr>
          <w:ilvl w:val="0"/>
          <w:numId w:val="1003"/>
        </w:numPr>
        <w:pStyle w:val="Compact"/>
      </w:pPr>
      <w:r>
        <w:t xml:space="preserve">Agenda.</w:t>
      </w:r>
    </w:p>
    <w:p>
      <w:pPr>
        <w:numPr>
          <w:ilvl w:val="0"/>
          <w:numId w:val="1003"/>
        </w:numPr>
        <w:pStyle w:val="Compact"/>
      </w:pPr>
      <w:r>
        <w:t xml:space="preserve">Relatórios administrativos.</w:t>
      </w:r>
    </w:p>
    <w:p>
      <w:pPr>
        <w:numPr>
          <w:ilvl w:val="0"/>
          <w:numId w:val="1003"/>
        </w:numPr>
        <w:pStyle w:val="Compact"/>
      </w:pPr>
      <w:r>
        <w:t xml:space="preserve">ASO.</w:t>
      </w:r>
    </w:p>
    <w:bookmarkEnd w:id="23"/>
    <w:bookmarkStart w:id="24" w:name="inadimplências"/>
    <w:p>
      <w:pPr>
        <w:pStyle w:val="Heading2"/>
      </w:pPr>
      <w:r>
        <w:t xml:space="preserve">Inadimplências</w:t>
      </w:r>
    </w:p>
    <w:p>
      <w:pPr>
        <w:pStyle w:val="FirstParagraph"/>
      </w:pPr>
      <w:r>
        <w:t xml:space="preserve">Controla pendências financeiras que podem impactar novos negócios ou operações.</w:t>
      </w:r>
    </w:p>
    <w:p>
      <w:pPr>
        <w:pStyle w:val="BodyText"/>
      </w:pPr>
      <w:r>
        <w:t xml:space="preserve">Fluxo recomendado:</w:t>
      </w:r>
    </w:p>
    <w:p>
      <w:pPr>
        <w:numPr>
          <w:ilvl w:val="0"/>
          <w:numId w:val="1004"/>
        </w:numPr>
        <w:pStyle w:val="Compact"/>
      </w:pPr>
      <w:r>
        <w:t xml:space="preserve">Registrar inadimplência com cliente e contrato relacionado.</w:t>
      </w:r>
    </w:p>
    <w:p>
      <w:pPr>
        <w:numPr>
          <w:ilvl w:val="0"/>
          <w:numId w:val="1004"/>
        </w:numPr>
        <w:pStyle w:val="Compact"/>
      </w:pPr>
      <w:r>
        <w:t xml:space="preserve">Informar valor, vencimento e status.</w:t>
      </w:r>
    </w:p>
    <w:p>
      <w:pPr>
        <w:numPr>
          <w:ilvl w:val="0"/>
          <w:numId w:val="1004"/>
        </w:numPr>
        <w:pStyle w:val="Compact"/>
      </w:pPr>
      <w:r>
        <w:t xml:space="preserve">Atualizar conforme negociação ou pagamento.</w:t>
      </w:r>
    </w:p>
    <w:p>
      <w:pPr>
        <w:numPr>
          <w:ilvl w:val="0"/>
          <w:numId w:val="1004"/>
        </w:numPr>
        <w:pStyle w:val="Compact"/>
      </w:pPr>
      <w:r>
        <w:t xml:space="preserve">Avaliar bloqueios em propostas e implantações.</w:t>
      </w:r>
    </w:p>
    <w:bookmarkEnd w:id="24"/>
    <w:bookmarkStart w:id="25" w:name="comissões"/>
    <w:p>
      <w:pPr>
        <w:pStyle w:val="Heading2"/>
      </w:pPr>
      <w:r>
        <w:t xml:space="preserve">Comissões</w:t>
      </w:r>
    </w:p>
    <w:p>
      <w:pPr>
        <w:pStyle w:val="FirstParagraph"/>
      </w:pPr>
      <w:r>
        <w:t xml:space="preserve">A área de comissões apoia cálculo, conferência e acompanhamento de valores comerciais.</w:t>
      </w:r>
    </w:p>
    <w:p>
      <w:pPr>
        <w:pStyle w:val="BodyText"/>
      </w:pPr>
      <w:r>
        <w:t xml:space="preserve">Boas práticas:</w:t>
      </w:r>
    </w:p>
    <w:p>
      <w:pPr>
        <w:numPr>
          <w:ilvl w:val="0"/>
          <w:numId w:val="1005"/>
        </w:numPr>
        <w:pStyle w:val="Compact"/>
      </w:pPr>
      <w:r>
        <w:t xml:space="preserve">Conferir regra de comissão antes do fechamento.</w:t>
      </w:r>
    </w:p>
    <w:p>
      <w:pPr>
        <w:numPr>
          <w:ilvl w:val="0"/>
          <w:numId w:val="1005"/>
        </w:numPr>
        <w:pStyle w:val="Compact"/>
      </w:pPr>
      <w:r>
        <w:t xml:space="preserve">Validar vínculo com contrato ou faturamento.</w:t>
      </w:r>
    </w:p>
    <w:p>
      <w:pPr>
        <w:numPr>
          <w:ilvl w:val="0"/>
          <w:numId w:val="1005"/>
        </w:numPr>
        <w:pStyle w:val="Compact"/>
      </w:pPr>
      <w:r>
        <w:t xml:space="preserve">Registrar divergências antes da aprovação final.</w:t>
      </w:r>
    </w:p>
    <w:bookmarkEnd w:id="25"/>
    <w:bookmarkStart w:id="26" w:name="receitas-por-servidor"/>
    <w:p>
      <w:pPr>
        <w:pStyle w:val="Heading2"/>
      </w:pPr>
      <w:r>
        <w:t xml:space="preserve">Receitas por servidor</w:t>
      </w:r>
    </w:p>
    <w:p>
      <w:pPr>
        <w:pStyle w:val="FirstParagraph"/>
      </w:pPr>
      <w:r>
        <w:t xml:space="preserve">Cruza contratos, ambientes e infraestrutura para visão de receita recorrente por servidor.</w:t>
      </w:r>
    </w:p>
    <w:p>
      <w:pPr>
        <w:pStyle w:val="BodyText"/>
      </w:pPr>
      <w:r>
        <w:t xml:space="preserve">Uso recomendado:</w:t>
      </w:r>
    </w:p>
    <w:p>
      <w:pPr>
        <w:numPr>
          <w:ilvl w:val="0"/>
          <w:numId w:val="1006"/>
        </w:numPr>
        <w:pStyle w:val="Compact"/>
      </w:pPr>
      <w:r>
        <w:t xml:space="preserve">Analisar rentabilidade operacional.</w:t>
      </w:r>
    </w:p>
    <w:p>
      <w:pPr>
        <w:numPr>
          <w:ilvl w:val="0"/>
          <w:numId w:val="1006"/>
        </w:numPr>
        <w:pStyle w:val="Compact"/>
      </w:pPr>
      <w:r>
        <w:t xml:space="preserve">Identificar concentração de receita.</w:t>
      </w:r>
    </w:p>
    <w:p>
      <w:pPr>
        <w:numPr>
          <w:ilvl w:val="0"/>
          <w:numId w:val="1006"/>
        </w:numPr>
        <w:pStyle w:val="Compact"/>
      </w:pPr>
      <w:r>
        <w:t xml:space="preserve">Apoiar decisões de capacidade e expansão.</w:t>
      </w:r>
    </w:p>
    <w:bookmarkEnd w:id="26"/>
    <w:bookmarkStart w:id="27" w:name="faturamentos"/>
    <w:p>
      <w:pPr>
        <w:pStyle w:val="Heading2"/>
      </w:pPr>
      <w:r>
        <w:t xml:space="preserve">Faturamentos</w:t>
      </w:r>
    </w:p>
    <w:p>
      <w:pPr>
        <w:pStyle w:val="FirstParagraph"/>
      </w:pPr>
      <w:r>
        <w:t xml:space="preserve">Acompanha informações de faturamento, normalmente relacionadas ao OMIE ou registros financeiros integrados.</w:t>
      </w:r>
    </w:p>
    <w:p>
      <w:pPr>
        <w:pStyle w:val="BodyText"/>
      </w:pPr>
      <w:r>
        <w:t xml:space="preserve">Cuidados:</w:t>
      </w:r>
    </w:p>
    <w:p>
      <w:pPr>
        <w:numPr>
          <w:ilvl w:val="0"/>
          <w:numId w:val="1007"/>
        </w:numPr>
        <w:pStyle w:val="Compact"/>
      </w:pPr>
      <w:r>
        <w:t xml:space="preserve">Conferir dados sincronizados.</w:t>
      </w:r>
    </w:p>
    <w:p>
      <w:pPr>
        <w:numPr>
          <w:ilvl w:val="0"/>
          <w:numId w:val="1007"/>
        </w:numPr>
        <w:pStyle w:val="Compact"/>
      </w:pPr>
      <w:r>
        <w:t xml:space="preserve">Validar divergências com o financeiro.</w:t>
      </w:r>
    </w:p>
    <w:p>
      <w:pPr>
        <w:numPr>
          <w:ilvl w:val="0"/>
          <w:numId w:val="1007"/>
        </w:numPr>
        <w:pStyle w:val="Compact"/>
      </w:pPr>
      <w:r>
        <w:t xml:space="preserve">Não alterar manualmente dados oficiais sem processo definido.</w:t>
      </w:r>
    </w:p>
    <w:bookmarkEnd w:id="27"/>
    <w:bookmarkStart w:id="28" w:name="reajustes-contratuais"/>
    <w:p>
      <w:pPr>
        <w:pStyle w:val="Heading2"/>
      </w:pPr>
      <w:r>
        <w:t xml:space="preserve">Reajustes contratuais</w:t>
      </w:r>
    </w:p>
    <w:p>
      <w:pPr>
        <w:pStyle w:val="FirstParagraph"/>
      </w:pPr>
      <w:r>
        <w:t xml:space="preserve">Monitora contratos que precisam de reajuste por vigência, aniversário ou regra comercial.</w:t>
      </w:r>
    </w:p>
    <w:p>
      <w:pPr>
        <w:pStyle w:val="BodyText"/>
      </w:pPr>
      <w:r>
        <w:t xml:space="preserve">Uso recomendado:</w:t>
      </w:r>
    </w:p>
    <w:p>
      <w:pPr>
        <w:numPr>
          <w:ilvl w:val="0"/>
          <w:numId w:val="1008"/>
        </w:numPr>
        <w:pStyle w:val="Compact"/>
      </w:pPr>
      <w:r>
        <w:t xml:space="preserve">Consultar alertas preventivos.</w:t>
      </w:r>
    </w:p>
    <w:p>
      <w:pPr>
        <w:numPr>
          <w:ilvl w:val="0"/>
          <w:numId w:val="1008"/>
        </w:numPr>
        <w:pStyle w:val="Compact"/>
      </w:pPr>
      <w:r>
        <w:t xml:space="preserve">Revisar valores atuais.</w:t>
      </w:r>
    </w:p>
    <w:p>
      <w:pPr>
        <w:numPr>
          <w:ilvl w:val="0"/>
          <w:numId w:val="1008"/>
        </w:numPr>
        <w:pStyle w:val="Compact"/>
      </w:pPr>
      <w:r>
        <w:t xml:space="preserve">Registrar execução ou pendência do reajuste.</w:t>
      </w:r>
    </w:p>
    <w:p>
      <w:pPr>
        <w:numPr>
          <w:ilvl w:val="0"/>
          <w:numId w:val="1008"/>
        </w:numPr>
        <w:pStyle w:val="Compact"/>
      </w:pPr>
      <w:r>
        <w:t xml:space="preserve">Comunicar áreas responsáveis.</w:t>
      </w:r>
    </w:p>
    <w:bookmarkEnd w:id="28"/>
    <w:bookmarkStart w:id="29" w:name="administrativo"/>
    <w:p>
      <w:pPr>
        <w:pStyle w:val="Heading2"/>
      </w:pPr>
      <w:r>
        <w:t xml:space="preserve">Administrativo</w:t>
      </w:r>
    </w:p>
    <w:p>
      <w:pPr>
        <w:pStyle w:val="FirstParagraph"/>
      </w:pPr>
      <w:r>
        <w:t xml:space="preserve">Registra demandas internas, notificações, agenda e acompanhamentos administrativos.</w:t>
      </w:r>
    </w:p>
    <w:p>
      <w:pPr>
        <w:pStyle w:val="BodyText"/>
      </w:pPr>
      <w:r>
        <w:t xml:space="preserve">Boas práticas:</w:t>
      </w:r>
    </w:p>
    <w:p>
      <w:pPr>
        <w:numPr>
          <w:ilvl w:val="0"/>
          <w:numId w:val="1009"/>
        </w:numPr>
        <w:pStyle w:val="Compact"/>
      </w:pPr>
      <w:r>
        <w:t xml:space="preserve">Manter responsável e prazo preenchidos.</w:t>
      </w:r>
    </w:p>
    <w:p>
      <w:pPr>
        <w:numPr>
          <w:ilvl w:val="0"/>
          <w:numId w:val="1009"/>
        </w:numPr>
        <w:pStyle w:val="Compact"/>
      </w:pPr>
      <w:r>
        <w:t xml:space="preserve">Atualizar status sempre que houver avanço.</w:t>
      </w:r>
    </w:p>
    <w:p>
      <w:pPr>
        <w:numPr>
          <w:ilvl w:val="0"/>
          <w:numId w:val="1009"/>
        </w:numPr>
        <w:pStyle w:val="Compact"/>
      </w:pPr>
      <w:r>
        <w:t xml:space="preserve">Usar anexos para documentos comprobatórios.</w:t>
      </w:r>
    </w:p>
    <w:bookmarkEnd w:id="29"/>
    <w:bookmarkStart w:id="30" w:name="aso"/>
    <w:p>
      <w:pPr>
        <w:pStyle w:val="Heading2"/>
      </w:pPr>
      <w:r>
        <w:t xml:space="preserve">ASO</w:t>
      </w:r>
    </w:p>
    <w:p>
      <w:pPr>
        <w:pStyle w:val="FirstParagraph"/>
      </w:pPr>
      <w:r>
        <w:t xml:space="preserve">Controla informações relacionadas a ASO quando aplicável.</w:t>
      </w:r>
    </w:p>
    <w:p>
      <w:pPr>
        <w:pStyle w:val="BodyText"/>
      </w:pPr>
      <w:r>
        <w:t xml:space="preserve">Cuidados:</w:t>
      </w:r>
    </w:p>
    <w:p>
      <w:pPr>
        <w:numPr>
          <w:ilvl w:val="0"/>
          <w:numId w:val="1010"/>
        </w:numPr>
        <w:pStyle w:val="Compact"/>
      </w:pPr>
      <w:r>
        <w:t xml:space="preserve">Manter vencimentos atualizados.</w:t>
      </w:r>
    </w:p>
    <w:p>
      <w:pPr>
        <w:numPr>
          <w:ilvl w:val="0"/>
          <w:numId w:val="1010"/>
        </w:numPr>
        <w:pStyle w:val="Compact"/>
      </w:pPr>
      <w:r>
        <w:t xml:space="preserve">Restringir acesso conforme sensibilidade da informação.</w:t>
      </w:r>
    </w:p>
    <w:p>
      <w:pPr>
        <w:numPr>
          <w:ilvl w:val="0"/>
          <w:numId w:val="1010"/>
        </w:numPr>
        <w:pStyle w:val="Compact"/>
      </w:pPr>
      <w:r>
        <w:t xml:space="preserve">Usar relatórios para acompanhamento preventivo.</w:t>
      </w:r>
    </w:p>
    <w:bookmarkEnd w:id="30"/>
    <w:bookmarkStart w:id="31" w:name="erros-comuns"/>
    <w:p>
      <w:pPr>
        <w:pStyle w:val="Heading2"/>
      </w:pPr>
      <w:r>
        <w:t xml:space="preserve">Erros comuns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Possível causa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Ação recomendada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Proposta bloqueada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Inadimplência 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Revisar pendência financeira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Comissão divergente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 ou base incorreta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Conferir cálculo e vínculo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Reajuste atrasado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Alerta não tratado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Revisar tela de reajustes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Demanda sem andamento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Responsável ou prazo ausente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Atualizar registro administrativo</w:t>
            </w:r>
          </w:p>
        </w:tc>
      </w:tr>
    </w:tbl>
    <w:bookmarkEnd w:id="31"/>
    <w:bookmarkStart w:id="32" w:name="boas-práticas"/>
    <w:p>
      <w:pPr>
        <w:pStyle w:val="Heading2"/>
      </w:pPr>
      <w:r>
        <w:t xml:space="preserve">Boas práticas</w:t>
      </w:r>
    </w:p>
    <w:p>
      <w:pPr>
        <w:numPr>
          <w:ilvl w:val="0"/>
          <w:numId w:val="1011"/>
        </w:numPr>
        <w:pStyle w:val="Compact"/>
      </w:pPr>
      <w:r>
        <w:t xml:space="preserve">Tratar pendências financeiras com rastreabilidade.</w:t>
      </w:r>
    </w:p>
    <w:p>
      <w:pPr>
        <w:numPr>
          <w:ilvl w:val="0"/>
          <w:numId w:val="1011"/>
        </w:numPr>
        <w:pStyle w:val="Compact"/>
      </w:pPr>
      <w:r>
        <w:t xml:space="preserve">Validar dados integrados antes de tomar decisão.</w:t>
      </w:r>
    </w:p>
    <w:p>
      <w:pPr>
        <w:numPr>
          <w:ilvl w:val="0"/>
          <w:numId w:val="1011"/>
        </w:numPr>
        <w:pStyle w:val="Compact"/>
      </w:pPr>
      <w:r>
        <w:t xml:space="preserve">Usar relatórios para conferência periódica.</w:t>
      </w:r>
    </w:p>
    <w:p>
      <w:pPr>
        <w:numPr>
          <w:ilvl w:val="0"/>
          <w:numId w:val="1011"/>
        </w:numPr>
        <w:pStyle w:val="Compact"/>
      </w:pPr>
      <w:r>
        <w:t xml:space="preserve">Restringir edição de dados sensíveis.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2026-08-15T19:04:18Z</dcterms:created>
  <dcterms:modified xsi:type="dcterms:W3CDTF">2026-08-15T19:04:18Z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