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anual-de-infraestrutura-e-relatórios"/>
    <w:p>
      <w:pPr>
        <w:pStyle w:val="Heading1"/>
      </w:pPr>
      <w:r>
        <w:t xml:space="preserve">Manual de Infraestrutura e Relatórios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As telas de Infraestrutura e Relatórios consolidam informações técnicas e gerenciais para acompanhamento de ambiente, capacidade, backups, alarmes e indicadores.</w:t>
      </w:r>
    </w:p>
    <w:bookmarkEnd w:id="20"/>
    <w:bookmarkStart w:id="21" w:name="quem-deve-usar"/>
    <w:p>
      <w:pPr>
        <w:pStyle w:val="Heading2"/>
      </w:pPr>
      <w:r>
        <w:t xml:space="preserve">Quem deve usar</w:t>
      </w:r>
    </w:p>
    <w:p>
      <w:pPr>
        <w:numPr>
          <w:ilvl w:val="0"/>
          <w:numId w:val="1001"/>
        </w:numPr>
        <w:pStyle w:val="Compact"/>
      </w:pPr>
      <w:r>
        <w:t xml:space="preserve">Operações.</w:t>
      </w:r>
    </w:p>
    <w:p>
      <w:pPr>
        <w:numPr>
          <w:ilvl w:val="0"/>
          <w:numId w:val="1001"/>
        </w:numPr>
        <w:pStyle w:val="Compact"/>
      </w:pPr>
      <w:r>
        <w:t xml:space="preserve">Engenharia.</w:t>
      </w:r>
    </w:p>
    <w:p>
      <w:pPr>
        <w:numPr>
          <w:ilvl w:val="0"/>
          <w:numId w:val="1001"/>
        </w:numPr>
        <w:pStyle w:val="Compact"/>
      </w:pPr>
      <w:r>
        <w:t xml:space="preserve">Suporte.</w:t>
      </w:r>
    </w:p>
    <w:p>
      <w:pPr>
        <w:numPr>
          <w:ilvl w:val="0"/>
          <w:numId w:val="1001"/>
        </w:numPr>
        <w:pStyle w:val="Compact"/>
      </w:pPr>
      <w:r>
        <w:t xml:space="preserve">Diretoria.</w:t>
      </w:r>
    </w:p>
    <w:p>
      <w:pPr>
        <w:numPr>
          <w:ilvl w:val="0"/>
          <w:numId w:val="1001"/>
        </w:numPr>
        <w:pStyle w:val="Compact"/>
      </w:pPr>
      <w:r>
        <w:t xml:space="preserve">Financeiro para análises cruzadas.</w:t>
      </w:r>
    </w:p>
    <w:bookmarkEnd w:id="21"/>
    <w:bookmarkStart w:id="22" w:name="principais-telas-de-infraestrutura"/>
    <w:p>
      <w:pPr>
        <w:pStyle w:val="Heading2"/>
      </w:pPr>
      <w:r>
        <w:t xml:space="preserve">Principais telas de infraestrutura</w:t>
      </w:r>
    </w:p>
    <w:p>
      <w:pPr>
        <w:numPr>
          <w:ilvl w:val="0"/>
          <w:numId w:val="1002"/>
        </w:numPr>
        <w:pStyle w:val="Compact"/>
      </w:pPr>
      <w:r>
        <w:t xml:space="preserve">Consulta de infraestrutura.</w:t>
      </w:r>
    </w:p>
    <w:p>
      <w:pPr>
        <w:numPr>
          <w:ilvl w:val="0"/>
          <w:numId w:val="1002"/>
        </w:numPr>
        <w:pStyle w:val="Compact"/>
      </w:pPr>
      <w:r>
        <w:t xml:space="preserve">Proxmox clusters.</w:t>
      </w:r>
    </w:p>
    <w:p>
      <w:pPr>
        <w:numPr>
          <w:ilvl w:val="0"/>
          <w:numId w:val="1002"/>
        </w:numPr>
        <w:pStyle w:val="Compact"/>
      </w:pPr>
      <w:r>
        <w:t xml:space="preserve">Proxmox nodes.</w:t>
      </w:r>
    </w:p>
    <w:p>
      <w:pPr>
        <w:numPr>
          <w:ilvl w:val="0"/>
          <w:numId w:val="1002"/>
        </w:numPr>
        <w:pStyle w:val="Compact"/>
      </w:pPr>
      <w:r>
        <w:t xml:space="preserve">Proxmox inventory.</w:t>
      </w:r>
    </w:p>
    <w:p>
      <w:pPr>
        <w:numPr>
          <w:ilvl w:val="0"/>
          <w:numId w:val="1002"/>
        </w:numPr>
        <w:pStyle w:val="Compact"/>
      </w:pPr>
      <w:r>
        <w:t xml:space="preserve">PBS backups.</w:t>
      </w:r>
    </w:p>
    <w:p>
      <w:pPr>
        <w:numPr>
          <w:ilvl w:val="0"/>
          <w:numId w:val="1002"/>
        </w:numPr>
        <w:pStyle w:val="Compact"/>
      </w:pPr>
      <w:r>
        <w:t xml:space="preserve">TrueNAS backups.</w:t>
      </w:r>
    </w:p>
    <w:p>
      <w:pPr>
        <w:numPr>
          <w:ilvl w:val="0"/>
          <w:numId w:val="1002"/>
        </w:numPr>
        <w:pStyle w:val="Compact"/>
      </w:pPr>
      <w:r>
        <w:t xml:space="preserve">Zabbix alarmes.</w:t>
      </w:r>
    </w:p>
    <w:p>
      <w:pPr>
        <w:numPr>
          <w:ilvl w:val="0"/>
          <w:numId w:val="1002"/>
        </w:numPr>
        <w:pStyle w:val="Compact"/>
      </w:pPr>
      <w:r>
        <w:t xml:space="preserve">Escopo PBS.</w:t>
      </w:r>
    </w:p>
    <w:bookmarkEnd w:id="22"/>
    <w:bookmarkStart w:id="23" w:name="dashboards"/>
    <w:p>
      <w:pPr>
        <w:pStyle w:val="Heading2"/>
      </w:pPr>
      <w:r>
        <w:t xml:space="preserve">Dashboards</w:t>
      </w:r>
    </w:p>
    <w:p>
      <w:pPr>
        <w:pStyle w:val="FirstParagraph"/>
      </w:pPr>
      <w:r>
        <w:t xml:space="preserve">Dashboards apresentam visões consolidadas para acompanhamento rápido.</w:t>
      </w:r>
    </w:p>
    <w:p>
      <w:pPr>
        <w:pStyle w:val="BodyText"/>
      </w:pPr>
      <w:r>
        <w:t xml:space="preserve">Exemplos:</w:t>
      </w:r>
    </w:p>
    <w:p>
      <w:pPr>
        <w:numPr>
          <w:ilvl w:val="0"/>
          <w:numId w:val="1003"/>
        </w:numPr>
        <w:pStyle w:val="Compact"/>
      </w:pPr>
      <w:r>
        <w:t xml:space="preserve">Dashboard principal.</w:t>
      </w:r>
    </w:p>
    <w:p>
      <w:pPr>
        <w:numPr>
          <w:ilvl w:val="0"/>
          <w:numId w:val="1003"/>
        </w:numPr>
        <w:pStyle w:val="Compact"/>
      </w:pPr>
      <w:r>
        <w:t xml:space="preserve">Dashboard executivo.</w:t>
      </w:r>
    </w:p>
    <w:p>
      <w:pPr>
        <w:numPr>
          <w:ilvl w:val="0"/>
          <w:numId w:val="1003"/>
        </w:numPr>
        <w:pStyle w:val="Compact"/>
      </w:pPr>
      <w:r>
        <w:t xml:space="preserve">Produtos por clientes.</w:t>
      </w:r>
    </w:p>
    <w:p>
      <w:pPr>
        <w:pStyle w:val="FirstParagraph"/>
      </w:pPr>
      <w:r>
        <w:t xml:space="preserve">Uso recomendado:</w:t>
      </w:r>
    </w:p>
    <w:p>
      <w:pPr>
        <w:numPr>
          <w:ilvl w:val="0"/>
          <w:numId w:val="1004"/>
        </w:numPr>
        <w:pStyle w:val="Compact"/>
      </w:pPr>
      <w:r>
        <w:t xml:space="preserve">Acompanhar indicadores em reuniões.</w:t>
      </w:r>
    </w:p>
    <w:p>
      <w:pPr>
        <w:numPr>
          <w:ilvl w:val="0"/>
          <w:numId w:val="1004"/>
        </w:numPr>
        <w:pStyle w:val="Compact"/>
      </w:pPr>
      <w:r>
        <w:t xml:space="preserve">Identificar alertas críticos.</w:t>
      </w:r>
    </w:p>
    <w:p>
      <w:pPr>
        <w:numPr>
          <w:ilvl w:val="0"/>
          <w:numId w:val="1004"/>
        </w:numPr>
        <w:pStyle w:val="Compact"/>
      </w:pPr>
      <w:r>
        <w:t xml:space="preserve">Avaliar contratos, propostas, infraestrutura e pendências.</w:t>
      </w:r>
    </w:p>
    <w:bookmarkEnd w:id="23"/>
    <w:bookmarkStart w:id="24" w:name="proxmox"/>
    <w:p>
      <w:pPr>
        <w:pStyle w:val="Heading2"/>
      </w:pPr>
      <w:r>
        <w:t xml:space="preserve">Proxmox</w:t>
      </w:r>
    </w:p>
    <w:p>
      <w:pPr>
        <w:pStyle w:val="FirstParagraph"/>
      </w:pPr>
      <w:r>
        <w:t xml:space="preserve">As telas Proxmox exibem clusters, nodes e inventário sincronizado.</w:t>
      </w:r>
    </w:p>
    <w:p>
      <w:pPr>
        <w:pStyle w:val="BodyText"/>
      </w:pPr>
      <w:r>
        <w:t xml:space="preserve">Uso recomendado:</w:t>
      </w:r>
    </w:p>
    <w:p>
      <w:pPr>
        <w:numPr>
          <w:ilvl w:val="0"/>
          <w:numId w:val="1005"/>
        </w:numPr>
        <w:pStyle w:val="Compact"/>
      </w:pPr>
      <w:r>
        <w:t xml:space="preserve">Conferir disponibilidade e organização da infraestrutura.</w:t>
      </w:r>
    </w:p>
    <w:p>
      <w:pPr>
        <w:numPr>
          <w:ilvl w:val="0"/>
          <w:numId w:val="1005"/>
        </w:numPr>
        <w:pStyle w:val="Compact"/>
      </w:pPr>
      <w:r>
        <w:t xml:space="preserve">Relacionar recursos técnicos com ambientes e clientes.</w:t>
      </w:r>
    </w:p>
    <w:p>
      <w:pPr>
        <w:numPr>
          <w:ilvl w:val="0"/>
          <w:numId w:val="1005"/>
        </w:numPr>
        <w:pStyle w:val="Compact"/>
      </w:pPr>
      <w:r>
        <w:t xml:space="preserve">Apoiar análise de capacidade.</w:t>
      </w:r>
    </w:p>
    <w:bookmarkEnd w:id="24"/>
    <w:bookmarkStart w:id="25" w:name="pbs"/>
    <w:p>
      <w:pPr>
        <w:pStyle w:val="Heading2"/>
      </w:pPr>
      <w:r>
        <w:t xml:space="preserve">PBS</w:t>
      </w:r>
    </w:p>
    <w:p>
      <w:pPr>
        <w:pStyle w:val="FirstParagraph"/>
      </w:pPr>
      <w:r>
        <w:t xml:space="preserve">A área PBS acompanha backups relacionados ao Proxmox Backup Server.</w:t>
      </w:r>
    </w:p>
    <w:p>
      <w:pPr>
        <w:pStyle w:val="BodyText"/>
      </w:pPr>
      <w:r>
        <w:t xml:space="preserve">Cuidados:</w:t>
      </w:r>
    </w:p>
    <w:p>
      <w:pPr>
        <w:numPr>
          <w:ilvl w:val="0"/>
          <w:numId w:val="1006"/>
        </w:numPr>
        <w:pStyle w:val="Compact"/>
      </w:pPr>
      <w:r>
        <w:t xml:space="preserve">Verificar backups fora do prazo.</w:t>
      </w:r>
    </w:p>
    <w:p>
      <w:pPr>
        <w:numPr>
          <w:ilvl w:val="0"/>
          <w:numId w:val="1006"/>
        </w:numPr>
        <w:pStyle w:val="Compact"/>
      </w:pPr>
      <w:r>
        <w:t xml:space="preserve">Tratar falhas críticas.</w:t>
      </w:r>
    </w:p>
    <w:p>
      <w:pPr>
        <w:numPr>
          <w:ilvl w:val="0"/>
          <w:numId w:val="1006"/>
        </w:numPr>
        <w:pStyle w:val="Compact"/>
      </w:pPr>
      <w:r>
        <w:t xml:space="preserve">Manter escopos corretamente configurados.</w:t>
      </w:r>
    </w:p>
    <w:bookmarkEnd w:id="25"/>
    <w:bookmarkStart w:id="26" w:name="truenas"/>
    <w:p>
      <w:pPr>
        <w:pStyle w:val="Heading2"/>
      </w:pPr>
      <w:r>
        <w:t xml:space="preserve">TrueNAS</w:t>
      </w:r>
    </w:p>
    <w:p>
      <w:pPr>
        <w:pStyle w:val="FirstParagraph"/>
      </w:pPr>
      <w:r>
        <w:t xml:space="preserve">Acompanha dados e alertas relacionados aos backups ou compartilhamentos TrueNAS.</w:t>
      </w:r>
    </w:p>
    <w:p>
      <w:pPr>
        <w:pStyle w:val="BodyText"/>
      </w:pPr>
      <w:r>
        <w:t xml:space="preserve">Uso recomendado:</w:t>
      </w:r>
    </w:p>
    <w:p>
      <w:pPr>
        <w:numPr>
          <w:ilvl w:val="0"/>
          <w:numId w:val="1007"/>
        </w:numPr>
        <w:pStyle w:val="Compact"/>
      </w:pPr>
      <w:r>
        <w:t xml:space="preserve">Verificar ausência de modificação quando houver alerta.</w:t>
      </w:r>
    </w:p>
    <w:p>
      <w:pPr>
        <w:numPr>
          <w:ilvl w:val="0"/>
          <w:numId w:val="1007"/>
        </w:numPr>
        <w:pStyle w:val="Compact"/>
      </w:pPr>
      <w:r>
        <w:t xml:space="preserve">Apoiar análise preventiva de rotinas de backup.</w:t>
      </w:r>
    </w:p>
    <w:bookmarkEnd w:id="26"/>
    <w:bookmarkStart w:id="27" w:name="zabbix"/>
    <w:p>
      <w:pPr>
        <w:pStyle w:val="Heading2"/>
      </w:pPr>
      <w:r>
        <w:t xml:space="preserve">Zabbix</w:t>
      </w:r>
    </w:p>
    <w:p>
      <w:pPr>
        <w:pStyle w:val="FirstParagraph"/>
      </w:pPr>
      <w:r>
        <w:t xml:space="preserve">Exibe alarmes e eventos críticos sincronizados do monitoramento.</w:t>
      </w:r>
    </w:p>
    <w:p>
      <w:pPr>
        <w:pStyle w:val="BodyText"/>
      </w:pPr>
      <w:r>
        <w:t xml:space="preserve">Boas práticas:</w:t>
      </w:r>
    </w:p>
    <w:p>
      <w:pPr>
        <w:numPr>
          <w:ilvl w:val="0"/>
          <w:numId w:val="1008"/>
        </w:numPr>
        <w:pStyle w:val="Compact"/>
      </w:pPr>
      <w:r>
        <w:t xml:space="preserve">Priorizar alarmes críticos.</w:t>
      </w:r>
    </w:p>
    <w:p>
      <w:pPr>
        <w:numPr>
          <w:ilvl w:val="0"/>
          <w:numId w:val="1008"/>
        </w:numPr>
        <w:pStyle w:val="Compact"/>
      </w:pPr>
      <w:r>
        <w:t xml:space="preserve">Registrar tratativa nos sistemas operacionais apropriados.</w:t>
      </w:r>
    </w:p>
    <w:p>
      <w:pPr>
        <w:numPr>
          <w:ilvl w:val="0"/>
          <w:numId w:val="1008"/>
        </w:numPr>
        <w:pStyle w:val="Compact"/>
      </w:pPr>
      <w:r>
        <w:t xml:space="preserve">Usar o painel como visão consolidada, não como substituto integral do Zabbix.</w:t>
      </w:r>
    </w:p>
    <w:bookmarkEnd w:id="27"/>
    <w:bookmarkStart w:id="28" w:name="relatórios"/>
    <w:p>
      <w:pPr>
        <w:pStyle w:val="Heading2"/>
      </w:pPr>
      <w:r>
        <w:t xml:space="preserve">Relatórios</w:t>
      </w:r>
    </w:p>
    <w:p>
      <w:pPr>
        <w:pStyle w:val="FirstParagraph"/>
      </w:pPr>
      <w:r>
        <w:t xml:space="preserve">O módulo de Relatórios permite consultar e gerar visões customizadas conforme fontes autorizadas.</w:t>
      </w:r>
    </w:p>
    <w:p>
      <w:pPr>
        <w:pStyle w:val="BodyText"/>
      </w:pPr>
      <w:r>
        <w:t xml:space="preserve">Recursos comuns:</w:t>
      </w:r>
    </w:p>
    <w:p>
      <w:pPr>
        <w:numPr>
          <w:ilvl w:val="0"/>
          <w:numId w:val="1009"/>
        </w:numPr>
        <w:pStyle w:val="Compact"/>
      </w:pPr>
      <w:r>
        <w:t xml:space="preserve">Seleção de fonte de dados.</w:t>
      </w:r>
    </w:p>
    <w:p>
      <w:pPr>
        <w:numPr>
          <w:ilvl w:val="0"/>
          <w:numId w:val="1009"/>
        </w:numPr>
        <w:pStyle w:val="Compact"/>
      </w:pPr>
      <w:r>
        <w:t xml:space="preserve">Campos selecionáveis.</w:t>
      </w:r>
    </w:p>
    <w:p>
      <w:pPr>
        <w:numPr>
          <w:ilvl w:val="0"/>
          <w:numId w:val="1009"/>
        </w:numPr>
        <w:pStyle w:val="Compact"/>
      </w:pPr>
      <w:r>
        <w:t xml:space="preserve">Filtros.</w:t>
      </w:r>
    </w:p>
    <w:p>
      <w:pPr>
        <w:numPr>
          <w:ilvl w:val="0"/>
          <w:numId w:val="1009"/>
        </w:numPr>
        <w:pStyle w:val="Compact"/>
      </w:pPr>
      <w:r>
        <w:t xml:space="preserve">Período.</w:t>
      </w:r>
    </w:p>
    <w:p>
      <w:pPr>
        <w:numPr>
          <w:ilvl w:val="0"/>
          <w:numId w:val="1009"/>
        </w:numPr>
        <w:pStyle w:val="Compact"/>
      </w:pPr>
      <w:r>
        <w:t xml:space="preserve">Ordenação.</w:t>
      </w:r>
    </w:p>
    <w:p>
      <w:pPr>
        <w:numPr>
          <w:ilvl w:val="0"/>
          <w:numId w:val="1009"/>
        </w:numPr>
        <w:pStyle w:val="Compact"/>
      </w:pPr>
      <w:r>
        <w:t xml:space="preserve">Agrupamentos e agregações.</w:t>
      </w:r>
    </w:p>
    <w:p>
      <w:pPr>
        <w:numPr>
          <w:ilvl w:val="0"/>
          <w:numId w:val="1009"/>
        </w:numPr>
        <w:pStyle w:val="Compact"/>
      </w:pPr>
      <w:r>
        <w:t xml:space="preserve">Modelos salvos.</w:t>
      </w:r>
    </w:p>
    <w:p>
      <w:pPr>
        <w:numPr>
          <w:ilvl w:val="0"/>
          <w:numId w:val="1009"/>
        </w:numPr>
        <w:pStyle w:val="Compact"/>
      </w:pPr>
      <w:r>
        <w:t xml:space="preserve">Exportação em formatos como CSV, XLSX, DOCX, PDF ou impressão HTML.</w:t>
      </w:r>
    </w:p>
    <w:p>
      <w:pPr>
        <w:pStyle w:val="FirstParagraph"/>
      </w:pPr>
      <w:r>
        <w:t xml:space="preserve">Fluxo recomendado:</w:t>
      </w:r>
    </w:p>
    <w:p>
      <w:pPr>
        <w:numPr>
          <w:ilvl w:val="0"/>
          <w:numId w:val="1010"/>
        </w:numPr>
        <w:pStyle w:val="Compact"/>
      </w:pPr>
      <w:r>
        <w:t xml:space="preserve">Escolha a fonte do relatório.</w:t>
      </w:r>
    </w:p>
    <w:p>
      <w:pPr>
        <w:numPr>
          <w:ilvl w:val="0"/>
          <w:numId w:val="1010"/>
        </w:numPr>
        <w:pStyle w:val="Compact"/>
      </w:pPr>
      <w:r>
        <w:t xml:space="preserve">Defina campos e filtros.</w:t>
      </w:r>
    </w:p>
    <w:p>
      <w:pPr>
        <w:numPr>
          <w:ilvl w:val="0"/>
          <w:numId w:val="1010"/>
        </w:numPr>
        <w:pStyle w:val="Compact"/>
      </w:pPr>
      <w:r>
        <w:t xml:space="preserve">Valide a prévia.</w:t>
      </w:r>
    </w:p>
    <w:p>
      <w:pPr>
        <w:numPr>
          <w:ilvl w:val="0"/>
          <w:numId w:val="1010"/>
        </w:numPr>
        <w:pStyle w:val="Compact"/>
      </w:pPr>
      <w:r>
        <w:t xml:space="preserve">Exporte apenas quando os dados estiverem corretos.</w:t>
      </w:r>
    </w:p>
    <w:p>
      <w:pPr>
        <w:numPr>
          <w:ilvl w:val="0"/>
          <w:numId w:val="1010"/>
        </w:numPr>
        <w:pStyle w:val="Compact"/>
      </w:pPr>
      <w:r>
        <w:t xml:space="preserve">Salve modelo se o relatório for recorrente.</w:t>
      </w:r>
    </w:p>
    <w:bookmarkEnd w:id="28"/>
    <w:bookmarkStart w:id="29" w:name="erros-comuns"/>
    <w:p>
      <w:pPr>
        <w:pStyle w:val="Heading2"/>
      </w:pPr>
      <w:r>
        <w:t xml:space="preserve">Erros comuns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Possível 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recomendada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 técnico desatualizado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Sincronismo não executado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automações e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 vazio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restritivo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filtros e 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Alarme sem tratativa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de processo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Acionar responsável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Exportação incorreta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selecionados errados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Ajustar modelo do relatório</w:t>
            </w:r>
          </w:p>
        </w:tc>
      </w:tr>
    </w:tbl>
    <w:bookmarkEnd w:id="29"/>
    <w:bookmarkStart w:id="30" w:name="boas-práticas"/>
    <w:p>
      <w:pPr>
        <w:pStyle w:val="Heading2"/>
      </w:pPr>
      <w:r>
        <w:t xml:space="preserve">Boas práticas</w:t>
      </w:r>
    </w:p>
    <w:p>
      <w:pPr>
        <w:numPr>
          <w:ilvl w:val="0"/>
          <w:numId w:val="1011"/>
        </w:numPr>
        <w:pStyle w:val="Compact"/>
      </w:pPr>
      <w:r>
        <w:t xml:space="preserve">Conferir data de atualização dos dados.</w:t>
      </w:r>
    </w:p>
    <w:p>
      <w:pPr>
        <w:numPr>
          <w:ilvl w:val="0"/>
          <w:numId w:val="1011"/>
        </w:numPr>
        <w:pStyle w:val="Compact"/>
      </w:pPr>
      <w:r>
        <w:t xml:space="preserve">Usar filtros para evitar relatórios muito grandes.</w:t>
      </w:r>
    </w:p>
    <w:p>
      <w:pPr>
        <w:numPr>
          <w:ilvl w:val="0"/>
          <w:numId w:val="1011"/>
        </w:numPr>
        <w:pStyle w:val="Compact"/>
      </w:pPr>
      <w:r>
        <w:t xml:space="preserve">Salvar modelos de relatórios recorrentes.</w:t>
      </w:r>
    </w:p>
    <w:p>
      <w:pPr>
        <w:numPr>
          <w:ilvl w:val="0"/>
          <w:numId w:val="1011"/>
        </w:numPr>
        <w:pStyle w:val="Compact"/>
      </w:pPr>
      <w:r>
        <w:t xml:space="preserve">Validar alertas críticos com o sistema de origem quando necessário.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2026-08-15T19:04:18Z</dcterms:created>
  <dcterms:modified xsi:type="dcterms:W3CDTF">2026-08-15T19:04:18Z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