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nual-de-configurações"/>
    <w:p>
      <w:pPr>
        <w:pStyle w:val="Heading1"/>
      </w:pPr>
      <w:r>
        <w:t xml:space="preserve">Manual de Configurações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 módulo de Configurações concentra rotinas administrativas do sistema: usuários, perfis, permissões, e-mail, integrações, cache, auditoria, backups, sincronismos e atualizações.</w:t>
      </w:r>
    </w:p>
    <w:p>
      <w:pPr>
        <w:pStyle w:val="BodyText"/>
      </w:pPr>
      <w:r>
        <w:t xml:space="preserve">Por ser uma área sensível, deve ser usada apenas por administradores ou responsáveis autorizados.</w:t>
      </w:r>
    </w:p>
    <w:bookmarkEnd w:id="20"/>
    <w:bookmarkStart w:id="21" w:name="quem-deve-usar"/>
    <w:p>
      <w:pPr>
        <w:pStyle w:val="Heading2"/>
      </w:pPr>
      <w:r>
        <w:t xml:space="preserve">Quem deve usar</w:t>
      </w:r>
    </w:p>
    <w:p>
      <w:pPr>
        <w:numPr>
          <w:ilvl w:val="0"/>
          <w:numId w:val="1001"/>
        </w:numPr>
        <w:pStyle w:val="Compact"/>
      </w:pPr>
      <w:r>
        <w:t xml:space="preserve">Administradores do sistema.</w:t>
      </w:r>
    </w:p>
    <w:p>
      <w:pPr>
        <w:numPr>
          <w:ilvl w:val="0"/>
          <w:numId w:val="1001"/>
        </w:numPr>
        <w:pStyle w:val="Compact"/>
      </w:pPr>
      <w:r>
        <w:t xml:space="preserve">TI responsável pela operação.</w:t>
      </w:r>
    </w:p>
    <w:p>
      <w:pPr>
        <w:numPr>
          <w:ilvl w:val="0"/>
          <w:numId w:val="1001"/>
        </w:numPr>
        <w:pStyle w:val="Compact"/>
      </w:pPr>
      <w:r>
        <w:t xml:space="preserve">Gestores autorizados para permissões e usuários.</w:t>
      </w:r>
    </w:p>
    <w:bookmarkEnd w:id="21"/>
    <w:bookmarkStart w:id="22" w:name="principais-telas"/>
    <w:p>
      <w:pPr>
        <w:pStyle w:val="Heading2"/>
      </w:pPr>
      <w:r>
        <w:t xml:space="preserve">Principais telas</w:t>
      </w:r>
    </w:p>
    <w:p>
      <w:pPr>
        <w:numPr>
          <w:ilvl w:val="0"/>
          <w:numId w:val="1002"/>
        </w:numPr>
        <w:pStyle w:val="Compact"/>
      </w:pPr>
      <w:r>
        <w:t xml:space="preserve">Usuários.</w:t>
      </w:r>
    </w:p>
    <w:p>
      <w:pPr>
        <w:numPr>
          <w:ilvl w:val="0"/>
          <w:numId w:val="1002"/>
        </w:numPr>
        <w:pStyle w:val="Compact"/>
      </w:pPr>
      <w:r>
        <w:t xml:space="preserve">Perfis e permissões.</w:t>
      </w:r>
    </w:p>
    <w:p>
      <w:pPr>
        <w:numPr>
          <w:ilvl w:val="0"/>
          <w:numId w:val="1002"/>
        </w:numPr>
        <w:pStyle w:val="Compact"/>
      </w:pPr>
      <w:r>
        <w:t xml:space="preserve">Provedores de autenticação.</w:t>
      </w:r>
    </w:p>
    <w:p>
      <w:pPr>
        <w:numPr>
          <w:ilvl w:val="0"/>
          <w:numId w:val="1002"/>
        </w:numPr>
        <w:pStyle w:val="Compact"/>
      </w:pPr>
      <w:r>
        <w:t xml:space="preserve">Convites.</w:t>
      </w:r>
    </w:p>
    <w:p>
      <w:pPr>
        <w:numPr>
          <w:ilvl w:val="0"/>
          <w:numId w:val="1002"/>
        </w:numPr>
        <w:pStyle w:val="Compact"/>
      </w:pPr>
      <w:r>
        <w:t xml:space="preserve">Configurações de e-mail.</w:t>
      </w:r>
    </w:p>
    <w:p>
      <w:pPr>
        <w:numPr>
          <w:ilvl w:val="0"/>
          <w:numId w:val="1002"/>
        </w:numPr>
        <w:pStyle w:val="Compact"/>
      </w:pPr>
      <w:r>
        <w:t xml:space="preserve">Backups do Sistema.</w:t>
      </w:r>
    </w:p>
    <w:p>
      <w:pPr>
        <w:numPr>
          <w:ilvl w:val="0"/>
          <w:numId w:val="1002"/>
        </w:numPr>
        <w:pStyle w:val="Compact"/>
      </w:pPr>
      <w:r>
        <w:t xml:space="preserve">Atualizações do Sistema.</w:t>
      </w:r>
    </w:p>
    <w:p>
      <w:pPr>
        <w:numPr>
          <w:ilvl w:val="0"/>
          <w:numId w:val="1002"/>
        </w:numPr>
        <w:pStyle w:val="Compact"/>
      </w:pPr>
      <w:r>
        <w:t xml:space="preserve">Auditoria.</w:t>
      </w:r>
    </w:p>
    <w:p>
      <w:pPr>
        <w:numPr>
          <w:ilvl w:val="0"/>
          <w:numId w:val="1002"/>
        </w:numPr>
        <w:pStyle w:val="Compact"/>
      </w:pPr>
      <w:r>
        <w:t xml:space="preserve">Cache.</w:t>
      </w:r>
    </w:p>
    <w:p>
      <w:pPr>
        <w:numPr>
          <w:ilvl w:val="0"/>
          <w:numId w:val="1002"/>
        </w:numPr>
        <w:pStyle w:val="Compact"/>
      </w:pPr>
      <w:r>
        <w:t xml:space="preserve">Sincronismos.</w:t>
      </w:r>
    </w:p>
    <w:bookmarkEnd w:id="22"/>
    <w:bookmarkStart w:id="23" w:name="usuários"/>
    <w:p>
      <w:pPr>
        <w:pStyle w:val="Heading2"/>
      </w:pPr>
      <w:r>
        <w:t xml:space="preserve">Usuários</w:t>
      </w:r>
    </w:p>
    <w:p>
      <w:pPr>
        <w:pStyle w:val="FirstParagraph"/>
      </w:pPr>
      <w:r>
        <w:t xml:space="preserve">Permite criar, editar, ativar ou desativar usuários.</w:t>
      </w:r>
    </w:p>
    <w:p>
      <w:pPr>
        <w:pStyle w:val="BodyText"/>
      </w:pPr>
      <w:r>
        <w:t xml:space="preserve">Fluxo recomendado para novo usuário:</w:t>
      </w:r>
    </w:p>
    <w:p>
      <w:pPr>
        <w:numPr>
          <w:ilvl w:val="0"/>
          <w:numId w:val="1003"/>
        </w:numPr>
        <w:pStyle w:val="Compact"/>
      </w:pPr>
      <w:r>
        <w:t xml:space="preserve">Criar ou convidar usuário.</w:t>
      </w:r>
    </w:p>
    <w:p>
      <w:pPr>
        <w:numPr>
          <w:ilvl w:val="0"/>
          <w:numId w:val="1003"/>
        </w:numPr>
        <w:pStyle w:val="Compact"/>
      </w:pPr>
      <w:r>
        <w:t xml:space="preserve">Definir perfil correto.</w:t>
      </w:r>
    </w:p>
    <w:p>
      <w:pPr>
        <w:numPr>
          <w:ilvl w:val="0"/>
          <w:numId w:val="1003"/>
        </w:numPr>
        <w:pStyle w:val="Compact"/>
      </w:pPr>
      <w:r>
        <w:t xml:space="preserve">Confirmar e-mail.</w:t>
      </w:r>
    </w:p>
    <w:p>
      <w:pPr>
        <w:numPr>
          <w:ilvl w:val="0"/>
          <w:numId w:val="1003"/>
        </w:numPr>
        <w:pStyle w:val="Compact"/>
      </w:pPr>
      <w:r>
        <w:t xml:space="preserve">Validar se o usuário acessa apenas os módulos necessários.</w:t>
      </w:r>
    </w:p>
    <w:p>
      <w:pPr>
        <w:pStyle w:val="FirstParagraph"/>
      </w:pPr>
      <w:r>
        <w:t xml:space="preserve">Boas práticas:</w:t>
      </w:r>
    </w:p>
    <w:p>
      <w:pPr>
        <w:numPr>
          <w:ilvl w:val="0"/>
          <w:numId w:val="1004"/>
        </w:numPr>
        <w:pStyle w:val="Compact"/>
      </w:pPr>
      <w:r>
        <w:t xml:space="preserve">Não compartilhar contas.</w:t>
      </w:r>
    </w:p>
    <w:p>
      <w:pPr>
        <w:numPr>
          <w:ilvl w:val="0"/>
          <w:numId w:val="1004"/>
        </w:numPr>
        <w:pStyle w:val="Compact"/>
      </w:pPr>
      <w:r>
        <w:t xml:space="preserve">Desativar usuários desligados.</w:t>
      </w:r>
    </w:p>
    <w:p>
      <w:pPr>
        <w:numPr>
          <w:ilvl w:val="0"/>
          <w:numId w:val="1004"/>
        </w:numPr>
        <w:pStyle w:val="Compact"/>
      </w:pPr>
      <w:r>
        <w:t xml:space="preserve">Revisar permissões periodicamente.</w:t>
      </w:r>
    </w:p>
    <w:bookmarkEnd w:id="23"/>
    <w:bookmarkStart w:id="24" w:name="perfis-e-permissões"/>
    <w:p>
      <w:pPr>
        <w:pStyle w:val="Heading2"/>
      </w:pPr>
      <w:r>
        <w:t xml:space="preserve">Perfis e permissões</w:t>
      </w:r>
    </w:p>
    <w:p>
      <w:pPr>
        <w:pStyle w:val="FirstParagraph"/>
      </w:pPr>
      <w:r>
        <w:t xml:space="preserve">Perfis agrupam permissões de acesso.</w:t>
      </w:r>
    </w:p>
    <w:p>
      <w:pPr>
        <w:pStyle w:val="BodyText"/>
      </w:pPr>
      <w:r>
        <w:t xml:space="preserve">Exemplos:</w:t>
      </w:r>
    </w:p>
    <w:p>
      <w:pPr>
        <w:numPr>
          <w:ilvl w:val="0"/>
          <w:numId w:val="1005"/>
        </w:numPr>
        <w:pStyle w:val="Compact"/>
      </w:pPr>
      <w:r>
        <w:t xml:space="preserve">Administrador.</w:t>
      </w:r>
    </w:p>
    <w:p>
      <w:pPr>
        <w:numPr>
          <w:ilvl w:val="0"/>
          <w:numId w:val="1005"/>
        </w:numPr>
        <w:pStyle w:val="Compact"/>
      </w:pPr>
      <w:r>
        <w:t xml:space="preserve">Comercial.</w:t>
      </w:r>
    </w:p>
    <w:p>
      <w:pPr>
        <w:numPr>
          <w:ilvl w:val="0"/>
          <w:numId w:val="1005"/>
        </w:numPr>
        <w:pStyle w:val="Compact"/>
      </w:pPr>
      <w:r>
        <w:t xml:space="preserve">Financeiro.</w:t>
      </w:r>
    </w:p>
    <w:p>
      <w:pPr>
        <w:numPr>
          <w:ilvl w:val="0"/>
          <w:numId w:val="1005"/>
        </w:numPr>
        <w:pStyle w:val="Compact"/>
      </w:pPr>
      <w:r>
        <w:t xml:space="preserve">Implantação.</w:t>
      </w:r>
    </w:p>
    <w:p>
      <w:pPr>
        <w:numPr>
          <w:ilvl w:val="0"/>
          <w:numId w:val="1005"/>
        </w:numPr>
        <w:pStyle w:val="Compact"/>
      </w:pPr>
      <w:r>
        <w:t xml:space="preserve">Operações.</w:t>
      </w:r>
    </w:p>
    <w:p>
      <w:pPr>
        <w:numPr>
          <w:ilvl w:val="0"/>
          <w:numId w:val="1005"/>
        </w:numPr>
        <w:pStyle w:val="Compact"/>
      </w:pPr>
      <w:r>
        <w:t xml:space="preserve">Consulta gerencial.</w:t>
      </w:r>
    </w:p>
    <w:p>
      <w:pPr>
        <w:pStyle w:val="FirstParagraph"/>
      </w:pPr>
      <w:r>
        <w:t xml:space="preserve">Cuidados:</w:t>
      </w:r>
    </w:p>
    <w:p>
      <w:pPr>
        <w:numPr>
          <w:ilvl w:val="0"/>
          <w:numId w:val="1006"/>
        </w:numPr>
        <w:pStyle w:val="Compact"/>
      </w:pPr>
      <w:r>
        <w:t xml:space="preserve">Evite dar permissão administrativa sem necessidade.</w:t>
      </w:r>
    </w:p>
    <w:p>
      <w:pPr>
        <w:numPr>
          <w:ilvl w:val="0"/>
          <w:numId w:val="1006"/>
        </w:numPr>
        <w:pStyle w:val="Compact"/>
      </w:pPr>
      <w:r>
        <w:t xml:space="preserve">Revise impacto antes de alterar um perfil usado por vários usuários.</w:t>
      </w:r>
    </w:p>
    <w:p>
      <w:pPr>
        <w:numPr>
          <w:ilvl w:val="0"/>
          <w:numId w:val="1006"/>
        </w:numPr>
        <w:pStyle w:val="Compact"/>
      </w:pPr>
      <w:r>
        <w:t xml:space="preserve">Teste com usuário real quando criar novo perfil.</w:t>
      </w:r>
    </w:p>
    <w:bookmarkEnd w:id="24"/>
    <w:bookmarkStart w:id="25" w:name="e-mail-e-smtp"/>
    <w:p>
      <w:pPr>
        <w:pStyle w:val="Heading2"/>
      </w:pPr>
      <w:r>
        <w:t xml:space="preserve">E-mail e SMTP</w:t>
      </w:r>
    </w:p>
    <w:p>
      <w:pPr>
        <w:pStyle w:val="FirstParagraph"/>
      </w:pPr>
      <w:r>
        <w:t xml:space="preserve">Configura o envio de e-mails do sistema.</w:t>
      </w:r>
    </w:p>
    <w:p>
      <w:pPr>
        <w:pStyle w:val="BodyText"/>
      </w:pPr>
      <w:r>
        <w:t xml:space="preserve">Impactos:</w:t>
      </w:r>
    </w:p>
    <w:p>
      <w:pPr>
        <w:numPr>
          <w:ilvl w:val="0"/>
          <w:numId w:val="1007"/>
        </w:numPr>
        <w:pStyle w:val="Compact"/>
      </w:pPr>
      <w:r>
        <w:t xml:space="preserve">Convites.</w:t>
      </w:r>
    </w:p>
    <w:p>
      <w:pPr>
        <w:numPr>
          <w:ilvl w:val="0"/>
          <w:numId w:val="1007"/>
        </w:numPr>
        <w:pStyle w:val="Compact"/>
      </w:pPr>
      <w:r>
        <w:t xml:space="preserve">Recuperação ou validações.</w:t>
      </w:r>
    </w:p>
    <w:p>
      <w:pPr>
        <w:numPr>
          <w:ilvl w:val="0"/>
          <w:numId w:val="1007"/>
        </w:numPr>
        <w:pStyle w:val="Compact"/>
      </w:pPr>
      <w:r>
        <w:t xml:space="preserve">2FA por e-mail.</w:t>
      </w:r>
    </w:p>
    <w:p>
      <w:pPr>
        <w:numPr>
          <w:ilvl w:val="0"/>
          <w:numId w:val="1007"/>
        </w:numPr>
        <w:pStyle w:val="Compact"/>
      </w:pPr>
      <w:r>
        <w:t xml:space="preserve">Alertas operacionais.</w:t>
      </w:r>
    </w:p>
    <w:p>
      <w:pPr>
        <w:pStyle w:val="FirstParagraph"/>
      </w:pPr>
      <w:r>
        <w:t xml:space="preserve">Checklist:</w:t>
      </w:r>
    </w:p>
    <w:p>
      <w:pPr>
        <w:numPr>
          <w:ilvl w:val="0"/>
          <w:numId w:val="1008"/>
        </w:numPr>
        <w:pStyle w:val="Compact"/>
      </w:pPr>
      <w:r>
        <w:t xml:space="preserve">Host SMTP.</w:t>
      </w:r>
    </w:p>
    <w:p>
      <w:pPr>
        <w:numPr>
          <w:ilvl w:val="0"/>
          <w:numId w:val="1008"/>
        </w:numPr>
        <w:pStyle w:val="Compact"/>
      </w:pPr>
      <w:r>
        <w:t xml:space="preserve">Porta.</w:t>
      </w:r>
    </w:p>
    <w:p>
      <w:pPr>
        <w:numPr>
          <w:ilvl w:val="0"/>
          <w:numId w:val="1008"/>
        </w:numPr>
        <w:pStyle w:val="Compact"/>
      </w:pPr>
      <w:r>
        <w:t xml:space="preserve">Usuário.</w:t>
      </w:r>
    </w:p>
    <w:p>
      <w:pPr>
        <w:numPr>
          <w:ilvl w:val="0"/>
          <w:numId w:val="1008"/>
        </w:numPr>
        <w:pStyle w:val="Compact"/>
      </w:pPr>
      <w:r>
        <w:t xml:space="preserve">Senha ou token.</w:t>
      </w:r>
    </w:p>
    <w:p>
      <w:pPr>
        <w:numPr>
          <w:ilvl w:val="0"/>
          <w:numId w:val="1008"/>
        </w:numPr>
        <w:pStyle w:val="Compact"/>
      </w:pPr>
      <w:r>
        <w:t xml:space="preserve">Remetente padrão.</w:t>
      </w:r>
    </w:p>
    <w:p>
      <w:pPr>
        <w:numPr>
          <w:ilvl w:val="0"/>
          <w:numId w:val="1008"/>
        </w:numPr>
        <w:pStyle w:val="Compact"/>
      </w:pPr>
      <w:r>
        <w:t xml:space="preserve">TLS/SSL conforme provedor.</w:t>
      </w:r>
    </w:p>
    <w:p>
      <w:pPr>
        <w:numPr>
          <w:ilvl w:val="0"/>
          <w:numId w:val="1008"/>
        </w:numPr>
        <w:pStyle w:val="Compact"/>
      </w:pPr>
      <w:r>
        <w:t xml:space="preserve">Teste de envio.</w:t>
      </w:r>
    </w:p>
    <w:bookmarkEnd w:id="25"/>
    <w:bookmarkStart w:id="26" w:name="integrações"/>
    <w:p>
      <w:pPr>
        <w:pStyle w:val="Heading2"/>
      </w:pPr>
      <w:r>
        <w:t xml:space="preserve">Integrações</w:t>
      </w:r>
    </w:p>
    <w:p>
      <w:pPr>
        <w:pStyle w:val="FirstParagraph"/>
      </w:pPr>
      <w:r>
        <w:t xml:space="preserve">Centraliza parâmetros para integrações de negócio e técnicas.</w:t>
      </w:r>
    </w:p>
    <w:p>
      <w:pPr>
        <w:pStyle w:val="BodyText"/>
      </w:pPr>
      <w:r>
        <w:t xml:space="preserve">Exemplos:</w:t>
      </w:r>
    </w:p>
    <w:p>
      <w:pPr>
        <w:numPr>
          <w:ilvl w:val="0"/>
          <w:numId w:val="1009"/>
        </w:numPr>
        <w:pStyle w:val="Compact"/>
      </w:pPr>
      <w:r>
        <w:t xml:space="preserve">OMIE.</w:t>
      </w:r>
    </w:p>
    <w:p>
      <w:pPr>
        <w:numPr>
          <w:ilvl w:val="0"/>
          <w:numId w:val="1009"/>
        </w:numPr>
        <w:pStyle w:val="Compact"/>
      </w:pPr>
      <w:r>
        <w:t xml:space="preserve">Zabbix.</w:t>
      </w:r>
    </w:p>
    <w:p>
      <w:pPr>
        <w:numPr>
          <w:ilvl w:val="0"/>
          <w:numId w:val="1009"/>
        </w:numPr>
        <w:pStyle w:val="Compact"/>
      </w:pPr>
      <w:r>
        <w:t xml:space="preserve">Proxmox.</w:t>
      </w:r>
    </w:p>
    <w:p>
      <w:pPr>
        <w:numPr>
          <w:ilvl w:val="0"/>
          <w:numId w:val="1009"/>
        </w:numPr>
        <w:pStyle w:val="Compact"/>
      </w:pPr>
      <w:r>
        <w:t xml:space="preserve">PBS.</w:t>
      </w:r>
    </w:p>
    <w:p>
      <w:pPr>
        <w:numPr>
          <w:ilvl w:val="0"/>
          <w:numId w:val="1009"/>
        </w:numPr>
        <w:pStyle w:val="Compact"/>
      </w:pPr>
      <w:r>
        <w:t xml:space="preserve">TrueNAS.</w:t>
      </w:r>
    </w:p>
    <w:p>
      <w:pPr>
        <w:pStyle w:val="FirstParagraph"/>
      </w:pPr>
      <w:r>
        <w:t xml:space="preserve">Cuidados:</w:t>
      </w:r>
    </w:p>
    <w:p>
      <w:pPr>
        <w:numPr>
          <w:ilvl w:val="0"/>
          <w:numId w:val="1010"/>
        </w:numPr>
        <w:pStyle w:val="Compact"/>
      </w:pPr>
      <w:r>
        <w:t xml:space="preserve">Usar URLs corretas.</w:t>
      </w:r>
    </w:p>
    <w:p>
      <w:pPr>
        <w:numPr>
          <w:ilvl w:val="0"/>
          <w:numId w:val="1010"/>
        </w:numPr>
        <w:pStyle w:val="Compact"/>
      </w:pPr>
      <w:r>
        <w:t xml:space="preserve">Validar credenciais.</w:t>
      </w:r>
    </w:p>
    <w:p>
      <w:pPr>
        <w:numPr>
          <w:ilvl w:val="0"/>
          <w:numId w:val="1010"/>
        </w:numPr>
        <w:pStyle w:val="Compact"/>
      </w:pPr>
      <w:r>
        <w:t xml:space="preserve">Não expor segredos em prints ou documentos.</w:t>
      </w:r>
    </w:p>
    <w:p>
      <w:pPr>
        <w:numPr>
          <w:ilvl w:val="0"/>
          <w:numId w:val="1010"/>
        </w:numPr>
        <w:pStyle w:val="Compact"/>
      </w:pPr>
      <w:r>
        <w:t xml:space="preserve">Registrar alterações críticas.</w:t>
      </w:r>
    </w:p>
    <w:bookmarkEnd w:id="26"/>
    <w:bookmarkStart w:id="27" w:name="cache"/>
    <w:p>
      <w:pPr>
        <w:pStyle w:val="Heading2"/>
      </w:pPr>
      <w:r>
        <w:t xml:space="preserve">Cache</w:t>
      </w:r>
    </w:p>
    <w:p>
      <w:pPr>
        <w:pStyle w:val="FirstParagraph"/>
      </w:pPr>
      <w:r>
        <w:t xml:space="preserve">Controla retenção e limpeza de dados temporários ou sincronizados.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11"/>
        </w:numPr>
        <w:pStyle w:val="Compact"/>
      </w:pPr>
      <w:r>
        <w:t xml:space="preserve">Limpar cache apenas quando houver necessidade operacional.</w:t>
      </w:r>
    </w:p>
    <w:p>
      <w:pPr>
        <w:numPr>
          <w:ilvl w:val="0"/>
          <w:numId w:val="1011"/>
        </w:numPr>
        <w:pStyle w:val="Compact"/>
      </w:pPr>
      <w:r>
        <w:t xml:space="preserve">Validar impacto em dashboards e relatórios.</w:t>
      </w:r>
    </w:p>
    <w:bookmarkEnd w:id="27"/>
    <w:bookmarkStart w:id="28" w:name="sincronismos"/>
    <w:p>
      <w:pPr>
        <w:pStyle w:val="Heading2"/>
      </w:pPr>
      <w:r>
        <w:t xml:space="preserve">Sincronismos</w:t>
      </w:r>
    </w:p>
    <w:p>
      <w:pPr>
        <w:pStyle w:val="FirstParagraph"/>
      </w:pPr>
      <w:r>
        <w:t xml:space="preserve">Controla automações e rotinas agendadas de integração.</w:t>
      </w:r>
    </w:p>
    <w:p>
      <w:pPr>
        <w:pStyle w:val="BodyText"/>
      </w:pPr>
      <w:r>
        <w:t xml:space="preserve">Boas práticas:</w:t>
      </w:r>
    </w:p>
    <w:p>
      <w:pPr>
        <w:numPr>
          <w:ilvl w:val="0"/>
          <w:numId w:val="1012"/>
        </w:numPr>
        <w:pStyle w:val="Compact"/>
      </w:pPr>
      <w:r>
        <w:t xml:space="preserve">Verificar última execução.</w:t>
      </w:r>
    </w:p>
    <w:p>
      <w:pPr>
        <w:numPr>
          <w:ilvl w:val="0"/>
          <w:numId w:val="1012"/>
        </w:numPr>
        <w:pStyle w:val="Compact"/>
      </w:pPr>
      <w:r>
        <w:t xml:space="preserve">Investigar falhas recorrentes.</w:t>
      </w:r>
    </w:p>
    <w:p>
      <w:pPr>
        <w:numPr>
          <w:ilvl w:val="0"/>
          <w:numId w:val="1012"/>
        </w:numPr>
        <w:pStyle w:val="Compact"/>
      </w:pPr>
      <w:r>
        <w:t xml:space="preserve">Ajustar periodicidade conforme criticidade dos dados.</w:t>
      </w:r>
    </w:p>
    <w:bookmarkEnd w:id="28"/>
    <w:bookmarkStart w:id="29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Permite consultar ações relevantes executadas no sistema.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13"/>
        </w:numPr>
        <w:pStyle w:val="Compact"/>
      </w:pPr>
      <w:r>
        <w:t xml:space="preserve">Investigar alterações críticas.</w:t>
      </w:r>
    </w:p>
    <w:p>
      <w:pPr>
        <w:numPr>
          <w:ilvl w:val="0"/>
          <w:numId w:val="1013"/>
        </w:numPr>
        <w:pStyle w:val="Compact"/>
      </w:pPr>
      <w:r>
        <w:t xml:space="preserve">Conferir usuário executor.</w:t>
      </w:r>
    </w:p>
    <w:p>
      <w:pPr>
        <w:numPr>
          <w:ilvl w:val="0"/>
          <w:numId w:val="1013"/>
        </w:numPr>
        <w:pStyle w:val="Compact"/>
      </w:pPr>
      <w:r>
        <w:t xml:space="preserve">Apoiar governança e segurança.</w:t>
      </w:r>
    </w:p>
    <w:bookmarkEnd w:id="29"/>
    <w:bookmarkStart w:id="30" w:name="backups-do-sistema"/>
    <w:p>
      <w:pPr>
        <w:pStyle w:val="Heading2"/>
      </w:pPr>
      <w:r>
        <w:t xml:space="preserve">Backups do Sistema</w:t>
      </w:r>
    </w:p>
    <w:p>
      <w:pPr>
        <w:pStyle w:val="FirstParagraph"/>
      </w:pPr>
      <w:r>
        <w:t xml:space="preserve">Permite gerar, baixar e restaurar backups conforme permissão.</w:t>
      </w:r>
    </w:p>
    <w:p>
      <w:pPr>
        <w:pStyle w:val="BodyText"/>
      </w:pPr>
      <w:r>
        <w:t xml:space="preserve">Essa rotina é crítica e deve seguir o manual específico de Backup, Restore e Atualizações.</w:t>
      </w:r>
    </w:p>
    <w:bookmarkEnd w:id="30"/>
    <w:bookmarkStart w:id="31" w:name="atualizações-do-sistema"/>
    <w:p>
      <w:pPr>
        <w:pStyle w:val="Heading2"/>
      </w:pPr>
      <w:r>
        <w:t xml:space="preserve">Atualizações do Sistema</w:t>
      </w:r>
    </w:p>
    <w:p>
      <w:pPr>
        <w:pStyle w:val="FirstParagraph"/>
      </w:pPr>
      <w:r>
        <w:t xml:space="preserve">Permite aplicar novas versões publicadas no GitHub, principalmente na branch Beta.</w:t>
      </w:r>
    </w:p>
    <w:p>
      <w:pPr>
        <w:pStyle w:val="BodyText"/>
      </w:pPr>
      <w:r>
        <w:t xml:space="preserve">Essa rotina deve ser usada apenas por administradores e em janela controlada.</w:t>
      </w:r>
    </w:p>
    <w:bookmarkEnd w:id="31"/>
    <w:bookmarkStart w:id="32" w:name="erros-comuns"/>
    <w:p>
      <w:pPr>
        <w:pStyle w:val="Heading2"/>
      </w:pPr>
      <w:r>
        <w:t xml:space="preserve">Erros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 não recebe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incorreto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configuração de e-mail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 vê menu indevido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amplo demais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permissões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URL, credencial ou 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Testar conexão 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Atualização não inicia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 sudoers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runner de atualização</w:t>
            </w:r>
          </w:p>
        </w:tc>
      </w:tr>
    </w:tbl>
    <w:bookmarkEnd w:id="32"/>
    <w:bookmarkStart w:id="33" w:name="boas-práticas"/>
    <w:p>
      <w:pPr>
        <w:pStyle w:val="Heading2"/>
      </w:pPr>
      <w:r>
        <w:t xml:space="preserve">Boas práticas</w:t>
      </w:r>
    </w:p>
    <w:p>
      <w:pPr>
        <w:numPr>
          <w:ilvl w:val="0"/>
          <w:numId w:val="1014"/>
        </w:numPr>
        <w:pStyle w:val="Compact"/>
      </w:pPr>
      <w:r>
        <w:t xml:space="preserve">Documentar alterações administrativas relevantes.</w:t>
      </w:r>
    </w:p>
    <w:p>
      <w:pPr>
        <w:numPr>
          <w:ilvl w:val="0"/>
          <w:numId w:val="1014"/>
        </w:numPr>
        <w:pStyle w:val="Compact"/>
      </w:pPr>
      <w:r>
        <w:t xml:space="preserve">Usar usuários individuais para rastreabilidade.</w:t>
      </w:r>
    </w:p>
    <w:p>
      <w:pPr>
        <w:numPr>
          <w:ilvl w:val="0"/>
          <w:numId w:val="1014"/>
        </w:numPr>
        <w:pStyle w:val="Compact"/>
      </w:pPr>
      <w:r>
        <w:t xml:space="preserve">Fazer backup antes de mudanças críticas.</w:t>
      </w:r>
    </w:p>
    <w:p>
      <w:pPr>
        <w:numPr>
          <w:ilvl w:val="0"/>
          <w:numId w:val="1014"/>
        </w:numPr>
        <w:pStyle w:val="Compact"/>
      </w:pPr>
      <w:r>
        <w:t xml:space="preserve">Restringir acesso a integrações, backup e atualização.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2026-08-15T19:04:18Z</dcterms:created>
  <dcterms:modified xsi:type="dcterms:W3CDTF">2026-08-15T19:04:18Z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