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Arial" w:cs="Arial" w:eastAsia="Arial" w:hAnsi="Arial"/>
          <w:b/>
          <w:bCs/>
          <w:color w:val="1E2761"/>
          <w:sz w:val="24"/>
          <w:szCs w:val="24"/>
        </w:rPr>
        <w:t xml:space="preserve">UNIVERSIDAD JORGE TADEO LOZANO</w:t>
      </w:r>
    </w:p>
    <w:p>
      <w:pPr>
        <w:spacing w:after="60"/>
        <w:jc w:val="center"/>
      </w:pPr>
      <w:r>
        <w:rPr>
          <w:rFonts w:ascii="Arial" w:cs="Arial" w:eastAsia="Arial" w:hAnsi="Arial"/>
          <w:color w:val="13315C"/>
          <w:sz w:val="22"/>
          <w:szCs w:val="22"/>
        </w:rPr>
        <w:t xml:space="preserve">Facultad de Ciencias Naturales e Ingeniería</w:t>
      </w:r>
    </w:p>
    <w:p>
      <w:pPr>
        <w:spacing w:after="800"/>
        <w:jc w:val="center"/>
      </w:pPr>
      <w:r>
        <w:rPr>
          <w:rFonts w:ascii="Arial" w:cs="Arial" w:eastAsia="Arial" w:hAnsi="Arial"/>
          <w:color w:val="13315C"/>
          <w:sz w:val="22"/>
          <w:szCs w:val="22"/>
        </w:rPr>
        <w:t xml:space="preserve">Inteligencia Artificial 2026-1S   |   Docente: Jorge Romero</w:t>
      </w:r>
    </w:p>
    <w:p>
      <w:pPr>
        <w:spacing w:after="100" w:before="200"/>
        <w:jc w:val="center"/>
      </w:pPr>
      <w:r>
        <w:rPr>
          <w:rFonts w:ascii="Arial" w:cs="Arial" w:eastAsia="Arial" w:hAnsi="Arial"/>
          <w:b/>
          <w:bCs/>
          <w:color w:val="1E2761"/>
          <w:sz w:val="26"/>
          <w:szCs w:val="26"/>
        </w:rPr>
        <w:t xml:space="preserve">INFORME TÉCNICO — CORTE 3</w:t>
      </w:r>
    </w:p>
    <w:p>
      <w:pPr>
        <w:spacing w:after="500"/>
        <w:jc w:val="center"/>
      </w:pPr>
      <w:r>
        <w:rPr>
          <w:rFonts w:ascii="Arial" w:cs="Arial" w:eastAsia="Arial" w:hAnsi="Arial"/>
          <w:i/>
          <w:iCs/>
          <w:color w:val="13315C"/>
          <w:sz w:val="22"/>
          <w:szCs w:val="22"/>
        </w:rPr>
        <w:t xml:space="preserve">Implementación del Proyecto de Aplicación de IA</w:t>
      </w:r>
    </w:p>
    <w:p>
      <w:pPr>
        <w:spacing w:after="200" w:before="200"/>
        <w:jc w:val="center"/>
      </w:pPr>
      <w:r>
        <w:rPr>
          <w:rFonts w:ascii="Arial Black" w:cs="Arial Black" w:eastAsia="Arial Black" w:hAnsi="Arial Black"/>
          <w:b/>
          <w:bCs/>
          <w:color w:val="1E2761"/>
          <w:sz w:val="40"/>
          <w:szCs w:val="40"/>
        </w:rPr>
        <w:t xml:space="preserve">Detección de Fraude Transaccional en Tiempo Real</w:t>
      </w:r>
    </w:p>
    <w:p>
      <w:pPr>
        <w:spacing w:after="800"/>
        <w:jc w:val="center"/>
      </w:pPr>
      <w:r>
        <w:rPr>
          <w:rFonts w:ascii="Arial" w:cs="Arial" w:eastAsia="Arial" w:hAnsi="Arial"/>
          <w:i/>
          <w:iCs/>
          <w:color w:val="13315C"/>
          <w:sz w:val="24"/>
          <w:szCs w:val="24"/>
        </w:rPr>
        <w:t xml:space="preserve">con XGBoost + Optuna sobre el dataset IEEE-CIS Fraud Detection</w:t>
      </w:r>
    </w:p>
    <w:p>
      <w:pPr>
        <w:spacing w:after="60" w:before="600"/>
        <w:jc w:val="center"/>
      </w:pPr>
      <w:r>
        <w:rPr>
          <w:rFonts w:ascii="Arial" w:cs="Arial" w:eastAsia="Arial" w:hAnsi="Arial"/>
          <w:b/>
          <w:bCs/>
          <w:color w:val="1E2761"/>
          <w:sz w:val="22"/>
          <w:szCs w:val="22"/>
        </w:rPr>
        <w:t xml:space="preserve">Autoras</w:t>
      </w:r>
    </w:p>
    <w:p>
      <w:pPr>
        <w:spacing w:after="20"/>
        <w:jc w:val="center"/>
      </w:pPr>
      <w:r>
        <w:rPr>
          <w:rFonts w:ascii="Arial" w:cs="Arial" w:eastAsia="Arial" w:hAnsi="Arial"/>
          <w:sz w:val="22"/>
          <w:szCs w:val="22"/>
        </w:rPr>
        <w:t xml:space="preserve">Gabriela Cabrera</w:t>
      </w:r>
    </w:p>
    <w:p>
      <w:pPr>
        <w:spacing w:after="600"/>
        <w:jc w:val="center"/>
      </w:pPr>
      <w:r>
        <w:rPr>
          <w:rFonts w:ascii="Arial" w:cs="Arial" w:eastAsia="Arial" w:hAnsi="Arial"/>
          <w:sz w:val="22"/>
          <w:szCs w:val="22"/>
        </w:rPr>
        <w:t xml:space="preserve">Jessica Rivera</w:t>
      </w:r>
    </w:p>
    <w:p>
      <w:pPr>
        <w:spacing w:after="0" w:before="1200"/>
        <w:jc w:val="center"/>
      </w:pPr>
      <w:r>
        <w:rPr>
          <w:rFonts w:ascii="Arial" w:cs="Arial" w:eastAsia="Arial" w:hAnsi="Arial"/>
          <w:color w:val="444444"/>
          <w:sz w:val="20"/>
          <w:szCs w:val="20"/>
        </w:rPr>
        <w:t xml:space="preserve">Bogotá D.C. — Mayo de 2026</w:t>
      </w:r>
    </w:p>
    <w:p>
      <w:pPr>
        <w:pageBreakBefore/>
      </w:pPr>
      <w:r>
        <w:t xml:space="preserve"/>
      </w:r>
    </w:p>
    <w:p>
      <w:pPr>
        <w:pStyle w:val="Heading1"/>
        <w:spacing w:after="140" w:before="320"/>
      </w:pPr>
      <w:r>
        <w:rPr>
          <w:rFonts w:ascii="Arial" w:cs="Arial" w:eastAsia="Arial" w:hAnsi="Arial"/>
          <w:b/>
          <w:bCs/>
          <w:color w:val="1E2761"/>
          <w:sz w:val="30"/>
          <w:szCs w:val="30"/>
        </w:rPr>
        <w:t xml:space="preserve">1. Resumen ejecutivo</w:t>
      </w:r>
    </w:p>
    <w:p>
      <w:pPr>
        <w:spacing w:after="120" w:before="0" w:line="300"/>
        <w:jc w:val="both"/>
      </w:pPr>
      <w:r>
        <w:rPr>
          <w:rFonts w:ascii="Arial" w:cs="Arial" w:eastAsia="Arial" w:hAnsi="Arial"/>
          <w:b w:val="false"/>
          <w:bCs w:val="false"/>
          <w:i w:val="false"/>
          <w:iCs w:val="false"/>
          <w:color w:val="000000"/>
          <w:sz w:val="22"/>
          <w:szCs w:val="22"/>
        </w:rPr>
        <w:t xml:space="preserve">Este informe documenta la implementación de un sistema de detección de fraude transaccional en tiempo real desarrollado como proyecto del Corte 3 del curso de Inteligencia Artificial. El problema que abordamos —el fraude en transacciones electrónicas— genera pérdidas operacionales que, según LexisNexis (2024), superan los 4 USD por cada dólar perdido directamente, considerando chargebacks, gestión de casos y fricción al cliente.</w:t>
      </w:r>
    </w:p>
    <w:p>
      <w:pPr>
        <w:spacing w:after="120" w:before="0" w:line="300"/>
        <w:jc w:val="both"/>
      </w:pPr>
      <w:r>
        <w:rPr>
          <w:rFonts w:ascii="Arial" w:cs="Arial" w:eastAsia="Arial" w:hAnsi="Arial"/>
          <w:b w:val="false"/>
          <w:bCs w:val="false"/>
          <w:i w:val="false"/>
          <w:iCs w:val="false"/>
          <w:color w:val="000000"/>
          <w:sz w:val="22"/>
          <w:szCs w:val="22"/>
        </w:rPr>
        <w:t xml:space="preserve">Partimos de un </w:t>
      </w:r>
      <w:r>
        <w:rPr>
          <w:rFonts w:ascii="Arial" w:cs="Arial" w:eastAsia="Arial" w:hAnsi="Arial"/>
          <w:b/>
          <w:bCs/>
          <w:i w:val="false"/>
          <w:iCs w:val="false"/>
          <w:color w:val="000000"/>
          <w:sz w:val="22"/>
          <w:szCs w:val="22"/>
        </w:rPr>
        <w:t xml:space="preserve">baseline de Regresión Logística</w:t>
      </w:r>
      <w:r>
        <w:rPr>
          <w:rFonts w:ascii="Arial" w:cs="Arial" w:eastAsia="Arial" w:hAnsi="Arial"/>
          <w:b w:val="false"/>
          <w:bCs w:val="false"/>
          <w:i w:val="false"/>
          <w:iCs w:val="false"/>
          <w:color w:val="000000"/>
          <w:sz w:val="22"/>
          <w:szCs w:val="22"/>
        </w:rPr>
        <w:t xml:space="preserve"> con balanced class weight (ROC-AUC = 0.763, PR-AUC = 0.182) e implementamos un </w:t>
      </w:r>
      <w:r>
        <w:rPr>
          <w:rFonts w:ascii="Arial" w:cs="Arial" w:eastAsia="Arial" w:hAnsi="Arial"/>
          <w:b/>
          <w:bCs/>
          <w:i w:val="false"/>
          <w:iCs w:val="false"/>
          <w:color w:val="000000"/>
          <w:sz w:val="22"/>
          <w:szCs w:val="22"/>
        </w:rPr>
        <w:t xml:space="preserve">modelo final XGBoost optimizado con Optuna</w:t>
      </w:r>
      <w:r>
        <w:rPr>
          <w:rFonts w:ascii="Arial" w:cs="Arial" w:eastAsia="Arial" w:hAnsi="Arial"/>
          <w:b w:val="false"/>
          <w:bCs w:val="false"/>
          <w:i w:val="false"/>
          <w:iCs w:val="false"/>
          <w:color w:val="000000"/>
          <w:sz w:val="22"/>
          <w:szCs w:val="22"/>
        </w:rPr>
        <w:t xml:space="preserve"> sobre 17 features inspiradas en las 433 columnas reales del dataset IEEE-CIS, alcanzando ROC-AUC = 0.973 y PR-AUC = 0.612 en el conjunto de test (partición temporal 70/15/15).</w:t>
      </w:r>
    </w:p>
    <w:p>
      <w:pPr>
        <w:spacing w:after="120" w:before="0" w:line="300"/>
        <w:jc w:val="both"/>
      </w:pPr>
      <w:r>
        <w:rPr>
          <w:rFonts w:ascii="Arial" w:cs="Arial" w:eastAsia="Arial" w:hAnsi="Arial"/>
          <w:b w:val="false"/>
          <w:bCs w:val="false"/>
          <w:i w:val="false"/>
          <w:iCs w:val="false"/>
          <w:color w:val="000000"/>
          <w:sz w:val="22"/>
          <w:szCs w:val="22"/>
        </w:rPr>
        <w:t xml:space="preserve">La demo Gradio simula una pasarela de checkout completa con 14 campos (monto, producto, tarjeta, país, ciudad, billing/shipping match, dominio de email, intentos previos, dispositivo, OS, navegador, hora, día, distancia IP-billing) y entrega tres decisiones —</w:t>
      </w:r>
      <w:r>
        <w:rPr>
          <w:rFonts w:ascii="Arial" w:cs="Arial" w:eastAsia="Arial" w:hAnsi="Arial"/>
          <w:b/>
          <w:bCs/>
          <w:i w:val="false"/>
          <w:iCs w:val="false"/>
          <w:color w:val="000000"/>
          <w:sz w:val="22"/>
          <w:szCs w:val="22"/>
        </w:rPr>
        <w:t xml:space="preserve">APROBADA / REVISIÓN / BLOQUEADA</w:t>
      </w:r>
      <w:r>
        <w:rPr>
          <w:rFonts w:ascii="Arial" w:cs="Arial" w:eastAsia="Arial" w:hAnsi="Arial"/>
          <w:b w:val="false"/>
          <w:bCs w:val="false"/>
          <w:i w:val="false"/>
          <w:iCs w:val="false"/>
          <w:color w:val="000000"/>
          <w:sz w:val="22"/>
          <w:szCs w:val="22"/>
        </w:rPr>
        <w:t xml:space="preserve">— en menos de 200 ms, con explicación trazable de las features que vio el modelo. El proyecto demuestra la viabilidad de un sistema antifraude basado en gradient boosting con tuning bayesiano para el contexto colombiano de pagos en línea.</w:t>
      </w:r>
    </w:p>
    <w:p>
      <w:pPr>
        <w:pStyle w:val="Heading1"/>
        <w:spacing w:after="140" w:before="320"/>
      </w:pPr>
      <w:r>
        <w:rPr>
          <w:rFonts w:ascii="Arial" w:cs="Arial" w:eastAsia="Arial" w:hAnsi="Arial"/>
          <w:b/>
          <w:bCs/>
          <w:color w:val="1E2761"/>
          <w:sz w:val="30"/>
          <w:szCs w:val="30"/>
        </w:rPr>
        <w:t xml:space="preserve">2. Formulación técnica del problema</w:t>
      </w:r>
    </w:p>
    <w:p>
      <w:pPr>
        <w:pStyle w:val="Heading2"/>
        <w:spacing w:after="80" w:before="200"/>
      </w:pPr>
      <w:r>
        <w:rPr>
          <w:rFonts w:ascii="Arial" w:cs="Arial" w:eastAsia="Arial" w:hAnsi="Arial"/>
          <w:b/>
          <w:bCs/>
          <w:color w:val="13315C"/>
          <w:sz w:val="24"/>
          <w:szCs w:val="24"/>
        </w:rPr>
        <w:t xml:space="preserve">2.1 Decisión que mejora el sistema con IA</w:t>
      </w:r>
    </w:p>
    <w:p>
      <w:pPr>
        <w:spacing w:after="120" w:before="0" w:line="300"/>
        <w:jc w:val="both"/>
      </w:pPr>
      <w:r>
        <w:rPr>
          <w:rFonts w:ascii="Arial" w:cs="Arial" w:eastAsia="Arial" w:hAnsi="Arial"/>
          <w:b w:val="false"/>
          <w:bCs w:val="false"/>
          <w:i w:val="false"/>
          <w:iCs w:val="false"/>
          <w:color w:val="000000"/>
          <w:sz w:val="22"/>
          <w:szCs w:val="22"/>
        </w:rPr>
        <w:t xml:space="preserve">Un procesador de pagos enfrenta cada segundo cientos de transacciones de tarjeta de crédito/débito que debe </w:t>
      </w:r>
      <w:r>
        <w:rPr>
          <w:rFonts w:ascii="Arial" w:cs="Arial" w:eastAsia="Arial" w:hAnsi="Arial"/>
          <w:b/>
          <w:bCs/>
          <w:i w:val="false"/>
          <w:iCs w:val="false"/>
          <w:color w:val="000000"/>
          <w:sz w:val="22"/>
          <w:szCs w:val="22"/>
        </w:rPr>
        <w:t xml:space="preserve">aprobar, retener para verificación o bloquear</w:t>
      </w:r>
      <w:r>
        <w:rPr>
          <w:rFonts w:ascii="Arial" w:cs="Arial" w:eastAsia="Arial" w:hAnsi="Arial"/>
          <w:b w:val="false"/>
          <w:bCs w:val="false"/>
          <w:i w:val="false"/>
          <w:iCs w:val="false"/>
          <w:color w:val="000000"/>
          <w:sz w:val="22"/>
          <w:szCs w:val="22"/>
        </w:rPr>
        <w:t xml:space="preserve">. Las reglas heurísticas tradicionales (listas negras, umbrales fijos sobre monto, restricciones geográficas) producen muchos falsos positivos —rechazan compras legítimas que generan fricción y abandono— y al mismo tiempo dejan pasar fraudes sofisticados que combinan señales débiles. La </w:t>
      </w:r>
      <w:r>
        <w:rPr>
          <w:rFonts w:ascii="Arial" w:cs="Arial" w:eastAsia="Arial" w:hAnsi="Arial"/>
          <w:b w:val="false"/>
          <w:bCs w:val="false"/>
          <w:i/>
          <w:iCs/>
          <w:color w:val="000000"/>
          <w:sz w:val="22"/>
          <w:szCs w:val="22"/>
        </w:rPr>
        <w:t xml:space="preserve">decisión apoyada por IA</w:t>
      </w:r>
      <w:r>
        <w:rPr>
          <w:rFonts w:ascii="Arial" w:cs="Arial" w:eastAsia="Arial" w:hAnsi="Arial"/>
          <w:b w:val="false"/>
          <w:bCs w:val="false"/>
          <w:i w:val="false"/>
          <w:iCs w:val="false"/>
          <w:color w:val="000000"/>
          <w:sz w:val="22"/>
          <w:szCs w:val="22"/>
        </w:rPr>
        <w:t xml:space="preserve"> es: dado un vector de features describiendo una transacción individual, ¿cuál es la probabilidad de fraude y qué acción operacional corresponde?</w:t>
      </w:r>
    </w:p>
    <w:p>
      <w:pPr>
        <w:pStyle w:val="Heading2"/>
        <w:spacing w:after="80" w:before="200"/>
      </w:pPr>
      <w:r>
        <w:rPr>
          <w:rFonts w:ascii="Arial" w:cs="Arial" w:eastAsia="Arial" w:hAnsi="Arial"/>
          <w:b/>
          <w:bCs/>
          <w:color w:val="13315C"/>
          <w:sz w:val="24"/>
          <w:szCs w:val="24"/>
        </w:rPr>
        <w:t xml:space="preserve">2.2 Caso real y usuario objetivo</w:t>
      </w:r>
    </w:p>
    <w:p>
      <w:pPr>
        <w:spacing w:after="120" w:before="0" w:line="300"/>
        <w:jc w:val="both"/>
      </w:pPr>
      <w:r>
        <w:rPr>
          <w:rFonts w:ascii="Arial" w:cs="Arial" w:eastAsia="Arial" w:hAnsi="Arial"/>
          <w:b w:val="false"/>
          <w:bCs w:val="false"/>
          <w:i w:val="false"/>
          <w:iCs w:val="false"/>
          <w:color w:val="000000"/>
          <w:sz w:val="22"/>
          <w:szCs w:val="22"/>
        </w:rPr>
        <w:t xml:space="preserve">Usuario objetivo: </w:t>
      </w:r>
      <w:r>
        <w:rPr>
          <w:rFonts w:ascii="Arial" w:cs="Arial" w:eastAsia="Arial" w:hAnsi="Arial"/>
          <w:b/>
          <w:bCs/>
          <w:i w:val="false"/>
          <w:iCs w:val="false"/>
          <w:color w:val="000000"/>
          <w:sz w:val="22"/>
          <w:szCs w:val="22"/>
        </w:rPr>
        <w:t xml:space="preserve">analista antifraude</w:t>
      </w:r>
      <w:r>
        <w:rPr>
          <w:rFonts w:ascii="Arial" w:cs="Arial" w:eastAsia="Arial" w:hAnsi="Arial"/>
          <w:b w:val="false"/>
          <w:bCs w:val="false"/>
          <w:i w:val="false"/>
          <w:iCs w:val="false"/>
          <w:color w:val="000000"/>
          <w:sz w:val="22"/>
          <w:szCs w:val="22"/>
        </w:rPr>
        <w:t xml:space="preserve"> de una pasarela de pagos colombiana (PSE, PayU, Mercado Pago) que necesita un dashboard que reciba la transacción, retorne un score de riesgo y proponga una acción. La decisión llega en una API REST que el sistema de pagos invoca durante la confirmación del checkout —antes de capturar fondos al banco emisor— por lo que la latencia debe estar por debajo de 200 ms.</w:t>
      </w:r>
    </w:p>
    <w:p>
      <w:pPr>
        <w:pStyle w:val="Heading2"/>
        <w:spacing w:after="80" w:before="200"/>
      </w:pPr>
      <w:r>
        <w:rPr>
          <w:rFonts w:ascii="Arial" w:cs="Arial" w:eastAsia="Arial" w:hAnsi="Arial"/>
          <w:b/>
          <w:bCs/>
          <w:color w:val="13315C"/>
          <w:sz w:val="24"/>
          <w:szCs w:val="24"/>
        </w:rPr>
        <w:t xml:space="preserve">2.3 Impacto esperado</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Reducción de pérdidas directas por fraude (línea base ~3.5% de transacciones, ~$25k diarios en escenarios reales).</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Disminución del costo de gestión manual: en lugar de revisar todas las transacciones bajo umbral fijo, el analista solo ve las clasificadas como REVISIÓN (banda intermedia 0.30 ≤ p &lt; 0.70).</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Mejora de la tasa de aprobación legítima: menos rechazos a clientes válidos.</w:t>
      </w:r>
    </w:p>
    <w:p>
      <w:pPr>
        <w:pStyle w:val="Heading1"/>
        <w:spacing w:after="140" w:before="320"/>
      </w:pPr>
      <w:r>
        <w:rPr>
          <w:rFonts w:ascii="Arial" w:cs="Arial" w:eastAsia="Arial" w:hAnsi="Arial"/>
          <w:b/>
          <w:bCs/>
          <w:color w:val="1E2761"/>
          <w:sz w:val="30"/>
          <w:szCs w:val="30"/>
        </w:rPr>
        <w:t xml:space="preserve">3. Datos y preprocesamiento</w:t>
      </w:r>
    </w:p>
    <w:p>
      <w:pPr>
        <w:pStyle w:val="Heading2"/>
        <w:spacing w:after="80" w:before="200"/>
      </w:pPr>
      <w:r>
        <w:rPr>
          <w:rFonts w:ascii="Arial" w:cs="Arial" w:eastAsia="Arial" w:hAnsi="Arial"/>
          <w:b/>
          <w:bCs/>
          <w:color w:val="13315C"/>
          <w:sz w:val="24"/>
          <w:szCs w:val="24"/>
        </w:rPr>
        <w:t xml:space="preserve">3.1 Fuente y volumen</w:t>
      </w:r>
    </w:p>
    <w:p>
      <w:pPr>
        <w:spacing w:after="120" w:before="0" w:line="300"/>
        <w:jc w:val="both"/>
      </w:pPr>
      <w:r>
        <w:rPr>
          <w:rFonts w:ascii="Arial" w:cs="Arial" w:eastAsia="Arial" w:hAnsi="Arial"/>
          <w:b w:val="false"/>
          <w:bCs w:val="false"/>
          <w:i w:val="false"/>
          <w:iCs w:val="false"/>
          <w:color w:val="000000"/>
          <w:sz w:val="22"/>
          <w:szCs w:val="22"/>
        </w:rPr>
        <w:t xml:space="preserve">Usamos el dataset público </w:t>
      </w:r>
      <w:r>
        <w:rPr>
          <w:rFonts w:ascii="Arial" w:cs="Arial" w:eastAsia="Arial" w:hAnsi="Arial"/>
          <w:b w:val="false"/>
          <w:bCs w:val="false"/>
          <w:i/>
          <w:iCs/>
          <w:color w:val="000000"/>
          <w:sz w:val="22"/>
          <w:szCs w:val="22"/>
        </w:rPr>
        <w:t xml:space="preserve">IEEE-CIS Fraud Detection</w:t>
      </w:r>
      <w:r>
        <w:rPr>
          <w:rFonts w:ascii="Arial" w:cs="Arial" w:eastAsia="Arial" w:hAnsi="Arial"/>
          <w:b w:val="false"/>
          <w:bCs w:val="false"/>
          <w:i w:val="false"/>
          <w:iCs w:val="false"/>
          <w:color w:val="000000"/>
          <w:sz w:val="22"/>
          <w:szCs w:val="22"/>
        </w:rPr>
        <w:t xml:space="preserve"> (Kaggle, 2019), ampliamente referenciado en literatura de detección de fraude. Contiene ~590.540 transacciones agregadas de un procesador real (Vesta Corporation), con dos tablas relacionables (Transaction e Identity) y un total de </w:t>
      </w:r>
      <w:r>
        <w:rPr>
          <w:rFonts w:ascii="Arial" w:cs="Arial" w:eastAsia="Arial" w:hAnsi="Arial"/>
          <w:b/>
          <w:bCs/>
          <w:i w:val="false"/>
          <w:iCs w:val="false"/>
          <w:color w:val="000000"/>
          <w:sz w:val="22"/>
          <w:szCs w:val="22"/>
        </w:rPr>
        <w:t xml:space="preserve">433 columnas</w:t>
      </w:r>
      <w:r>
        <w:rPr>
          <w:rFonts w:ascii="Arial" w:cs="Arial" w:eastAsia="Arial" w:hAnsi="Arial"/>
          <w:b w:val="false"/>
          <w:bCs w:val="false"/>
          <w:i w:val="false"/>
          <w:iCs w:val="false"/>
          <w:color w:val="000000"/>
          <w:sz w:val="22"/>
          <w:szCs w:val="22"/>
        </w:rPr>
        <w:t xml:space="preserve">. La tasa base de fraude es </w:t>
      </w:r>
      <w:r>
        <w:rPr>
          <w:rFonts w:ascii="Arial" w:cs="Arial" w:eastAsia="Arial" w:hAnsi="Arial"/>
          <w:b/>
          <w:bCs/>
          <w:i w:val="false"/>
          <w:iCs w:val="false"/>
          <w:color w:val="000000"/>
          <w:sz w:val="22"/>
          <w:szCs w:val="22"/>
        </w:rPr>
        <w:t xml:space="preserve">3.499%</w:t>
      </w:r>
      <w:r>
        <w:rPr>
          <w:rFonts w:ascii="Arial" w:cs="Arial" w:eastAsia="Arial" w:hAnsi="Arial"/>
          <w:b w:val="false"/>
          <w:bCs w:val="false"/>
          <w:i w:val="false"/>
          <w:iCs w:val="false"/>
          <w:color w:val="000000"/>
          <w:sz w:val="22"/>
          <w:szCs w:val="22"/>
        </w:rPr>
        <w:t xml:space="preserve"> (20.663 fraudes / 590.540 transacciones), una clase fuertemente desbalanceada que condiciona la elección de métricas.</w:t>
      </w:r>
    </w:p>
    <w:p>
      <w:pPr>
        <w:pStyle w:val="Heading2"/>
        <w:spacing w:after="80" w:before="200"/>
      </w:pPr>
      <w:r>
        <w:rPr>
          <w:rFonts w:ascii="Arial" w:cs="Arial" w:eastAsia="Arial" w:hAnsi="Arial"/>
          <w:b/>
          <w:bCs/>
          <w:color w:val="13315C"/>
          <w:sz w:val="24"/>
          <w:szCs w:val="24"/>
        </w:rPr>
        <w:t xml:space="preserve">3.2 Estructura de las 433 columnas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Grupo</w:t>
            </w:r>
          </w:p>
        </w:tc>
        <w:tc>
          <w:tcPr>
            <w:tcW w:type="dxa" w:w="22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Columnas</w:t>
            </w:r>
          </w:p>
        </w:tc>
        <w:tc>
          <w:tcPr>
            <w:tcW w:type="dxa" w:w="50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Qué capturan</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Transacción base</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TransactionDT, TransactionAmt, ProductCD, isFraud</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Timestamp, monto, tipo de producto (W/C/H/R/S), target.</w:t>
            </w:r>
          </w:p>
        </w:tc>
      </w:tr>
      <w:tr>
        <w:tc>
          <w:tcPr>
            <w:tcW w:type="dxa" w:w="22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Tarjeta</w:t>
            </w:r>
          </w:p>
        </w:tc>
        <w:tc>
          <w:tcPr>
            <w:tcW w:type="dxa" w:w="22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card1 – card6</w:t>
            </w:r>
          </w:p>
        </w:tc>
        <w:tc>
          <w:tcPr>
            <w:tcW w:type="dxa" w:w="50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IDs anonimizados (BIN) + tipo (visa/mc/amex/discover) + crédito/débito.</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Dirección</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addr1, addr2, dist1, dist2</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Códigos de zona + distancias billing↔IP.</w:t>
            </w:r>
          </w:p>
        </w:tc>
      </w:tr>
      <w:tr>
        <w:tc>
          <w:tcPr>
            <w:tcW w:type="dxa" w:w="22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Email</w:t>
            </w:r>
          </w:p>
        </w:tc>
        <w:tc>
          <w:tcPr>
            <w:tcW w:type="dxa" w:w="22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P_emaildomain, R_emaildomain</w:t>
            </w:r>
          </w:p>
        </w:tc>
        <w:tc>
          <w:tcPr>
            <w:tcW w:type="dxa" w:w="50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Dominio del pagador/receptor. Temporales (mailinator, temp-mail) ~10× más fraude.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Conteos C</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C1 – C14</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Cuántas direcciones/tarjetas comparten un identificador → intentos múltiples.</w:t>
            </w:r>
          </w:p>
        </w:tc>
      </w:tr>
      <w:tr>
        <w:tc>
          <w:tcPr>
            <w:tcW w:type="dxa" w:w="22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Tiempo-delta D</w:t>
            </w:r>
          </w:p>
        </w:tc>
        <w:tc>
          <w:tcPr>
            <w:tcW w:type="dxa" w:w="22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D1 – D15</w:t>
            </w:r>
          </w:p>
        </w:tc>
        <w:tc>
          <w:tcPr>
            <w:tcW w:type="dxa" w:w="50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Días desde el último evento (última tx, etc.). Cuentas recientes = mayor riesgo.</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Match M</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M1 – M9</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Indicadores binarios de coincidencia (billing = shipping, etc.).</w:t>
            </w:r>
          </w:p>
        </w:tc>
      </w:tr>
      <w:tr>
        <w:tc>
          <w:tcPr>
            <w:tcW w:type="dxa" w:w="22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Anonimizadas V</w:t>
            </w:r>
          </w:p>
        </w:tc>
        <w:tc>
          <w:tcPr>
            <w:tcW w:type="dxa" w:w="22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V1 – V339</w:t>
            </w:r>
          </w:p>
        </w:tc>
        <w:tc>
          <w:tcPr>
            <w:tcW w:type="dxa" w:w="50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Features ingeniadas por Vesta (privadas). Top modelos de la competencia las usan intensamente.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Identidad</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id_01–id_38, DeviceType, DeviceInfo</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Browser, OS, dispositivo, conexión. Mobile + Android + browser raro = mayor riesgo.</w:t>
            </w:r>
          </w:p>
        </w:tc>
      </w:tr>
    </w:tbl>
    <w:p>
      <w:pPr>
        <w:spacing w:after="120"/>
      </w:pPr>
      <w:r>
        <w:t xml:space="preserve"/>
      </w:r>
    </w:p>
    <w:p>
      <w:pPr>
        <w:spacing w:after="160" w:before="40" w:line="240"/>
        <w:jc w:val="center"/>
      </w:pPr>
      <w:r>
        <w:rPr>
          <w:rFonts w:ascii="Arial" w:cs="Arial" w:eastAsia="Arial" w:hAnsi="Arial"/>
          <w:i/>
          <w:iCs/>
          <w:color w:val="444444"/>
          <w:sz w:val="18"/>
          <w:szCs w:val="18"/>
        </w:rPr>
        <w:t xml:space="preserve">Tabla 1. Estructura de las 433 columnas del dataset IEEE-CIS Fraud Detection.</w:t>
      </w:r>
    </w:p>
    <w:p>
      <w:pPr>
        <w:pStyle w:val="Heading2"/>
        <w:spacing w:after="80" w:before="200"/>
      </w:pPr>
      <w:r>
        <w:rPr>
          <w:rFonts w:ascii="Arial" w:cs="Arial" w:eastAsia="Arial" w:hAnsi="Arial"/>
          <w:b/>
          <w:bCs/>
          <w:color w:val="13315C"/>
          <w:sz w:val="24"/>
          <w:szCs w:val="24"/>
        </w:rPr>
        <w:t xml:space="preserve">3.3 Features derivadas (17) usadas en el modelo</w:t>
      </w:r>
    </w:p>
    <w:p>
      <w:pPr>
        <w:spacing w:after="120" w:before="0" w:line="300"/>
        <w:jc w:val="both"/>
      </w:pPr>
      <w:r>
        <w:rPr>
          <w:rFonts w:ascii="Arial" w:cs="Arial" w:eastAsia="Arial" w:hAnsi="Arial"/>
          <w:b w:val="false"/>
          <w:bCs w:val="false"/>
          <w:i w:val="false"/>
          <w:iCs w:val="false"/>
          <w:color w:val="000000"/>
          <w:sz w:val="22"/>
          <w:szCs w:val="22"/>
        </w:rPr>
        <w:t xml:space="preserve">Por restricciones de memoria del entorno Colab y por interpretabilidad, redujimos las 433 columnas originales a un subconjunto pragmático de </w:t>
      </w:r>
      <w:r>
        <w:rPr>
          <w:rFonts w:ascii="Arial" w:cs="Arial" w:eastAsia="Arial" w:hAnsi="Arial"/>
          <w:b/>
          <w:bCs/>
          <w:i w:val="false"/>
          <w:iCs w:val="false"/>
          <w:color w:val="000000"/>
          <w:sz w:val="22"/>
          <w:szCs w:val="22"/>
        </w:rPr>
        <w:t xml:space="preserve">17 features derivadas</w:t>
      </w:r>
      <w:r>
        <w:rPr>
          <w:rFonts w:ascii="Arial" w:cs="Arial" w:eastAsia="Arial" w:hAnsi="Arial"/>
          <w:b w:val="false"/>
          <w:bCs w:val="false"/>
          <w:i w:val="false"/>
          <w:iCs w:val="false"/>
          <w:color w:val="000000"/>
          <w:sz w:val="22"/>
          <w:szCs w:val="22"/>
        </w:rPr>
        <w:t xml:space="preserve"> distribuidas en cinco bloques:</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Monto y tiempo (7): </w:t>
      </w:r>
      <w:r>
        <w:rPr>
          <w:rFonts w:ascii="Arial" w:cs="Arial" w:eastAsia="Arial" w:hAnsi="Arial"/>
          <w:b w:val="false"/>
          <w:bCs w:val="false"/>
          <w:i w:val="false"/>
          <w:iCs w:val="false"/>
          <w:sz w:val="22"/>
          <w:szCs w:val="22"/>
        </w:rPr>
        <w:t xml:space="preserve">TransactionAmt, log_amt, amt_round, amt_decimals, small_amount, hour, day_of_week.</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Tarjeta/producto/ubicación (3): </w:t>
      </w:r>
      <w:r>
        <w:rPr>
          <w:rFonts w:ascii="Arial" w:cs="Arial" w:eastAsia="Arial" w:hAnsi="Arial"/>
          <w:b w:val="false"/>
          <w:bCs w:val="false"/>
          <w:i w:val="false"/>
          <w:iCs w:val="false"/>
          <w:sz w:val="22"/>
          <w:szCs w:val="22"/>
        </w:rPr>
        <w:t xml:space="preserve">card_tipo, product_cd, pais_riesgo.</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Email (1): </w:t>
      </w:r>
      <w:r>
        <w:rPr>
          <w:rFonts w:ascii="Arial" w:cs="Arial" w:eastAsia="Arial" w:hAnsi="Arial"/>
          <w:b w:val="false"/>
          <w:bCs w:val="false"/>
          <w:i w:val="false"/>
          <w:iCs w:val="false"/>
          <w:sz w:val="22"/>
          <w:szCs w:val="22"/>
        </w:rPr>
        <w:t xml:space="preserve">email_risk (1–5; gmail/icloud = 1, mailinator/temp-mail = 5).</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Dispositivo (3): </w:t>
      </w:r>
      <w:r>
        <w:rPr>
          <w:rFonts w:ascii="Arial" w:cs="Arial" w:eastAsia="Arial" w:hAnsi="Arial"/>
          <w:b w:val="false"/>
          <w:bCs w:val="false"/>
          <w:i w:val="false"/>
          <w:iCs w:val="false"/>
          <w:sz w:val="22"/>
          <w:szCs w:val="22"/>
        </w:rPr>
        <w:t xml:space="preserve">device_type, device_os_risk, browser_risk.</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Comportamiento de sesión (3): </w:t>
      </w:r>
      <w:r>
        <w:rPr>
          <w:rFonts w:ascii="Arial" w:cs="Arial" w:eastAsia="Arial" w:hAnsi="Arial"/>
          <w:b w:val="false"/>
          <w:bCs w:val="false"/>
          <w:i w:val="false"/>
          <w:iCs w:val="false"/>
          <w:sz w:val="22"/>
          <w:szCs w:val="22"/>
        </w:rPr>
        <w:t xml:space="preserve">billing_ship_match, prev_attempts_24h, ip_billing_distance.</w:t>
      </w:r>
    </w:p>
    <w:p>
      <w:pPr>
        <w:pStyle w:val="Heading2"/>
        <w:spacing w:after="80" w:before="200"/>
      </w:pPr>
      <w:r>
        <w:rPr>
          <w:rFonts w:ascii="Arial" w:cs="Arial" w:eastAsia="Arial" w:hAnsi="Arial"/>
          <w:b/>
          <w:bCs/>
          <w:color w:val="13315C"/>
          <w:sz w:val="24"/>
          <w:szCs w:val="24"/>
        </w:rPr>
        <w:t xml:space="preserve">3.4 Partición temporal (sin shuffle)</w:t>
      </w:r>
    </w:p>
    <w:p>
      <w:pPr>
        <w:spacing w:after="120" w:before="0" w:line="300"/>
        <w:jc w:val="both"/>
      </w:pPr>
      <w:r>
        <w:rPr>
          <w:rFonts w:ascii="Arial" w:cs="Arial" w:eastAsia="Arial" w:hAnsi="Arial"/>
          <w:b w:val="false"/>
          <w:bCs w:val="false"/>
          <w:i w:val="false"/>
          <w:iCs w:val="false"/>
          <w:color w:val="000000"/>
          <w:sz w:val="22"/>
          <w:szCs w:val="22"/>
        </w:rPr>
        <w:t xml:space="preserve">Dado el carácter cronológico de las transacciones, dividimos el dataset </w:t>
      </w:r>
      <w:r>
        <w:rPr>
          <w:rFonts w:ascii="Arial" w:cs="Arial" w:eastAsia="Arial" w:hAnsi="Arial"/>
          <w:b/>
          <w:bCs/>
          <w:i w:val="false"/>
          <w:iCs w:val="false"/>
          <w:color w:val="000000"/>
          <w:sz w:val="22"/>
          <w:szCs w:val="22"/>
        </w:rPr>
        <w:t xml:space="preserve">respetando estrictamente el orden de TransactionDT</w:t>
      </w:r>
      <w:r>
        <w:rPr>
          <w:rFonts w:ascii="Arial" w:cs="Arial" w:eastAsia="Arial" w:hAnsi="Arial"/>
          <w:b w:val="false"/>
          <w:bCs w:val="false"/>
          <w:i w:val="false"/>
          <w:iCs w:val="false"/>
          <w:color w:val="000000"/>
          <w:sz w:val="22"/>
          <w:szCs w:val="22"/>
        </w:rPr>
        <w:t xml:space="preserve"> para evitar </w:t>
      </w:r>
      <w:r>
        <w:rPr>
          <w:rFonts w:ascii="Arial" w:cs="Arial" w:eastAsia="Arial" w:hAnsi="Arial"/>
          <w:b w:val="false"/>
          <w:bCs w:val="false"/>
          <w:i/>
          <w:iCs/>
          <w:color w:val="000000"/>
          <w:sz w:val="22"/>
          <w:szCs w:val="22"/>
        </w:rPr>
        <w:t xml:space="preserve">data leakage</w:t>
      </w:r>
      <w:r>
        <w:rPr>
          <w:rFonts w:ascii="Arial" w:cs="Arial" w:eastAsia="Arial" w:hAnsi="Arial"/>
          <w:b w:val="false"/>
          <w:bCs w:val="false"/>
          <w:i w:val="false"/>
          <w:iCs w:val="false"/>
          <w:color w:val="000000"/>
          <w:sz w:val="22"/>
          <w:szCs w:val="22"/>
        </w:rPr>
        <w:t xml:space="preserve"> desde el futuro hacia el pasado:</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Train: </w:t>
      </w:r>
      <w:r>
        <w:rPr>
          <w:rFonts w:ascii="Arial" w:cs="Arial" w:eastAsia="Arial" w:hAnsi="Arial"/>
          <w:b w:val="false"/>
          <w:bCs w:val="false"/>
          <w:i w:val="false"/>
          <w:iCs w:val="false"/>
          <w:sz w:val="22"/>
          <w:szCs w:val="22"/>
        </w:rPr>
        <w:t xml:space="preserve">70% (~413.000 transacciones, las más antiguas).</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Validation: </w:t>
      </w:r>
      <w:r>
        <w:rPr>
          <w:rFonts w:ascii="Arial" w:cs="Arial" w:eastAsia="Arial" w:hAnsi="Arial"/>
          <w:b w:val="false"/>
          <w:bCs w:val="false"/>
          <w:i w:val="false"/>
          <w:iCs w:val="false"/>
          <w:sz w:val="22"/>
          <w:szCs w:val="22"/>
        </w:rPr>
        <w:t xml:space="preserve">15% (~88.500 transacciones, intermedias).</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Test: </w:t>
      </w:r>
      <w:r>
        <w:rPr>
          <w:rFonts w:ascii="Arial" w:cs="Arial" w:eastAsia="Arial" w:hAnsi="Arial"/>
          <w:b w:val="false"/>
          <w:bCs w:val="false"/>
          <w:i w:val="false"/>
          <w:iCs w:val="false"/>
          <w:sz w:val="22"/>
          <w:szCs w:val="22"/>
        </w:rPr>
        <w:t xml:space="preserve">15% (~88.500 transacciones, las más recientes; nunca se tocan durante entrenamiento).</w:t>
      </w:r>
    </w:p>
    <w:p>
      <w:pPr>
        <w:pStyle w:val="Heading2"/>
        <w:spacing w:after="80" w:before="200"/>
      </w:pPr>
      <w:r>
        <w:rPr>
          <w:rFonts w:ascii="Arial" w:cs="Arial" w:eastAsia="Arial" w:hAnsi="Arial"/>
          <w:b/>
          <w:bCs/>
          <w:color w:val="13315C"/>
          <w:sz w:val="24"/>
          <w:szCs w:val="24"/>
        </w:rPr>
        <w:t xml:space="preserve">3.5 Limitaciones, sesgos y supuestos</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Concept drift: </w:t>
      </w:r>
      <w:r>
        <w:rPr>
          <w:rFonts w:ascii="Arial" w:cs="Arial" w:eastAsia="Arial" w:hAnsi="Arial"/>
          <w:b w:val="false"/>
          <w:bCs w:val="false"/>
          <w:i w:val="false"/>
          <w:iCs w:val="false"/>
          <w:sz w:val="22"/>
          <w:szCs w:val="22"/>
        </w:rPr>
        <w:t xml:space="preserve">los patrones de fraude evolucionan en el tiempo; el modelo entrenado puede degradarse. La partición temporal hace explícito este riesgo.</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Anonimización: </w:t>
      </w:r>
      <w:r>
        <w:rPr>
          <w:rFonts w:ascii="Arial" w:cs="Arial" w:eastAsia="Arial" w:hAnsi="Arial"/>
          <w:b w:val="false"/>
          <w:bCs w:val="false"/>
          <w:i w:val="false"/>
          <w:iCs w:val="false"/>
          <w:sz w:val="22"/>
          <w:szCs w:val="22"/>
        </w:rPr>
        <w:t xml:space="preserve">las columnas V1-V339 están anonimizadas por Vesta; no podemos validar su semántica real. Por eso preferimos features derivadas interpretables.</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Sesgo geográfico: </w:t>
      </w:r>
      <w:r>
        <w:rPr>
          <w:rFonts w:ascii="Arial" w:cs="Arial" w:eastAsia="Arial" w:hAnsi="Arial"/>
          <w:b w:val="false"/>
          <w:bCs w:val="false"/>
          <w:i w:val="false"/>
          <w:iCs w:val="false"/>
          <w:sz w:val="22"/>
          <w:szCs w:val="22"/>
        </w:rPr>
        <w:t xml:space="preserve">el dataset está dominado por transacciones estadounidenses; la generalización a contextos latinoamericanos requiere fine-tuning con datos locales.</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Definición de fraude: </w:t>
      </w:r>
      <w:r>
        <w:rPr>
          <w:rFonts w:ascii="Arial" w:cs="Arial" w:eastAsia="Arial" w:hAnsi="Arial"/>
          <w:b w:val="false"/>
          <w:bCs w:val="false"/>
          <w:i w:val="false"/>
          <w:iCs w:val="false"/>
          <w:sz w:val="22"/>
          <w:szCs w:val="22"/>
        </w:rPr>
        <w:t xml:space="preserve">isFraud = 1 si hubo chargeback reportado por el banco, no incluye fraudes no reclamados.</w:t>
      </w:r>
    </w:p>
    <w:p>
      <w:pPr>
        <w:pStyle w:val="Heading1"/>
        <w:spacing w:after="140" w:before="320"/>
      </w:pPr>
      <w:r>
        <w:rPr>
          <w:rFonts w:ascii="Arial" w:cs="Arial" w:eastAsia="Arial" w:hAnsi="Arial"/>
          <w:b/>
          <w:bCs/>
          <w:color w:val="1E2761"/>
          <w:sz w:val="30"/>
          <w:szCs w:val="30"/>
        </w:rPr>
        <w:t xml:space="preserve">4. Implementación del baseline</w:t>
      </w:r>
    </w:p>
    <w:p>
      <w:pPr>
        <w:pStyle w:val="Heading2"/>
        <w:spacing w:after="80" w:before="200"/>
      </w:pPr>
      <w:r>
        <w:rPr>
          <w:rFonts w:ascii="Arial" w:cs="Arial" w:eastAsia="Arial" w:hAnsi="Arial"/>
          <w:b/>
          <w:bCs/>
          <w:color w:val="13315C"/>
          <w:sz w:val="24"/>
          <w:szCs w:val="24"/>
        </w:rPr>
        <w:t xml:space="preserve">4.1 Elección del modelo</w:t>
      </w:r>
    </w:p>
    <w:p>
      <w:pPr>
        <w:spacing w:after="120" w:before="0" w:line="300"/>
        <w:jc w:val="both"/>
      </w:pPr>
      <w:r>
        <w:rPr>
          <w:rFonts w:ascii="Arial" w:cs="Arial" w:eastAsia="Arial" w:hAnsi="Arial"/>
          <w:b w:val="false"/>
          <w:bCs w:val="false"/>
          <w:i w:val="false"/>
          <w:iCs w:val="false"/>
          <w:color w:val="000000"/>
          <w:sz w:val="22"/>
          <w:szCs w:val="22"/>
        </w:rPr>
        <w:t xml:space="preserve">Como baseline elegimos </w:t>
      </w:r>
      <w:r>
        <w:rPr>
          <w:rFonts w:ascii="Arial" w:cs="Arial" w:eastAsia="Arial" w:hAnsi="Arial"/>
          <w:b/>
          <w:bCs/>
          <w:i w:val="false"/>
          <w:iCs w:val="false"/>
          <w:color w:val="000000"/>
          <w:sz w:val="22"/>
          <w:szCs w:val="22"/>
        </w:rPr>
        <w:t xml:space="preserve">Regresión Logística</w:t>
      </w:r>
      <w:r>
        <w:rPr>
          <w:rFonts w:ascii="Arial" w:cs="Arial" w:eastAsia="Arial" w:hAnsi="Arial"/>
          <w:b w:val="false"/>
          <w:bCs w:val="false"/>
          <w:i w:val="false"/>
          <w:iCs w:val="false"/>
          <w:color w:val="000000"/>
          <w:sz w:val="22"/>
          <w:szCs w:val="22"/>
        </w:rPr>
        <w:t xml:space="preserve"> con regularización L2 y class_weight='balanced'. Razones: (i) es el clasificador supervisado más sencillo y rápido para datos tabulares binarios; (ii) sirve como punto de comparación universalmente aceptado; (iii) su salida es naturalmente probabilística, facilitando los tres umbrales de decisión que necesitamos.</w:t>
      </w:r>
    </w:p>
    <w:p>
      <w:pPr>
        <w:pStyle w:val="Heading2"/>
        <w:spacing w:after="80" w:before="200"/>
      </w:pPr>
      <w:r>
        <w:rPr>
          <w:rFonts w:ascii="Arial" w:cs="Arial" w:eastAsia="Arial" w:hAnsi="Arial"/>
          <w:b/>
          <w:bCs/>
          <w:color w:val="13315C"/>
          <w:sz w:val="24"/>
          <w:szCs w:val="24"/>
        </w:rPr>
        <w:t xml:space="preserve">4.2 Configuración técnica</w:t>
      </w:r>
    </w:p>
    <w:p>
      <w:pPr>
        <w:pBdr>
          <w:top w:val="single" w:color="DDDDDD" w:sz="4"/>
          <w:bottom w:val="single" w:color="DDDDDD" w:sz="4"/>
          <w:left w:val="single" w:color="DDDDDD" w:sz="4"/>
          <w:right w:val="single" w:color="DDDDDD" w:sz="4"/>
        </w:pBdr>
        <w:shd w:fill="F4F4F4" w:val="clear"/>
        <w:spacing w:after="60" w:before="60" w:line="260"/>
      </w:pPr>
      <w:r>
        <w:rPr>
          <w:rFonts w:ascii="Consolas" w:cs="Consolas" w:eastAsia="Consolas" w:hAnsi="Consolas"/>
          <w:color w:val="222222"/>
          <w:sz w:val="18"/>
          <w:szCs w:val="18"/>
        </w:rPr>
        <w:t xml:space="preserve">from sklearn.linear_model import LogisticRegression
from sklearn.preprocessing import StandardScaler
from sklearn.pipeline import Pipeline
baseline = Pipeline([
    ("scaler", StandardScaler()),
    ("clf", LogisticRegression(
        penalty="l2", C=1.0,
        class_weight="balanced",    # compensa el ~3.5% de fraudes
        max_iter=1000, random_state=42, n_jobs=-1
    )),
])
baseline.fit(X_train, y_train)</w:t>
      </w:r>
    </w:p>
    <w:p>
      <w:pPr>
        <w:pStyle w:val="Heading2"/>
        <w:spacing w:after="80" w:before="200"/>
      </w:pPr>
      <w:r>
        <w:rPr>
          <w:rFonts w:ascii="Arial" w:cs="Arial" w:eastAsia="Arial" w:hAnsi="Arial"/>
          <w:b/>
          <w:bCs/>
          <w:color w:val="13315C"/>
          <w:sz w:val="24"/>
          <w:szCs w:val="24"/>
        </w:rPr>
        <w:t xml:space="preserve">4.3 Resultados del baseline</w:t>
      </w:r>
    </w:p>
    <w:p>
      <w:pPr>
        <w:spacing w:after="120" w:before="0" w:line="300"/>
        <w:jc w:val="both"/>
      </w:pPr>
      <w:r>
        <w:rPr>
          <w:rFonts w:ascii="Arial" w:cs="Arial" w:eastAsia="Arial" w:hAnsi="Arial"/>
          <w:b w:val="false"/>
          <w:bCs w:val="false"/>
          <w:i w:val="false"/>
          <w:iCs w:val="false"/>
          <w:color w:val="000000"/>
          <w:sz w:val="22"/>
          <w:szCs w:val="22"/>
        </w:rPr>
        <w:t xml:space="preserve">Sobre el conjunto de test (~88.500 transacciones, partición temporal), el baseline obtuvo:</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ROC-AUC = 0.763 </w:t>
      </w:r>
      <w:r>
        <w:rPr>
          <w:rFonts w:ascii="Arial" w:cs="Arial" w:eastAsia="Arial" w:hAnsi="Arial"/>
          <w:b w:val="false"/>
          <w:bCs w:val="false"/>
          <w:i w:val="false"/>
          <w:iCs w:val="false"/>
          <w:sz w:val="22"/>
          <w:szCs w:val="22"/>
        </w:rPr>
        <w:t xml:space="preserve">→ discrimina mejor que el azar (0.5) pero lejos del óptimo.</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PR-AUC = 0.182 </w:t>
      </w:r>
      <w:r>
        <w:rPr>
          <w:rFonts w:ascii="Arial" w:cs="Arial" w:eastAsia="Arial" w:hAnsi="Arial"/>
          <w:b w:val="false"/>
          <w:bCs w:val="false"/>
          <w:i w:val="false"/>
          <w:iCs w:val="false"/>
          <w:sz w:val="22"/>
          <w:szCs w:val="22"/>
        </w:rPr>
        <w:t xml:space="preserve">→ muy baja, esperable en clases desbalanceadas pero insuficiente para uso operacional.</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Recall = 0.55, Precision = 0.06 </w:t>
      </w:r>
      <w:r>
        <w:rPr>
          <w:rFonts w:ascii="Arial" w:cs="Arial" w:eastAsia="Arial" w:hAnsi="Arial"/>
          <w:b w:val="false"/>
          <w:bCs w:val="false"/>
          <w:i w:val="false"/>
          <w:iCs w:val="false"/>
          <w:sz w:val="22"/>
          <w:szCs w:val="22"/>
        </w:rPr>
        <w:t xml:space="preserve">@ umbral 0.5: detecta el 55% de fraudes pero con solo 6% de precisión (94% de las alertas serían falsos positivos).</w:t>
      </w:r>
    </w:p>
    <w:p>
      <w:pPr>
        <w:pStyle w:val="Heading2"/>
        <w:spacing w:after="80" w:before="200"/>
      </w:pPr>
      <w:r>
        <w:rPr>
          <w:rFonts w:ascii="Arial" w:cs="Arial" w:eastAsia="Arial" w:hAnsi="Arial"/>
          <w:b/>
          <w:bCs/>
          <w:color w:val="13315C"/>
          <w:sz w:val="24"/>
          <w:szCs w:val="24"/>
        </w:rPr>
        <w:t xml:space="preserve">4.4 Limitaciones detectadas del baseline</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La Regresión Logística asume relación lineal entre features y log-odds del fraude, lo que no captura interacciones cruciales (ej. monto alto × país riesgoso × dispositivo nuevo).</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Aún con balanced class weight, la baja precisión hace impracticable enviar a revisión humana todas las alertas (volumen excesivo).</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No aprovecha la naturaleza no-lineal y de alto orden de las features de conteo (C1-C14) y tiempo-delta (D1-D15) del IEEE-CIS.</w:t>
      </w:r>
    </w:p>
    <w:p>
      <w:pPr>
        <w:spacing w:after="120" w:before="0" w:line="300"/>
        <w:jc w:val="both"/>
      </w:pPr>
      <w:r>
        <w:rPr>
          <w:rFonts w:ascii="Arial" w:cs="Arial" w:eastAsia="Arial" w:hAnsi="Arial"/>
          <w:b w:val="false"/>
          <w:bCs w:val="false"/>
          <w:i w:val="false"/>
          <w:iCs w:val="false"/>
          <w:color w:val="000000"/>
          <w:sz w:val="22"/>
          <w:szCs w:val="22"/>
        </w:rPr>
        <w:t xml:space="preserve">Estas limitaciones motivaron migrar a un modelo basado en </w:t>
      </w:r>
      <w:r>
        <w:rPr>
          <w:rFonts w:ascii="Arial" w:cs="Arial" w:eastAsia="Arial" w:hAnsi="Arial"/>
          <w:b w:val="false"/>
          <w:bCs w:val="false"/>
          <w:i/>
          <w:iCs/>
          <w:color w:val="000000"/>
          <w:sz w:val="22"/>
          <w:szCs w:val="22"/>
        </w:rPr>
        <w:t xml:space="preserve">ensembles de árboles de decisión</w:t>
      </w:r>
      <w:r>
        <w:rPr>
          <w:rFonts w:ascii="Arial" w:cs="Arial" w:eastAsia="Arial" w:hAnsi="Arial"/>
          <w:b w:val="false"/>
          <w:bCs w:val="false"/>
          <w:i w:val="false"/>
          <w:iCs w:val="false"/>
          <w:color w:val="000000"/>
          <w:sz w:val="22"/>
          <w:szCs w:val="22"/>
        </w:rPr>
        <w:t xml:space="preserve"> (XGBoost), capaces de capturar interacciones de alto orden y manejar naturalmente features categóricas codificadas como enteros.</w:t>
      </w:r>
    </w:p>
    <w:p>
      <w:pPr>
        <w:pStyle w:val="Heading1"/>
        <w:spacing w:after="140" w:before="320"/>
      </w:pPr>
      <w:r>
        <w:rPr>
          <w:rFonts w:ascii="Arial" w:cs="Arial" w:eastAsia="Arial" w:hAnsi="Arial"/>
          <w:b/>
          <w:bCs/>
          <w:color w:val="1E2761"/>
          <w:sz w:val="30"/>
          <w:szCs w:val="30"/>
        </w:rPr>
        <w:t xml:space="preserve">5. Implementación del modelo final</w:t>
      </w:r>
    </w:p>
    <w:p>
      <w:pPr>
        <w:pStyle w:val="Heading2"/>
        <w:spacing w:after="80" w:before="200"/>
      </w:pPr>
      <w:r>
        <w:rPr>
          <w:rFonts w:ascii="Arial" w:cs="Arial" w:eastAsia="Arial" w:hAnsi="Arial"/>
          <w:b/>
          <w:bCs/>
          <w:color w:val="13315C"/>
          <w:sz w:val="24"/>
          <w:szCs w:val="24"/>
        </w:rPr>
        <w:t xml:space="preserve">5.1 Elección de XGBoost</w:t>
      </w:r>
    </w:p>
    <w:p>
      <w:pPr>
        <w:spacing w:after="120" w:before="0" w:line="300"/>
        <w:jc w:val="both"/>
      </w:pPr>
      <w:r>
        <w:rPr>
          <w:rFonts w:ascii="Arial" w:cs="Arial" w:eastAsia="Arial" w:hAnsi="Arial"/>
          <w:b w:val="false"/>
          <w:bCs w:val="false"/>
          <w:i w:val="false"/>
          <w:iCs w:val="false"/>
          <w:color w:val="000000"/>
          <w:sz w:val="22"/>
          <w:szCs w:val="22"/>
        </w:rPr>
        <w:t xml:space="preserve">Elegimos </w:t>
      </w:r>
      <w:r>
        <w:rPr>
          <w:rFonts w:ascii="Arial" w:cs="Arial" w:eastAsia="Arial" w:hAnsi="Arial"/>
          <w:b/>
          <w:bCs/>
          <w:i w:val="false"/>
          <w:iCs w:val="false"/>
          <w:color w:val="000000"/>
          <w:sz w:val="22"/>
          <w:szCs w:val="22"/>
        </w:rPr>
        <w:t xml:space="preserve">XGBoost (Chen &amp; Guestrin, 2016)</w:t>
      </w:r>
      <w:r>
        <w:rPr>
          <w:rFonts w:ascii="Arial" w:cs="Arial" w:eastAsia="Arial" w:hAnsi="Arial"/>
          <w:b w:val="false"/>
          <w:bCs w:val="false"/>
          <w:i w:val="false"/>
          <w:iCs w:val="false"/>
          <w:color w:val="000000"/>
          <w:sz w:val="22"/>
          <w:szCs w:val="22"/>
        </w:rPr>
        <w:t xml:space="preserve"> como modelo final por tres razones: (i) es el ganador histórico de competencias Kaggle en problemas tabulares, incluida la propia competencia IEEE-CIS Fraud Detection; (ii) maneja eficientemente el desbalance de clases vía scale_pos_weight; (iii) provee feature importance nativa que facilita la interpretabilidad —requisito operacional para un sistema antifraude.</w:t>
      </w:r>
    </w:p>
    <w:p>
      <w:pPr>
        <w:pStyle w:val="Heading2"/>
        <w:spacing w:after="80" w:before="200"/>
      </w:pPr>
      <w:r>
        <w:rPr>
          <w:rFonts w:ascii="Arial" w:cs="Arial" w:eastAsia="Arial" w:hAnsi="Arial"/>
          <w:b/>
          <w:bCs/>
          <w:color w:val="13315C"/>
          <w:sz w:val="24"/>
          <w:szCs w:val="24"/>
        </w:rPr>
        <w:t xml:space="preserve">5.2 Optimización de hiperparámetros con Optuna</w:t>
      </w:r>
    </w:p>
    <w:p>
      <w:pPr>
        <w:spacing w:after="120" w:before="0" w:line="300"/>
        <w:jc w:val="both"/>
      </w:pPr>
      <w:r>
        <w:rPr>
          <w:rFonts w:ascii="Arial" w:cs="Arial" w:eastAsia="Arial" w:hAnsi="Arial"/>
          <w:b w:val="false"/>
          <w:bCs w:val="false"/>
          <w:i w:val="false"/>
          <w:iCs w:val="false"/>
          <w:color w:val="000000"/>
          <w:sz w:val="22"/>
          <w:szCs w:val="22"/>
        </w:rPr>
        <w:t xml:space="preserve">Usamos </w:t>
      </w:r>
      <w:r>
        <w:rPr>
          <w:rFonts w:ascii="Arial" w:cs="Arial" w:eastAsia="Arial" w:hAnsi="Arial"/>
          <w:b/>
          <w:bCs/>
          <w:i w:val="false"/>
          <w:iCs w:val="false"/>
          <w:color w:val="000000"/>
          <w:sz w:val="22"/>
          <w:szCs w:val="22"/>
        </w:rPr>
        <w:t xml:space="preserve">Optuna (Akiba et al., 2019)</w:t>
      </w:r>
      <w:r>
        <w:rPr>
          <w:rFonts w:ascii="Arial" w:cs="Arial" w:eastAsia="Arial" w:hAnsi="Arial"/>
          <w:b w:val="false"/>
          <w:bCs w:val="false"/>
          <w:i w:val="false"/>
          <w:iCs w:val="false"/>
          <w:color w:val="000000"/>
          <w:sz w:val="22"/>
          <w:szCs w:val="22"/>
        </w:rPr>
        <w:t xml:space="preserve"> con un sampler TPE (Tree-structured Parzen Estimator) para buscar hiperparámetros sobre la validación. Optimizamos la PR-AUC (más apropiada que ROC-AUC para clases desbalanceadas):</w:t>
      </w:r>
    </w:p>
    <w:p>
      <w:pPr>
        <w:pBdr>
          <w:top w:val="single" w:color="DDDDDD" w:sz="4"/>
          <w:bottom w:val="single" w:color="DDDDDD" w:sz="4"/>
          <w:left w:val="single" w:color="DDDDDD" w:sz="4"/>
          <w:right w:val="single" w:color="DDDDDD" w:sz="4"/>
        </w:pBdr>
        <w:shd w:fill="F4F4F4" w:val="clear"/>
        <w:spacing w:after="60" w:before="60" w:line="260"/>
      </w:pPr>
      <w:r>
        <w:rPr>
          <w:rFonts w:ascii="Consolas" w:cs="Consolas" w:eastAsia="Consolas" w:hAnsi="Consolas"/>
          <w:color w:val="222222"/>
          <w:sz w:val="18"/>
          <w:szCs w:val="18"/>
        </w:rPr>
        <w:t xml:space="preserve">import optuna, xgboost as xgb
from sklearn.metrics import average_precision_score
def objective(trial):
    params = {
        "max_depth":        trial.suggest_int("max_depth", 3, 10),
        "learning_rate":    trial.suggest_float("learning_rate", 0.01, 0.3, log=True),
        "n_estimators":     trial.suggest_int("n_estimators", 100, 500, step=50),
        "subsample":        trial.suggest_float("subsample", 0.6, 1.0),
        "colsample_bytree": trial.suggest_float("colsample_bytree", 0.6, 1.0),
        "scale_pos_weight": trial.suggest_float("scale_pos_weight", 1.0, 30.0),
        "reg_alpha":        trial.suggest_float("reg_alpha", 1e-3, 10.0, log=True),
        "reg_lambda":       trial.suggest_float("reg_lambda", 1e-3, 10.0, log=True),
    }
    m = xgb.XGBClassifier(**params, tree_method="hist",
                          eval_metric="aucpr", random_state=42, n_jobs=-1)
    m.fit(X_train, y_train, eval_set=[(X_val, y_val)], verbose=False)
    return average_precision_score(y_val, m.predict_proba(X_val)[:, 1])
study = optuna.create_study(direction="maximize",
                             sampler=optuna.samplers.TPESampler(seed=42))
study.optimize(objective, n_trials=50)</w:t>
      </w:r>
    </w:p>
    <w:p>
      <w:pPr>
        <w:spacing w:after="120" w:before="0" w:line="300"/>
        <w:jc w:val="both"/>
      </w:pPr>
      <w:r>
        <w:rPr>
          <w:rFonts w:ascii="Arial" w:cs="Arial" w:eastAsia="Arial" w:hAnsi="Arial"/>
          <w:b w:val="false"/>
          <w:bCs w:val="false"/>
          <w:i w:val="false"/>
          <w:iCs w:val="false"/>
          <w:color w:val="000000"/>
          <w:sz w:val="22"/>
          <w:szCs w:val="22"/>
        </w:rPr>
        <w:t xml:space="preserve">Tras </w:t>
      </w:r>
      <w:r>
        <w:rPr>
          <w:rFonts w:ascii="Arial" w:cs="Arial" w:eastAsia="Arial" w:hAnsi="Arial"/>
          <w:b/>
          <w:bCs/>
          <w:i w:val="false"/>
          <w:iCs w:val="false"/>
          <w:color w:val="000000"/>
          <w:sz w:val="22"/>
          <w:szCs w:val="22"/>
        </w:rPr>
        <w:t xml:space="preserve">50 trials</w:t>
      </w:r>
      <w:r>
        <w:rPr>
          <w:rFonts w:ascii="Arial" w:cs="Arial" w:eastAsia="Arial" w:hAnsi="Arial"/>
          <w:b w:val="false"/>
          <w:bCs w:val="false"/>
          <w:i w:val="false"/>
          <w:iCs w:val="false"/>
          <w:color w:val="000000"/>
          <w:sz w:val="22"/>
          <w:szCs w:val="22"/>
        </w:rPr>
        <w:t xml:space="preserve">, los mejores hiperparámetros encontrados fueron:</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max_depth = 7</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learning_rate = 0.082</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n_estimators = 220</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subsample = 0.85</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colsample_bytree = 0.78</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scale_pos_weight = 12.4</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reg_alpha = 0.034, reg_lambda = 1.27</w:t>
      </w:r>
    </w:p>
    <w:p>
      <w:pPr>
        <w:pStyle w:val="Heading2"/>
        <w:spacing w:after="80" w:before="200"/>
      </w:pPr>
      <w:r>
        <w:rPr>
          <w:rFonts w:ascii="Arial" w:cs="Arial" w:eastAsia="Arial" w:hAnsi="Arial"/>
          <w:b/>
          <w:bCs/>
          <w:color w:val="13315C"/>
          <w:sz w:val="24"/>
          <w:szCs w:val="24"/>
        </w:rPr>
        <w:t xml:space="preserve">5.3 Decisión técnica clave: features tipo IEEE-CIS</w:t>
      </w:r>
    </w:p>
    <w:p>
      <w:pPr>
        <w:spacing w:after="120" w:before="0" w:line="300"/>
        <w:jc w:val="both"/>
      </w:pPr>
      <w:r>
        <w:rPr>
          <w:rFonts w:ascii="Arial" w:cs="Arial" w:eastAsia="Arial" w:hAnsi="Arial"/>
          <w:b w:val="false"/>
          <w:bCs w:val="false"/>
          <w:i w:val="false"/>
          <w:iCs w:val="false"/>
          <w:color w:val="000000"/>
          <w:sz w:val="22"/>
          <w:szCs w:val="22"/>
        </w:rPr>
        <w:t xml:space="preserve">El salto cualitativo del modelo no vino solo de cambiar Regresión Logística por XGBoost, sino de </w:t>
      </w:r>
      <w:r>
        <w:rPr>
          <w:rFonts w:ascii="Arial" w:cs="Arial" w:eastAsia="Arial" w:hAnsi="Arial"/>
          <w:b/>
          <w:bCs/>
          <w:i w:val="false"/>
          <w:iCs w:val="false"/>
          <w:color w:val="000000"/>
          <w:sz w:val="22"/>
          <w:szCs w:val="22"/>
        </w:rPr>
        <w:t xml:space="preserve">rediseñar las features</w:t>
      </w:r>
      <w:r>
        <w:rPr>
          <w:rFonts w:ascii="Arial" w:cs="Arial" w:eastAsia="Arial" w:hAnsi="Arial"/>
          <w:b w:val="false"/>
          <w:bCs w:val="false"/>
          <w:i w:val="false"/>
          <w:iCs w:val="false"/>
          <w:color w:val="000000"/>
          <w:sz w:val="22"/>
          <w:szCs w:val="22"/>
        </w:rPr>
        <w:t xml:space="preserve"> para que reflejen las señales reales del dataset IEEE-CIS. Las features de mayor importancia (gain) en el modelo final fueron:</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pais_riesgo (21.4%) — </w:t>
      </w:r>
      <w:r>
        <w:rPr>
          <w:rFonts w:ascii="Arial" w:cs="Arial" w:eastAsia="Arial" w:hAnsi="Arial"/>
          <w:b w:val="false"/>
          <w:bCs w:val="false"/>
          <w:i w:val="false"/>
          <w:iCs w:val="false"/>
          <w:sz w:val="22"/>
          <w:szCs w:val="22"/>
        </w:rPr>
        <w:t xml:space="preserve">señal geográfica equivalente a addr1+addr2 del IEEE-CIS.</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billing_ship_match (18.6%) — </w:t>
      </w:r>
      <w:r>
        <w:rPr>
          <w:rFonts w:ascii="Arial" w:cs="Arial" w:eastAsia="Arial" w:hAnsi="Arial"/>
          <w:b w:val="false"/>
          <w:bCs w:val="false"/>
          <w:i w:val="false"/>
          <w:iCs w:val="false"/>
          <w:sz w:val="22"/>
          <w:szCs w:val="22"/>
        </w:rPr>
        <w:t xml:space="preserve">deriva de las M-features (M1–M9) del IEEE-CIS.</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prev_attempts_24h (16.4%) — </w:t>
      </w:r>
      <w:r>
        <w:rPr>
          <w:rFonts w:ascii="Arial" w:cs="Arial" w:eastAsia="Arial" w:hAnsi="Arial"/>
          <w:b w:val="false"/>
          <w:bCs w:val="false"/>
          <w:i w:val="false"/>
          <w:iCs w:val="false"/>
          <w:sz w:val="22"/>
          <w:szCs w:val="22"/>
        </w:rPr>
        <w:t xml:space="preserve">deriva de C1–C14 (counter features).</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ip_billing_distance (15.1%) — </w:t>
      </w:r>
      <w:r>
        <w:rPr>
          <w:rFonts w:ascii="Arial" w:cs="Arial" w:eastAsia="Arial" w:hAnsi="Arial"/>
          <w:b w:val="false"/>
          <w:bCs w:val="false"/>
          <w:i w:val="false"/>
          <w:iCs w:val="false"/>
          <w:sz w:val="22"/>
          <w:szCs w:val="22"/>
        </w:rPr>
        <w:t xml:space="preserve">deriva de dist1, dist2.</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email_risk (9.7%) — </w:t>
      </w:r>
      <w:r>
        <w:rPr>
          <w:rFonts w:ascii="Arial" w:cs="Arial" w:eastAsia="Arial" w:hAnsi="Arial"/>
          <w:b w:val="false"/>
          <w:bCs w:val="false"/>
          <w:i w:val="false"/>
          <w:iCs w:val="false"/>
          <w:sz w:val="22"/>
          <w:szCs w:val="22"/>
        </w:rPr>
        <w:t xml:space="preserve">deriva de P_emaildomain (dominio del pagador).</w:t>
      </w:r>
    </w:p>
    <w:p>
      <w:pPr>
        <w:spacing w:after="120" w:before="0" w:line="300"/>
        <w:jc w:val="both"/>
      </w:pPr>
      <w:r>
        <w:rPr>
          <w:rFonts w:ascii="Arial" w:cs="Arial" w:eastAsia="Arial" w:hAnsi="Arial"/>
          <w:b w:val="false"/>
          <w:bCs w:val="false"/>
          <w:i w:val="false"/>
          <w:iCs w:val="false"/>
          <w:color w:val="000000"/>
          <w:sz w:val="22"/>
          <w:szCs w:val="22"/>
        </w:rPr>
        <w:t xml:space="preserve">Estas cinco features suman </w:t>
      </w:r>
      <w:r>
        <w:rPr>
          <w:rFonts w:ascii="Arial" w:cs="Arial" w:eastAsia="Arial" w:hAnsi="Arial"/>
          <w:b/>
          <w:bCs/>
          <w:i w:val="false"/>
          <w:iCs w:val="false"/>
          <w:color w:val="000000"/>
          <w:sz w:val="22"/>
          <w:szCs w:val="22"/>
        </w:rPr>
        <w:t xml:space="preserve">81.2% del gain total</w:t>
      </w:r>
      <w:r>
        <w:rPr>
          <w:rFonts w:ascii="Arial" w:cs="Arial" w:eastAsia="Arial" w:hAnsi="Arial"/>
          <w:b w:val="false"/>
          <w:bCs w:val="false"/>
          <w:i w:val="false"/>
          <w:iCs w:val="false"/>
          <w:color w:val="000000"/>
          <w:sz w:val="22"/>
          <w:szCs w:val="22"/>
        </w:rPr>
        <w:t xml:space="preserve">, lo que valida empíricamente la decisión de privilegiar features de comportamiento e identidad sobre features puras de monto.</w:t>
      </w:r>
    </w:p>
    <w:p>
      <w:pPr>
        <w:pStyle w:val="Heading1"/>
        <w:spacing w:after="140" w:before="320"/>
      </w:pPr>
      <w:r>
        <w:rPr>
          <w:rFonts w:ascii="Arial" w:cs="Arial" w:eastAsia="Arial" w:hAnsi="Arial"/>
          <w:b/>
          <w:bCs/>
          <w:color w:val="1E2761"/>
          <w:sz w:val="30"/>
          <w:szCs w:val="30"/>
        </w:rPr>
        <w:t xml:space="preserve">6. Métricas, experimentos y análisis de errores</w:t>
      </w:r>
    </w:p>
    <w:p>
      <w:pPr>
        <w:pStyle w:val="Heading2"/>
        <w:spacing w:after="80" w:before="200"/>
      </w:pPr>
      <w:r>
        <w:rPr>
          <w:rFonts w:ascii="Arial" w:cs="Arial" w:eastAsia="Arial" w:hAnsi="Arial"/>
          <w:b/>
          <w:bCs/>
          <w:color w:val="13315C"/>
          <w:sz w:val="24"/>
          <w:szCs w:val="24"/>
        </w:rPr>
        <w:t xml:space="preserve">6.1 Métricas elegidas (justificación)</w:t>
      </w:r>
    </w:p>
    <w:p>
      <w:pPr>
        <w:spacing w:after="120" w:before="0" w:line="300"/>
        <w:jc w:val="both"/>
      </w:pPr>
      <w:r>
        <w:rPr>
          <w:rFonts w:ascii="Arial" w:cs="Arial" w:eastAsia="Arial" w:hAnsi="Arial"/>
          <w:b w:val="false"/>
          <w:bCs w:val="false"/>
          <w:i w:val="false"/>
          <w:iCs w:val="false"/>
          <w:color w:val="000000"/>
          <w:sz w:val="22"/>
          <w:szCs w:val="22"/>
        </w:rPr>
        <w:t xml:space="preserve">Dado el fuerte desbalance (~3.5% fraude), las métricas tipo accuracy son engañosas (un modelo trivial que prediga 'no fraude' acierta el 96.5%). Reportamos:</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ROC-AUC: </w:t>
      </w:r>
      <w:r>
        <w:rPr>
          <w:rFonts w:ascii="Arial" w:cs="Arial" w:eastAsia="Arial" w:hAnsi="Arial"/>
          <w:b w:val="false"/>
          <w:bCs w:val="false"/>
          <w:i w:val="false"/>
          <w:iCs w:val="false"/>
          <w:sz w:val="22"/>
          <w:szCs w:val="22"/>
        </w:rPr>
        <w:t xml:space="preserve">discriminación general entre clases (umbral-independiente).</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PR-AUC (Average Precision): </w:t>
      </w:r>
      <w:r>
        <w:rPr>
          <w:rFonts w:ascii="Arial" w:cs="Arial" w:eastAsia="Arial" w:hAnsi="Arial"/>
          <w:b w:val="false"/>
          <w:bCs w:val="false"/>
          <w:i w:val="false"/>
          <w:iCs w:val="false"/>
          <w:sz w:val="22"/>
          <w:szCs w:val="22"/>
        </w:rPr>
        <w:t xml:space="preserve">métrica óptima para clases desbalanceadas; refleja el trade-off entre precisión y recall en la cola.</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Recall: </w:t>
      </w:r>
      <w:r>
        <w:rPr>
          <w:rFonts w:ascii="Arial" w:cs="Arial" w:eastAsia="Arial" w:hAnsi="Arial"/>
          <w:b w:val="false"/>
          <w:bCs w:val="false"/>
          <w:i w:val="false"/>
          <w:iCs w:val="false"/>
          <w:sz w:val="22"/>
          <w:szCs w:val="22"/>
        </w:rPr>
        <w:t xml:space="preserve">fracción de fraudes que detectamos (sensibilidad).</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Precision: </w:t>
      </w:r>
      <w:r>
        <w:rPr>
          <w:rFonts w:ascii="Arial" w:cs="Arial" w:eastAsia="Arial" w:hAnsi="Arial"/>
          <w:b w:val="false"/>
          <w:bCs w:val="false"/>
          <w:i w:val="false"/>
          <w:iCs w:val="false"/>
          <w:sz w:val="22"/>
          <w:szCs w:val="22"/>
        </w:rPr>
        <w:t xml:space="preserve">fracción de alertas que son fraudes reales (control del volumen de revisión humana).</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F1 score: </w:t>
      </w:r>
      <w:r>
        <w:rPr>
          <w:rFonts w:ascii="Arial" w:cs="Arial" w:eastAsia="Arial" w:hAnsi="Arial"/>
          <w:b w:val="false"/>
          <w:bCs w:val="false"/>
          <w:i w:val="false"/>
          <w:iCs w:val="false"/>
          <w:sz w:val="22"/>
          <w:szCs w:val="22"/>
        </w:rPr>
        <w:t xml:space="preserve">media armónica precision-recall.</w:t>
      </w:r>
    </w:p>
    <w:p>
      <w:pPr>
        <w:pStyle w:val="Heading2"/>
        <w:spacing w:after="80" w:before="200"/>
      </w:pPr>
      <w:r>
        <w:rPr>
          <w:rFonts w:ascii="Arial" w:cs="Arial" w:eastAsia="Arial" w:hAnsi="Arial"/>
          <w:b/>
          <w:bCs/>
          <w:color w:val="13315C"/>
          <w:sz w:val="24"/>
          <w:szCs w:val="24"/>
        </w:rPr>
        <w:t xml:space="preserve">6.2 Tabla comparativa baseline vs final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300"/>
        <w:gridCol w:w="1300"/>
        <w:gridCol w:w="1300"/>
      </w:tblGrid>
      <w:tr>
        <w:trPr>
          <w:tblHeader/>
        </w:trPr>
        <w:tc>
          <w:tcPr>
            <w:tcW w:type="dxa" w:w="30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Modelo</w:t>
            </w:r>
          </w:p>
        </w:tc>
        <w:tc>
          <w:tcPr>
            <w:tcW w:type="dxa" w:w="13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ROC-AUC</w:t>
            </w:r>
          </w:p>
        </w:tc>
        <w:tc>
          <w:tcPr>
            <w:tcW w:type="dxa" w:w="13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PR-AUC</w:t>
            </w:r>
          </w:p>
        </w:tc>
        <w:tc>
          <w:tcPr>
            <w:tcW w:type="dxa" w:w="13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Recall</w:t>
            </w:r>
          </w:p>
        </w:tc>
        <w:tc>
          <w:tcPr>
            <w:tcW w:type="dxa" w:w="13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Precision</w:t>
            </w:r>
          </w:p>
        </w:tc>
        <w:tc>
          <w:tcPr>
            <w:tcW w:type="dxa" w:w="13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F1</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Baseline (Reg. Logística)</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center"/>
            </w:pPr>
            <w:r>
              <w:rPr>
                <w:rFonts w:ascii="Arial" w:cs="Arial" w:eastAsia="Arial" w:hAnsi="Arial"/>
                <w:b w:val="false"/>
                <w:bCs w:val="false"/>
                <w:i w:val="false"/>
                <w:iCs w:val="false"/>
                <w:sz w:val="20"/>
                <w:szCs w:val="20"/>
              </w:rPr>
              <w:t xml:space="preserve">0.763</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center"/>
            </w:pPr>
            <w:r>
              <w:rPr>
                <w:rFonts w:ascii="Arial" w:cs="Arial" w:eastAsia="Arial" w:hAnsi="Arial"/>
                <w:b w:val="false"/>
                <w:bCs w:val="false"/>
                <w:i w:val="false"/>
                <w:iCs w:val="false"/>
                <w:sz w:val="20"/>
                <w:szCs w:val="20"/>
              </w:rPr>
              <w:t xml:space="preserve">0.182</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center"/>
            </w:pPr>
            <w:r>
              <w:rPr>
                <w:rFonts w:ascii="Arial" w:cs="Arial" w:eastAsia="Arial" w:hAnsi="Arial"/>
                <w:b w:val="false"/>
                <w:bCs w:val="false"/>
                <w:i w:val="false"/>
                <w:iCs w:val="false"/>
                <w:sz w:val="20"/>
                <w:szCs w:val="20"/>
              </w:rPr>
              <w:t xml:space="preserve">0.55</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center"/>
            </w:pPr>
            <w:r>
              <w:rPr>
                <w:rFonts w:ascii="Arial" w:cs="Arial" w:eastAsia="Arial" w:hAnsi="Arial"/>
                <w:b w:val="false"/>
                <w:bCs w:val="false"/>
                <w:i w:val="false"/>
                <w:iCs w:val="false"/>
                <w:sz w:val="20"/>
                <w:szCs w:val="20"/>
              </w:rPr>
              <w:t xml:space="preserve">0.06</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center"/>
            </w:pPr>
            <w:r>
              <w:rPr>
                <w:rFonts w:ascii="Arial" w:cs="Arial" w:eastAsia="Arial" w:hAnsi="Arial"/>
                <w:b w:val="false"/>
                <w:bCs w:val="false"/>
                <w:i w:val="false"/>
                <w:iCs w:val="false"/>
                <w:sz w:val="20"/>
                <w:szCs w:val="20"/>
              </w:rPr>
              <w:t xml:space="preserve">0.11</w:t>
            </w:r>
          </w:p>
        </w:tc>
      </w:tr>
      <w:tr>
        <w:tc>
          <w:tcPr>
            <w:tcW w:type="dxa" w:w="3000"/>
            <w:tcBorders>
              <w:top w:val="single" w:color="BBBBBB" w:sz="4"/>
              <w:left w:val="single" w:color="BBBBBB" w:sz="4"/>
              <w:bottom w:val="single" w:color="BBBBBB" w:sz="4"/>
              <w:right w:val="single" w:color="BBBBBB" w:sz="4"/>
            </w:tcBorders>
            <w:shd w:fill="EFF3FA" w:val="clear"/>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XGBoost + Optuna (final)</w:t>
            </w:r>
          </w:p>
        </w:tc>
        <w:tc>
          <w:tcPr>
            <w:tcW w:type="dxa" w:w="1300"/>
            <w:tcBorders>
              <w:top w:val="single" w:color="BBBBBB" w:sz="4"/>
              <w:left w:val="single" w:color="BBBBBB" w:sz="4"/>
              <w:bottom w:val="single" w:color="BBBBBB" w:sz="4"/>
              <w:right w:val="single" w:color="BBBBBB" w:sz="4"/>
            </w:tcBorders>
            <w:shd w:fill="EFF3FA" w:val="clear"/>
            <w:tcMar>
              <w:top w:type="dxa" w:w="80"/>
              <w:left w:type="dxa" w:w="120"/>
              <w:bottom w:type="dxa" w:w="80"/>
              <w:right w:type="dxa" w:w="120"/>
            </w:tcMar>
          </w:tcPr>
          <w:p>
            <w:pPr>
              <w:spacing w:after="0" w:before="0" w:line="260"/>
              <w:jc w:val="center"/>
            </w:pPr>
            <w:r>
              <w:rPr>
                <w:rFonts w:ascii="Arial" w:cs="Arial" w:eastAsia="Arial" w:hAnsi="Arial"/>
                <w:b/>
                <w:bCs/>
                <w:i w:val="false"/>
                <w:iCs w:val="false"/>
                <w:sz w:val="20"/>
                <w:szCs w:val="20"/>
              </w:rPr>
              <w:t xml:space="preserve">0.973</w:t>
            </w:r>
          </w:p>
        </w:tc>
        <w:tc>
          <w:tcPr>
            <w:tcW w:type="dxa" w:w="1300"/>
            <w:tcBorders>
              <w:top w:val="single" w:color="BBBBBB" w:sz="4"/>
              <w:left w:val="single" w:color="BBBBBB" w:sz="4"/>
              <w:bottom w:val="single" w:color="BBBBBB" w:sz="4"/>
              <w:right w:val="single" w:color="BBBBBB" w:sz="4"/>
            </w:tcBorders>
            <w:shd w:fill="EFF3FA" w:val="clear"/>
            <w:tcMar>
              <w:top w:type="dxa" w:w="80"/>
              <w:left w:type="dxa" w:w="120"/>
              <w:bottom w:type="dxa" w:w="80"/>
              <w:right w:type="dxa" w:w="120"/>
            </w:tcMar>
          </w:tcPr>
          <w:p>
            <w:pPr>
              <w:spacing w:after="0" w:before="0" w:line="260"/>
              <w:jc w:val="center"/>
            </w:pPr>
            <w:r>
              <w:rPr>
                <w:rFonts w:ascii="Arial" w:cs="Arial" w:eastAsia="Arial" w:hAnsi="Arial"/>
                <w:b/>
                <w:bCs/>
                <w:i w:val="false"/>
                <w:iCs w:val="false"/>
                <w:sz w:val="20"/>
                <w:szCs w:val="20"/>
              </w:rPr>
              <w:t xml:space="preserve">0.612</w:t>
            </w:r>
          </w:p>
        </w:tc>
        <w:tc>
          <w:tcPr>
            <w:tcW w:type="dxa" w:w="1300"/>
            <w:tcBorders>
              <w:top w:val="single" w:color="BBBBBB" w:sz="4"/>
              <w:left w:val="single" w:color="BBBBBB" w:sz="4"/>
              <w:bottom w:val="single" w:color="BBBBBB" w:sz="4"/>
              <w:right w:val="single" w:color="BBBBBB" w:sz="4"/>
            </w:tcBorders>
            <w:shd w:fill="EFF3FA" w:val="clear"/>
            <w:tcMar>
              <w:top w:type="dxa" w:w="80"/>
              <w:left w:type="dxa" w:w="120"/>
              <w:bottom w:type="dxa" w:w="80"/>
              <w:right w:type="dxa" w:w="120"/>
            </w:tcMar>
          </w:tcPr>
          <w:p>
            <w:pPr>
              <w:spacing w:after="0" w:before="0" w:line="260"/>
              <w:jc w:val="center"/>
            </w:pPr>
            <w:r>
              <w:rPr>
                <w:rFonts w:ascii="Arial" w:cs="Arial" w:eastAsia="Arial" w:hAnsi="Arial"/>
                <w:b/>
                <w:bCs/>
                <w:i w:val="false"/>
                <w:iCs w:val="false"/>
                <w:sz w:val="20"/>
                <w:szCs w:val="20"/>
              </w:rPr>
              <w:t xml:space="preserve">0.85</w:t>
            </w:r>
          </w:p>
        </w:tc>
        <w:tc>
          <w:tcPr>
            <w:tcW w:type="dxa" w:w="1300"/>
            <w:tcBorders>
              <w:top w:val="single" w:color="BBBBBB" w:sz="4"/>
              <w:left w:val="single" w:color="BBBBBB" w:sz="4"/>
              <w:bottom w:val="single" w:color="BBBBBB" w:sz="4"/>
              <w:right w:val="single" w:color="BBBBBB" w:sz="4"/>
            </w:tcBorders>
            <w:shd w:fill="EFF3FA" w:val="clear"/>
            <w:tcMar>
              <w:top w:type="dxa" w:w="80"/>
              <w:left w:type="dxa" w:w="120"/>
              <w:bottom w:type="dxa" w:w="80"/>
              <w:right w:type="dxa" w:w="120"/>
            </w:tcMar>
          </w:tcPr>
          <w:p>
            <w:pPr>
              <w:spacing w:after="0" w:before="0" w:line="260"/>
              <w:jc w:val="center"/>
            </w:pPr>
            <w:r>
              <w:rPr>
                <w:rFonts w:ascii="Arial" w:cs="Arial" w:eastAsia="Arial" w:hAnsi="Arial"/>
                <w:b/>
                <w:bCs/>
                <w:i w:val="false"/>
                <w:iCs w:val="false"/>
                <w:sz w:val="20"/>
                <w:szCs w:val="20"/>
              </w:rPr>
              <w:t xml:space="preserve">0.42</w:t>
            </w:r>
          </w:p>
        </w:tc>
        <w:tc>
          <w:tcPr>
            <w:tcW w:type="dxa" w:w="1300"/>
            <w:tcBorders>
              <w:top w:val="single" w:color="BBBBBB" w:sz="4"/>
              <w:left w:val="single" w:color="BBBBBB" w:sz="4"/>
              <w:bottom w:val="single" w:color="BBBBBB" w:sz="4"/>
              <w:right w:val="single" w:color="BBBBBB" w:sz="4"/>
            </w:tcBorders>
            <w:shd w:fill="EFF3FA" w:val="clear"/>
            <w:tcMar>
              <w:top w:type="dxa" w:w="80"/>
              <w:left w:type="dxa" w:w="120"/>
              <w:bottom w:type="dxa" w:w="80"/>
              <w:right w:type="dxa" w:w="120"/>
            </w:tcMar>
          </w:tcPr>
          <w:p>
            <w:pPr>
              <w:spacing w:after="0" w:before="0" w:line="260"/>
              <w:jc w:val="center"/>
            </w:pPr>
            <w:r>
              <w:rPr>
                <w:rFonts w:ascii="Arial" w:cs="Arial" w:eastAsia="Arial" w:hAnsi="Arial"/>
                <w:b/>
                <w:bCs/>
                <w:i w:val="false"/>
                <w:iCs w:val="false"/>
                <w:sz w:val="20"/>
                <w:szCs w:val="20"/>
              </w:rPr>
              <w:t xml:space="preserve">0.56</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iCs/>
                <w:sz w:val="20"/>
                <w:szCs w:val="20"/>
              </w:rPr>
              <w:t xml:space="preserve">Mejora absoluta</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center"/>
            </w:pPr>
            <w:r>
              <w:rPr>
                <w:rFonts w:ascii="Arial" w:cs="Arial" w:eastAsia="Arial" w:hAnsi="Arial"/>
                <w:b w:val="false"/>
                <w:bCs w:val="false"/>
                <w:i/>
                <w:iCs/>
                <w:sz w:val="20"/>
                <w:szCs w:val="20"/>
              </w:rPr>
              <w:t xml:space="preserve">+0.210</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center"/>
            </w:pPr>
            <w:r>
              <w:rPr>
                <w:rFonts w:ascii="Arial" w:cs="Arial" w:eastAsia="Arial" w:hAnsi="Arial"/>
                <w:b w:val="false"/>
                <w:bCs w:val="false"/>
                <w:i/>
                <w:iCs/>
                <w:sz w:val="20"/>
                <w:szCs w:val="20"/>
              </w:rPr>
              <w:t xml:space="preserve">+0.430</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center"/>
            </w:pPr>
            <w:r>
              <w:rPr>
                <w:rFonts w:ascii="Arial" w:cs="Arial" w:eastAsia="Arial" w:hAnsi="Arial"/>
                <w:b w:val="false"/>
                <w:bCs w:val="false"/>
                <w:i/>
                <w:iCs/>
                <w:sz w:val="20"/>
                <w:szCs w:val="20"/>
              </w:rPr>
              <w:t xml:space="preserve">+0.30</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center"/>
            </w:pPr>
            <w:r>
              <w:rPr>
                <w:rFonts w:ascii="Arial" w:cs="Arial" w:eastAsia="Arial" w:hAnsi="Arial"/>
                <w:b w:val="false"/>
                <w:bCs w:val="false"/>
                <w:i/>
                <w:iCs/>
                <w:sz w:val="20"/>
                <w:szCs w:val="20"/>
              </w:rPr>
              <w:t xml:space="preserve">+0.36</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center"/>
            </w:pPr>
            <w:r>
              <w:rPr>
                <w:rFonts w:ascii="Arial" w:cs="Arial" w:eastAsia="Arial" w:hAnsi="Arial"/>
                <w:b w:val="false"/>
                <w:bCs w:val="false"/>
                <w:i/>
                <w:iCs/>
                <w:sz w:val="20"/>
                <w:szCs w:val="20"/>
              </w:rPr>
              <w:t xml:space="preserve">+0.45</w:t>
            </w:r>
          </w:p>
        </w:tc>
      </w:tr>
    </w:tbl>
    <w:p>
      <w:pPr>
        <w:spacing w:after="120"/>
      </w:pPr>
      <w:r>
        <w:t xml:space="preserve"/>
      </w:r>
    </w:p>
    <w:p>
      <w:pPr>
        <w:spacing w:after="160" w:before="40" w:line="240"/>
        <w:jc w:val="center"/>
      </w:pPr>
      <w:r>
        <w:rPr>
          <w:rFonts w:ascii="Arial" w:cs="Arial" w:eastAsia="Arial" w:hAnsi="Arial"/>
          <w:i/>
          <w:iCs/>
          <w:color w:val="444444"/>
          <w:sz w:val="18"/>
          <w:szCs w:val="18"/>
        </w:rPr>
        <w:t xml:space="preserve">Tabla 2. Métricas en test (~88.500 transacciones). Mejora absoluta del modelo final sobre el baseline.</w:t>
      </w:r>
    </w:p>
    <w:p>
      <w:pPr>
        <w:spacing w:after="20" w:before="6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619500"/>
                    </a:xfrm>
                    <a:prstGeom prst="rect">
                      <a:avLst/>
                    </a:prstGeom>
                  </pic:spPr>
                </pic:pic>
              </a:graphicData>
            </a:graphic>
          </wp:inline>
        </w:drawing>
      </w:r>
    </w:p>
    <w:p>
      <w:pPr>
        <w:spacing w:after="160" w:before="40" w:line="240"/>
        <w:jc w:val="center"/>
      </w:pPr>
      <w:r>
        <w:rPr>
          <w:rFonts w:ascii="Arial" w:cs="Arial" w:eastAsia="Arial" w:hAnsi="Arial"/>
          <w:i/>
          <w:iCs/>
          <w:color w:val="444444"/>
          <w:sz w:val="18"/>
          <w:szCs w:val="18"/>
        </w:rPr>
        <w:t xml:space="preserve">Figura 1. Curvas ROC en el conjunto de test. El modelo final logra detectar ~85% de los fraudes con menos del 5% de falsos positivos.</w:t>
      </w:r>
    </w:p>
    <w:p>
      <w:pPr>
        <w:pStyle w:val="Heading2"/>
        <w:spacing w:after="80" w:before="200"/>
      </w:pPr>
      <w:r>
        <w:rPr>
          <w:rFonts w:ascii="Arial" w:cs="Arial" w:eastAsia="Arial" w:hAnsi="Arial"/>
          <w:b/>
          <w:bCs/>
          <w:color w:val="13315C"/>
          <w:sz w:val="24"/>
          <w:szCs w:val="24"/>
        </w:rPr>
        <w:t xml:space="preserve">6.3 Bitácora de iteraciones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500"/>
        <w:gridCol w:w="2300"/>
      </w:tblGrid>
      <w:tr>
        <w:trPr>
          <w:tblHeader/>
        </w:trPr>
        <w:tc>
          <w:tcPr>
            <w:tcW w:type="dxa" w:w="12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Versión</w:t>
            </w:r>
          </w:p>
        </w:tc>
        <w:tc>
          <w:tcPr>
            <w:tcW w:type="dxa" w:w="35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Cambio aplicado</w:t>
            </w:r>
          </w:p>
        </w:tc>
        <w:tc>
          <w:tcPr>
            <w:tcW w:type="dxa" w:w="25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Resultado</w:t>
            </w:r>
          </w:p>
        </w:tc>
        <w:tc>
          <w:tcPr>
            <w:tcW w:type="dxa" w:w="23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Decisión</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v0</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Reg. Logística + balanced class weight, 10 features básicas (monto, tiempo, tarjeta).</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ROC-AUC = 0.72, PR-AUC = 0.15</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Mantener como referencia.</w:t>
            </w:r>
          </w:p>
        </w:tc>
      </w:tr>
      <w:tr>
        <w:tc>
          <w:tcPr>
            <w:tcW w:type="dxa" w:w="12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v1</w:t>
            </w:r>
          </w:p>
        </w:tc>
        <w:tc>
          <w:tcPr>
            <w:tcW w:type="dxa" w:w="35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XGBoost por defecto + 10 features. Sin tuning.</w:t>
            </w:r>
          </w:p>
        </w:tc>
        <w:tc>
          <w:tcPr>
            <w:tcW w:type="dxa" w:w="25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ROC-AUC = 0.89, PR-AUC = 0.34</w:t>
            </w:r>
          </w:p>
        </w:tc>
        <w:tc>
          <w:tcPr>
            <w:tcW w:type="dxa" w:w="23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Adoptar XGBoost.</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v2</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XGBoost + Optuna (50 trials, PR-AUC). Mismas 10 features.</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ROC-AUC = 0.93, PR-AUC = 0.48</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Adoptar tuning Optuna.</w:t>
            </w:r>
          </w:p>
        </w:tc>
      </w:tr>
      <w:tr>
        <w:tc>
          <w:tcPr>
            <w:tcW w:type="dxa" w:w="1200"/>
            <w:tcBorders>
              <w:top w:val="single" w:color="BBBBBB" w:sz="4"/>
              <w:left w:val="single" w:color="BBBBBB" w:sz="4"/>
              <w:bottom w:val="single" w:color="BBBBBB" w:sz="4"/>
              <w:right w:val="single" w:color="BBBBBB" w:sz="4"/>
            </w:tcBorders>
            <w:shd w:fill="EFF3FA" w:val="clear"/>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v3</w:t>
            </w:r>
          </w:p>
        </w:tc>
        <w:tc>
          <w:tcPr>
            <w:tcW w:type="dxa" w:w="3500"/>
            <w:tcBorders>
              <w:top w:val="single" w:color="BBBBBB" w:sz="4"/>
              <w:left w:val="single" w:color="BBBBBB" w:sz="4"/>
              <w:bottom w:val="single" w:color="BBBBBB" w:sz="4"/>
              <w:right w:val="single" w:color="BBBBBB" w:sz="4"/>
            </w:tcBorders>
            <w:shd w:fill="EFF3FA" w:val="clear"/>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Agregar 7 features tipo IEEE-CIS (email_risk, device_*, billing_ship_match, prev_attempts_24h, ip_billing_distance). 17 features totales.</w:t>
            </w:r>
          </w:p>
        </w:tc>
        <w:tc>
          <w:tcPr>
            <w:tcW w:type="dxa" w:w="2500"/>
            <w:tcBorders>
              <w:top w:val="single" w:color="BBBBBB" w:sz="4"/>
              <w:left w:val="single" w:color="BBBBBB" w:sz="4"/>
              <w:bottom w:val="single" w:color="BBBBBB" w:sz="4"/>
              <w:right w:val="single" w:color="BBBBBB" w:sz="4"/>
            </w:tcBorders>
            <w:shd w:fill="EFF3FA" w:val="clear"/>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ROC-AUC = 0.97, PR-AUC = 0.61</w:t>
            </w:r>
          </w:p>
        </w:tc>
        <w:tc>
          <w:tcPr>
            <w:tcW w:type="dxa" w:w="2300"/>
            <w:tcBorders>
              <w:top w:val="single" w:color="BBBBBB" w:sz="4"/>
              <w:left w:val="single" w:color="BBBBBB" w:sz="4"/>
              <w:bottom w:val="single" w:color="BBBBBB" w:sz="4"/>
              <w:right w:val="single" w:color="BBBBBB" w:sz="4"/>
            </w:tcBorders>
            <w:shd w:fill="EFF3FA" w:val="clear"/>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Congelar modelo de entrega.</w:t>
            </w:r>
          </w:p>
        </w:tc>
      </w:tr>
    </w:tbl>
    <w:p>
      <w:pPr>
        <w:spacing w:after="120"/>
      </w:pPr>
      <w:r>
        <w:t xml:space="preserve"/>
      </w:r>
    </w:p>
    <w:p>
      <w:pPr>
        <w:spacing w:after="160" w:before="40" w:line="240"/>
        <w:jc w:val="center"/>
      </w:pPr>
      <w:r>
        <w:rPr>
          <w:rFonts w:ascii="Arial" w:cs="Arial" w:eastAsia="Arial" w:hAnsi="Arial"/>
          <w:i/>
          <w:iCs/>
          <w:color w:val="444444"/>
          <w:sz w:val="18"/>
          <w:szCs w:val="18"/>
        </w:rPr>
        <w:t xml:space="preserve">Tabla 3. Trazabilidad de iteraciones (semilla random_state=42 en todas).</w:t>
      </w:r>
    </w:p>
    <w:p>
      <w:pPr>
        <w:pStyle w:val="Heading2"/>
        <w:spacing w:after="80" w:before="200"/>
      </w:pPr>
      <w:r>
        <w:rPr>
          <w:rFonts w:ascii="Arial" w:cs="Arial" w:eastAsia="Arial" w:hAnsi="Arial"/>
          <w:b/>
          <w:bCs/>
          <w:color w:val="13315C"/>
          <w:sz w:val="24"/>
          <w:szCs w:val="24"/>
        </w:rPr>
        <w:t xml:space="preserve">6.4 Importancia de features (gain normalizado)</w:t>
      </w:r>
    </w:p>
    <w:p>
      <w:pPr>
        <w:spacing w:after="20" w:before="6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619500"/>
                    </a:xfrm>
                    <a:prstGeom prst="rect">
                      <a:avLst/>
                    </a:prstGeom>
                  </pic:spPr>
                </pic:pic>
              </a:graphicData>
            </a:graphic>
          </wp:inline>
        </w:drawing>
      </w:r>
    </w:p>
    <w:p>
      <w:pPr>
        <w:spacing w:after="160" w:before="40" w:line="240"/>
        <w:jc w:val="center"/>
      </w:pPr>
      <w:r>
        <w:rPr>
          <w:rFonts w:ascii="Arial" w:cs="Arial" w:eastAsia="Arial" w:hAnsi="Arial"/>
          <w:i/>
          <w:iCs/>
          <w:color w:val="444444"/>
          <w:sz w:val="18"/>
          <w:szCs w:val="18"/>
        </w:rPr>
        <w:t xml:space="preserve">Figura 2. Top-10 features por importancia (gain normalizado). Las 5 primeras suman 81.2% del gain.</w:t>
      </w:r>
    </w:p>
    <w:p>
      <w:pPr>
        <w:pStyle w:val="Heading2"/>
        <w:spacing w:after="80" w:before="200"/>
      </w:pPr>
      <w:r>
        <w:rPr>
          <w:rFonts w:ascii="Arial" w:cs="Arial" w:eastAsia="Arial" w:hAnsi="Arial"/>
          <w:b/>
          <w:bCs/>
          <w:color w:val="13315C"/>
          <w:sz w:val="24"/>
          <w:szCs w:val="24"/>
        </w:rPr>
        <w:t xml:space="preserve">6.5 Análisis de errores representativos</w:t>
      </w:r>
    </w:p>
    <w:p>
      <w:pPr>
        <w:spacing w:after="120" w:before="0" w:line="300"/>
        <w:jc w:val="both"/>
      </w:pPr>
      <w:r>
        <w:rPr>
          <w:rFonts w:ascii="Arial" w:cs="Arial" w:eastAsia="Arial" w:hAnsi="Arial"/>
          <w:b w:val="false"/>
          <w:bCs w:val="false"/>
          <w:i w:val="false"/>
          <w:iCs w:val="false"/>
          <w:color w:val="000000"/>
          <w:sz w:val="22"/>
          <w:szCs w:val="22"/>
        </w:rPr>
        <w:t xml:space="preserve">Tras congelar v3, inspeccionamos los </w:t>
      </w:r>
      <w:r>
        <w:rPr>
          <w:rFonts w:ascii="Arial" w:cs="Arial" w:eastAsia="Arial" w:hAnsi="Arial"/>
          <w:b/>
          <w:bCs/>
          <w:i w:val="false"/>
          <w:iCs w:val="false"/>
          <w:color w:val="000000"/>
          <w:sz w:val="22"/>
          <w:szCs w:val="22"/>
        </w:rPr>
        <w:t xml:space="preserve">errores en test</w:t>
      </w:r>
      <w:r>
        <w:rPr>
          <w:rFonts w:ascii="Arial" w:cs="Arial" w:eastAsia="Arial" w:hAnsi="Arial"/>
          <w:b w:val="false"/>
          <w:bCs w:val="false"/>
          <w:i w:val="false"/>
          <w:iCs w:val="false"/>
          <w:color w:val="000000"/>
          <w:sz w:val="22"/>
          <w:szCs w:val="22"/>
        </w:rPr>
        <w:t xml:space="preserve"> para identificar patrones residuales:</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Falsos negativos (15% de los fraudes pasan): </w:t>
      </w:r>
      <w:r>
        <w:rPr>
          <w:rFonts w:ascii="Arial" w:cs="Arial" w:eastAsia="Arial" w:hAnsi="Arial"/>
          <w:b w:val="false"/>
          <w:bCs w:val="false"/>
          <w:i w:val="false"/>
          <w:iCs w:val="false"/>
          <w:sz w:val="22"/>
          <w:szCs w:val="22"/>
        </w:rPr>
        <w:t xml:space="preserve">principalmente transacciones de monto pequeño (&lt;$50) con todos los matches correctos y email confiable. El fraude 'inteligente' que imita patrones legítimos sigue siendo difícil.</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Falsos positivos (58% de las alertas): </w:t>
      </w:r>
      <w:r>
        <w:rPr>
          <w:rFonts w:ascii="Arial" w:cs="Arial" w:eastAsia="Arial" w:hAnsi="Arial"/>
          <w:b w:val="false"/>
          <w:bCs w:val="false"/>
          <w:i w:val="false"/>
          <w:iCs w:val="false"/>
          <w:sz w:val="22"/>
          <w:szCs w:val="22"/>
        </w:rPr>
        <w:t xml:space="preserve">usuarios viajando (IP en país distinto al billing) y compras desde dispositivos nuevos en horas atípicas. La banda de REVISIÓN (0.30 &lt; p &lt; 0.70) está pensada precisamente para estos casos.</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Concept drift residual: </w:t>
      </w:r>
      <w:r>
        <w:rPr>
          <w:rFonts w:ascii="Arial" w:cs="Arial" w:eastAsia="Arial" w:hAnsi="Arial"/>
          <w:b w:val="false"/>
          <w:bCs w:val="false"/>
          <w:i w:val="false"/>
          <w:iCs w:val="false"/>
          <w:sz w:val="22"/>
          <w:szCs w:val="22"/>
        </w:rPr>
        <w:t xml:space="preserve">las métricas en test (más reciente) son levemente peores que en validation (intermedio), confirmando que el modelo no es estacionario.</w:t>
      </w:r>
    </w:p>
    <w:p>
      <w:pPr>
        <w:pStyle w:val="Heading1"/>
        <w:spacing w:after="140" w:before="320"/>
      </w:pPr>
      <w:r>
        <w:rPr>
          <w:rFonts w:ascii="Arial" w:cs="Arial" w:eastAsia="Arial" w:hAnsi="Arial"/>
          <w:b/>
          <w:bCs/>
          <w:color w:val="1E2761"/>
          <w:sz w:val="30"/>
          <w:szCs w:val="30"/>
        </w:rPr>
        <w:t xml:space="preserve">7. Diseño e implementación de la demo</w:t>
      </w:r>
    </w:p>
    <w:p>
      <w:pPr>
        <w:pStyle w:val="Heading2"/>
        <w:spacing w:after="80" w:before="200"/>
      </w:pPr>
      <w:r>
        <w:rPr>
          <w:rFonts w:ascii="Arial" w:cs="Arial" w:eastAsia="Arial" w:hAnsi="Arial"/>
          <w:b/>
          <w:bCs/>
          <w:color w:val="13315C"/>
          <w:sz w:val="24"/>
          <w:szCs w:val="24"/>
        </w:rPr>
        <w:t xml:space="preserve">7.1 Arquitectura de la pasarela</w:t>
      </w:r>
    </w:p>
    <w:p>
      <w:pPr>
        <w:spacing w:after="120" w:before="0" w:line="300"/>
        <w:jc w:val="both"/>
      </w:pPr>
      <w:r>
        <w:rPr>
          <w:rFonts w:ascii="Arial" w:cs="Arial" w:eastAsia="Arial" w:hAnsi="Arial"/>
          <w:b w:val="false"/>
          <w:bCs w:val="false"/>
          <w:i w:val="false"/>
          <w:iCs w:val="false"/>
          <w:color w:val="000000"/>
          <w:sz w:val="22"/>
          <w:szCs w:val="22"/>
        </w:rPr>
        <w:t xml:space="preserve">La demo implementa una </w:t>
      </w:r>
      <w:r>
        <w:rPr>
          <w:rFonts w:ascii="Arial" w:cs="Arial" w:eastAsia="Arial" w:hAnsi="Arial"/>
          <w:b/>
          <w:bCs/>
          <w:i w:val="false"/>
          <w:iCs w:val="false"/>
          <w:color w:val="000000"/>
          <w:sz w:val="22"/>
          <w:szCs w:val="22"/>
        </w:rPr>
        <w:t xml:space="preserve">pasarela de checkout completa</w:t>
      </w:r>
      <w:r>
        <w:rPr>
          <w:rFonts w:ascii="Arial" w:cs="Arial" w:eastAsia="Arial" w:hAnsi="Arial"/>
          <w:b w:val="false"/>
          <w:bCs w:val="false"/>
          <w:i w:val="false"/>
          <w:iCs w:val="false"/>
          <w:color w:val="000000"/>
          <w:sz w:val="22"/>
          <w:szCs w:val="22"/>
        </w:rPr>
        <w:t xml:space="preserve"> usando Gradio. El usuario llena un formulario distribuido en 4 acordeones (Pedido, Localización, Cuenta, Dispositivo) o presiona el botón </w:t>
      </w:r>
      <w:r>
        <w:rPr>
          <w:rFonts w:ascii="Arial" w:cs="Arial" w:eastAsia="Arial" w:hAnsi="Arial"/>
          <w:b w:val="false"/>
          <w:bCs w:val="false"/>
          <w:i/>
          <w:iCs/>
          <w:color w:val="000000"/>
          <w:sz w:val="22"/>
          <w:szCs w:val="22"/>
        </w:rPr>
        <w:t xml:space="preserve">🎲 Generar transacción aleatoria</w:t>
      </w:r>
      <w:r>
        <w:rPr>
          <w:rFonts w:ascii="Arial" w:cs="Arial" w:eastAsia="Arial" w:hAnsi="Arial"/>
          <w:b w:val="false"/>
          <w:bCs w:val="false"/>
          <w:i w:val="false"/>
          <w:iCs w:val="false"/>
          <w:color w:val="000000"/>
          <w:sz w:val="22"/>
          <w:szCs w:val="22"/>
        </w:rPr>
        <w:t xml:space="preserve"> que rellena un escenario realista (35% sospechoso, 65% legítimo). El callback transforma los 14 campos del formulario en el vector de 17 features y lo pasa al modelo XGBoost entrenado.</w:t>
      </w:r>
    </w:p>
    <w:p>
      <w:pPr>
        <w:pStyle w:val="Heading2"/>
        <w:spacing w:after="80" w:before="200"/>
      </w:pPr>
      <w:r>
        <w:rPr>
          <w:rFonts w:ascii="Arial" w:cs="Arial" w:eastAsia="Arial" w:hAnsi="Arial"/>
          <w:b/>
          <w:bCs/>
          <w:color w:val="13315C"/>
          <w:sz w:val="24"/>
          <w:szCs w:val="24"/>
        </w:rPr>
        <w:t xml:space="preserve">7.2 Tres umbrales operacionales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0"/>
      </w:tblGrid>
      <w:tr>
        <w:trPr>
          <w:tblHeader/>
        </w:trPr>
        <w:tc>
          <w:tcPr>
            <w:tcW w:type="dxa" w:w="30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Banda</w:t>
            </w:r>
          </w:p>
        </w:tc>
        <w:tc>
          <w:tcPr>
            <w:tcW w:type="dxa" w:w="22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Decisión</w:t>
            </w:r>
          </w:p>
        </w:tc>
        <w:tc>
          <w:tcPr>
            <w:tcW w:type="dxa" w:w="4300"/>
            <w:tcBorders>
              <w:top w:val="single" w:color="BBBBBB" w:sz="4"/>
              <w:left w:val="single" w:color="BBBBBB" w:sz="4"/>
              <w:bottom w:val="single" w:color="BBBBBB" w:sz="4"/>
              <w:right w:val="single" w:color="BBBBBB"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Acción operativa</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p &lt; 0.30</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center"/>
            </w:pPr>
            <w:r>
              <w:rPr>
                <w:rFonts w:ascii="Arial" w:cs="Arial" w:eastAsia="Arial" w:hAnsi="Arial"/>
                <w:b/>
                <w:bCs/>
                <w:i w:val="false"/>
                <w:iCs w:val="false"/>
                <w:sz w:val="20"/>
                <w:szCs w:val="20"/>
              </w:rPr>
              <w:t xml:space="preserve">✅ APROBADA</w:t>
            </w:r>
          </w:p>
        </w:tc>
        <w:tc>
          <w:tcPr>
            <w:tcW w:type="dxa" w:w="4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Procesar normalmente. Riesgo bajo.</w:t>
            </w:r>
          </w:p>
        </w:tc>
      </w:tr>
      <w:tr>
        <w:tc>
          <w:tcPr>
            <w:tcW w:type="dxa" w:w="30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0.30 ≤ p &lt; 0.70</w:t>
            </w:r>
          </w:p>
        </w:tc>
        <w:tc>
          <w:tcPr>
            <w:tcW w:type="dxa" w:w="22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center"/>
            </w:pPr>
            <w:r>
              <w:rPr>
                <w:rFonts w:ascii="Arial" w:cs="Arial" w:eastAsia="Arial" w:hAnsi="Arial"/>
                <w:b/>
                <w:bCs/>
                <w:i w:val="false"/>
                <w:iCs w:val="false"/>
                <w:sz w:val="20"/>
                <w:szCs w:val="20"/>
              </w:rPr>
              <w:t xml:space="preserve">⚠️ REVISIÓN</w:t>
            </w:r>
          </w:p>
        </w:tc>
        <w:tc>
          <w:tcPr>
            <w:tcW w:type="dxa" w:w="4300"/>
            <w:tcBorders>
              <w:top w:val="single" w:color="BBBBBB" w:sz="4"/>
              <w:left w:val="single" w:color="BBBBBB" w:sz="4"/>
              <w:bottom w:val="single" w:color="BBBBBB" w:sz="4"/>
              <w:right w:val="single" w:color="BBBBBB" w:sz="4"/>
            </w:tcBorders>
            <w:shd w:fill="F2F5F9" w:val="clear"/>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Pedir 3-D Secure / OTP / llamada al titular antes de capturar fondos.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bCs/>
                <w:i w:val="false"/>
                <w:iCs w:val="false"/>
                <w:sz w:val="20"/>
                <w:szCs w:val="20"/>
              </w:rPr>
              <w:t xml:space="preserve">p ≥ 0.70</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center"/>
            </w:pPr>
            <w:r>
              <w:rPr>
                <w:rFonts w:ascii="Arial" w:cs="Arial" w:eastAsia="Arial" w:hAnsi="Arial"/>
                <w:b/>
                <w:bCs/>
                <w:i w:val="false"/>
                <w:iCs w:val="false"/>
                <w:sz w:val="20"/>
                <w:szCs w:val="20"/>
              </w:rPr>
              <w:t xml:space="preserve">🛑 BLOQUEADA</w:t>
            </w:r>
          </w:p>
        </w:tc>
        <w:tc>
          <w:tcPr>
            <w:tcW w:type="dxa" w:w="4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line="260"/>
              <w:jc w:val="left"/>
            </w:pPr>
            <w:r>
              <w:rPr>
                <w:rFonts w:ascii="Arial" w:cs="Arial" w:eastAsia="Arial" w:hAnsi="Arial"/>
                <w:b w:val="false"/>
                <w:bCs w:val="false"/>
                <w:i w:val="false"/>
                <w:iCs w:val="false"/>
                <w:sz w:val="20"/>
                <w:szCs w:val="20"/>
              </w:rPr>
              <w:t xml:space="preserve">Rechazar. Notificar al titular y a su banco emisor.</w:t>
            </w:r>
          </w:p>
        </w:tc>
      </w:tr>
    </w:tbl>
    <w:p>
      <w:pPr>
        <w:spacing w:after="120"/>
      </w:pPr>
      <w:r>
        <w:t xml:space="preserve"/>
      </w:r>
    </w:p>
    <w:p>
      <w:pPr>
        <w:spacing w:after="160" w:before="40" w:line="240"/>
        <w:jc w:val="center"/>
      </w:pPr>
      <w:r>
        <w:rPr>
          <w:rFonts w:ascii="Arial" w:cs="Arial" w:eastAsia="Arial" w:hAnsi="Arial"/>
          <w:i/>
          <w:iCs/>
          <w:color w:val="444444"/>
          <w:sz w:val="18"/>
          <w:szCs w:val="18"/>
        </w:rPr>
        <w:t xml:space="preserve">Tabla 4. Umbrales operacionales calibrados sobre la curva PR del modelo final.</w:t>
      </w:r>
    </w:p>
    <w:p>
      <w:pPr>
        <w:pStyle w:val="Heading2"/>
        <w:spacing w:after="80" w:before="200"/>
      </w:pPr>
      <w:r>
        <w:rPr>
          <w:rFonts w:ascii="Arial" w:cs="Arial" w:eastAsia="Arial" w:hAnsi="Arial"/>
          <w:b/>
          <w:bCs/>
          <w:color w:val="13315C"/>
          <w:sz w:val="24"/>
          <w:szCs w:val="24"/>
        </w:rPr>
        <w:t xml:space="preserve">7.3 Casos de prueba</w:t>
      </w:r>
    </w:p>
    <w:p>
      <w:pPr>
        <w:spacing w:after="120" w:before="0" w:line="300"/>
        <w:jc w:val="both"/>
      </w:pPr>
      <w:r>
        <w:rPr>
          <w:rFonts w:ascii="Arial" w:cs="Arial" w:eastAsia="Arial" w:hAnsi="Arial"/>
          <w:b w:val="false"/>
          <w:bCs w:val="false"/>
          <w:i w:val="false"/>
          <w:iCs w:val="false"/>
          <w:color w:val="000000"/>
          <w:sz w:val="22"/>
          <w:szCs w:val="22"/>
        </w:rPr>
        <w:t xml:space="preserve">Validamos la demo con tres escenarios documentados, según el requisito del Corte 3:</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Caso correcto (legítimo): </w:t>
      </w:r>
      <w:r>
        <w:rPr>
          <w:rFonts w:ascii="Arial" w:cs="Arial" w:eastAsia="Arial" w:hAnsi="Arial"/>
          <w:b w:val="false"/>
          <w:bCs w:val="false"/>
          <w:i w:val="false"/>
          <w:iCs w:val="false"/>
          <w:sz w:val="22"/>
          <w:szCs w:val="22"/>
        </w:rPr>
        <w:t xml:space="preserve">$125.50, Colombia/Bogotá, gmail.com, billing=shipping, Desktop+Windows+Chrome, 14:00 martes, IP local → p = 0.04% → APROBADA.</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Caso límite (revisión): </w:t>
      </w:r>
      <w:r>
        <w:rPr>
          <w:rFonts w:ascii="Arial" w:cs="Arial" w:eastAsia="Arial" w:hAnsi="Arial"/>
          <w:b w:val="false"/>
          <w:bCs w:val="false"/>
          <w:i w:val="false"/>
          <w:iCs w:val="false"/>
          <w:sz w:val="22"/>
          <w:szCs w:val="22"/>
        </w:rPr>
        <w:t xml:space="preserve">$450, México/Tijuana, outlook.com, billing≠shipping, Mobile+Android+Chrome, 23:00 sábado, mismo continente → p = 0.41% → REVISIÓN.</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Caso de error (fraude): </w:t>
      </w:r>
      <w:r>
        <w:rPr>
          <w:rFonts w:ascii="Arial" w:cs="Arial" w:eastAsia="Arial" w:hAnsi="Arial"/>
          <w:b w:val="false"/>
          <w:bCs w:val="false"/>
          <w:i w:val="false"/>
          <w:iCs w:val="false"/>
          <w:sz w:val="22"/>
          <w:szCs w:val="22"/>
        </w:rPr>
        <w:t xml:space="preserve">$2500, Otro/Bucharest, temp-mail.org, billing≠shipping, Mobile+Android+otro browser, 03:00 domingo, continente distinto, 4 intentos previos → p = 99.7% → BLOQUEADA.</w:t>
      </w:r>
    </w:p>
    <w:p>
      <w:pPr>
        <w:pStyle w:val="Heading2"/>
        <w:spacing w:after="80" w:before="200"/>
      </w:pPr>
      <w:r>
        <w:rPr>
          <w:rFonts w:ascii="Arial" w:cs="Arial" w:eastAsia="Arial" w:hAnsi="Arial"/>
          <w:b/>
          <w:bCs/>
          <w:color w:val="13315C"/>
          <w:sz w:val="24"/>
          <w:szCs w:val="24"/>
        </w:rPr>
        <w:t xml:space="preserve">7.4 Limitaciones del sistema</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El modelo se entrenó con un dataset estadounidense de 2019; el desempeño puede degradarse en escenarios colombianos actuales (concept drift).</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Algunas features sintéticas (pais_riesgo, email_risk) usan mapeos heurísticos; un sistema en producción debe inferirlas de logs reales del procesador.</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La demo no integra explicabilidad por transacción individual (SHAP); solo muestra feature importance global.</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Latencia medida en Colab (~150 ms); en producción con autoscaling debería mantenerse por debajo de 200 ms.</w:t>
      </w:r>
    </w:p>
    <w:p>
      <w:pPr>
        <w:pStyle w:val="Heading1"/>
        <w:spacing w:after="140" w:before="320"/>
      </w:pPr>
      <w:r>
        <w:rPr>
          <w:rFonts w:ascii="Arial" w:cs="Arial" w:eastAsia="Arial" w:hAnsi="Arial"/>
          <w:b/>
          <w:bCs/>
          <w:color w:val="1E2761"/>
          <w:sz w:val="30"/>
          <w:szCs w:val="30"/>
        </w:rPr>
        <w:t xml:space="preserve">8. Conclusiones y trabajo futuro</w:t>
      </w:r>
    </w:p>
    <w:p>
      <w:pPr>
        <w:pStyle w:val="Heading2"/>
        <w:spacing w:after="80" w:before="200"/>
      </w:pPr>
      <w:r>
        <w:rPr>
          <w:rFonts w:ascii="Arial" w:cs="Arial" w:eastAsia="Arial" w:hAnsi="Arial"/>
          <w:b/>
          <w:bCs/>
          <w:color w:val="13315C"/>
          <w:sz w:val="24"/>
          <w:szCs w:val="24"/>
        </w:rPr>
        <w:t xml:space="preserve">8.1 Lo que funcionó</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La migración Reg. Logística → XGBoost + Optuna mejoró ROC-AUC en +0.21 (de 0.76 a 0.97) y triplicó la PR-AUC, validando empíricamente la necesidad de modelos no lineales en problemas tabulares con interacciones cruzadas.</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El rediseño de features (de 10 básicas a 17 inspiradas en IEEE-CIS) aportó al menos tanto valor como el cambio de modelo. Las 5 features de comportamiento e identidad concentran 81% del gain.</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La partición temporal estricta (sin shuffle) reveló un gap moderado train→test (~3pp en AUC) que un random split habría ocultado, dándonos una estimación honesta del desempeño en producción.</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Los tres umbrales (0.30 / 0.70) son operacionalmente útiles: enviamos a revisión humana ~8% de las transacciones, con 42% de precisión en esa banda.</w:t>
      </w:r>
    </w:p>
    <w:p>
      <w:pPr>
        <w:pStyle w:val="Heading2"/>
        <w:spacing w:after="80" w:before="200"/>
      </w:pPr>
      <w:r>
        <w:rPr>
          <w:rFonts w:ascii="Arial" w:cs="Arial" w:eastAsia="Arial" w:hAnsi="Arial"/>
          <w:b/>
          <w:bCs/>
          <w:color w:val="13315C"/>
          <w:sz w:val="24"/>
          <w:szCs w:val="24"/>
        </w:rPr>
        <w:t xml:space="preserve">8.2 Lo que no funcionó / limitaciones</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La PR-AUC de 0.612, aunque competitiva, sigue dejando espacio para falsos positivos en producción. Modelos basados en grafos (las transacciones forman una red bipartita usuarios↔dispositivos↔IPs) podrían capturar relaciones que XGBoost no ve.</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No incorporamos las features V1-V339 anonimizadas de Vesta por interpretabilidad, pero en la competencia Kaggle son críticas; perdemos ~3-5 puntos de AUC frente al estado del arte.</w:t>
      </w:r>
    </w:p>
    <w:p>
      <w:pPr>
        <w:pStyle w:val="ListParagraph"/>
        <w:numPr>
          <w:ilvl w:val="0"/>
          <w:numId w:val="2"/>
        </w:numPr>
        <w:spacing w:after="60" w:before="0" w:line="280"/>
        <w:jc w:val="both"/>
      </w:pPr>
      <w:r>
        <w:rPr>
          <w:rFonts w:ascii="Arial" w:cs="Arial" w:eastAsia="Arial" w:hAnsi="Arial"/>
          <w:b w:val="false"/>
          <w:bCs w:val="false"/>
          <w:i w:val="false"/>
          <w:iCs w:val="false"/>
          <w:sz w:val="22"/>
          <w:szCs w:val="22"/>
        </w:rPr>
        <w:t xml:space="preserve">El modelo es 'estático': no actualiza pesos con feedback online. Un sistema en producción debe reentrenarse periódicamente con las decisiones confirmadas por los analistas.</w:t>
      </w:r>
    </w:p>
    <w:p>
      <w:pPr>
        <w:pStyle w:val="Heading2"/>
        <w:spacing w:after="80" w:before="200"/>
      </w:pPr>
      <w:r>
        <w:rPr>
          <w:rFonts w:ascii="Arial" w:cs="Arial" w:eastAsia="Arial" w:hAnsi="Arial"/>
          <w:b/>
          <w:bCs/>
          <w:color w:val="13315C"/>
          <w:sz w:val="24"/>
          <w:szCs w:val="24"/>
        </w:rPr>
        <w:t xml:space="preserve">8.3 Trabajo futuro priorizado</w:t>
      </w:r>
    </w:p>
    <w:p>
      <w:pPr>
        <w:pStyle w:val="ListParagraph"/>
        <w:numPr>
          <w:ilvl w:val="0"/>
          <w:numId w:val="3"/>
        </w:numPr>
        <w:spacing w:after="60" w:before="0" w:line="280"/>
        <w:jc w:val="both"/>
      </w:pPr>
      <w:r>
        <w:rPr>
          <w:rFonts w:ascii="Arial" w:cs="Arial" w:eastAsia="Arial" w:hAnsi="Arial"/>
          <w:b/>
          <w:bCs/>
          <w:i w:val="false"/>
          <w:iCs w:val="false"/>
          <w:sz w:val="22"/>
          <w:szCs w:val="22"/>
        </w:rPr>
        <w:t xml:space="preserve">Integración de SHAP (TreeSHAP) </w:t>
      </w:r>
      <w:r>
        <w:rPr>
          <w:rFonts w:ascii="Arial" w:cs="Arial" w:eastAsia="Arial" w:hAnsi="Arial"/>
          <w:b w:val="false"/>
          <w:bCs w:val="false"/>
          <w:i w:val="false"/>
          <w:iCs w:val="false"/>
          <w:sz w:val="22"/>
          <w:szCs w:val="22"/>
        </w:rPr>
        <w:t xml:space="preserve">para producir explicaciones locales por transacción ('esta tx fue marcada porque el país tiene riesgo 4 y hubo 3 intentos previos'). Crucial para el analista antifraude.</w:t>
      </w:r>
    </w:p>
    <w:p>
      <w:pPr>
        <w:pStyle w:val="ListParagraph"/>
        <w:numPr>
          <w:ilvl w:val="0"/>
          <w:numId w:val="3"/>
        </w:numPr>
        <w:spacing w:after="60" w:before="0" w:line="280"/>
        <w:jc w:val="both"/>
      </w:pPr>
      <w:r>
        <w:rPr>
          <w:rFonts w:ascii="Arial" w:cs="Arial" w:eastAsia="Arial" w:hAnsi="Arial"/>
          <w:b/>
          <w:bCs/>
          <w:i w:val="false"/>
          <w:iCs w:val="false"/>
          <w:sz w:val="22"/>
          <w:szCs w:val="22"/>
        </w:rPr>
        <w:t xml:space="preserve">Validación con concept drift </w:t>
      </w:r>
      <w:r>
        <w:rPr>
          <w:rFonts w:ascii="Arial" w:cs="Arial" w:eastAsia="Arial" w:hAnsi="Arial"/>
          <w:b w:val="false"/>
          <w:bCs w:val="false"/>
          <w:i w:val="false"/>
          <w:iCs w:val="false"/>
          <w:sz w:val="22"/>
          <w:szCs w:val="22"/>
        </w:rPr>
        <w:t xml:space="preserve">explícito: dividir el dataset en ventanas trimestrales y medir degradación temporal del AUC. Implementar reentrenamiento automático cada 30-60 días.</w:t>
      </w:r>
    </w:p>
    <w:p>
      <w:pPr>
        <w:pStyle w:val="ListParagraph"/>
        <w:numPr>
          <w:ilvl w:val="0"/>
          <w:numId w:val="3"/>
        </w:numPr>
        <w:spacing w:after="60" w:before="0" w:line="280"/>
        <w:jc w:val="both"/>
      </w:pPr>
      <w:r>
        <w:rPr>
          <w:rFonts w:ascii="Arial" w:cs="Arial" w:eastAsia="Arial" w:hAnsi="Arial"/>
          <w:b/>
          <w:bCs/>
          <w:i w:val="false"/>
          <w:iCs w:val="false"/>
          <w:sz w:val="22"/>
          <w:szCs w:val="22"/>
        </w:rPr>
        <w:t xml:space="preserve">Comparación con Autoencoder para anomaly detection </w:t>
      </w:r>
      <w:r>
        <w:rPr>
          <w:rFonts w:ascii="Arial" w:cs="Arial" w:eastAsia="Arial" w:hAnsi="Arial"/>
          <w:b w:val="false"/>
          <w:bCs w:val="false"/>
          <w:i w:val="false"/>
          <w:iCs w:val="false"/>
          <w:sz w:val="22"/>
          <w:szCs w:val="22"/>
        </w:rPr>
        <w:t xml:space="preserve">como segundo modelo en paralelo, especialmente útil para fraudes nuevos sin etiqueta histórica.</w:t>
      </w:r>
    </w:p>
    <w:p>
      <w:pPr>
        <w:pStyle w:val="ListParagraph"/>
        <w:numPr>
          <w:ilvl w:val="0"/>
          <w:numId w:val="3"/>
        </w:numPr>
        <w:spacing w:after="60" w:before="0" w:line="280"/>
        <w:jc w:val="both"/>
      </w:pPr>
      <w:r>
        <w:rPr>
          <w:rFonts w:ascii="Arial" w:cs="Arial" w:eastAsia="Arial" w:hAnsi="Arial"/>
          <w:b/>
          <w:bCs/>
          <w:i w:val="false"/>
          <w:iCs w:val="false"/>
          <w:sz w:val="22"/>
          <w:szCs w:val="22"/>
        </w:rPr>
        <w:t xml:space="preserve">API REST con FastAPI </w:t>
      </w:r>
      <w:r>
        <w:rPr>
          <w:rFonts w:ascii="Arial" w:cs="Arial" w:eastAsia="Arial" w:hAnsi="Arial"/>
          <w:b w:val="false"/>
          <w:bCs w:val="false"/>
          <w:i w:val="false"/>
          <w:iCs w:val="false"/>
          <w:sz w:val="22"/>
          <w:szCs w:val="22"/>
        </w:rPr>
        <w:t xml:space="preserve">para reemplazar Gradio en producción, con caching, rate limiting y observabilidad (Prometheus/Grafana).</w:t>
      </w:r>
    </w:p>
    <w:p>
      <w:pPr>
        <w:pStyle w:val="Heading1"/>
        <w:spacing w:after="140" w:before="320"/>
      </w:pPr>
      <w:r>
        <w:rPr>
          <w:rFonts w:ascii="Arial" w:cs="Arial" w:eastAsia="Arial" w:hAnsi="Arial"/>
          <w:b/>
          <w:bCs/>
          <w:color w:val="1E2761"/>
          <w:sz w:val="30"/>
          <w:szCs w:val="30"/>
        </w:rPr>
        <w:t xml:space="preserve">9. Anexos</w:t>
      </w:r>
    </w:p>
    <w:p>
      <w:pPr>
        <w:pStyle w:val="Heading2"/>
        <w:spacing w:after="80" w:before="200"/>
      </w:pPr>
      <w:r>
        <w:rPr>
          <w:rFonts w:ascii="Arial" w:cs="Arial" w:eastAsia="Arial" w:hAnsi="Arial"/>
          <w:b/>
          <w:bCs/>
          <w:color w:val="13315C"/>
          <w:sz w:val="24"/>
          <w:szCs w:val="24"/>
        </w:rPr>
        <w:t xml:space="preserve">9.1 Enlaces</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Repositorio GitHub: </w:t>
      </w:r>
      <w:r>
        <w:rPr>
          <w:rFonts w:ascii="Arial" w:cs="Arial" w:eastAsia="Arial" w:hAnsi="Arial"/>
          <w:b w:val="false"/>
          <w:bCs w:val="false"/>
          <w:i w:val="false"/>
          <w:iCs w:val="false"/>
          <w:sz w:val="22"/>
          <w:szCs w:val="22"/>
        </w:rPr>
        <w:t xml:space="preserve">https://github.com/jeariveraro-lang/utadeo_ia_fraud</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Demo Gradio (Colab): </w:t>
      </w:r>
      <w:r>
        <w:rPr>
          <w:rFonts w:ascii="Arial" w:cs="Arial" w:eastAsia="Arial" w:hAnsi="Arial"/>
          <w:b w:val="false"/>
          <w:bCs w:val="false"/>
          <w:i w:val="false"/>
          <w:iCs w:val="false"/>
          <w:sz w:val="22"/>
          <w:szCs w:val="22"/>
        </w:rPr>
        <w:t xml:space="preserve">abrir notebooks/03_modelo_final.ipynb y ejecutar la última celda (URL pública gradio.live)</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Video YouTube: </w:t>
      </w:r>
      <w:r>
        <w:rPr>
          <w:rFonts w:ascii="Arial" w:cs="Arial" w:eastAsia="Arial" w:hAnsi="Arial"/>
          <w:b w:val="false"/>
          <w:bCs w:val="false"/>
          <w:i w:val="false"/>
          <w:iCs w:val="false"/>
          <w:sz w:val="22"/>
          <w:szCs w:val="22"/>
        </w:rPr>
        <w:t xml:space="preserve">[insertar URL antes de entregar]</w:t>
      </w:r>
    </w:p>
    <w:p>
      <w:pPr>
        <w:pStyle w:val="ListParagraph"/>
        <w:numPr>
          <w:ilvl w:val="0"/>
          <w:numId w:val="2"/>
        </w:numPr>
        <w:spacing w:after="60" w:before="0" w:line="280"/>
        <w:jc w:val="both"/>
      </w:pPr>
      <w:r>
        <w:rPr>
          <w:rFonts w:ascii="Arial" w:cs="Arial" w:eastAsia="Arial" w:hAnsi="Arial"/>
          <w:b/>
          <w:bCs/>
          <w:i w:val="false"/>
          <w:iCs w:val="false"/>
          <w:sz w:val="22"/>
          <w:szCs w:val="22"/>
        </w:rPr>
        <w:t xml:space="preserve">Dataset IEEE-CIS: </w:t>
      </w:r>
      <w:r>
        <w:rPr>
          <w:rFonts w:ascii="Arial" w:cs="Arial" w:eastAsia="Arial" w:hAnsi="Arial"/>
          <w:b w:val="false"/>
          <w:bCs w:val="false"/>
          <w:i w:val="false"/>
          <w:iCs w:val="false"/>
          <w:sz w:val="22"/>
          <w:szCs w:val="22"/>
        </w:rPr>
        <w:t xml:space="preserve">https://www.kaggle.com/c/ieee-fraud-detection</w:t>
      </w:r>
    </w:p>
    <w:p>
      <w:pPr>
        <w:pStyle w:val="Heading2"/>
        <w:spacing w:after="80" w:before="200"/>
      </w:pPr>
      <w:r>
        <w:rPr>
          <w:rFonts w:ascii="Arial" w:cs="Arial" w:eastAsia="Arial" w:hAnsi="Arial"/>
          <w:b/>
          <w:bCs/>
          <w:color w:val="13315C"/>
          <w:sz w:val="24"/>
          <w:szCs w:val="24"/>
        </w:rPr>
        <w:t xml:space="preserve">9.2 Estructura del repositorio</w:t>
      </w:r>
    </w:p>
    <w:p>
      <w:pPr>
        <w:pBdr>
          <w:top w:val="single" w:color="DDDDDD" w:sz="4"/>
          <w:bottom w:val="single" w:color="DDDDDD" w:sz="4"/>
          <w:left w:val="single" w:color="DDDDDD" w:sz="4"/>
          <w:right w:val="single" w:color="DDDDDD" w:sz="4"/>
        </w:pBdr>
        <w:shd w:fill="F4F4F4" w:val="clear"/>
        <w:spacing w:after="60" w:before="60" w:line="260"/>
      </w:pPr>
      <w:r>
        <w:rPr>
          <w:rFonts w:ascii="Consolas" w:cs="Consolas" w:eastAsia="Consolas" w:hAnsi="Consolas"/>
          <w:color w:val="222222"/>
          <w:sz w:val="18"/>
          <w:szCs w:val="18"/>
        </w:rPr>
        <w:t xml:space="preserve">proyecto_ia_fraud/
├── README.md
├── requirements.txt
├── LICENSE
├── docs/
│   ├── informe_corte3.pdf       ← este documento
│   └── poster.pdf                ← póster de la feria
├── notebooks/
│   ├── 01_exploracion.ipynb     ← EDA del IEEE-CIS
│   ├── 02_baseline.ipynb        ← Reg. Logística
│   └── 03_modelo_final.ipynb    ← XGBoost + Optuna + Demo Gradio
├── app/
│   └── demo_gradio.py            ← demo standalone (sin notebook)
├── artifacts/
│   └── modelo_final/
│       └── xgboost_optuna_final.json
└── figures/
    ├── fig_roc_comparativa.png
    └── fig_feature_importance.png</w:t>
      </w:r>
    </w:p>
    <w:p>
      <w:pPr>
        <w:pStyle w:val="Heading2"/>
        <w:spacing w:after="80" w:before="200"/>
      </w:pPr>
      <w:r>
        <w:rPr>
          <w:rFonts w:ascii="Arial" w:cs="Arial" w:eastAsia="Arial" w:hAnsi="Arial"/>
          <w:b/>
          <w:bCs/>
          <w:color w:val="13315C"/>
          <w:sz w:val="24"/>
          <w:szCs w:val="24"/>
        </w:rPr>
        <w:t xml:space="preserve">9.3 Cómo reproducir</w:t>
      </w:r>
    </w:p>
    <w:p>
      <w:pPr>
        <w:pStyle w:val="ListParagraph"/>
        <w:numPr>
          <w:ilvl w:val="0"/>
          <w:numId w:val="3"/>
        </w:numPr>
        <w:spacing w:after="60" w:before="0" w:line="280"/>
        <w:jc w:val="both"/>
      </w:pPr>
      <w:r>
        <w:rPr>
          <w:rFonts w:ascii="Arial" w:cs="Arial" w:eastAsia="Arial" w:hAnsi="Arial"/>
          <w:b w:val="false"/>
          <w:bCs w:val="false"/>
          <w:i w:val="false"/>
          <w:iCs w:val="false"/>
          <w:sz w:val="22"/>
          <w:szCs w:val="22"/>
        </w:rPr>
        <w:t xml:space="preserve">git clone https://github.com/jeariveraro-lang/utadeo_ia_fraud.git</w:t>
      </w:r>
    </w:p>
    <w:p>
      <w:pPr>
        <w:pStyle w:val="ListParagraph"/>
        <w:numPr>
          <w:ilvl w:val="0"/>
          <w:numId w:val="3"/>
        </w:numPr>
        <w:spacing w:after="60" w:before="0" w:line="280"/>
        <w:jc w:val="both"/>
      </w:pPr>
      <w:r>
        <w:rPr>
          <w:rFonts w:ascii="Arial" w:cs="Arial" w:eastAsia="Arial" w:hAnsi="Arial"/>
          <w:b w:val="false"/>
          <w:bCs w:val="false"/>
          <w:i w:val="false"/>
          <w:iCs w:val="false"/>
          <w:sz w:val="22"/>
          <w:szCs w:val="22"/>
        </w:rPr>
        <w:t xml:space="preserve">cd utadeo_ia_fraud &amp;&amp; python3 -m venv venv &amp;&amp; source venv/bin/activate</w:t>
      </w:r>
    </w:p>
    <w:p>
      <w:pPr>
        <w:pStyle w:val="ListParagraph"/>
        <w:numPr>
          <w:ilvl w:val="0"/>
          <w:numId w:val="3"/>
        </w:numPr>
        <w:spacing w:after="60" w:before="0" w:line="280"/>
        <w:jc w:val="both"/>
      </w:pPr>
      <w:r>
        <w:rPr>
          <w:rFonts w:ascii="Arial" w:cs="Arial" w:eastAsia="Arial" w:hAnsi="Arial"/>
          <w:b w:val="false"/>
          <w:bCs w:val="false"/>
          <w:i w:val="false"/>
          <w:iCs w:val="false"/>
          <w:sz w:val="22"/>
          <w:szCs w:val="22"/>
        </w:rPr>
        <w:t xml:space="preserve">pip install -r requirements.txt</w:t>
      </w:r>
    </w:p>
    <w:p>
      <w:pPr>
        <w:pStyle w:val="ListParagraph"/>
        <w:numPr>
          <w:ilvl w:val="0"/>
          <w:numId w:val="3"/>
        </w:numPr>
        <w:spacing w:after="60" w:before="0" w:line="280"/>
        <w:jc w:val="both"/>
      </w:pPr>
      <w:r>
        <w:rPr>
          <w:rFonts w:ascii="Arial" w:cs="Arial" w:eastAsia="Arial" w:hAnsi="Arial"/>
          <w:b w:val="false"/>
          <w:bCs w:val="false"/>
          <w:i w:val="false"/>
          <w:iCs w:val="false"/>
          <w:sz w:val="22"/>
          <w:szCs w:val="22"/>
        </w:rPr>
        <w:t xml:space="preserve">jupyter notebook notebooks/03_modelo_final.ipynb</w:t>
      </w:r>
    </w:p>
    <w:p>
      <w:pPr>
        <w:pStyle w:val="ListParagraph"/>
        <w:numPr>
          <w:ilvl w:val="0"/>
          <w:numId w:val="3"/>
        </w:numPr>
        <w:spacing w:after="60" w:before="0" w:line="280"/>
        <w:jc w:val="both"/>
      </w:pPr>
      <w:r>
        <w:rPr>
          <w:rFonts w:ascii="Arial" w:cs="Arial" w:eastAsia="Arial" w:hAnsi="Arial"/>
          <w:b w:val="false"/>
          <w:bCs w:val="false"/>
          <w:i w:val="false"/>
          <w:iCs w:val="false"/>
          <w:sz w:val="22"/>
          <w:szCs w:val="22"/>
        </w:rPr>
        <w:t xml:space="preserve">Ejecutar todas las celdas (Cell → Run All). La última celda lanza la demo Gradio.</w:t>
      </w:r>
    </w:p>
    <w:p>
      <w:pPr>
        <w:pStyle w:val="Heading2"/>
        <w:spacing w:after="80" w:before="200"/>
      </w:pPr>
      <w:r>
        <w:rPr>
          <w:rFonts w:ascii="Arial" w:cs="Arial" w:eastAsia="Arial" w:hAnsi="Arial"/>
          <w:b/>
          <w:bCs/>
          <w:color w:val="13315C"/>
          <w:sz w:val="24"/>
          <w:szCs w:val="24"/>
        </w:rPr>
        <w:t xml:space="preserve">9.4 Referencias</w:t>
      </w:r>
    </w:p>
    <w:p>
      <w:pPr>
        <w:spacing w:after="60" w:before="0" w:line="260"/>
        <w:ind w:left="360" w:hanging="360"/>
        <w:jc w:val="both"/>
      </w:pPr>
      <w:r>
        <w:rPr>
          <w:rFonts w:ascii="Arial" w:cs="Arial" w:eastAsia="Arial" w:hAnsi="Arial"/>
          <w:i w:val="false"/>
          <w:iCs w:val="false"/>
          <w:sz w:val="20"/>
          <w:szCs w:val="20"/>
        </w:rPr>
        <w:t xml:space="preserve">Akiba, T., Sano, S., Yanase, T., Ohta, T., &amp; Koyama, M. (2019). Optuna: A Next-generation Hyperparameter Optimization Framework. </w:t>
      </w:r>
      <w:r>
        <w:rPr>
          <w:rFonts w:ascii="Arial" w:cs="Arial" w:eastAsia="Arial" w:hAnsi="Arial"/>
          <w:i/>
          <w:iCs/>
          <w:sz w:val="20"/>
          <w:szCs w:val="20"/>
        </w:rPr>
        <w:t xml:space="preserve">Proceedings of KDD'19</w:t>
      </w:r>
      <w:r>
        <w:rPr>
          <w:rFonts w:ascii="Arial" w:cs="Arial" w:eastAsia="Arial" w:hAnsi="Arial"/>
          <w:i w:val="false"/>
          <w:iCs w:val="false"/>
          <w:sz w:val="20"/>
          <w:szCs w:val="20"/>
        </w:rPr>
        <w:t xml:space="preserve">, 2623-2631.</w:t>
      </w:r>
    </w:p>
    <w:p>
      <w:pPr>
        <w:spacing w:after="60" w:before="0" w:line="260"/>
        <w:ind w:left="360" w:hanging="360"/>
        <w:jc w:val="both"/>
      </w:pPr>
      <w:r>
        <w:rPr>
          <w:rFonts w:ascii="Arial" w:cs="Arial" w:eastAsia="Arial" w:hAnsi="Arial"/>
          <w:i w:val="false"/>
          <w:iCs w:val="false"/>
          <w:sz w:val="20"/>
          <w:szCs w:val="20"/>
        </w:rPr>
        <w:t xml:space="preserve">Bahnsen, A. C., Aouada, D., &amp; Ottersten, B. (2014). Example-Dependent Cost-Sensitive Decision Trees. </w:t>
      </w:r>
      <w:r>
        <w:rPr>
          <w:rFonts w:ascii="Arial" w:cs="Arial" w:eastAsia="Arial" w:hAnsi="Arial"/>
          <w:i/>
          <w:iCs/>
          <w:sz w:val="20"/>
          <w:szCs w:val="20"/>
        </w:rPr>
        <w:t xml:space="preserve">Expert Systems with Applications</w:t>
      </w:r>
      <w:r>
        <w:rPr>
          <w:rFonts w:ascii="Arial" w:cs="Arial" w:eastAsia="Arial" w:hAnsi="Arial"/>
          <w:i w:val="false"/>
          <w:iCs w:val="false"/>
          <w:sz w:val="20"/>
          <w:szCs w:val="20"/>
        </w:rPr>
        <w:t xml:space="preserve">, 42(19), 6609-6619.</w:t>
      </w:r>
    </w:p>
    <w:p>
      <w:pPr>
        <w:spacing w:after="60" w:before="0" w:line="260"/>
        <w:ind w:left="360" w:hanging="360"/>
        <w:jc w:val="both"/>
      </w:pPr>
      <w:r>
        <w:rPr>
          <w:rFonts w:ascii="Arial" w:cs="Arial" w:eastAsia="Arial" w:hAnsi="Arial"/>
          <w:i w:val="false"/>
          <w:iCs w:val="false"/>
          <w:sz w:val="20"/>
          <w:szCs w:val="20"/>
        </w:rPr>
        <w:t xml:space="preserve">Carcillo, F., Le Borgne, Y. A., Caelen, O., Kessaci, Y., Oblé, F., &amp; Bontempi, G. (2021). Combining unsupervised and supervised learning in credit card fraud detection. </w:t>
      </w:r>
      <w:r>
        <w:rPr>
          <w:rFonts w:ascii="Arial" w:cs="Arial" w:eastAsia="Arial" w:hAnsi="Arial"/>
          <w:i/>
          <w:iCs/>
          <w:sz w:val="20"/>
          <w:szCs w:val="20"/>
        </w:rPr>
        <w:t xml:space="preserve">Information Sciences</w:t>
      </w:r>
      <w:r>
        <w:rPr>
          <w:rFonts w:ascii="Arial" w:cs="Arial" w:eastAsia="Arial" w:hAnsi="Arial"/>
          <w:i w:val="false"/>
          <w:iCs w:val="false"/>
          <w:sz w:val="20"/>
          <w:szCs w:val="20"/>
        </w:rPr>
        <w:t xml:space="preserve">, 557, 317-331.</w:t>
      </w:r>
    </w:p>
    <w:p>
      <w:pPr>
        <w:spacing w:after="60" w:before="0" w:line="260"/>
        <w:ind w:left="360" w:hanging="360"/>
        <w:jc w:val="both"/>
      </w:pPr>
      <w:r>
        <w:rPr>
          <w:rFonts w:ascii="Arial" w:cs="Arial" w:eastAsia="Arial" w:hAnsi="Arial"/>
          <w:i w:val="false"/>
          <w:iCs w:val="false"/>
          <w:sz w:val="20"/>
          <w:szCs w:val="20"/>
        </w:rPr>
        <w:t xml:space="preserve">Chen, T., &amp; Guestrin, C. (2016). XGBoost: A Scalable Tree Boosting System. </w:t>
      </w:r>
      <w:r>
        <w:rPr>
          <w:rFonts w:ascii="Arial" w:cs="Arial" w:eastAsia="Arial" w:hAnsi="Arial"/>
          <w:i/>
          <w:iCs/>
          <w:sz w:val="20"/>
          <w:szCs w:val="20"/>
        </w:rPr>
        <w:t xml:space="preserve">Proceedings of KDD'16</w:t>
      </w:r>
      <w:r>
        <w:rPr>
          <w:rFonts w:ascii="Arial" w:cs="Arial" w:eastAsia="Arial" w:hAnsi="Arial"/>
          <w:i w:val="false"/>
          <w:iCs w:val="false"/>
          <w:sz w:val="20"/>
          <w:szCs w:val="20"/>
        </w:rPr>
        <w:t xml:space="preserve">, 785-794.</w:t>
      </w:r>
    </w:p>
    <w:p>
      <w:pPr>
        <w:spacing w:after="60" w:before="0" w:line="260"/>
        <w:ind w:left="360" w:hanging="360"/>
        <w:jc w:val="both"/>
      </w:pPr>
      <w:r>
        <w:rPr>
          <w:rFonts w:ascii="Arial" w:cs="Arial" w:eastAsia="Arial" w:hAnsi="Arial"/>
          <w:i w:val="false"/>
          <w:iCs w:val="false"/>
          <w:sz w:val="20"/>
          <w:szCs w:val="20"/>
        </w:rPr>
        <w:t xml:space="preserve">IEEE-CIS Fraud Detection (2019). Kaggle Competition Dataset. https://www.kaggle.com/c/ieee-fraud-detection</w:t>
      </w:r>
    </w:p>
    <w:p>
      <w:pPr>
        <w:spacing w:after="60" w:before="0" w:line="260"/>
        <w:ind w:left="360" w:hanging="360"/>
        <w:jc w:val="both"/>
      </w:pPr>
      <w:r>
        <w:rPr>
          <w:rFonts w:ascii="Arial" w:cs="Arial" w:eastAsia="Arial" w:hAnsi="Arial"/>
          <w:i w:val="false"/>
          <w:iCs w:val="false"/>
          <w:sz w:val="20"/>
          <w:szCs w:val="20"/>
        </w:rPr>
        <w:t xml:space="preserve">LexisNexis Risk Solutions (2024). </w:t>
      </w:r>
      <w:r>
        <w:rPr>
          <w:rFonts w:ascii="Arial" w:cs="Arial" w:eastAsia="Arial" w:hAnsi="Arial"/>
          <w:i/>
          <w:iCs/>
          <w:sz w:val="20"/>
          <w:szCs w:val="20"/>
        </w:rPr>
        <w:t xml:space="preserve">True Cost of Fraud Study: Financial Services and Lending</w:t>
      </w:r>
      <w:r>
        <w:rPr>
          <w:rFonts w:ascii="Arial" w:cs="Arial" w:eastAsia="Arial" w:hAnsi="Arial"/>
          <w:i w:val="false"/>
          <w:iCs w:val="false"/>
          <w:sz w:val="20"/>
          <w:szCs w:val="20"/>
        </w:rPr>
        <w:t xml:space="preserve">.</w:t>
      </w:r>
    </w:p>
    <w:p>
      <w:pPr>
        <w:spacing w:after="60" w:before="0" w:line="260"/>
        <w:ind w:left="360" w:hanging="360"/>
        <w:jc w:val="both"/>
      </w:pPr>
      <w:r>
        <w:rPr>
          <w:rFonts w:ascii="Arial" w:cs="Arial" w:eastAsia="Arial" w:hAnsi="Arial"/>
          <w:i w:val="false"/>
          <w:iCs w:val="false"/>
          <w:sz w:val="20"/>
          <w:szCs w:val="20"/>
        </w:rPr>
        <w:t xml:space="preserve">Lundberg, S. M., &amp; Lee, S. I. (2017). A Unified Approach to Interpreting Model Predictions. </w:t>
      </w:r>
      <w:r>
        <w:rPr>
          <w:rFonts w:ascii="Arial" w:cs="Arial" w:eastAsia="Arial" w:hAnsi="Arial"/>
          <w:i/>
          <w:iCs/>
          <w:sz w:val="20"/>
          <w:szCs w:val="20"/>
        </w:rPr>
        <w:t xml:space="preserve">Advances in Neural Information Processing Systems</w:t>
      </w:r>
      <w:r>
        <w:rPr>
          <w:rFonts w:ascii="Arial" w:cs="Arial" w:eastAsia="Arial" w:hAnsi="Arial"/>
          <w:i w:val="false"/>
          <w:iCs w:val="false"/>
          <w:sz w:val="20"/>
          <w:szCs w:val="20"/>
        </w:rPr>
        <w:t xml:space="preserve">, 30.</w:t>
      </w:r>
    </w:p>
    <w:p>
      <w:pPr>
        <w:spacing w:after="60" w:before="0" w:line="260"/>
        <w:ind w:left="360" w:hanging="360"/>
        <w:jc w:val="both"/>
      </w:pPr>
      <w:r>
        <w:rPr>
          <w:rFonts w:ascii="Arial" w:cs="Arial" w:eastAsia="Arial" w:hAnsi="Arial"/>
          <w:i w:val="false"/>
          <w:iCs w:val="false"/>
          <w:sz w:val="20"/>
          <w:szCs w:val="20"/>
        </w:rPr>
        <w:t xml:space="preserve">Pozzolo, A. D., Caelen, O., Johnson, R. A., &amp; Bontempi, G. (2015). Calibrating Probability with Undersampling for Unbalanced Classification. </w:t>
      </w:r>
      <w:r>
        <w:rPr>
          <w:rFonts w:ascii="Arial" w:cs="Arial" w:eastAsia="Arial" w:hAnsi="Arial"/>
          <w:i/>
          <w:iCs/>
          <w:sz w:val="20"/>
          <w:szCs w:val="20"/>
        </w:rPr>
        <w:t xml:space="preserve">IEEE SSCI</w:t>
      </w:r>
      <w:r>
        <w:rPr>
          <w:rFonts w:ascii="Arial" w:cs="Arial" w:eastAsia="Arial" w:hAnsi="Arial"/>
          <w:i w:val="false"/>
          <w:iCs w:val="false"/>
          <w:sz w:val="20"/>
          <w:szCs w:val="20"/>
        </w:rPr>
        <w:t xml:space="preserve">, 159-166.</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Detección de Fraude · Inteligencia Artificial · UTadeo 2026 · pág.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E2761"/>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3315C"/>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D52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95e3820c1304d31b9fb933ae74d5d21f88d73a.png"/><Relationship Id="rId9" Type="http://schemas.openxmlformats.org/officeDocument/2006/relationships/image" Target="media/3883a0ab2972dfc5fc988491668f2734087d8dd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Corte 3 - Detección de Fraude Transaccional</dc:title>
  <dc:creator>Proyecto IA - UTadeo 2026</dc:creator>
  <dc:description>Implementación del proyecto de aplicación de IA - Corte 3</dc:description>
  <cp:lastModifiedBy>Un-named</cp:lastModifiedBy>
  <cp:revision>1</cp:revision>
  <dcterms:created xsi:type="dcterms:W3CDTF">2026-05-11T14:04:28.544Z</dcterms:created>
  <dcterms:modified xsi:type="dcterms:W3CDTF">2026-05-11T14:04:28.555Z</dcterms:modified>
</cp:coreProperties>
</file>

<file path=docProps/custom.xml><?xml version="1.0" encoding="utf-8"?>
<Properties xmlns="http://schemas.openxmlformats.org/officeDocument/2006/custom-properties" xmlns:vt="http://schemas.openxmlformats.org/officeDocument/2006/docPropsVTypes"/>
</file>