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t>HTML Publication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RCCS/ALCS is an analytical scoring framework, not a legal compliance score.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 - Regulatory Compliance Coverage Score</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RCCS/ALCS Dual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 ALCS, and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 and ALCS measure different layers: regulatory coverage and agentic lifecycle conformance. A system can be strong in one layer and weak in the 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Dual Scoring Framework</w:t>
      </w:r>
    </w:p>
    <w:p>
      <w:pPr>
        <w:spacing w:after="56"/>
      </w:pPr>
      <w:r>
        <w:t>The report introduces two scoring layers:</w:t>
      </w:r>
    </w:p>
    <w:p>
      <w:pPr>
        <w:pStyle w:val="ListNumber"/>
        <w:spacing w:after="56"/>
      </w:pPr>
      <w:r>
        <w:t>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 framework score is the aggregate of adjusted RCCS dimension scores. The cross-framework composite score is defined in Chapter 9 as:</w:t>
      </w:r>
    </w:p>
    <w:p>
      <w:pPr>
        <w:spacing w:after="56"/>
      </w:pPr>
      <w:r>
        <w:t>Composite Score = 0.40 × RCCS + 0.60 ×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 = aggregate RCCS score</w:t>
            </w:r>
          </w:p>
        </w:tc>
      </w:tr>
      <w:tr>
        <w:tc>
          <w:tcPr>
            <w:tcW w:type="dxa" w:w="3408"/>
          </w:tcPr>
          <w:p>
            <w:pPr>
              <w:spacing w:after="0"/>
            </w:pPr>
            <w:r>
              <w:rPr>
                <w:rFonts w:ascii="Arial" w:hAnsi="Arial"/>
                <w:b w:val="0"/>
                <w:sz w:val="14"/>
              </w:rPr>
              <w:t>Cross-Framework Composite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See Chapter 9</w:t>
            </w:r>
          </w:p>
        </w:tc>
      </w:tr>
    </w:tbl>
    <w:p>
      <w:pPr>
        <w:spacing w:after="56"/>
      </w:pPr>
      <w:r>
        <w:t>This calculation method is used for both RCCS and ALCS. The only difference is the set of dimensions and their weights.</w:t>
      </w:r>
    </w:p>
    <w:p>
      <w:pPr>
        <w:pStyle w:val="Heading2"/>
      </w:pPr>
      <w:r>
        <w:t>7.4 RCCS Boundary Statement</w:t>
      </w:r>
    </w:p>
    <w:p>
      <w:pPr>
        <w:spacing w:after="56"/>
      </w:pPr>
      <w:r>
        <w:t>RCCS is an analytical scoring framework, not a legal compliance score.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 score does NOT mean legal compliance. A system may score well on RCCS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Composite score formula: RCCS and ALCS are combined only at the cross-framework layer:</w:t>
      </w:r>
    </w:p>
    <w:p>
      <w:pPr>
        <w:spacing w:after="56"/>
      </w:pPr>
      <w:r>
        <w:t>Composite Score = 0.40 × RCCS + 0.60 × ALCS</w:t>
      </w:r>
    </w:p>
    <w:p>
      <w:pPr>
        <w:spacing w:after="56"/>
      </w:pPr>
      <w:r>
        <w:t>For complete details on the scoring procedure, including scoring rationale, evidence hierarchy, and calculation examples, see Chapter 7.3.</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 and ALCS:</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56"/>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RCCS/ALCS Dual Scoring Model</w:t>
      </w:r>
    </w:p>
    <w:p>
      <w:pPr>
        <w:spacing w:after="56"/>
      </w:pPr>
      <w:r>
        <w:t>RCCS Regulatory Coverage + ALCS Lifecycle Conformance -&gt; Evidence-Adjusted Analytical Composite</w:t>
      </w:r>
    </w:p>
    <w:p>
      <w:pPr>
        <w:spacing w:after="56"/>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56"/>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56"/>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56"/>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The cross-framework composite score is:</w:t>
      </w:r>
    </w:p>
    <w:p>
      <w:pPr>
        <w:spacing w:after="56"/>
      </w:pPr>
      <w:r>
        <w:t>Composite Score = 0.40 × RCCS + 0.60 × ALCS</w:t>
      </w:r>
    </w:p>
    <w:p>
      <w:pPr>
        <w:spacing w:after="56"/>
      </w:pPr>
      <w:r>
        <w:t>RCCS and ALCS are expressed on a 0-100 scale after evidence adjustment. The composite score is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 Score</w:t>
            </w:r>
          </w:p>
        </w:tc>
        <w:tc>
          <w:tcPr>
            <w:tcW w:type="dxa" w:w="3408"/>
          </w:tcPr>
          <w:p>
            <w:pPr>
              <w:spacing w:after="0"/>
            </w:pPr>
            <w:r>
              <w:rPr>
                <w:rFonts w:ascii="Arial" w:hAnsi="Arial"/>
                <w:b w:val="0"/>
                <w:sz w:val="14"/>
              </w:rPr>
              <w:t>Aggregated RCCS dimension score</w:t>
            </w:r>
          </w:p>
        </w:tc>
        <w:tc>
          <w:tcPr>
            <w:tcW w:type="dxa" w:w="3408"/>
          </w:tcPr>
          <w:p>
            <w:pPr>
              <w:spacing w:after="0"/>
            </w:pPr>
            <w:r>
              <w:rPr>
                <w:rFonts w:ascii="Arial" w:hAnsi="Arial"/>
                <w:b w:val="0"/>
                <w:sz w:val="14"/>
              </w:rPr>
              <w:t>RCCS = 65.0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Composite Score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0.40 × 65.0 + 0.60 × 55.0 = 59.0</w:t>
            </w:r>
          </w:p>
        </w:tc>
      </w:tr>
    </w:tbl>
    <w:p>
      <w:pPr>
        <w:spacing w:after="56"/>
      </w:pPr>
      <w:r>
        <w:t>This calculation preserves the distinction between RCCS and ALCS while still producing a single analytical composite score for high-level comparison.</w:t>
      </w:r>
    </w:p>
    <w:p>
      <w:pPr>
        <w:spacing w:after="56"/>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Interpreting RCCS and ALCS together requires understanding four quadrants: High RCCS + High ALCS, High RCCS + Low ALCS, Low RCCS + High ALCS, and Low RCCS + Low ALCS. Each quadrant represents a different system capability profile.</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 and ALCS Interpretation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Quadrant</w:t>
            </w:r>
          </w:p>
        </w:tc>
        <w:tc>
          <w:tcPr>
            <w:tcW w:type="dxa" w:w="2045"/>
          </w:tcPr>
          <w:p>
            <w:pPr>
              <w:spacing w:after="0"/>
            </w:pPr>
            <w:r>
              <w:rPr>
                <w:rFonts w:ascii="Arial" w:hAnsi="Arial"/>
                <w:b/>
                <w:sz w:val="14"/>
              </w:rPr>
              <w:t>RCCS</w:t>
            </w:r>
          </w:p>
        </w:tc>
        <w:tc>
          <w:tcPr>
            <w:tcW w:type="dxa" w:w="2045"/>
          </w:tcPr>
          <w:p>
            <w:pPr>
              <w:spacing w:after="0"/>
            </w:pPr>
            <w:r>
              <w:rPr>
                <w:rFonts w:ascii="Arial" w:hAnsi="Arial"/>
                <w:b/>
                <w:sz w:val="14"/>
              </w:rPr>
              <w:t>ALCS</w:t>
            </w:r>
          </w:p>
        </w:tc>
        <w:tc>
          <w:tcPr>
            <w:tcW w:type="dxa" w:w="2045"/>
          </w:tcPr>
          <w:p>
            <w:pPr>
              <w:spacing w:after="0"/>
            </w:pPr>
            <w:r>
              <w:rPr>
                <w:rFonts w:ascii="Arial" w:hAnsi="Arial"/>
                <w:b/>
                <w:sz w:val="14"/>
              </w:rPr>
              <w:t>Interpretation</w:t>
            </w:r>
          </w:p>
        </w:tc>
        <w:tc>
          <w:tcPr>
            <w:tcW w:type="dxa" w:w="2045"/>
          </w:tcPr>
          <w:p>
            <w:pPr>
              <w:spacing w:after="0"/>
            </w:pPr>
            <w:r>
              <w:rPr>
                <w:rFonts w:ascii="Arial" w:hAnsi="Arial"/>
                <w:b/>
                <w:sz w:val="14"/>
              </w:rPr>
              <w:t>Common System Types</w:t>
            </w:r>
          </w:p>
        </w:tc>
      </w:tr>
      <w:tr>
        <w:tc>
          <w:tcPr>
            <w:tcW w:type="dxa" w:w="2045"/>
          </w:tcPr>
          <w:p>
            <w:pPr>
              <w:spacing w:after="0"/>
            </w:pPr>
            <w:r>
              <w:rPr>
                <w:rFonts w:ascii="Arial" w:hAnsi="Arial"/>
                <w:b w:val="0"/>
                <w:sz w:val="14"/>
              </w:rPr>
              <w:t>High/High</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Strong regulatory compliance coverage and strong lifecycle responsibility semantics. System provides both governance primitives and lifecycle objects.</w:t>
            </w:r>
          </w:p>
        </w:tc>
        <w:tc>
          <w:tcPr>
            <w:tcW w:type="dxa" w:w="2045"/>
          </w:tcPr>
          <w:p>
            <w:pPr>
              <w:spacing w:after="0"/>
            </w:pPr>
            <w:r>
              <w:rPr>
                <w:rFonts w:ascii="Arial" w:hAnsi="Arial"/>
                <w:b w:val="0"/>
                <w:sz w:val="14"/>
              </w:rPr>
              <w:t>Lifecycle protocol systems, enterprise AI governance platforms with lifecycle extensions</w:t>
            </w:r>
          </w:p>
        </w:tc>
      </w:tr>
      <w:tr>
        <w:tc>
          <w:tcPr>
            <w:tcW w:type="dxa" w:w="2045"/>
          </w:tcPr>
          <w:p>
            <w:pPr>
              <w:spacing w:after="0"/>
            </w:pPr>
            <w:r>
              <w:rPr>
                <w:rFonts w:ascii="Arial" w:hAnsi="Arial"/>
                <w:b w:val="0"/>
                <w:sz w:val="14"/>
              </w:rPr>
              <w:t>High/Low</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Strong regulatory compliance coverage but weak lifecycle responsibility semantics. System provides governance primitives for model governance and platform controls but lacks lifecycle objects for multi-agent responsibility.</w:t>
            </w:r>
          </w:p>
        </w:tc>
        <w:tc>
          <w:tcPr>
            <w:tcW w:type="dxa" w:w="2045"/>
          </w:tcPr>
          <w:p>
            <w:pPr>
              <w:spacing w:after="0"/>
            </w:pPr>
            <w:r>
              <w:rPr>
                <w:rFonts w:ascii="Arial" w:hAnsi="Arial"/>
                <w:b w:val="0"/>
                <w:sz w:val="14"/>
              </w:rPr>
              <w:t>Enterprise AI governance platforms, managed AI platforms with strong observability but limited lifecycle semantics</w:t>
            </w:r>
          </w:p>
        </w:tc>
      </w:tr>
      <w:tr>
        <w:tc>
          <w:tcPr>
            <w:tcW w:type="dxa" w:w="2045"/>
          </w:tcPr>
          <w:p>
            <w:pPr>
              <w:spacing w:after="0"/>
            </w:pPr>
            <w:r>
              <w:rPr>
                <w:rFonts w:ascii="Arial" w:hAnsi="Arial"/>
                <w:b w:val="0"/>
                <w:sz w:val="14"/>
              </w:rPr>
              <w:t>Low/High</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Weak regulatory compliance coverage but strong lifecycle responsibility semantics. System provides lifecycle objects for expressing agentic responsibility but lacks broader governance primitives.</w:t>
            </w:r>
          </w:p>
        </w:tc>
        <w:tc>
          <w:tcPr>
            <w:tcW w:type="dxa" w:w="2045"/>
          </w:tcPr>
          <w:p>
            <w:pPr>
              <w:spacing w:after="0"/>
            </w:pPr>
            <w:r>
              <w:rPr>
                <w:rFonts w:ascii="Arial" w:hAnsi="Arial"/>
                <w:b w:val="0"/>
                <w:sz w:val="14"/>
              </w:rPr>
              <w:t>Specialized lifecycle protocols or agent frameworks focused on responsibility semantics without full governance platform capabilities</w:t>
            </w:r>
          </w:p>
        </w:tc>
      </w:tr>
      <w:tr>
        <w:tc>
          <w:tcPr>
            <w:tcW w:type="dxa" w:w="2045"/>
          </w:tcPr>
          <w:p>
            <w:pPr>
              <w:spacing w:after="0"/>
            </w:pPr>
            <w:r>
              <w:rPr>
                <w:rFonts w:ascii="Arial" w:hAnsi="Arial"/>
                <w:b w:val="0"/>
                <w:sz w:val="14"/>
              </w:rPr>
              <w:t>Low/Low</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Weak regulatory compliance coverage and weak lifecycle responsibility semantics. System provides execution orchestration or observability features but lacks governance primitives and lifecycle objects.</w:t>
            </w:r>
          </w:p>
        </w:tc>
        <w:tc>
          <w:tcPr>
            <w:tcW w:type="dxa" w:w="2045"/>
          </w:tcPr>
          <w:p>
            <w:pPr>
              <w:spacing w:after="0"/>
            </w:pPr>
            <w:r>
              <w:rPr>
                <w:rFonts w:ascii="Arial" w:hAnsi="Arial"/>
                <w:b w:val="0"/>
                <w:sz w:val="14"/>
              </w:rPr>
              <w:t>Developer agent SDKs, orchestration frameworks without governance extensions</w:t>
            </w:r>
          </w:p>
        </w:tc>
      </w:tr>
    </w:tbl>
    <w:p>
      <w:pPr>
        <w:spacing w:after="56"/>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56"/>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56"/>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56"/>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56"/>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56"/>
      </w:pPr>
      <w:r>
        <w:t>Composite scoring is an analytical framework, not a legal compliance score. This boundary must be understood clearly to avoid misinterpretation and over-claiming.</w:t>
      </w:r>
    </w:p>
    <w:p>
      <w:pPr>
        <w:spacing w:after="56"/>
      </w:pPr>
      <w:r>
        <w:t>What composite scoring is:</w:t>
      </w:r>
    </w:p>
    <w:p>
      <w:pPr>
        <w:pStyle w:val="ListBullet"/>
        <w:spacing w:after="56"/>
      </w:pPr>
      <w:r>
        <w:t>An analytical framework for comparing system capabilities against regulatory requirements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composite scoring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56"/>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56"/>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56"/>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56"/>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56"/>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56"/>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 Baseline Controls -&gt; ALCS Lifecycle Conformance -&gt; MRO Engineering Objects -&gt; Enterprise Control Evidence -&gt; Audit / Insurance / Board Reporting Readiness</w:t>
      </w:r>
    </w:p>
    <w:p>
      <w:pPr>
        <w:spacing w:after="56"/>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strong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 Category</w:t>
            </w:r>
          </w:p>
        </w:tc>
        <w:tc>
          <w:tcPr>
            <w:tcW w:type="dxa" w:w="2045"/>
          </w:tcPr>
          <w:p>
            <w:pPr>
              <w:spacing w:after="0"/>
            </w:pPr>
            <w:r>
              <w:rPr>
                <w:rFonts w:ascii="Arial" w:hAnsi="Arial"/>
                <w:b/>
                <w:sz w:val="14"/>
              </w:rPr>
              <w:t>Primary Strength</w:t>
            </w:r>
          </w:p>
        </w:tc>
        <w:tc>
          <w:tcPr>
            <w:tcW w:type="dxa" w:w="2045"/>
          </w:tcPr>
          <w:p>
            <w:pPr>
              <w:spacing w:after="0"/>
            </w:pPr>
            <w:r>
              <w:rPr>
                <w:rFonts w:ascii="Arial" w:hAnsi="Arial"/>
                <w:b/>
                <w:sz w:val="14"/>
              </w:rPr>
              <w:t>RCCS Posture</w:t>
            </w:r>
          </w:p>
        </w:tc>
        <w:tc>
          <w:tcPr>
            <w:tcW w:type="dxa" w:w="2045"/>
          </w:tcPr>
          <w:p>
            <w:pPr>
              <w:spacing w:after="0"/>
            </w:pPr>
            <w:r>
              <w:rPr>
                <w:rFonts w:ascii="Arial" w:hAnsi="Arial"/>
                <w:b/>
                <w:sz w:val="14"/>
              </w:rPr>
              <w:t>ALCS Posture</w:t>
            </w:r>
          </w:p>
        </w:tc>
        <w:tc>
          <w:tcPr>
            <w:tcW w:type="dxa" w:w="2045"/>
          </w:tcPr>
          <w:p>
            <w:pPr>
              <w:spacing w:after="0"/>
            </w:pPr>
            <w:r>
              <w:rPr>
                <w:rFonts w:ascii="Arial" w:hAnsi="Arial"/>
                <w:b/>
                <w:sz w:val="14"/>
              </w:rPr>
              <w:t>Main Lifecycle Gap to Examine</w:t>
            </w:r>
          </w:p>
        </w:tc>
      </w:tr>
      <w:tr>
        <w:tc>
          <w:tcPr>
            <w:tcW w:type="dxa" w:w="2045"/>
          </w:tcPr>
          <w:p>
            <w:pPr>
              <w:spacing w:after="0"/>
            </w:pPr>
            <w:r>
              <w:rPr>
                <w:rFonts w:ascii="Arial" w:hAnsi="Arial"/>
                <w:b w:val="0"/>
                <w:sz w:val="14"/>
              </w:rPr>
              <w:t>MPLP</w:t>
            </w:r>
          </w:p>
        </w:tc>
        <w:tc>
          <w:tcPr>
            <w:tcW w:type="dxa" w:w="2045"/>
          </w:tcPr>
          <w:p>
            <w:pPr>
              <w:spacing w:after="0"/>
            </w:pPr>
            <w:r>
              <w:rPr>
                <w:rFonts w:ascii="Arial" w:hAnsi="Arial"/>
                <w:b w:val="0"/>
                <w:sz w:val="14"/>
              </w:rPr>
              <w:t>Lifecycle protocol semantics; governance primitives as first-class objects</w:t>
            </w:r>
          </w:p>
        </w:tc>
        <w:tc>
          <w:tcPr>
            <w:tcW w:type="dxa" w:w="2045"/>
          </w:tcPr>
          <w:p>
            <w:pPr>
              <w:spacing w:after="0"/>
            </w:pPr>
            <w:r>
              <w:rPr>
                <w:rFonts w:ascii="Arial" w:hAnsi="Arial"/>
                <w:b w:val="0"/>
                <w:sz w:val="14"/>
              </w:rPr>
              <w:t>Moderate to Strong (depends on implementation)</w:t>
            </w:r>
          </w:p>
        </w:tc>
        <w:tc>
          <w:tcPr>
            <w:tcW w:type="dxa" w:w="2045"/>
          </w:tcPr>
          <w:p>
            <w:pPr>
              <w:spacing w:after="0"/>
            </w:pPr>
            <w:r>
              <w:rPr>
                <w:rFonts w:ascii="Arial" w:hAnsi="Arial"/>
                <w:b w:val="0"/>
                <w:sz w:val="14"/>
              </w:rPr>
              <w:t>Strong (protocol designed for lifecycle responsibility objects)</w:t>
            </w:r>
          </w:p>
        </w:tc>
        <w:tc>
          <w:tcPr>
            <w:tcW w:type="dxa" w:w="2045"/>
          </w:tcPr>
          <w:p>
            <w:pPr>
              <w:spacing w:after="0"/>
            </w:pPr>
            <w:r>
              <w:rPr>
                <w:rFonts w:ascii="Arial" w:hAnsi="Arial"/>
                <w:b w:val="0"/>
                <w:sz w:val="14"/>
              </w:rPr>
              <w:t>Enterprise integration; adoption pathway; implementation maturity</w:t>
            </w:r>
          </w:p>
        </w:tc>
      </w:tr>
      <w:tr>
        <w:tc>
          <w:tcPr>
            <w:tcW w:type="dxa" w:w="2045"/>
          </w:tcPr>
          <w:p>
            <w:pPr>
              <w:spacing w:after="0"/>
            </w:pPr>
            <w:r>
              <w:rPr>
                <w:rFonts w:ascii="Arial" w:hAnsi="Arial"/>
                <w:b w:val="0"/>
                <w:sz w:val="14"/>
              </w:rPr>
              <w:t>IBM watsonx.governance</w:t>
            </w:r>
          </w:p>
        </w:tc>
        <w:tc>
          <w:tcPr>
            <w:tcW w:type="dxa" w:w="2045"/>
          </w:tcPr>
          <w:p>
            <w:pPr>
              <w:spacing w:after="0"/>
            </w:pPr>
            <w:r>
              <w:rPr>
                <w:rFonts w:ascii="Arial" w:hAnsi="Arial"/>
                <w:b w:val="0"/>
                <w:sz w:val="14"/>
              </w:rPr>
              <w:t>Enterprise AI governance; policy enforcement; model risk management; regulatory compliance coverage</w:t>
            </w:r>
          </w:p>
        </w:tc>
        <w:tc>
          <w:tcPr>
            <w:tcW w:type="dxa" w:w="2045"/>
          </w:tcPr>
          <w:p>
            <w:pPr>
              <w:spacing w:after="0"/>
            </w:pPr>
            <w:r>
              <w:rPr>
                <w:rFonts w:ascii="Arial" w:hAnsi="Arial"/>
                <w:b w:val="0"/>
                <w:sz w:val="14"/>
              </w:rPr>
              <w:t>Strong (designed for regulatory compliance)</w:t>
            </w:r>
          </w:p>
        </w:tc>
        <w:tc>
          <w:tcPr>
            <w:tcW w:type="dxa" w:w="2045"/>
          </w:tcPr>
          <w:p>
            <w:pPr>
              <w:spacing w:after="0"/>
            </w:pPr>
            <w:r>
              <w:rPr>
                <w:rFonts w:ascii="Arial" w:hAnsi="Arial"/>
                <w:b w:val="0"/>
                <w:sz w:val="14"/>
              </w:rPr>
              <w:t>Moderate (governance focus, but lifecycle object semantics require validation)</w:t>
            </w:r>
          </w:p>
        </w:tc>
        <w:tc>
          <w:tcPr>
            <w:tcW w:type="dxa" w:w="2045"/>
          </w:tcPr>
          <w:p>
            <w:pPr>
              <w:spacing w:after="0"/>
            </w:pPr>
            <w:r>
              <w:rPr>
                <w:rFonts w:ascii="Arial" w:hAnsi="Arial"/>
                <w:b w:val="0"/>
                <w:sz w:val="14"/>
              </w:rPr>
              <w:t>Agentic lifecycle object exposure; multi-agent responsibility transfer; evidence partitioning</w:t>
            </w:r>
          </w:p>
        </w:tc>
      </w:tr>
      <w:tr>
        <w:tc>
          <w:tcPr>
            <w:tcW w:type="dxa" w:w="2045"/>
          </w:tcPr>
          <w:p>
            <w:pPr>
              <w:spacing w:after="0"/>
            </w:pPr>
            <w:r>
              <w:rPr>
                <w:rFonts w:ascii="Arial" w:hAnsi="Arial"/>
                <w:b w:val="0"/>
                <w:sz w:val="14"/>
              </w:rPr>
              <w:t>Microsoft Azure AI Foundry</w:t>
            </w:r>
          </w:p>
        </w:tc>
        <w:tc>
          <w:tcPr>
            <w:tcW w:type="dxa" w:w="2045"/>
          </w:tcPr>
          <w:p>
            <w:pPr>
              <w:spacing w:after="0"/>
            </w:pPr>
            <w:r>
              <w:rPr>
                <w:rFonts w:ascii="Arial" w:hAnsi="Arial"/>
                <w:b w:val="0"/>
                <w:sz w:val="14"/>
              </w:rPr>
              <w:t>Cloud-native AI platform; responsible AI tooling; content safety; enterprise integration</w:t>
            </w:r>
          </w:p>
        </w:tc>
        <w:tc>
          <w:tcPr>
            <w:tcW w:type="dxa" w:w="2045"/>
          </w:tcPr>
          <w:p>
            <w:pPr>
              <w:spacing w:after="0"/>
            </w:pPr>
            <w:r>
              <w:rPr>
                <w:rFonts w:ascii="Arial" w:hAnsi="Arial"/>
                <w:b w:val="0"/>
                <w:sz w:val="14"/>
              </w:rPr>
              <w:t>Moderate to Strong (responsible AI focus)</w:t>
            </w:r>
          </w:p>
        </w:tc>
        <w:tc>
          <w:tcPr>
            <w:tcW w:type="dxa" w:w="2045"/>
          </w:tcPr>
          <w:p>
            <w:pPr>
              <w:spacing w:after="0"/>
            </w:pPr>
            <w:r>
              <w:rPr>
                <w:rFonts w:ascii="Arial" w:hAnsi="Arial"/>
                <w:b w:val="0"/>
                <w:sz w:val="14"/>
              </w:rPr>
              <w:t>Moderate (platform capabilities exist, but lifecycle semantics require validation)</w:t>
            </w:r>
          </w:p>
        </w:tc>
        <w:tc>
          <w:tcPr>
            <w:tcW w:type="dxa" w:w="2045"/>
          </w:tcPr>
          <w:p>
            <w:pPr>
              <w:spacing w:after="0"/>
            </w:pPr>
            <w:r>
              <w:rPr>
                <w:rFonts w:ascii="Arial" w:hAnsi="Arial"/>
                <w:b w:val="0"/>
                <w:sz w:val="14"/>
              </w:rPr>
              <w:t>Lifecycle responsibility objects; authority boundary enforcement; accepted outcome compliance</w:t>
            </w:r>
          </w:p>
        </w:tc>
      </w:tr>
      <w:tr>
        <w:tc>
          <w:tcPr>
            <w:tcW w:type="dxa" w:w="2045"/>
          </w:tcPr>
          <w:p>
            <w:pPr>
              <w:spacing w:after="0"/>
            </w:pPr>
            <w:r>
              <w:rPr>
                <w:rFonts w:ascii="Arial" w:hAnsi="Arial"/>
                <w:b w:val="0"/>
                <w:sz w:val="14"/>
              </w:rPr>
              <w:t>AWS Bedrock / Guardrails / AgentCore</w:t>
            </w:r>
          </w:p>
        </w:tc>
        <w:tc>
          <w:tcPr>
            <w:tcW w:type="dxa" w:w="2045"/>
          </w:tcPr>
          <w:p>
            <w:pPr>
              <w:spacing w:after="0"/>
            </w:pPr>
            <w:r>
              <w:rPr>
                <w:rFonts w:ascii="Arial" w:hAnsi="Arial"/>
                <w:b w:val="0"/>
                <w:sz w:val="14"/>
              </w:rPr>
              <w:t>Cloud AI services; guardrails; agent orchestration; enterprise security integration</w:t>
            </w:r>
          </w:p>
        </w:tc>
        <w:tc>
          <w:tcPr>
            <w:tcW w:type="dxa" w:w="2045"/>
          </w:tcPr>
          <w:p>
            <w:pPr>
              <w:spacing w:after="0"/>
            </w:pPr>
            <w:r>
              <w:rPr>
                <w:rFonts w:ascii="Arial" w:hAnsi="Arial"/>
                <w:b w:val="0"/>
                <w:sz w:val="14"/>
              </w:rPr>
              <w:t>Moderate (guardrails and security focus)</w:t>
            </w:r>
          </w:p>
        </w:tc>
        <w:tc>
          <w:tcPr>
            <w:tcW w:type="dxa" w:w="2045"/>
          </w:tcPr>
          <w:p>
            <w:pPr>
              <w:spacing w:after="0"/>
            </w:pPr>
            <w:r>
              <w:rPr>
                <w:rFonts w:ascii="Arial" w:hAnsi="Arial"/>
                <w:b w:val="0"/>
                <w:sz w:val="14"/>
              </w:rPr>
              <w:t>Moderate (agent orchestration exists, but lifecycle object semantics require validation)</w:t>
            </w:r>
          </w:p>
        </w:tc>
        <w:tc>
          <w:tcPr>
            <w:tcW w:type="dxa" w:w="2045"/>
          </w:tcPr>
          <w:p>
            <w:pPr>
              <w:spacing w:after="0"/>
            </w:pPr>
            <w:r>
              <w:rPr>
                <w:rFonts w:ascii="Arial" w:hAnsi="Arial"/>
                <w:b w:val="0"/>
                <w:sz w:val="14"/>
              </w:rPr>
              <w:t>Lifecycle responsibility objects; evidence partitioning; responsibility transfer across agents</w:t>
            </w:r>
          </w:p>
        </w:tc>
      </w:tr>
      <w:tr>
        <w:tc>
          <w:tcPr>
            <w:tcW w:type="dxa" w:w="2045"/>
          </w:tcPr>
          <w:p>
            <w:pPr>
              <w:spacing w:after="0"/>
            </w:pPr>
            <w:r>
              <w:rPr>
                <w:rFonts w:ascii="Arial" w:hAnsi="Arial"/>
                <w:b w:val="0"/>
                <w:sz w:val="14"/>
              </w:rPr>
              <w:t>Google Vertex AI / ADK / Model Armor</w:t>
            </w:r>
          </w:p>
        </w:tc>
        <w:tc>
          <w:tcPr>
            <w:tcW w:type="dxa" w:w="2045"/>
          </w:tcPr>
          <w:p>
            <w:pPr>
              <w:spacing w:after="0"/>
            </w:pPr>
            <w:r>
              <w:rPr>
                <w:rFonts w:ascii="Arial" w:hAnsi="Arial"/>
                <w:b w:val="0"/>
                <w:sz w:val="14"/>
              </w:rPr>
              <w:t>Cloud AI platform; agent development kit; model armor safety controls; enterprise AI management</w:t>
            </w:r>
          </w:p>
        </w:tc>
        <w:tc>
          <w:tcPr>
            <w:tcW w:type="dxa" w:w="2045"/>
          </w:tcPr>
          <w:p>
            <w:pPr>
              <w:spacing w:after="0"/>
            </w:pPr>
            <w:r>
              <w:rPr>
                <w:rFonts w:ascii="Arial" w:hAnsi="Arial"/>
                <w:b w:val="0"/>
                <w:sz w:val="14"/>
              </w:rPr>
              <w:t>Moderate to Strong (safety and management focus)</w:t>
            </w:r>
          </w:p>
        </w:tc>
        <w:tc>
          <w:tcPr>
            <w:tcW w:type="dxa" w:w="2045"/>
          </w:tcPr>
          <w:p>
            <w:pPr>
              <w:spacing w:after="0"/>
            </w:pPr>
            <w:r>
              <w:rPr>
                <w:rFonts w:ascii="Arial" w:hAnsi="Arial"/>
                <w:b w:val="0"/>
                <w:sz w:val="14"/>
              </w:rPr>
              <w:t>Moderate (ADK provides agent primitives, but lifecycle semantics require validation)</w:t>
            </w:r>
          </w:p>
        </w:tc>
        <w:tc>
          <w:tcPr>
            <w:tcW w:type="dxa" w:w="2045"/>
          </w:tcPr>
          <w:p>
            <w:pPr>
              <w:spacing w:after="0"/>
            </w:pPr>
            <w:r>
              <w:rPr>
                <w:rFonts w:ascii="Arial" w:hAnsi="Arial"/>
                <w:b w:val="0"/>
                <w:sz w:val="14"/>
              </w:rPr>
              <w:t>Lifecycle responsibility objects; authority boundary enforcement; privacy lifecycle mapping</w:t>
            </w:r>
          </w:p>
        </w:tc>
      </w:tr>
      <w:tr>
        <w:tc>
          <w:tcPr>
            <w:tcW w:type="dxa" w:w="2045"/>
          </w:tcPr>
          <w:p>
            <w:pPr>
              <w:spacing w:after="0"/>
            </w:pPr>
            <w:r>
              <w:rPr>
                <w:rFonts w:ascii="Arial" w:hAnsi="Arial"/>
                <w:b w:val="0"/>
                <w:sz w:val="14"/>
              </w:rPr>
              <w:t>LangGraph / LangSmith</w:t>
            </w:r>
          </w:p>
        </w:tc>
        <w:tc>
          <w:tcPr>
            <w:tcW w:type="dxa" w:w="2045"/>
          </w:tcPr>
          <w:p>
            <w:pPr>
              <w:spacing w:after="0"/>
            </w:pPr>
            <w:r>
              <w:rPr>
                <w:rFonts w:ascii="Arial" w:hAnsi="Arial"/>
                <w:b w:val="0"/>
                <w:sz w:val="14"/>
              </w:rPr>
              <w:t>Agent orchestration; observability; tracing; workflow management</w:t>
            </w:r>
          </w:p>
        </w:tc>
        <w:tc>
          <w:tcPr>
            <w:tcW w:type="dxa" w:w="2045"/>
          </w:tcPr>
          <w:p>
            <w:pPr>
              <w:spacing w:after="0"/>
            </w:pPr>
            <w:r>
              <w:rPr>
                <w:rFonts w:ascii="Arial" w:hAnsi="Arial"/>
                <w:b w:val="0"/>
                <w:sz w:val="14"/>
              </w:rPr>
              <w:t>Moderate (observability and tracing support governance)</w:t>
            </w:r>
          </w:p>
        </w:tc>
        <w:tc>
          <w:tcPr>
            <w:tcW w:type="dxa" w:w="2045"/>
          </w:tcPr>
          <w:p>
            <w:pPr>
              <w:spacing w:after="0"/>
            </w:pPr>
            <w:r>
              <w:rPr>
                <w:rFonts w:ascii="Arial" w:hAnsi="Arial"/>
                <w:b w:val="0"/>
                <w:sz w:val="14"/>
              </w:rPr>
              <w:t>Moderate (orchestration and tracing exist, but lifecycle object semantics require validation)</w:t>
            </w:r>
          </w:p>
        </w:tc>
        <w:tc>
          <w:tcPr>
            <w:tcW w:type="dxa" w:w="2045"/>
          </w:tcPr>
          <w:p>
            <w:pPr>
              <w:spacing w:after="0"/>
            </w:pPr>
            <w:r>
              <w:rPr>
                <w:rFonts w:ascii="Arial" w:hAnsi="Arial"/>
                <w:b w:val="0"/>
                <w:sz w:val="14"/>
              </w:rPr>
              <w:t>Governance primitives; authority boundary enforcement; accepted outcome compliance; evidence partitioning</w:t>
            </w:r>
          </w:p>
        </w:tc>
      </w:tr>
      <w:tr>
        <w:tc>
          <w:tcPr>
            <w:tcW w:type="dxa" w:w="2045"/>
          </w:tcPr>
          <w:p>
            <w:pPr>
              <w:spacing w:after="0"/>
            </w:pPr>
            <w:r>
              <w:rPr>
                <w:rFonts w:ascii="Arial" w:hAnsi="Arial"/>
                <w:b w:val="0"/>
                <w:sz w:val="14"/>
              </w:rPr>
              <w:t>OpenAI Agents SDK</w:t>
            </w:r>
          </w:p>
        </w:tc>
        <w:tc>
          <w:tcPr>
            <w:tcW w:type="dxa" w:w="2045"/>
          </w:tcPr>
          <w:p>
            <w:pPr>
              <w:spacing w:after="0"/>
            </w:pPr>
            <w:r>
              <w:rPr>
                <w:rFonts w:ascii="Arial" w:hAnsi="Arial"/>
                <w:b w:val="0"/>
                <w:sz w:val="14"/>
              </w:rPr>
              <w:t>Developer-focused agent framework; model access; tool use; execution orchestration</w:t>
            </w:r>
          </w:p>
        </w:tc>
        <w:tc>
          <w:tcPr>
            <w:tcW w:type="dxa" w:w="2045"/>
          </w:tcPr>
          <w:p>
            <w:pPr>
              <w:spacing w:after="0"/>
            </w:pPr>
            <w:r>
              <w:rPr>
                <w:rFonts w:ascii="Arial" w:hAnsi="Arial"/>
                <w:b w:val="0"/>
                <w:sz w:val="14"/>
              </w:rPr>
              <w:t>Low to Moderate (execution focus, governance primitives require validation)</w:t>
            </w:r>
          </w:p>
        </w:tc>
        <w:tc>
          <w:tcPr>
            <w:tcW w:type="dxa" w:w="2045"/>
          </w:tcPr>
          <w:p>
            <w:pPr>
              <w:spacing w:after="0"/>
            </w:pPr>
            <w:r>
              <w:rPr>
                <w:rFonts w:ascii="Arial" w:hAnsi="Arial"/>
                <w:b w:val="0"/>
                <w:sz w:val="14"/>
              </w:rPr>
              <w:t>Low to Moderate (execution orchestration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r>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Multi-agent collaboration; role-based agent design; task orchestration</w:t>
            </w:r>
          </w:p>
        </w:tc>
        <w:tc>
          <w:tcPr>
            <w:tcW w:type="dxa" w:w="2045"/>
          </w:tcPr>
          <w:p>
            <w:pPr>
              <w:spacing w:after="0"/>
            </w:pPr>
            <w:r>
              <w:rPr>
                <w:rFonts w:ascii="Arial" w:hAnsi="Arial"/>
                <w:b w:val="0"/>
                <w:sz w:val="14"/>
              </w:rPr>
              <w:t>Low to Moderate (collaboration focus, governance primitives require validation)</w:t>
            </w:r>
          </w:p>
        </w:tc>
        <w:tc>
          <w:tcPr>
            <w:tcW w:type="dxa" w:w="2045"/>
          </w:tcPr>
          <w:p>
            <w:pPr>
              <w:spacing w:after="0"/>
            </w:pPr>
            <w:r>
              <w:rPr>
                <w:rFonts w:ascii="Arial" w:hAnsi="Arial"/>
                <w:b w:val="0"/>
                <w:sz w:val="14"/>
              </w:rPr>
              <w:t>Low to Moderate (role-based design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56"/>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 and ALCS dimensions.</w:t>
      </w:r>
    </w:p>
    <w:p>
      <w:pPr>
        <w:spacing w:after="56"/>
      </w:pPr>
      <w:r>
        <w:t>MPLP-specific non-claim discipline:</w:t>
      </w:r>
    </w:p>
    <w:p>
      <w:pPr>
        <w:pStyle w:val="ListBullet"/>
        <w:spacing w:after="56"/>
      </w:pPr>
      <w:r>
        <w:t>MPLP is positioned as a lifecycle protocol path with strong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RCCS/ALCS mapping strength and evidence level; no published numerical system assessment unless explicitly source-bound and approved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 dimensions)</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No unsupported final numeric scores are introduced without evidence basis, and this publication draft does not present published numerical system assessments or rankings.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Numerical worksheets, if used, remain internal analytical support and are not presented as published numerical system assessments or rankings in this publication draft.</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at entry-point level / narrowed or partially validated / L5 analytical interpretation / exact page-level support unresolved]</w:t>
            </w:r>
          </w:p>
        </w:tc>
      </w:tr>
    </w:tbl>
    <w:p>
      <w:pPr>
        <w:pStyle w:val="Heading3"/>
      </w:pPr>
      <w:r>
        <w:t>RCCS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 and ALCS dimensions</w:t>
      </w:r>
    </w:p>
    <w:p>
      <w:pPr>
        <w:pStyle w:val="ListBullet"/>
        <w:spacing w:after="56"/>
      </w:pPr>
      <w:r>
        <w:t>Whether MPLP provides protocol-level support for lifecycle responsibility compliance</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 Mapping Summary</w:t>
      </w:r>
    </w:p>
    <w:p>
      <w:pPr>
        <w:keepNext/>
      </w:pPr>
      <w:r>
        <w:rPr>
          <w:b/>
          <w:sz w:val="16"/>
        </w:rPr>
        <w:t>Table T-12-02: MPLP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validates the core thesis: agentic compliance is lifecycle responsibility compliance,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System Category</w:t>
            </w:r>
          </w:p>
        </w:tc>
        <w:tc>
          <w:tcPr>
            <w:tcW w:type="dxa" w:w="2556"/>
          </w:tcPr>
          <w:p>
            <w:pPr>
              <w:spacing w:after="0"/>
            </w:pPr>
            <w:r>
              <w:rPr>
                <w:rFonts w:ascii="Arial" w:hAnsi="Arial"/>
                <w:b/>
                <w:sz w:val="14"/>
              </w:rPr>
              <w:t>Typical Strength</w:t>
            </w:r>
          </w:p>
        </w:tc>
        <w:tc>
          <w:tcPr>
            <w:tcW w:type="dxa" w:w="2556"/>
          </w:tcPr>
          <w:p>
            <w:pPr>
              <w:spacing w:after="0"/>
            </w:pPr>
            <w:r>
              <w:rPr>
                <w:rFonts w:ascii="Arial" w:hAnsi="Arial"/>
                <w:b/>
                <w:sz w:val="14"/>
              </w:rPr>
              <w:t>Typical Lifecycle Gap</w:t>
            </w:r>
          </w:p>
        </w:tc>
        <w:tc>
          <w:tcPr>
            <w:tcW w:type="dxa" w:w="2556"/>
          </w:tcPr>
          <w:p>
            <w:pPr>
              <w:spacing w:after="0"/>
            </w:pPr>
            <w:r>
              <w:rPr>
                <w:rFonts w:ascii="Arial" w:hAnsi="Arial"/>
                <w:b/>
                <w:sz w:val="14"/>
              </w:rPr>
              <w:t>Interpretation</w:t>
            </w:r>
          </w:p>
        </w:tc>
      </w:tr>
      <w:tr>
        <w:tc>
          <w:tcPr>
            <w:tcW w:type="dxa" w:w="2556"/>
          </w:tcPr>
          <w:p>
            <w:pPr>
              <w:spacing w:after="0"/>
            </w:pPr>
            <w:r>
              <w:rPr>
                <w:rFonts w:ascii="Arial" w:hAnsi="Arial"/>
                <w:b w:val="0"/>
                <w:sz w:val="14"/>
              </w:rPr>
              <w:t>Lifecycle protocol path (MPLP)</w:t>
            </w:r>
          </w:p>
        </w:tc>
        <w:tc>
          <w:tcPr>
            <w:tcW w:type="dxa" w:w="2556"/>
          </w:tcPr>
          <w:p>
            <w:pPr>
              <w:spacing w:after="0"/>
            </w:pPr>
            <w:r>
              <w:rPr>
                <w:rFonts w:ascii="Arial" w:hAnsi="Arial"/>
                <w:b w:val="0"/>
                <w:sz w:val="14"/>
              </w:rPr>
              <w:t>Protocol-level lifecycle responsibility semantics; strong ALCS posture for authority boundaries, accepted outcomes, responsibility transfer, evidence partitioning, substitution conformance</w:t>
            </w:r>
          </w:p>
        </w:tc>
        <w:tc>
          <w:tcPr>
            <w:tcW w:type="dxa" w:w="2556"/>
          </w:tcPr>
          <w:p>
            <w:pPr>
              <w:spacing w:after="0"/>
            </w:pPr>
            <w:r>
              <w:rPr>
                <w:rFonts w:ascii="Arial" w:hAnsi="Arial"/>
                <w:b w:val="0"/>
                <w:sz w:val="14"/>
              </w:rPr>
              <w:t>Implementation maturity, enterprise integration, vendor adoption, operational deployment evidence, regulator familiarity</w:t>
            </w:r>
          </w:p>
        </w:tc>
        <w:tc>
          <w:tcPr>
            <w:tcW w:type="dxa" w:w="2556"/>
          </w:tcPr>
          <w:p>
            <w:pPr>
              <w:spacing w:after="0"/>
            </w:pPr>
            <w:r>
              <w:rPr>
                <w:rFonts w:ascii="Arial" w:hAnsi="Arial"/>
                <w:b w:val="0"/>
                <w:sz w:val="14"/>
              </w:rPr>
              <w:t>Designed for lifecycle responsibility compliance; requires validation of implementation, adoption, and enterprise integration</w:t>
            </w:r>
          </w:p>
        </w:tc>
      </w:tr>
      <w:tr>
        <w:tc>
          <w:tcPr>
            <w:tcW w:type="dxa" w:w="2556"/>
          </w:tcPr>
          <w:p>
            <w:pPr>
              <w:spacing w:after="0"/>
            </w:pPr>
            <w:r>
              <w:rPr>
                <w:rFonts w:ascii="Arial" w:hAnsi="Arial"/>
                <w:b w:val="0"/>
                <w:sz w:val="14"/>
              </w:rPr>
              <w:t>Enterprise AI governance platform (IBM watsonx.governance)</w:t>
            </w:r>
          </w:p>
        </w:tc>
        <w:tc>
          <w:tcPr>
            <w:tcW w:type="dxa" w:w="2556"/>
          </w:tcPr>
          <w:p>
            <w:pPr>
              <w:spacing w:after="0"/>
            </w:pPr>
            <w:r>
              <w:rPr>
                <w:rFonts w:ascii="Arial" w:hAnsi="Arial"/>
                <w:b w:val="0"/>
                <w:sz w:val="14"/>
              </w:rPr>
              <w:t>Strong RCCS posture for risk management, data governance, documentation, record-keeping, transparency, human oversight, security, accountability, monitoring</w:t>
            </w:r>
          </w:p>
        </w:tc>
        <w:tc>
          <w:tcPr>
            <w:tcW w:type="dxa" w:w="2556"/>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556"/>
          </w:tcPr>
          <w:p>
            <w:pPr>
              <w:spacing w:after="0"/>
            </w:pPr>
            <w:r>
              <w:rPr>
                <w:rFonts w:ascii="Arial" w:hAnsi="Arial"/>
                <w:b w:val="0"/>
                <w:sz w:val="14"/>
              </w:rPr>
              <w:t>Designed for enterprise AI governance; agentic lifecycle objects require validation</w:t>
            </w:r>
          </w:p>
        </w:tc>
      </w:tr>
      <w:tr>
        <w:tc>
          <w:tcPr>
            <w:tcW w:type="dxa" w:w="2556"/>
          </w:tcPr>
          <w:p>
            <w:pPr>
              <w:spacing w:after="0"/>
            </w:pPr>
            <w:r>
              <w:rPr>
                <w:rFonts w:ascii="Arial" w:hAnsi="Arial"/>
                <w:b w:val="0"/>
                <w:sz w:val="14"/>
              </w:rPr>
              <w:t>Cloud AI platform (Microsoft Azure AI Foundry, AWS Bedrock / Guardrails / AgentCore, Google Vertex AI / ADK / Model Armor)</w:t>
            </w:r>
          </w:p>
        </w:tc>
        <w:tc>
          <w:tcPr>
            <w:tcW w:type="dxa" w:w="2556"/>
          </w:tcPr>
          <w:p>
            <w:pPr>
              <w:spacing w:after="0"/>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556"/>
          </w:tcPr>
          <w:p>
            <w:pPr>
              <w:spacing w:after="0"/>
            </w:pPr>
            <w:r>
              <w:rPr>
                <w:rFonts w:ascii="Arial" w:hAnsi="Arial"/>
                <w:b w:val="0"/>
                <w:sz w:val="14"/>
              </w:rPr>
              <w:t>Designed for cloud AI platform capabilities; lifecycle responsibility objects require validation; responsible AI tooling ≠ lifecycle responsibility objects</w:t>
            </w:r>
          </w:p>
        </w:tc>
      </w:tr>
      <w:tr>
        <w:tc>
          <w:tcPr>
            <w:tcW w:type="dxa" w:w="2556"/>
          </w:tcPr>
          <w:p>
            <w:pPr>
              <w:spacing w:after="0"/>
            </w:pPr>
            <w:r>
              <w:rPr>
                <w:rFonts w:ascii="Arial" w:hAnsi="Arial"/>
                <w:b w:val="0"/>
                <w:sz w:val="14"/>
              </w:rPr>
              <w:t>Agent orchestration / observability framework (LangGraph / LangSmith)</w:t>
            </w:r>
          </w:p>
        </w:tc>
        <w:tc>
          <w:tcPr>
            <w:tcW w:type="dxa" w:w="2556"/>
          </w:tcPr>
          <w:p>
            <w:pPr>
              <w:spacing w:after="0"/>
            </w:pPr>
            <w:r>
              <w:rPr>
                <w:rFonts w:ascii="Arial" w:hAnsi="Arial"/>
                <w:b w:val="0"/>
                <w:sz w:val="14"/>
              </w:rPr>
              <w:t>Moderate RCCS posture for documentation, record-keeping, transparency, monitoring; moderate ALCS adjacency through graphs, state, checkpoints, traces, observability</w:t>
            </w:r>
          </w:p>
        </w:tc>
        <w:tc>
          <w:tcPr>
            <w:tcW w:type="dxa" w:w="2556"/>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tcPr>
          <w:p>
            <w:pPr>
              <w:spacing w:after="0"/>
            </w:pPr>
            <w:r>
              <w:rPr>
                <w:rFonts w:ascii="Arial" w:hAnsi="Arial"/>
                <w:b w:val="0"/>
                <w:sz w:val="14"/>
              </w:rPr>
              <w:t>Designed for agent orchestration and observability; lifecycle responsibility semantics require additional governance layer; orchestration ≠ governance</w:t>
            </w:r>
          </w:p>
        </w:tc>
      </w:tr>
      <w:tr>
        <w:tc>
          <w:tcPr>
            <w:tcW w:type="dxa" w:w="2556"/>
          </w:tcPr>
          <w:p>
            <w:pPr>
              <w:spacing w:after="0"/>
            </w:pPr>
            <w:r>
              <w:rPr>
                <w:rFonts w:ascii="Arial" w:hAnsi="Arial"/>
                <w:b w:val="0"/>
                <w:sz w:val="14"/>
              </w:rPr>
              <w:t>Developer agent SDK (OpenAI Agents SDK)</w:t>
            </w:r>
          </w:p>
        </w:tc>
        <w:tc>
          <w:tcPr>
            <w:tcW w:type="dxa" w:w="2556"/>
          </w:tcPr>
          <w:p>
            <w:pPr>
              <w:spacing w:after="0"/>
            </w:pPr>
            <w:r>
              <w:rPr>
                <w:rFonts w:ascii="Arial" w:hAnsi="Arial"/>
                <w:b w:val="0"/>
                <w:sz w:val="14"/>
              </w:rPr>
              <w:t>Strong for model access, tool use, agent execution patterns; weak-to-moderate RCCS posture; weak-to-partial ALCS posture</w:t>
            </w:r>
          </w:p>
        </w:tc>
        <w:tc>
          <w:tcPr>
            <w:tcW w:type="dxa" w:w="2556"/>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556"/>
          </w:tcPr>
          <w:p>
            <w:pPr>
              <w:spacing w:after="0"/>
            </w:pPr>
            <w:r>
              <w:rPr>
                <w:rFonts w:ascii="Arial" w:hAnsi="Arial"/>
                <w:b w:val="0"/>
                <w:sz w:val="14"/>
              </w:rPr>
              <w:t>Designed for developer execution primitives; enterprise governance and lifecycle responsibility semantics require additional layer; execution framework ≠ governance layer</w:t>
            </w:r>
          </w:p>
        </w:tc>
      </w:tr>
      <w:tr>
        <w:tc>
          <w:tcPr>
            <w:tcW w:type="dxa" w:w="2556"/>
          </w:tcPr>
          <w:p>
            <w:pPr>
              <w:spacing w:after="0"/>
            </w:pPr>
            <w:r>
              <w:rPr>
                <w:rFonts w:ascii="Arial" w:hAnsi="Arial"/>
                <w:b w:val="0"/>
                <w:sz w:val="14"/>
              </w:rPr>
              <w:t>Multi-agent collaboration framework (CrewAI)</w:t>
            </w:r>
          </w:p>
        </w:tc>
        <w:tc>
          <w:tcPr>
            <w:tcW w:type="dxa" w:w="2556"/>
          </w:tcPr>
          <w:p>
            <w:pPr>
              <w:spacing w:after="0"/>
            </w:pPr>
            <w:r>
              <w:rPr>
                <w:rFonts w:ascii="Arial" w:hAnsi="Arial"/>
                <w:b w:val="0"/>
                <w:sz w:val="14"/>
              </w:rPr>
              <w:t>Strong for role-based agent composition and task orchestration; weak-to-moderate RCCS posture; weak-to-partial ALCS posture</w:t>
            </w:r>
          </w:p>
        </w:tc>
        <w:tc>
          <w:tcPr>
            <w:tcW w:type="dxa" w:w="2556"/>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tcPr>
          <w:p>
            <w:pPr>
              <w:spacing w:after="0"/>
            </w:pPr>
            <w:r>
              <w:rPr>
                <w:rFonts w:ascii="Arial" w:hAnsi="Arial"/>
                <w:b w:val="0"/>
                <w:sz w:val="14"/>
              </w:rPr>
              <w:t>Designed for multi-agent collaboration; lifecycle responsibility semantics require additional governance layer; role labels ≠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validates the core thesis: agentic compliance is lifecycle responsibility compliance,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map strongly to ALCS because ALCS measures lifecycle responsibility objects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56"/>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pPr>
      <w:r>
        <w:rPr>
          <w:b/>
          <w:sz w:val="16"/>
        </w:rPr>
        <w:t>Table T-13-03: MPLP Mapping to RCCS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MPLP may map strongly to ALCS dimensions; actual deployment requires implementation evidence</w:t>
            </w:r>
          </w:p>
        </w:tc>
        <w:tc>
          <w:tcPr>
            <w:tcW w:type="dxa" w:w="3408"/>
          </w:tcPr>
          <w:p>
            <w:pPr>
              <w:spacing w:after="0"/>
            </w:pPr>
            <w:r>
              <w:rPr>
                <w:rFonts w:ascii="Arial" w:hAnsi="Arial"/>
                <w:b w:val="0"/>
                <w:sz w:val="14"/>
              </w:rPr>
              <w:t>RCCS/ALCS proves legal compliance; high MPLP alignment guarantees compliance; MPLP satisfies all RCCS/ALCS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 (Regulatory Compliance Coverage Score) framework</w:t>
      </w:r>
    </w:p>
    <w:p>
      <w:pPr>
        <w:pStyle w:val="ListBullet"/>
        <w:spacing w:after="56"/>
      </w:pPr>
      <w:r>
        <w:t>ALCS (Agentic Lifecycle Conformance Score) framework</w:t>
      </w:r>
    </w:p>
    <w:p>
      <w:pPr>
        <w:pStyle w:val="ListBullet"/>
        <w:spacing w:after="56"/>
      </w:pPr>
      <w:r>
        <w:t>Composite dual-layer scoring profile</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 and ALCS are analytical frameworks, not legal compliance scores. High scores do not guarantee compliance. Low scores do not prove non-compliance.</w:t>
      </w:r>
    </w:p>
    <w:p>
      <w:pPr>
        <w:pStyle w:val="ListBullet"/>
        <w:spacing w:after="56"/>
      </w:pPr>
      <w:r>
        <w:t>RCCS and ALCS are analytical frameworks, not legal compliance scores. They provide structured inputs for risk assessment, procurement, audit, and insurance analysis. They do not replace professional judgment.</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 / ALCS</w:t>
            </w:r>
          </w:p>
        </w:tc>
        <w:tc>
          <w:tcPr>
            <w:tcW w:type="dxa" w:w="3408"/>
          </w:tcPr>
          <w:p>
            <w:pPr>
              <w:spacing w:after="0"/>
            </w:pPr>
            <w:r>
              <w:rPr>
                <w:rFonts w:ascii="Arial" w:hAnsi="Arial"/>
                <w:b w:val="0"/>
                <w:sz w:val="14"/>
              </w:rPr>
              <w:t>"Analytical frameworks for risk assessment" / "Structured inputs for professional judgment"</w:t>
            </w:r>
          </w:p>
        </w:tc>
        <w:tc>
          <w:tcPr>
            <w:tcW w:type="dxa" w:w="3408"/>
          </w:tcPr>
          <w:p>
            <w:pPr>
              <w:spacing w:after="0"/>
            </w:pPr>
            <w:r>
              <w:rPr>
                <w:rFonts w:ascii="Arial" w:hAnsi="Arial"/>
                <w:b w:val="0"/>
                <w:sz w:val="14"/>
              </w:rPr>
              <w:t>"Legal compliance scores" / "Certification scores" / "Guarantees compliance" / "The only scoring method"</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RCCS/ALCS as legal compliance scores. The following table clarifies how RCCS and ALCS should be used in adoption.</w:t>
      </w:r>
    </w:p>
    <w:p>
      <w:pPr>
        <w:keepNext/>
      </w:pPr>
      <w:r>
        <w:rPr>
          <w:b/>
          <w:sz w:val="16"/>
        </w:rPr>
        <w:t>Table T-17-05: RCCS/ALCS Use in Adoption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Use Case</w:t>
            </w:r>
          </w:p>
        </w:tc>
        <w:tc>
          <w:tcPr>
            <w:tcW w:type="dxa" w:w="2556"/>
          </w:tcPr>
          <w:p>
            <w:pPr>
              <w:spacing w:after="0"/>
            </w:pPr>
            <w:r>
              <w:rPr>
                <w:rFonts w:ascii="Arial" w:hAnsi="Arial"/>
                <w:b/>
                <w:sz w:val="14"/>
              </w:rPr>
              <w:t>RCCS Role</w:t>
            </w:r>
          </w:p>
        </w:tc>
        <w:tc>
          <w:tcPr>
            <w:tcW w:type="dxa" w:w="2556"/>
          </w:tcPr>
          <w:p>
            <w:pPr>
              <w:spacing w:after="0"/>
            </w:pPr>
            <w:r>
              <w:rPr>
                <w:rFonts w:ascii="Arial" w:hAnsi="Arial"/>
                <w:b/>
                <w:sz w:val="14"/>
              </w:rPr>
              <w:t>ALCS Role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Gap analysis</w:t>
            </w:r>
          </w:p>
        </w:tc>
        <w:tc>
          <w:tcPr>
            <w:tcW w:type="dxa" w:w="2556"/>
          </w:tcPr>
          <w:p>
            <w:pPr>
              <w:spacing w:after="0"/>
            </w:pPr>
            <w:r>
              <w:rPr>
                <w:rFonts w:ascii="Arial" w:hAnsi="Arial"/>
                <w:b w:val="0"/>
                <w:sz w:val="14"/>
              </w:rPr>
              <w:t>RCCS dimensions identify regulatory compliance coverage gaps (e.g., RCCS-04 Record-Keeping, RCCS-06 Human Oversight)</w:t>
            </w:r>
          </w:p>
        </w:tc>
        <w:tc>
          <w:tcPr>
            <w:tcW w:type="dxa" w:w="2556"/>
          </w:tcPr>
          <w:p>
            <w:pPr>
              <w:spacing w:after="0"/>
            </w:pPr>
            <w:r>
              <w:rPr>
                <w:rFonts w:ascii="Arial" w:hAnsi="Arial"/>
                <w:b w:val="0"/>
                <w:sz w:val="14"/>
              </w:rPr>
              <w:t>ALCS dimensions identify lifecycle responsibility object gaps (e.g., ALCS-02 Delegated Authority Boundary, ALCS-04 Accepted Outcome Compliance, ALCS-06 Responsibility Transfer Across Agents)</w:t>
            </w:r>
          </w:p>
        </w:tc>
        <w:tc>
          <w:tcPr>
            <w:tcW w:type="dxa" w:w="2556"/>
          </w:tcPr>
          <w:p>
            <w:pPr>
              <w:spacing w:after="0"/>
            </w:pPr>
            <w:r>
              <w:rPr>
                <w:rFonts w:ascii="Arial" w:hAnsi="Arial"/>
                <w:b w:val="0"/>
                <w:sz w:val="14"/>
              </w:rPr>
              <w:t>RCCS/ALCS are analytical tools, not legal compliance scores; gaps identified by RCCS/ALCS require organizational interpretation and legal review</w:t>
            </w:r>
          </w:p>
        </w:tc>
      </w:tr>
      <w:tr>
        <w:tc>
          <w:tcPr>
            <w:tcW w:type="dxa" w:w="2556"/>
          </w:tcPr>
          <w:p>
            <w:pPr>
              <w:spacing w:after="0"/>
            </w:pPr>
            <w:r>
              <w:rPr>
                <w:rFonts w:ascii="Arial" w:hAnsi="Arial"/>
                <w:b w:val="0"/>
                <w:sz w:val="14"/>
              </w:rPr>
              <w:t>Pilot project baseline</w:t>
            </w:r>
          </w:p>
        </w:tc>
        <w:tc>
          <w:tcPr>
            <w:tcW w:type="dxa" w:w="2556"/>
          </w:tcPr>
          <w:p>
            <w:pPr>
              <w:spacing w:after="0"/>
            </w:pPr>
            <w:r>
              <w:rPr>
                <w:rFonts w:ascii="Arial" w:hAnsi="Arial"/>
                <w:b w:val="0"/>
                <w:sz w:val="14"/>
              </w:rPr>
              <w:t>RCCS baseline measures regulatory compliance coverage before pilot; RCCS post-pilot measures improvement</w:t>
            </w:r>
          </w:p>
        </w:tc>
        <w:tc>
          <w:tcPr>
            <w:tcW w:type="dxa" w:w="2556"/>
          </w:tcPr>
          <w:p>
            <w:pPr>
              <w:spacing w:after="0"/>
            </w:pPr>
            <w:r>
              <w:rPr>
                <w:rFonts w:ascii="Arial" w:hAnsi="Arial"/>
                <w:b w:val="0"/>
                <w:sz w:val="14"/>
              </w:rPr>
              <w:t>ALCS baseline measures lifecycle responsibility object maturity before pilot; ALCS post-pilot measures improvement</w:t>
            </w:r>
          </w:p>
        </w:tc>
        <w:tc>
          <w:tcPr>
            <w:tcW w:type="dxa" w:w="2556"/>
          </w:tcPr>
          <w:p>
            <w:pPr>
              <w:spacing w:after="0"/>
            </w:pPr>
            <w:r>
              <w:rPr>
                <w:rFonts w:ascii="Arial" w:hAnsi="Arial"/>
                <w:b w:val="0"/>
                <w:sz w:val="14"/>
              </w:rPr>
              <w:t>RCCS/ALCS baselines are internal analytical tools; they do not prove legal compliance or regulatory approval</w:t>
            </w:r>
          </w:p>
        </w:tc>
      </w:tr>
      <w:tr>
        <w:tc>
          <w:tcPr>
            <w:tcW w:type="dxa" w:w="2556"/>
          </w:tcPr>
          <w:p>
            <w:pPr>
              <w:spacing w:after="0"/>
            </w:pPr>
            <w:r>
              <w:rPr>
                <w:rFonts w:ascii="Arial" w:hAnsi="Arial"/>
                <w:b w:val="0"/>
                <w:sz w:val="14"/>
              </w:rPr>
              <w:t>System evaluation</w:t>
            </w:r>
          </w:p>
        </w:tc>
        <w:tc>
          <w:tcPr>
            <w:tcW w:type="dxa" w:w="2556"/>
          </w:tcPr>
          <w:p>
            <w:pPr>
              <w:spacing w:after="0"/>
            </w:pPr>
            <w:r>
              <w:rPr>
                <w:rFonts w:ascii="Arial" w:hAnsi="Arial"/>
                <w:b w:val="0"/>
                <w:sz w:val="14"/>
              </w:rPr>
              <w:t>RCCS posture helps evaluate whether a system provides regulatory compliance coverage primitives</w:t>
            </w:r>
          </w:p>
        </w:tc>
        <w:tc>
          <w:tcPr>
            <w:tcW w:type="dxa" w:w="2556"/>
          </w:tcPr>
          <w:p>
            <w:pPr>
              <w:spacing w:after="0"/>
            </w:pPr>
            <w:r>
              <w:rPr>
                <w:rFonts w:ascii="Arial" w:hAnsi="Arial"/>
                <w:b w:val="0"/>
                <w:sz w:val="14"/>
              </w:rPr>
              <w:t>ALCS posture helps evaluate whether a system provides lifecycle responsibility object primitives</w:t>
            </w:r>
          </w:p>
        </w:tc>
        <w:tc>
          <w:tcPr>
            <w:tcW w:type="dxa" w:w="2556"/>
          </w:tcPr>
          <w:p>
            <w:pPr>
              <w:spacing w:after="0"/>
            </w:pPr>
            <w:r>
              <w:rPr>
                <w:rFonts w:ascii="Arial" w:hAnsi="Arial"/>
                <w:b w:val="0"/>
                <w:sz w:val="14"/>
              </w:rPr>
              <w:t>RCCS/ALCS postures are analytical tools for system posture review (Chapter 11-12); they are not product rankings, certifications, or procurement recommendations</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RCCS dimensions map to audit control objectives (e.g., RCCS-04 Record-Keeping -&gt; audit trail requirements)</w:t>
            </w:r>
          </w:p>
        </w:tc>
        <w:tc>
          <w:tcPr>
            <w:tcW w:type="dxa" w:w="2556"/>
          </w:tcPr>
          <w:p>
            <w:pPr>
              <w:spacing w:after="0"/>
            </w:pPr>
            <w:r>
              <w:rPr>
                <w:rFonts w:ascii="Arial" w:hAnsi="Arial"/>
                <w:b w:val="0"/>
                <w:sz w:val="14"/>
              </w:rPr>
              <w:t>ALCS dimensions map to lifecycle responsibility objects that auditors may request (e.g., ALCS-08 MAS Evidence Partitioning -&gt; evidence reconstruction)</w:t>
            </w:r>
          </w:p>
        </w:tc>
        <w:tc>
          <w:tcPr>
            <w:tcW w:type="dxa" w:w="2556"/>
          </w:tcPr>
          <w:p>
            <w:pPr>
              <w:spacing w:after="0"/>
            </w:pPr>
            <w:r>
              <w:rPr>
                <w:rFonts w:ascii="Arial" w:hAnsi="Arial"/>
                <w:b w:val="0"/>
                <w:sz w:val="14"/>
              </w:rPr>
              <w:t>RCCS/ALCS help prepare for audit but do not replace audit opinions, assurance reports, or legal compliance determinations</w:t>
            </w:r>
          </w:p>
        </w:tc>
      </w:tr>
      <w:tr>
        <w:tc>
          <w:tcPr>
            <w:tcW w:type="dxa" w:w="2556"/>
          </w:tcPr>
          <w:p>
            <w:pPr>
              <w:spacing w:after="0"/>
            </w:pPr>
            <w:r>
              <w:rPr>
                <w:rFonts w:ascii="Arial" w:hAnsi="Arial"/>
                <w:b w:val="0"/>
                <w:sz w:val="14"/>
              </w:rPr>
              <w:t>Evidence-based validation</w:t>
            </w:r>
          </w:p>
        </w:tc>
        <w:tc>
          <w:tcPr>
            <w:tcW w:type="dxa" w:w="2556"/>
          </w:tcPr>
          <w:p>
            <w:pPr>
              <w:spacing w:after="0"/>
            </w:pPr>
            <w:r>
              <w:rPr>
                <w:rFonts w:ascii="Arial" w:hAnsi="Arial"/>
                <w:b w:val="0"/>
                <w:sz w:val="14"/>
              </w:rPr>
              <w:t>RCCS dimensions help identify what regulatory compliance evidence should be validated</w:t>
            </w:r>
          </w:p>
        </w:tc>
        <w:tc>
          <w:tcPr>
            <w:tcW w:type="dxa" w:w="2556"/>
          </w:tcPr>
          <w:p>
            <w:pPr>
              <w:spacing w:after="0"/>
            </w:pPr>
            <w:r>
              <w:rPr>
                <w:rFonts w:ascii="Arial" w:hAnsi="Arial"/>
                <w:b w:val="0"/>
                <w:sz w:val="14"/>
              </w:rPr>
              <w:t>ALCS dimensions help identify what lifecycle responsibility objects should be validated</w:t>
            </w:r>
          </w:p>
        </w:tc>
        <w:tc>
          <w:tcPr>
            <w:tcW w:type="dxa" w:w="2556"/>
          </w:tcPr>
          <w:p>
            <w:pPr>
              <w:spacing w:after="0"/>
            </w:pPr>
            <w:r>
              <w:rPr>
                <w:rFonts w:ascii="Arial" w:hAnsi="Arial"/>
                <w:b w:val="0"/>
                <w:sz w:val="14"/>
              </w:rPr>
              <w:t>RCCS/ALCS help scope validation but do not replace validation protocols, validation providers, or validation results</w:t>
            </w:r>
          </w:p>
        </w:tc>
      </w:tr>
      <w:tr>
        <w:tc>
          <w:tcPr>
            <w:tcW w:type="dxa" w:w="2556"/>
          </w:tcPr>
          <w:p>
            <w:pPr>
              <w:spacing w:after="0"/>
            </w:pPr>
            <w:r>
              <w:rPr>
                <w:rFonts w:ascii="Arial" w:hAnsi="Arial"/>
                <w:b w:val="0"/>
                <w:sz w:val="14"/>
              </w:rPr>
              <w:t>Continuous improvement</w:t>
            </w:r>
          </w:p>
        </w:tc>
        <w:tc>
          <w:tcPr>
            <w:tcW w:type="dxa" w:w="2556"/>
          </w:tcPr>
          <w:p>
            <w:pPr>
              <w:spacing w:after="0"/>
            </w:pPr>
            <w:r>
              <w:rPr>
                <w:rFonts w:ascii="Arial" w:hAnsi="Arial"/>
                <w:b w:val="0"/>
                <w:sz w:val="14"/>
              </w:rPr>
              <w:t>RCCS dimensions help monitor regulatory compliance coverage over time</w:t>
            </w:r>
          </w:p>
        </w:tc>
        <w:tc>
          <w:tcPr>
            <w:tcW w:type="dxa" w:w="2556"/>
          </w:tcPr>
          <w:p>
            <w:pPr>
              <w:spacing w:after="0"/>
            </w:pPr>
            <w:r>
              <w:rPr>
                <w:rFonts w:ascii="Arial" w:hAnsi="Arial"/>
                <w:b w:val="0"/>
                <w:sz w:val="14"/>
              </w:rPr>
              <w:t>ALCS dimensions help monitor lifecycle responsibility object maturity over time</w:t>
            </w:r>
          </w:p>
        </w:tc>
        <w:tc>
          <w:tcPr>
            <w:tcW w:type="dxa" w:w="2556"/>
          </w:tcPr>
          <w:p>
            <w:pPr>
              <w:spacing w:after="0"/>
            </w:pPr>
            <w:r>
              <w:rPr>
                <w:rFonts w:ascii="Arial" w:hAnsi="Arial"/>
                <w:b w:val="0"/>
                <w:sz w:val="14"/>
              </w:rPr>
              <w:t>RCCS/ALCS are monitoring tools, not legal compliance scores; continuous improvement requires organizational governance, not just scoring</w:t>
            </w:r>
          </w:p>
        </w:tc>
      </w:tr>
    </w:tbl>
    <w:p>
      <w:pPr>
        <w:spacing w:after="56"/>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 — Regulatory Compliance Coverage Score (Chapter 7)</w:t>
            </w:r>
          </w:p>
        </w:tc>
        <w:tc>
          <w:tcPr>
            <w:tcW w:type="dxa" w:w="2556"/>
          </w:tcPr>
          <w:p>
            <w:pPr>
              <w:spacing w:after="0"/>
            </w:pPr>
            <w:r>
              <w:rPr>
                <w:rFonts w:ascii="Arial" w:hAnsi="Arial"/>
                <w:b w:val="0"/>
                <w:sz w:val="14"/>
              </w:rPr>
              <w:t>Measure regulatory compliance coverage across ten dimensions</w:t>
            </w:r>
          </w:p>
        </w:tc>
        <w:tc>
          <w:tcPr>
            <w:tcW w:type="dxa" w:w="2556"/>
          </w:tcPr>
          <w:p>
            <w:pPr>
              <w:spacing w:after="0"/>
            </w:pPr>
            <w:r>
              <w:rPr>
                <w:rFonts w:ascii="Arial" w:hAnsi="Arial"/>
                <w:b w:val="0"/>
                <w:sz w:val="14"/>
              </w:rPr>
              <w:t>Enterprises can use RCCS to identify regulatory compliance coverage gaps; system evaluators can use RCCS to structure analytical posture review</w:t>
            </w:r>
          </w:p>
        </w:tc>
        <w:tc>
          <w:tcPr>
            <w:tcW w:type="dxa" w:w="2556"/>
          </w:tcPr>
          <w:p>
            <w:pPr>
              <w:spacing w:after="0"/>
            </w:pPr>
            <w:r>
              <w:rPr>
                <w:rFonts w:ascii="Arial" w:hAnsi="Arial"/>
                <w:b w:val="0"/>
                <w:sz w:val="14"/>
              </w:rPr>
              <w:t>RCCS is an analytical tool, not a legal compliance score; high RCCS does not prove legal compliance; low RCCS does not prove non-compliance</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four categories by RCCS/ALCS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RCCS/ALCS measure compliance coverage gaps</w:t>
            </w:r>
          </w:p>
        </w:tc>
        <w:tc>
          <w:tcPr>
            <w:tcW w:type="dxa" w:w="3408"/>
          </w:tcPr>
          <w:p>
            <w:pPr>
              <w:spacing w:after="0"/>
            </w:pPr>
            <w:r>
              <w:rPr>
                <w:rFonts w:ascii="Arial" w:hAnsi="Arial"/>
                <w:b w:val="0"/>
                <w:sz w:val="14"/>
              </w:rPr>
              <w:t>This paper proves legal compliance; high RCCS/ALCS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RCCS/ALCS as analytical tools; evidence-based validation can support qualified review</w:t>
            </w:r>
          </w:p>
        </w:tc>
        <w:tc>
          <w:tcPr>
            <w:tcW w:type="dxa" w:w="3408"/>
          </w:tcPr>
          <w:p>
            <w:pPr>
              <w:spacing w:after="0"/>
            </w:pPr>
            <w:r>
              <w:rPr>
                <w:rFonts w:ascii="Arial" w:hAnsi="Arial"/>
                <w:b w:val="0"/>
                <w:sz w:val="14"/>
              </w:rPr>
              <w:t>This paper is a certification program; RCCS/ALCS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that maps strongly to ALCS dimensions; MPLP provides protocol-level semantics for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RCCS/ALCS scorecard templates for system evaluation and gap analysis. These templates are analytical tools, not legal compliance scores, certifications, or regulatory approvals.</w:t>
      </w:r>
    </w:p>
    <w:p>
      <w:pPr>
        <w:spacing w:after="56"/>
      </w:pPr>
      <w:r>
        <w:t>Boundary statement:</w:t>
      </w:r>
    </w:p>
    <w:p>
      <w:pPr>
        <w:pStyle w:val="ListBullet"/>
        <w:spacing w:after="56"/>
      </w:pPr>
      <w:r>
        <w:t>Scorecards are analytical tools only. RCCS and ALCS scores measure regulatory compliance coverage and lifecycle responsibility object maturity. They do not prove legal compliance, regulatory approval, or certification.</w:t>
      </w:r>
    </w:p>
    <w:p>
      <w:pPr>
        <w:pStyle w:val="ListBullet"/>
        <w:spacing w:after="56"/>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56"/>
      </w:pPr>
      <w:r>
        <w:t>Scores are context-independent. RCCS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 and ALCS dimensions.</w:t>
      </w:r>
    </w:p>
    <w:p>
      <w:pPr>
        <w:keepNext/>
      </w:pPr>
      <w:r>
        <w:rPr>
          <w:b/>
          <w:sz w:val="16"/>
        </w:rPr>
        <w:t>Table T-B-01: RCCS/ALCS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56"/>
      </w:pPr>
      <w:r>
        <w:t>The following template supports composite score calculation combining RCCS and ALCS.</w:t>
      </w:r>
    </w:p>
    <w:p>
      <w:pPr>
        <w:keepNext/>
      </w:pPr>
      <w:r>
        <w:rPr>
          <w:b/>
          <w:sz w:val="16"/>
        </w:rPr>
        <w:t>Table T-B-02: Composite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 Adjusted Score 0-100</w:t>
            </w:r>
          </w:p>
        </w:tc>
        <w:tc>
          <w:tcPr>
            <w:tcW w:type="dxa" w:w="1461"/>
          </w:tcPr>
          <w:p>
            <w:pPr>
              <w:spacing w:after="0"/>
            </w:pPr>
            <w:r>
              <w:rPr>
                <w:rFonts w:ascii="Arial" w:hAnsi="Arial"/>
                <w:b/>
                <w:sz w:val="12"/>
              </w:rPr>
              <w:t>ALCS Adjusted Score 0-100</w:t>
            </w:r>
          </w:p>
        </w:tc>
        <w:tc>
          <w:tcPr>
            <w:tcW w:type="dxa" w:w="1461"/>
          </w:tcPr>
          <w:p>
            <w:pPr>
              <w:spacing w:after="0"/>
            </w:pPr>
            <w:r>
              <w:rPr>
                <w:rFonts w:ascii="Arial" w:hAnsi="Arial"/>
                <w:b/>
                <w:sz w:val="12"/>
              </w:rPr>
              <w:t>RCCS Weight</w:t>
            </w:r>
          </w:p>
        </w:tc>
        <w:tc>
          <w:tcPr>
            <w:tcW w:type="dxa" w:w="1461"/>
          </w:tcPr>
          <w:p>
            <w:pPr>
              <w:spacing w:after="0"/>
            </w:pPr>
            <w:r>
              <w:rPr>
                <w:rFonts w:ascii="Arial" w:hAnsi="Arial"/>
                <w:b/>
                <w:sz w:val="12"/>
              </w:rPr>
              <w:t>ALCS Weight</w:t>
            </w:r>
          </w:p>
        </w:tc>
        <w:tc>
          <w:tcPr>
            <w:tcW w:type="dxa" w:w="1461"/>
          </w:tcPr>
          <w:p>
            <w:pPr>
              <w:spacing w:after="0"/>
            </w:pPr>
            <w:r>
              <w:rPr>
                <w:rFonts w:ascii="Arial" w:hAnsi="Arial"/>
                <w:b/>
                <w:sz w:val="12"/>
              </w:rPr>
              <w:t>Composite Analytical Score 0-100</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Analytical score;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57.6</w:t>
            </w:r>
          </w:p>
        </w:tc>
        <w:tc>
          <w:tcPr>
            <w:tcW w:type="dxa" w:w="1461"/>
          </w:tcPr>
          <w:p>
            <w:pPr>
              <w:spacing w:after="0"/>
            </w:pPr>
            <w:r>
              <w:rPr>
                <w:rFonts w:ascii="Arial" w:hAnsi="Arial"/>
                <w:b w:val="0"/>
                <w:sz w:val="12"/>
              </w:rPr>
              <w:t>Analytical score;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45.0</w:t>
            </w:r>
          </w:p>
        </w:tc>
        <w:tc>
          <w:tcPr>
            <w:tcW w:type="dxa" w:w="1461"/>
          </w:tcPr>
          <w:p>
            <w:pPr>
              <w:spacing w:after="0"/>
            </w:pPr>
            <w:r>
              <w:rPr>
                <w:rFonts w:ascii="Arial" w:hAnsi="Arial"/>
                <w:b w:val="0"/>
                <w:sz w:val="12"/>
              </w:rPr>
              <w:t>70.0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Analytical score; not vendor ranking or certification signal</w:t>
            </w:r>
          </w:p>
        </w:tc>
      </w:tr>
    </w:tbl>
    <w:p>
      <w:pPr>
        <w:spacing w:after="56"/>
      </w:pPr>
      <w:r>
        <w:t>Composite score formula:</w:t>
      </w:r>
    </w:p>
    <w:p>
      <w:pPr>
        <w:spacing w:after="56"/>
      </w:pPr>
      <w:r>
        <w:t>Composite Score = (RCCS Adjusted Score × RCCS Weight) + (ALCS Adjusted Score × ALCS Weight)</w:t>
      </w:r>
    </w:p>
    <w:p>
      <w:pPr>
        <w:spacing w:after="56"/>
      </w:pPr>
      <w:r>
        <w:t>Default weights:</w:t>
      </w:r>
    </w:p>
    <w:p>
      <w:pPr>
        <w:pStyle w:val="ListBullet"/>
        <w:spacing w:after="56"/>
      </w:pPr>
      <w:r>
        <w:t>RCCS Weight: 0.40</w:t>
      </w:r>
    </w:p>
    <w:p>
      <w:pPr>
        <w:pStyle w:val="ListBullet"/>
        <w:spacing w:after="56"/>
      </w:pPr>
      <w:r>
        <w:t>ALCS Weight: 0.60</w:t>
      </w:r>
    </w:p>
    <w:p>
      <w:pPr>
        <w:spacing w:after="56"/>
      </w:pPr>
      <w:r>
        <w:t>Interpretation guidance:</w:t>
      </w:r>
    </w:p>
    <w:p>
      <w:pPr>
        <w:pStyle w:val="ListBullet"/>
        <w:spacing w:after="56"/>
      </w:pPr>
      <w:r>
        <w:t>Composite score 80-100: Strong regulatory compliance coverage and lifecycle responsibility object maturity; does not prove legal compliance</w:t>
      </w:r>
    </w:p>
    <w:p>
      <w:pPr>
        <w:pStyle w:val="ListBullet"/>
        <w:spacing w:after="56"/>
      </w:pPr>
      <w:r>
        <w:t>Composite score 60-79: Moderate regulatory compliance coverage and lifecycle responsibility object maturity; gaps may exist</w:t>
      </w:r>
    </w:p>
    <w:p>
      <w:pPr>
        <w:pStyle w:val="ListBullet"/>
        <w:spacing w:after="56"/>
      </w:pPr>
      <w:r>
        <w:t>Composite score 40-59: Partial regulatory compliance coverage and lifecycle responsibility object maturity; significant gaps may exist</w:t>
      </w:r>
    </w:p>
    <w:p>
      <w:pPr>
        <w:pStyle w:val="ListBullet"/>
        <w:spacing w:after="56"/>
      </w:pPr>
      <w:r>
        <w:t>Composite score 20-39: Weak regulatory compliance coverage and lifecycle responsibility object maturity; major gaps may exist</w:t>
      </w:r>
    </w:p>
    <w:p>
      <w:pPr>
        <w:pStyle w:val="ListBullet"/>
        <w:spacing w:after="56"/>
      </w:pPr>
      <w:r>
        <w:t>Composite score 0-19: Minimal regulatory compliance coverage and lifecycle responsibility object maturity; fundamental gaps may exist</w:t>
      </w:r>
    </w:p>
    <w:p>
      <w:pPr>
        <w:spacing w:after="56"/>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Pr>
        <w:spacing w:after="56"/>
      </w:pPr>
      <w:r>
        <w:t>Boundary statement:</w:t>
      </w:r>
    </w:p>
    <w:p>
      <w:pPr>
        <w:pStyle w:val="ListBullet"/>
        <w:spacing w:after="56"/>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a publication-candidate QA task.</w:t>
      </w:r>
    </w:p>
    <w:p>
      <w:pPr>
        <w:pStyle w:val="ListBullet"/>
        <w:spacing w:after="56"/>
      </w:pPr>
      <w:r>
        <w:t>Citation source pointers require final page-level pinning. Many L2 product documentation sources are referenced via source IDs (e.g., [IBM-WATSONX-GOVERNANCE-DOCS], [MPLP-DOCS]). Phase 1C follow-up located official entry points; publication-candidate QA should pin exact page URLs and publication/access details where needed.</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SDK entry point located; OpenAI platform guide returned HTTP 403 by curl and needs final access/rendering check</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Official source family located; exact tools page pinning remains</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Public entry point located; methodology-specific support remains boundary-limited</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docs pages and publication/access details</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Microsoft Learn pages and publication/access details</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Source family located; exact page pinning remains</w:t>
            </w:r>
          </w:p>
        </w:tc>
        <w:tc>
          <w:tcPr>
            <w:tcW w:type="dxa" w:w="1704"/>
          </w:tcPr>
          <w:p>
            <w:pPr>
              <w:spacing w:after="0"/>
            </w:pPr>
            <w:r>
              <w:rPr>
                <w:rFonts w:ascii="Arial" w:hAnsi="Arial"/>
                <w:b w:val="0"/>
                <w:sz w:val="12"/>
              </w:rPr>
              <w:t>Pin exact responsible-AI pages if retained</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Bedrock pages and publication/access details</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guardrails pages and 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AgentCore pages and publication/access details</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Vertex AI pages and publication/access details</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ADK pages and publication/access details</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Model Armor pages and 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LangGraph pages and publication/access details</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LangSmith pages and publication/access details</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SDK entry point located; platform guide access/rendering needs final check</w:t>
            </w:r>
          </w:p>
        </w:tc>
        <w:tc>
          <w:tcPr>
            <w:tcW w:type="dxa" w:w="1704"/>
          </w:tcPr>
          <w:p>
            <w:pPr>
              <w:spacing w:after="0"/>
            </w:pPr>
            <w:r>
              <w:rPr>
                <w:rFonts w:ascii="Arial" w:hAnsi="Arial"/>
                <w:b w:val="0"/>
                <w:sz w:val="12"/>
              </w:rPr>
              <w:t>Use accessible official SDK docs and perform final citation rendering check</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Official source family located; exact tools page pinning remains</w:t>
            </w:r>
          </w:p>
        </w:tc>
        <w:tc>
          <w:tcPr>
            <w:tcW w:type="dxa" w:w="1704"/>
          </w:tcPr>
          <w:p>
            <w:pPr>
              <w:spacing w:after="0"/>
            </w:pPr>
            <w:r>
              <w:rPr>
                <w:rFonts w:ascii="Arial" w:hAnsi="Arial"/>
                <w:b w:val="0"/>
                <w:sz w:val="12"/>
              </w:rPr>
              <w:t>Pin exact accessible tools pages if retained</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CrewAI docs pages and publication/access details</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Entry point located; protocol version/citation rendering remains</w:t>
            </w:r>
          </w:p>
        </w:tc>
        <w:tc>
          <w:tcPr>
            <w:tcW w:type="dxa" w:w="1704"/>
          </w:tcPr>
          <w:p>
            <w:pPr>
              <w:spacing w:after="0"/>
            </w:pPr>
            <w:r>
              <w:rPr>
                <w:rFonts w:ascii="Arial" w:hAnsi="Arial"/>
                <w:b w:val="0"/>
                <w:sz w:val="12"/>
              </w:rPr>
              <w:t>Pin protocol version and 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Bound through MPLP docs entry point; exact version/citation rendering remains</w:t>
            </w:r>
          </w:p>
        </w:tc>
        <w:tc>
          <w:tcPr>
            <w:tcW w:type="dxa" w:w="1704"/>
          </w:tcPr>
          <w:p>
            <w:pPr>
              <w:spacing w:after="0"/>
            </w:pPr>
            <w:r>
              <w:rPr>
                <w:rFonts w:ascii="Arial" w:hAnsi="Arial"/>
                <w:b w:val="0"/>
                <w:sz w:val="12"/>
              </w:rPr>
              <w:t>Pin exact specification/version reference if separate page exists</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Public entry point located; methodology-specific support remains boundary-limited</w:t>
            </w:r>
          </w:p>
        </w:tc>
        <w:tc>
          <w:tcPr>
            <w:tcW w:type="dxa" w:w="1704"/>
          </w:tcPr>
          <w:p>
            <w:pPr>
              <w:spacing w:after="0"/>
            </w:pPr>
            <w:r>
              <w:rPr>
                <w:rFonts w:ascii="Arial" w:hAnsi="Arial"/>
                <w:b w:val="0"/>
                <w:sz w:val="12"/>
              </w:rPr>
              <w:t>Pin methodology-specific citation if available or retain boundary-limited note</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Revalidation Queue</w:t>
      </w:r>
    </w:p>
    <w:p>
      <w:pPr>
        <w:spacing w:after="56"/>
      </w:pPr>
      <w:r>
        <w:t>The following table lists sources requiring final page-level citation pinning or retained boundary notes during publication-candidate QA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Publication QA Need</w:t>
            </w:r>
          </w:p>
        </w:tc>
        <w:tc>
          <w:tcPr>
            <w:tcW w:type="dxa" w:w="2045"/>
          </w:tcPr>
          <w:p>
            <w:pPr>
              <w:spacing w:after="0"/>
            </w:pPr>
            <w:r>
              <w:rPr>
                <w:rFonts w:ascii="Arial" w:hAnsi="Arial"/>
                <w:b/>
                <w:sz w:val="14"/>
              </w:rPr>
              <w:t>Priority</w:t>
            </w:r>
          </w:p>
        </w:tc>
        <w:tc>
          <w:tcPr>
            <w:tcW w:type="dxa" w:w="2045"/>
          </w:tcPr>
          <w:p>
            <w:pPr>
              <w:spacing w:after="0"/>
            </w:pPr>
            <w:r>
              <w:rPr>
                <w:rFonts w:ascii="Arial" w:hAnsi="Arial"/>
                <w:b/>
                <w:sz w:val="14"/>
              </w:rPr>
              <w:t>QA Stage</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Pin exact pages for specific governance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Pin exact pages for agents, tracing, evaluations, and safety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Learn source family</w:t>
            </w:r>
          </w:p>
        </w:tc>
        <w:tc>
          <w:tcPr>
            <w:tcW w:type="dxa" w:w="2045"/>
          </w:tcPr>
          <w:p>
            <w:pPr>
              <w:spacing w:after="0"/>
            </w:pPr>
            <w:r>
              <w:rPr>
                <w:rFonts w:ascii="Arial" w:hAnsi="Arial"/>
                <w:b w:val="0"/>
                <w:sz w:val="14"/>
              </w:rPr>
              <w:t>Pin exact responsible-AI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https://docs.aws.amazon.com/bedrock/latest/userguide/what-is-bedrock.html</w:t>
            </w:r>
          </w:p>
        </w:tc>
        <w:tc>
          <w:tcPr>
            <w:tcW w:type="dxa" w:w="2045"/>
          </w:tcPr>
          <w:p>
            <w:pPr>
              <w:spacing w:after="0"/>
            </w:pPr>
            <w:r>
              <w:rPr>
                <w:rFonts w:ascii="Arial" w:hAnsi="Arial"/>
                <w:b w:val="0"/>
                <w:sz w:val="14"/>
              </w:rPr>
              <w:t>Pin exact Bedrock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https://docs.aws.amazon.com/bedrock/latest/userguide/guardrails.html</w:t>
            </w:r>
          </w:p>
        </w:tc>
        <w:tc>
          <w:tcPr>
            <w:tcW w:type="dxa" w:w="2045"/>
          </w:tcPr>
          <w:p>
            <w:pPr>
              <w:spacing w:after="0"/>
            </w:pPr>
            <w:r>
              <w:rPr>
                <w:rFonts w:ascii="Arial" w:hAnsi="Arial"/>
                <w:b w:val="0"/>
                <w:sz w:val="14"/>
              </w:rPr>
              <w:t>Pin exact guardrails pages; preserve authority-boundary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https://docs.aws.amazon.com/bedrock-agentcore/latest/devguide/what-is-bedrock-agentcore.html</w:t>
            </w:r>
          </w:p>
        </w:tc>
        <w:tc>
          <w:tcPr>
            <w:tcW w:type="dxa" w:w="2045"/>
          </w:tcPr>
          <w:p>
            <w:pPr>
              <w:spacing w:after="0"/>
            </w:pPr>
            <w:r>
              <w:rPr>
                <w:rFonts w:ascii="Arial" w:hAnsi="Arial"/>
                <w:b w:val="0"/>
                <w:sz w:val="14"/>
              </w:rPr>
              <w:t>Pin exact AgentCore pages for runtime/observability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https://docs.cloud.google.com/vertex-ai/docs</w:t>
            </w:r>
          </w:p>
        </w:tc>
        <w:tc>
          <w:tcPr>
            <w:tcW w:type="dxa" w:w="2045"/>
          </w:tcPr>
          <w:p>
            <w:pPr>
              <w:spacing w:after="0"/>
            </w:pPr>
            <w:r>
              <w:rPr>
                <w:rFonts w:ascii="Arial" w:hAnsi="Arial"/>
                <w:b w:val="0"/>
                <w:sz w:val="14"/>
              </w:rPr>
              <w:t>Pin exact Vertex AI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https://adk.dev/</w:t>
            </w:r>
          </w:p>
        </w:tc>
        <w:tc>
          <w:tcPr>
            <w:tcW w:type="dxa" w:w="2045"/>
          </w:tcPr>
          <w:p>
            <w:pPr>
              <w:spacing w:after="0"/>
            </w:pPr>
            <w:r>
              <w:rPr>
                <w:rFonts w:ascii="Arial" w:hAnsi="Arial"/>
                <w:b w:val="0"/>
                <w:sz w:val="14"/>
              </w:rPr>
              <w:t>Pin exact ADK pages for agent/tool/session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https://docs.cloud.google.com/model-armor/overview</w:t>
            </w:r>
          </w:p>
        </w:tc>
        <w:tc>
          <w:tcPr>
            <w:tcW w:type="dxa" w:w="2045"/>
          </w:tcPr>
          <w:p>
            <w:pPr>
              <w:spacing w:after="0"/>
            </w:pPr>
            <w:r>
              <w:rPr>
                <w:rFonts w:ascii="Arial" w:hAnsi="Arial"/>
                <w:b w:val="0"/>
                <w:sz w:val="14"/>
              </w:rPr>
              <w:t>Pin exact Model Armor pages; preserve lifecycle-governance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https://docs.langchain.com/oss/python/langgraph/overview</w:t>
            </w:r>
          </w:p>
        </w:tc>
        <w:tc>
          <w:tcPr>
            <w:tcW w:type="dxa" w:w="2045"/>
          </w:tcPr>
          <w:p>
            <w:pPr>
              <w:spacing w:after="0"/>
            </w:pPr>
            <w:r>
              <w:rPr>
                <w:rFonts w:ascii="Arial" w:hAnsi="Arial"/>
                <w:b w:val="0"/>
                <w:sz w:val="14"/>
              </w:rPr>
              <w:t>Pin exact persistence/interrupt/tool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https://docs.langchain.com/langsmith/home</w:t>
            </w:r>
          </w:p>
        </w:tc>
        <w:tc>
          <w:tcPr>
            <w:tcW w:type="dxa" w:w="2045"/>
          </w:tcPr>
          <w:p>
            <w:pPr>
              <w:spacing w:after="0"/>
            </w:pPr>
            <w:r>
              <w:rPr>
                <w:rFonts w:ascii="Arial" w:hAnsi="Arial"/>
                <w:b w:val="0"/>
                <w:sz w:val="14"/>
              </w:rPr>
              <w:t>Pin exact tracing/evaluation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https://openai.github.io/openai-agents-python/</w:t>
            </w:r>
          </w:p>
        </w:tc>
        <w:tc>
          <w:tcPr>
            <w:tcW w:type="dxa" w:w="2045"/>
          </w:tcPr>
          <w:p>
            <w:pPr>
              <w:spacing w:after="0"/>
            </w:pPr>
            <w:r>
              <w:rPr>
                <w:rFonts w:ascii="Arial" w:hAnsi="Arial"/>
                <w:b w:val="0"/>
                <w:sz w:val="14"/>
              </w:rPr>
              <w:t>Pin exact SDK pages for agents/tools/handoffs/tracing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platform docs source family</w:t>
            </w:r>
          </w:p>
        </w:tc>
        <w:tc>
          <w:tcPr>
            <w:tcW w:type="dxa" w:w="2045"/>
          </w:tcPr>
          <w:p>
            <w:pPr>
              <w:spacing w:after="0"/>
            </w:pPr>
            <w:r>
              <w:rPr>
                <w:rFonts w:ascii="Arial" w:hAnsi="Arial"/>
                <w:b w:val="0"/>
                <w:sz w:val="14"/>
              </w:rPr>
              <w:t>Pin exact accessible tools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https://docs.crewai.com/</w:t>
            </w:r>
          </w:p>
        </w:tc>
        <w:tc>
          <w:tcPr>
            <w:tcW w:type="dxa" w:w="2045"/>
          </w:tcPr>
          <w:p>
            <w:pPr>
              <w:spacing w:after="0"/>
            </w:pPr>
            <w:r>
              <w:rPr>
                <w:rFonts w:ascii="Arial" w:hAnsi="Arial"/>
                <w:b w:val="0"/>
                <w:sz w:val="14"/>
              </w:rPr>
              <w:t>Pin exact agents/tasks/crews/flows/tools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https://github.com/crewAIInc/crewAI</w:t>
            </w:r>
          </w:p>
        </w:tc>
        <w:tc>
          <w:tcPr>
            <w:tcW w:type="dxa" w:w="2045"/>
          </w:tcPr>
          <w:p>
            <w:pPr>
              <w:spacing w:after="0"/>
            </w:pPr>
            <w:r>
              <w:rPr>
                <w:rFonts w:ascii="Arial" w:hAnsi="Arial"/>
                <w:b w:val="0"/>
                <w:sz w:val="14"/>
              </w:rPr>
              <w:t>Pin exact repository paths only for code/API-specific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protocol version and preserve conflict-of-interest boundary</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exact specification/version reference if separate page exists</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w:t>
            </w:r>
          </w:p>
        </w:tc>
        <w:tc>
          <w:tcPr>
            <w:tcW w:type="dxa" w:w="2045"/>
          </w:tcPr>
          <w:p>
            <w:pPr>
              <w:spacing w:after="0"/>
            </w:pPr>
            <w:r>
              <w:rPr>
                <w:rFonts w:ascii="Arial" w:hAnsi="Arial"/>
                <w:b w:val="0"/>
                <w:sz w:val="14"/>
              </w:rPr>
              <w:t>Pin methodology-specific citation if available or retain boundary-limited note</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during publication-candidate QA and do not prove deployment practice or legal compliance.</w:t>
      </w:r>
    </w:p>
    <w:p>
      <w:pPr>
        <w:pStyle w:val="ListBullet"/>
        <w:spacing w:after="56"/>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Pin exact page-level L2 product documentation URLs and replace remaining source pointers with validated URLs and publication/access details</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add methodology-specific Validation Lab support if available</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Source support unresolved: Mapping is uncertain because exact source support for the lifecycle responsibility object has not been pinned.</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1C follow-up completed source-entry and claim-disposition review for Appendix D. Remaining finalization work is to:</w:t>
      </w:r>
    </w:p>
    <w:p>
      <w:pPr>
        <w:pStyle w:val="ListNumber"/>
        <w:spacing w:after="56"/>
      </w:pPr>
      <w:r>
        <w:t>Pin exact page-level citations for high-risk MRO cell claims where needed</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source-support unresolved if exact page-level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 distinction:</w:t>
      </w:r>
    </w:p>
    <w:p>
      <w:pPr>
        <w:pStyle w:val="ListBullet"/>
        <w:spacing w:after="56"/>
      </w:pPr>
      <w:r>
        <w:t>RCCS measures regulatory compliance coverage primitives (risk management, data governance, documentation, record-keeping, transparency, human oversight, security, accountability, contestability, monitoring)</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 focuses on regulatory compliance coverage capabilities</w:t>
      </w:r>
    </w:p>
    <w:p>
      <w:pPr>
        <w:pStyle w:val="ListBullet"/>
        <w:spacing w:after="56"/>
      </w:pPr>
      <w:r>
        <w:t>ALCS focuses on agentic lifecycle responsibility tracking and accountability capabilities</w:t>
      </w:r>
    </w:p>
    <w:p>
      <w:pPr>
        <w:pStyle w:val="ListBullet"/>
        <w:spacing w:after="56"/>
      </w:pPr>
      <w:r>
        <w:t>Both are analytical tools, not legal compliance scores</w:t>
      </w:r>
    </w:p>
    <w:p>
      <w:pPr>
        <w:spacing w:after="56"/>
      </w:pPr>
      <w:r>
        <w:t>Composite score formula (from Phase 1B-8C):</w:t>
      </w:r>
    </w:p>
    <w:p>
      <w:pPr>
        <w:spacing w:after="56"/>
      </w:pPr>
      <w:r>
        <w:t>Composite Score = 0.40 × RCCS + 0.60 × ALCS</w:t>
        <w:br/>
        <w:br/>
        <w:t>Where:</w:t>
        <w:br/>
        <w:t>RCCS = Average of 10 RCCS dimension scores (0-100)</w:t>
        <w:br/>
        <w:t>ALCS = Average of 15 ALCS dimension scores (0-100)</w:t>
        <w:br/>
        <w:t>Composite Score = Weighted average (0-100)</w:t>
      </w:r>
    </w:p>
    <w:p>
      <w:pPr>
        <w:spacing w:after="56"/>
      </w:pPr>
      <w:r>
        <w:t>Example:</w:t>
      </w:r>
    </w:p>
    <w:p>
      <w:pPr>
        <w:spacing w:after="56"/>
      </w:pPr>
      <w: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(RCCS/ALCS), not legal compliance, regulatory approval, or certification status.</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Regulatory Compliance Coverage Primitives (RCCS-aligned): Risk management, data governance, documentation, record-keeping, transparency, human oversight, security, accountability, contestability, monitoring</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1C source review record and Phase 1D publication handoff. It tracks source classes, citation status, evidence level, claim-binding status, and required publication follow-up actions.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1C follow-up completed source-entry and claim-disposition review; final publication still requires page-level citation pinning and DOCX/PDF citation rendering checks.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Public entry point located; methodology-specific support remains limited</w:t>
            </w:r>
          </w:p>
        </w:tc>
        <w:tc>
          <w:tcPr>
            <w:tcW w:type="dxa" w:w="1461"/>
          </w:tcPr>
          <w:p>
            <w:pPr>
              <w:spacing w:after="0"/>
            </w:pPr>
            <w:r>
              <w:rPr>
                <w:rFonts w:ascii="Arial" w:hAnsi="Arial"/>
                <w:b w:val="0"/>
                <w:sz w:val="12"/>
              </w:rPr>
              <w:t>Keep non-certifying boundary; add methodology-specific citation if available</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SDK docs entry point located; platform guide access/rendering needs final check</w:t>
            </w:r>
          </w:p>
        </w:tc>
        <w:tc>
          <w:tcPr>
            <w:tcW w:type="dxa" w:w="1461"/>
          </w:tcPr>
          <w:p>
            <w:pPr>
              <w:spacing w:after="0"/>
            </w:pPr>
            <w:r>
              <w:rPr>
                <w:rFonts w:ascii="Arial" w:hAnsi="Arial"/>
                <w:b w:val="0"/>
                <w:sz w:val="12"/>
              </w:rPr>
              <w:t>Use accessible official SDK docs and perform final citation rendering check</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page-level citation pinning remains before publication-candidate release</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and Validation Lab URL/source pointers.</w:t>
      </w:r>
    </w:p>
    <w:p>
      <w:pPr>
        <w:pStyle w:val="ListNumber"/>
        <w:spacing w:after="56"/>
      </w:pPr>
      <w:r>
        <w:t>Reclassify evidence levels only when documentation supports the change.</w:t>
      </w:r>
    </w:p>
    <w:p>
      <w:pPr>
        <w:pStyle w:val="ListNumber"/>
        <w:spacing w:after="56"/>
      </w:pPr>
      <w:r>
        <w:t>Record all source changes and unresolved gaps in Appendix I or a publication QA report.</w:t>
      </w:r>
    </w:p>
    <w:p>
      <w:pPr>
        <w:spacing w:after="56"/>
      </w:pPr>
      <w:r>
        <w:t>Phase 1C follow-up completed the claim-level review path at source-entry and claim-disposition level. It did not convert L2 documentation into audit proof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URL, source currency, and protocol documentation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specification URL and version</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Validate URL and non-certifying methodology boundary</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Bedrock, Guardrails, and AgentCore references</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Vertex AI, ADK, and Model Armor references</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framework/documentation names</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SDK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add new product claims during verification</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documentation scope</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1C follow-up located or validated official source entry points for the high-priority L2 groups. Final page-level citation pinning and DOCX/PDF citation rendering remain Phase 1D/publication-candidate tasks.</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Claim-level source binding applied</w:t>
            </w:r>
          </w:p>
        </w:tc>
        <w:tc>
          <w:tcPr>
            <w:tcW w:type="dxa" w:w="2045"/>
          </w:tcPr>
          <w:p>
            <w:pPr>
              <w:spacing w:after="0"/>
            </w:pPr>
            <w:r>
              <w:rPr>
                <w:rFonts w:ascii="Arial" w:hAnsi="Arial"/>
                <w:b w:val="0"/>
                <w:sz w:val="14"/>
              </w:rPr>
              <w:t>Exact page-level citation pinning remains for publication-candidate QA</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entry point plus L5 methodology interpretation</w:t>
            </w:r>
          </w:p>
        </w:tc>
        <w:tc>
          <w:tcPr>
            <w:tcW w:type="dxa" w:w="2045"/>
          </w:tcPr>
          <w:p>
            <w:pPr>
              <w:spacing w:after="0"/>
            </w:pPr>
            <w:r>
              <w:rPr>
                <w:rFonts w:ascii="Arial" w:hAnsi="Arial"/>
                <w:b w:val="0"/>
                <w:sz w:val="14"/>
              </w:rPr>
              <w:t>Public entry point located; methodology-specific support remains boundary-limited</w:t>
            </w:r>
          </w:p>
        </w:tc>
        <w:tc>
          <w:tcPr>
            <w:tcW w:type="dxa" w:w="2045"/>
          </w:tcPr>
          <w:p>
            <w:pPr>
              <w:spacing w:after="0"/>
            </w:pPr>
            <w:r>
              <w:rPr>
                <w:rFonts w:ascii="Arial" w:hAnsi="Arial"/>
                <w:b w:val="0"/>
                <w:sz w:val="14"/>
              </w:rPr>
              <w:t>Exact methodology citation may remain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Exact citation pages and rendering not yet verified</w:t>
            </w:r>
          </w:p>
        </w:tc>
        <w:tc>
          <w:tcPr>
            <w:tcW w:type="dxa" w:w="2045"/>
          </w:tcPr>
          <w:p>
            <w:pPr>
              <w:spacing w:after="0"/>
            </w:pPr>
            <w:r>
              <w:rPr>
                <w:rFonts w:ascii="Arial" w:hAnsi="Arial"/>
                <w:b w:val="0"/>
                <w:sz w:val="14"/>
              </w:rPr>
              <w:t>Pin page-level citations before publication candidate</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Citation rendering and claim-label preservation not yet verified</w:t>
            </w:r>
          </w:p>
        </w:tc>
        <w:tc>
          <w:tcPr>
            <w:tcW w:type="dxa" w:w="2045"/>
          </w:tcPr>
          <w:p>
            <w:pPr>
              <w:spacing w:after="0"/>
            </w:pPr>
            <w:r>
              <w:rPr>
                <w:rFonts w:ascii="Arial" w:hAnsi="Arial"/>
                <w:b w:val="0"/>
                <w:sz w:val="14"/>
              </w:rPr>
              <w:t>Verify source labels during Phase 1D/publication QA</w:t>
            </w:r>
          </w:p>
        </w:tc>
      </w:tr>
    </w:tbl>
    <w:p>
      <w:pPr>
        <w:spacing w:after="56"/>
      </w:pPr>
      <w:r>
        <w:t>The source coverage matrix has been updated during Phase 1C as a coverage ledger and during Phase 1C follow-up as a claim-level source-binding ledger. Publication-candidate QA still requires page-level citation pinning and rendering checks. Appendix G remains revalidated provisional, not final.</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w:t>
            </w:r>
          </w:p>
        </w:tc>
        <w:tc>
          <w:tcPr>
            <w:tcW w:type="dxa" w:w="1704"/>
          </w:tcPr>
          <w:p>
            <w:pPr>
              <w:spacing w:after="0"/>
            </w:pPr>
            <w:r>
              <w:rPr>
                <w:rFonts w:ascii="Arial" w:hAnsi="Arial"/>
                <w:b w:val="0"/>
                <w:sz w:val="12"/>
              </w:rPr>
              <w:t>L2 docs reviewed at claim level; page-level citation pinning remains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w:t>
            </w:r>
          </w:p>
        </w:tc>
        <w:tc>
          <w:tcPr>
            <w:tcW w:type="dxa" w:w="1704"/>
          </w:tcPr>
          <w:p>
            <w:pPr>
              <w:spacing w:after="0"/>
            </w:pPr>
            <w:r>
              <w:rPr>
                <w:rFonts w:ascii="Arial" w:hAnsi="Arial"/>
                <w:b w:val="0"/>
                <w:sz w:val="12"/>
              </w:rPr>
              <w:t>Source review completed at claim level; page-level citation pinning remains</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cleanup updated citation inventory to URL-reviewed status; Phase 1C follow-up added claim-level source binding and claim register</w:t>
            </w:r>
          </w:p>
        </w:tc>
        <w:tc>
          <w:tcPr>
            <w:tcW w:type="dxa" w:w="1704"/>
          </w:tcPr>
          <w:p>
            <w:pPr>
              <w:spacing w:after="0"/>
            </w:pPr>
            <w:r>
              <w:rPr>
                <w:rFonts w:ascii="Arial" w:hAnsi="Arial"/>
                <w:b w:val="0"/>
                <w:sz w:val="12"/>
              </w:rPr>
              <w:t>Final page-level citation pinning and rendering QA before publication candidate</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Claim evidence register created; Appendix G marked revalidated provisional; citation inventory/source coverage matrix updated</w:t>
            </w:r>
          </w:p>
        </w:tc>
        <w:tc>
          <w:tcPr>
            <w:tcW w:type="dxa" w:w="1704"/>
          </w:tcPr>
          <w:p>
            <w:pPr>
              <w:spacing w:after="0"/>
            </w:pPr>
            <w:r>
              <w:rPr>
                <w:rFonts w:ascii="Arial" w:hAnsi="Arial"/>
                <w:b w:val="0"/>
                <w:sz w:val="12"/>
              </w:rPr>
              <w:t>Keep Appendix G provisional; perform page-level citation pinning before publication-candidate release</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1C claim-level reviewed / provisional source binding complete</w:t>
            </w:r>
          </w:p>
        </w:tc>
        <w:tc>
          <w:tcPr>
            <w:tcW w:type="dxa" w:w="2045"/>
          </w:tcPr>
          <w:p>
            <w:pPr>
              <w:spacing w:after="0"/>
            </w:pPr>
            <w:r>
              <w:rPr>
                <w:rFonts w:ascii="Arial" w:hAnsi="Arial"/>
                <w:b w:val="0"/>
                <w:sz w:val="14"/>
              </w:rPr>
              <w:t>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or downgraded to L5</w:t>
            </w:r>
          </w:p>
        </w:tc>
        <w:tc>
          <w:tcPr>
            <w:tcW w:type="dxa" w:w="2045"/>
          </w:tcPr>
          <w:p>
            <w:pPr>
              <w:spacing w:after="0"/>
            </w:pPr>
            <w:r>
              <w:rPr>
                <w:rFonts w:ascii="Arial" w:hAnsi="Arial"/>
                <w:b w:val="0"/>
                <w:sz w:val="14"/>
              </w:rPr>
              <w:t>Appendix G remains provisional; 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 and site entry points located; Validation Lab public entry point located</w:t>
            </w:r>
          </w:p>
        </w:tc>
        <w:tc>
          <w:tcPr>
            <w:tcW w:type="dxa" w:w="2045"/>
          </w:tcPr>
          <w:p>
            <w:pPr>
              <w:spacing w:after="0"/>
            </w:pPr>
            <w:r>
              <w:rPr>
                <w:rFonts w:ascii="Arial" w:hAnsi="Arial"/>
                <w:b w:val="0"/>
                <w:sz w:val="14"/>
              </w:rPr>
              <w:t>Methodology-specific Validation Lab support remains boundary-limited</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1C cleanup and claim-level source binding have been completed; remaining work is Phase 1D/publication QA. Deferred Phase 1D items remain active governance obligations until publication-candidate generation, citation rendering, table/figure proofing, and final review are complete.</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located official source entry points; narrowed or downgraded material product/protocol claims; marked Appendix G revalidated provisional</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claim-level source binding; page-level citation pinning remains</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w:t>
            </w:r>
          </w:p>
        </w:tc>
        <w:tc>
          <w:tcPr>
            <w:tcW w:type="dxa" w:w="2045"/>
          </w:tcPr>
          <w:p>
            <w:pPr>
              <w:spacing w:after="0"/>
            </w:pPr>
            <w:r>
              <w:rPr>
                <w:rFonts w:ascii="Arial" w:hAnsi="Arial"/>
                <w:b w:val="0"/>
                <w:sz w:val="14"/>
              </w:rPr>
              <w:t>Phase 1C consistency review completed; verify in final proof</w:t>
            </w:r>
          </w:p>
        </w:tc>
        <w:tc>
          <w:tcPr>
            <w:tcW w:type="dxa" w:w="2045"/>
          </w:tcPr>
          <w:p>
            <w:pPr>
              <w:spacing w:after="0"/>
            </w:pPr>
            <w:r>
              <w:rPr>
                <w:rFonts w:ascii="Arial" w:hAnsi="Arial"/>
                <w:b w:val="0"/>
                <w:sz w:val="14"/>
              </w:rPr>
              <w:t>Phase 1A / 1B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Phase 1B-10 was preparatory; Phase 1C follow-up added claim-level source-binding status without claiming final publication readiness</w:t>
            </w:r>
          </w:p>
        </w:tc>
        <w:tc>
          <w:tcPr>
            <w:tcW w:type="dxa" w:w="2045"/>
          </w:tcPr>
          <w:p>
            <w:pPr>
              <w:spacing w:after="0"/>
            </w:pPr>
            <w:r>
              <w:rPr>
                <w:rFonts w:ascii="Arial" w:hAnsi="Arial"/>
                <w:b w:val="0"/>
                <w:sz w:val="14"/>
              </w:rPr>
              <w:t>Perform final page-level citation pinning and rendering QA</w:t>
            </w:r>
          </w:p>
        </w:tc>
        <w:tc>
          <w:tcPr>
            <w:tcW w:type="dxa" w:w="2045"/>
          </w:tcPr>
          <w:p>
            <w:pPr>
              <w:spacing w:after="0"/>
            </w:pPr>
            <w:r>
              <w:rPr>
                <w:rFonts w:ascii="Arial" w:hAnsi="Arial"/>
                <w:b w:val="0"/>
                <w:sz w:val="14"/>
              </w:rPr>
              <w:t>Phase 1B-10 / Phase 1C</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Page-level citation pinning for source-bound product/protocol claims</w:t>
            </w:r>
          </w:p>
        </w:tc>
        <w:tc>
          <w:tcPr>
            <w:tcW w:type="dxa" w:w="2045"/>
          </w:tcPr>
          <w:p>
            <w:pPr>
              <w:spacing w:after="0"/>
            </w:pPr>
            <w:r>
              <w:rPr>
                <w:rFonts w:ascii="Arial" w:hAnsi="Arial"/>
                <w:b w:val="0"/>
                <w:sz w:val="14"/>
              </w:rPr>
              <w:t>Official entry points were located, but final citation pages must be pinned before publication</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Exact source page references and citation rendering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Public entry point was located, but methodology-specific support remains limited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Methodology URL or retained unresolved note</w:t>
            </w:r>
          </w:p>
        </w:tc>
        <w:tc>
          <w:tcPr>
            <w:tcW w:type="dxa" w:w="2045"/>
          </w:tcPr>
          <w:p>
            <w:pPr>
              <w:spacing w:after="0"/>
            </w:pPr>
            <w:r>
              <w:rPr>
                <w:rFonts w:ascii="Arial" w:hAnsi="Arial"/>
                <w:b w:val="0"/>
                <w:sz w:val="14"/>
              </w:rPr>
              <w:t>Blocks treating methodology claims as more than boundary-limited</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now tied to claims, but final artifacts must preserve labels</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Blocks final Appendix G publication status</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Publication rendering not yet produced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DOCX/PDF artifacts and visual QA report</w:t>
            </w:r>
          </w:p>
        </w:tc>
        <w:tc>
          <w:tcPr>
            <w:tcW w:type="dxa" w:w="2045"/>
          </w:tcPr>
          <w:p>
            <w:pPr>
              <w:spacing w:after="0"/>
            </w:pPr>
            <w:r>
              <w:rPr>
                <w:rFonts w:ascii="Arial" w:hAnsi="Arial"/>
                <w:b w:val="0"/>
                <w:sz w:val="14"/>
              </w:rPr>
              <w:t>Blocks publication release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