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40" w:after="240"/>
      </w:pPr>
      <w:r>
        <w:rPr>
          <w:rFonts w:ascii="Arial" w:hAnsi="Arial"/>
          <w:b/>
          <w:color w:val="111318"/>
          <w:sz w:val="60"/>
        </w:rPr>
        <w:t>Global AI Compliance White Paper 2026</w:t>
      </w:r>
    </w:p>
    <w:p>
      <w:r>
        <w:rPr>
          <w:rFonts w:ascii="Arial" w:hAnsi="Arial"/>
          <w:color w:val="3C4858"/>
          <w:sz w:val="30"/>
        </w:rPr>
        <w:t>Public White Paper Draft</w:t>
      </w:r>
    </w:p>
    <w:p>
      <w:pPr>
        <w:spacing w:before="200"/>
      </w:pPr>
      <w:r>
        <w:rPr>
          <w:rFonts w:ascii="Arial" w:hAnsi="Arial"/>
          <w:color w:val="1F4E79"/>
          <w:sz w:val="24"/>
        </w:rPr>
        <w:t>From Model Governance to Agentic Lifecycle Conformance</w:t>
      </w:r>
    </w:p>
    <w:p/>
    <w:p>
      <w:pPr>
        <w:keepNext/>
      </w:pPr>
      <w:r>
        <w:rPr>
          <w:rFonts w:ascii="Arial" w:hAnsi="Arial"/>
          <w:b/>
          <w:color w:val="111318"/>
          <w:sz w:val="18"/>
        </w:rPr>
        <w:t>Figure F-01: AI Agent Lifecycle Governance Stack</w:t>
      </w:r>
    </w:p>
    <w:tbl>
      <w:tblPr>
        <w:tblStyle w:val="TableGrid"/>
        <w:tblW w:type="auto" w:w="0"/>
        <w:jc w:val="center"/>
        <w:tblLayout w:type="autofit"/>
        <w:tblLook w:firstColumn="1" w:firstRow="1" w:lastColumn="0" w:lastRow="0" w:noHBand="0" w:noVBand="1" w:val="04A0"/>
      </w:tblPr>
      <w:tblGrid>
        <w:gridCol w:w="999"/>
        <w:gridCol w:w="999"/>
        <w:gridCol w:w="999"/>
        <w:gridCol w:w="999"/>
        <w:gridCol w:w="999"/>
        <w:gridCol w:w="999"/>
        <w:gridCol w:w="999"/>
        <w:gridCol w:w="999"/>
        <w:gridCol w:w="999"/>
        <w:gridCol w:w="999"/>
      </w:tblGrid>
      <w:tr>
        <w:tc>
          <w:tcPr>
            <w:tcW w:type="dxa" w:w="999"/>
            <w:shd w:fill="111318"/>
            <w:tcBorders>
              <w:top w:val="single" w:sz="6" w:space="0" w:color="111318"/>
              <w:left w:val="single" w:sz="6" w:space="0" w:color="111318"/>
              <w:bottom w:val="single" w:sz="6" w:space="0" w:color="111318"/>
              <w:right w:val="single" w:sz="6" w:space="0" w:color="111318"/>
            </w:tcBorders>
          </w:tcPr>
          <w:p>
            <w:pPr>
              <w:jc w:val="center"/>
            </w:pPr>
            <w:r>
              <w:rPr>
                <w:rFonts w:ascii="Arial" w:hAnsi="Arial"/>
                <w:b/>
                <w:color w:val="F7F7F4"/>
                <w:sz w:val="14"/>
              </w:rPr>
              <w:t>Intent</w:t>
            </w:r>
          </w:p>
        </w:tc>
        <w:tc>
          <w:tcPr>
            <w:tcW w:type="dxa" w:w="999"/>
            <w:shd w:fill="111318"/>
            <w:tcBorders>
              <w:top w:val="single" w:sz="6" w:space="0" w:color="111318"/>
              <w:left w:val="single" w:sz="6" w:space="0" w:color="111318"/>
              <w:bottom w:val="single" w:sz="6" w:space="0" w:color="111318"/>
              <w:right w:val="single" w:sz="6" w:space="0" w:color="111318"/>
            </w:tcBorders>
          </w:tcPr>
          <w:p>
            <w:pPr>
              <w:jc w:val="center"/>
            </w:pPr>
            <w:r>
              <w:rPr>
                <w:rFonts w:ascii="Arial" w:hAnsi="Arial"/>
                <w:b/>
                <w:color w:val="F7F7F4"/>
                <w:sz w:val="14"/>
              </w:rPr>
              <w:t>Context</w:t>
            </w:r>
          </w:p>
        </w:tc>
        <w:tc>
          <w:tcPr>
            <w:tcW w:type="dxa" w:w="999"/>
            <w:shd w:fill="111318"/>
            <w:tcBorders>
              <w:top w:val="single" w:sz="6" w:space="0" w:color="111318"/>
              <w:left w:val="single" w:sz="6" w:space="0" w:color="111318"/>
              <w:bottom w:val="single" w:sz="6" w:space="0" w:color="111318"/>
              <w:right w:val="single" w:sz="6" w:space="0" w:color="111318"/>
            </w:tcBorders>
          </w:tcPr>
          <w:p>
            <w:pPr>
              <w:jc w:val="center"/>
            </w:pPr>
            <w:r>
              <w:rPr>
                <w:rFonts w:ascii="Arial" w:hAnsi="Arial"/>
                <w:b/>
                <w:color w:val="F7F7F4"/>
                <w:sz w:val="14"/>
              </w:rPr>
              <w:t>Plan</w:t>
            </w:r>
          </w:p>
        </w:tc>
        <w:tc>
          <w:tcPr>
            <w:tcW w:type="dxa" w:w="999"/>
            <w:shd w:fill="111318"/>
            <w:tcBorders>
              <w:top w:val="single" w:sz="6" w:space="0" w:color="111318"/>
              <w:left w:val="single" w:sz="6" w:space="0" w:color="111318"/>
              <w:bottom w:val="single" w:sz="6" w:space="0" w:color="111318"/>
              <w:right w:val="single" w:sz="6" w:space="0" w:color="111318"/>
            </w:tcBorders>
          </w:tcPr>
          <w:p>
            <w:pPr>
              <w:jc w:val="center"/>
            </w:pPr>
            <w:r>
              <w:rPr>
                <w:rFonts w:ascii="Arial" w:hAnsi="Arial"/>
                <w:b/>
                <w:color w:val="F7F7F4"/>
                <w:sz w:val="14"/>
              </w:rPr>
              <w:t>Authority</w:t>
            </w:r>
          </w:p>
        </w:tc>
        <w:tc>
          <w:tcPr>
            <w:tcW w:type="dxa" w:w="999"/>
            <w:shd w:fill="111318"/>
            <w:tcBorders>
              <w:top w:val="single" w:sz="6" w:space="0" w:color="111318"/>
              <w:left w:val="single" w:sz="6" w:space="0" w:color="111318"/>
              <w:bottom w:val="single" w:sz="6" w:space="0" w:color="111318"/>
              <w:right w:val="single" w:sz="6" w:space="0" w:color="111318"/>
            </w:tcBorders>
          </w:tcPr>
          <w:p>
            <w:pPr>
              <w:jc w:val="center"/>
            </w:pPr>
            <w:r>
              <w:rPr>
                <w:rFonts w:ascii="Arial" w:hAnsi="Arial"/>
                <w:b/>
                <w:color w:val="F7F7F4"/>
                <w:sz w:val="14"/>
              </w:rPr>
              <w:t>Agent Work</w:t>
            </w:r>
          </w:p>
        </w:tc>
        <w:tc>
          <w:tcPr>
            <w:tcW w:type="dxa" w:w="999"/>
            <w:shd w:fill="111318"/>
            <w:tcBorders>
              <w:top w:val="single" w:sz="6" w:space="0" w:color="111318"/>
              <w:left w:val="single" w:sz="6" w:space="0" w:color="111318"/>
              <w:bottom w:val="single" w:sz="6" w:space="0" w:color="111318"/>
              <w:right w:val="single" w:sz="6" w:space="0" w:color="111318"/>
            </w:tcBorders>
          </w:tcPr>
          <w:p>
            <w:pPr>
              <w:jc w:val="center"/>
            </w:pPr>
            <w:r>
              <w:rPr>
                <w:rFonts w:ascii="Arial" w:hAnsi="Arial"/>
                <w:b/>
                <w:color w:val="F7F7F4"/>
                <w:sz w:val="14"/>
              </w:rPr>
              <w:t>Tool Actions</w:t>
            </w:r>
          </w:p>
        </w:tc>
        <w:tc>
          <w:tcPr>
            <w:tcW w:type="dxa" w:w="999"/>
            <w:shd w:fill="111318"/>
            <w:tcBorders>
              <w:top w:val="single" w:sz="6" w:space="0" w:color="111318"/>
              <w:left w:val="single" w:sz="6" w:space="0" w:color="111318"/>
              <w:bottom w:val="single" w:sz="6" w:space="0" w:color="111318"/>
              <w:right w:val="single" w:sz="6" w:space="0" w:color="111318"/>
            </w:tcBorders>
          </w:tcPr>
          <w:p>
            <w:pPr>
              <w:jc w:val="center"/>
            </w:pPr>
            <w:r>
              <w:rPr>
                <w:rFonts w:ascii="Arial" w:hAnsi="Arial"/>
                <w:b/>
                <w:color w:val="F7F7F4"/>
                <w:sz w:val="14"/>
              </w:rPr>
              <w:t>Evidence</w:t>
            </w:r>
          </w:p>
        </w:tc>
        <w:tc>
          <w:tcPr>
            <w:tcW w:type="dxa" w:w="999"/>
            <w:shd w:fill="111318"/>
            <w:tcBorders>
              <w:top w:val="single" w:sz="6" w:space="0" w:color="111318"/>
              <w:left w:val="single" w:sz="6" w:space="0" w:color="111318"/>
              <w:bottom w:val="single" w:sz="6" w:space="0" w:color="111318"/>
              <w:right w:val="single" w:sz="6" w:space="0" w:color="111318"/>
            </w:tcBorders>
          </w:tcPr>
          <w:p>
            <w:pPr>
              <w:jc w:val="center"/>
            </w:pPr>
            <w:r>
              <w:rPr>
                <w:rFonts w:ascii="Arial" w:hAnsi="Arial"/>
                <w:b/>
                <w:color w:val="F7F7F4"/>
                <w:sz w:val="14"/>
              </w:rPr>
              <w:t>Review</w:t>
            </w:r>
          </w:p>
        </w:tc>
        <w:tc>
          <w:tcPr>
            <w:tcW w:type="dxa" w:w="999"/>
            <w:shd w:fill="111318"/>
            <w:tcBorders>
              <w:top w:val="single" w:sz="6" w:space="0" w:color="111318"/>
              <w:left w:val="single" w:sz="6" w:space="0" w:color="111318"/>
              <w:bottom w:val="single" w:sz="6" w:space="0" w:color="111318"/>
              <w:right w:val="single" w:sz="6" w:space="0" w:color="111318"/>
            </w:tcBorders>
          </w:tcPr>
          <w:p>
            <w:pPr>
              <w:jc w:val="center"/>
            </w:pPr>
            <w:r>
              <w:rPr>
                <w:rFonts w:ascii="Arial" w:hAnsi="Arial"/>
                <w:b/>
                <w:color w:val="F7F7F4"/>
                <w:sz w:val="14"/>
              </w:rPr>
              <w:t>Accepted Outcome</w:t>
            </w:r>
          </w:p>
        </w:tc>
        <w:tc>
          <w:tcPr>
            <w:tcW w:type="dxa" w:w="999"/>
            <w:shd w:fill="111318"/>
            <w:tcBorders>
              <w:top w:val="single" w:sz="6" w:space="0" w:color="111318"/>
              <w:left w:val="single" w:sz="6" w:space="0" w:color="111318"/>
              <w:bottom w:val="single" w:sz="6" w:space="0" w:color="111318"/>
              <w:right w:val="single" w:sz="6" w:space="0" w:color="111318"/>
            </w:tcBorders>
          </w:tcPr>
          <w:p>
            <w:pPr>
              <w:jc w:val="center"/>
            </w:pPr>
            <w:r>
              <w:rPr>
                <w:rFonts w:ascii="Arial" w:hAnsi="Arial"/>
                <w:b/>
                <w:color w:val="F7F7F4"/>
                <w:sz w:val="14"/>
              </w:rPr>
              <w:t>Dispute / Remediate</w:t>
            </w:r>
          </w:p>
        </w:tc>
      </w:tr>
      <w:tr>
        <w:tc>
          <w:tcPr>
            <w:tcW w:type="dxa" w:w="999"/>
            <w:shd w:fill="F7F7F4"/>
            <w:tcBorders>
              <w:top w:val="single" w:sz="6" w:space="0" w:color="D9DEE5"/>
              <w:left w:val="single" w:sz="6" w:space="0" w:color="D9DEE5"/>
              <w:bottom w:val="single" w:sz="6" w:space="0" w:color="D9DEE5"/>
              <w:right w:val="single" w:sz="6" w:space="0" w:color="D9DEE5"/>
            </w:tcBorders>
          </w:tcPr>
          <w:p>
            <w:pPr>
              <w:jc w:val="center"/>
            </w:pPr>
            <w:r>
              <w:rPr>
                <w:rFonts w:ascii="Arial" w:hAnsi="Arial"/>
                <w:color w:val="3C4858"/>
                <w:sz w:val="13"/>
              </w:rPr>
              <w:t>object</w:t>
            </w:r>
          </w:p>
        </w:tc>
        <w:tc>
          <w:tcPr>
            <w:tcW w:type="dxa" w:w="999"/>
            <w:shd w:fill="F7F7F4"/>
            <w:tcBorders>
              <w:top w:val="single" w:sz="6" w:space="0" w:color="D9DEE5"/>
              <w:left w:val="single" w:sz="6" w:space="0" w:color="D9DEE5"/>
              <w:bottom w:val="single" w:sz="6" w:space="0" w:color="D9DEE5"/>
              <w:right w:val="single" w:sz="6" w:space="0" w:color="D9DEE5"/>
            </w:tcBorders>
          </w:tcPr>
          <w:p>
            <w:pPr>
              <w:jc w:val="center"/>
            </w:pPr>
            <w:r>
              <w:rPr>
                <w:rFonts w:ascii="Arial" w:hAnsi="Arial"/>
                <w:color w:val="3C4858"/>
                <w:sz w:val="13"/>
              </w:rPr>
              <w:t>control</w:t>
            </w:r>
          </w:p>
        </w:tc>
        <w:tc>
          <w:tcPr>
            <w:tcW w:type="dxa" w:w="999"/>
            <w:shd w:fill="F7F7F4"/>
            <w:tcBorders>
              <w:top w:val="single" w:sz="6" w:space="0" w:color="D9DEE5"/>
              <w:left w:val="single" w:sz="6" w:space="0" w:color="D9DEE5"/>
              <w:bottom w:val="single" w:sz="6" w:space="0" w:color="D9DEE5"/>
              <w:right w:val="single" w:sz="6" w:space="0" w:color="D9DEE5"/>
            </w:tcBorders>
          </w:tcPr>
          <w:p>
            <w:pPr>
              <w:jc w:val="center"/>
            </w:pPr>
            <w:r>
              <w:rPr>
                <w:rFonts w:ascii="Arial" w:hAnsi="Arial"/>
                <w:color w:val="3C4858"/>
                <w:sz w:val="13"/>
              </w:rPr>
              <w:t>object</w:t>
            </w:r>
          </w:p>
        </w:tc>
        <w:tc>
          <w:tcPr>
            <w:tcW w:type="dxa" w:w="999"/>
            <w:shd w:fill="F7F7F4"/>
            <w:tcBorders>
              <w:top w:val="single" w:sz="6" w:space="0" w:color="D9DEE5"/>
              <w:left w:val="single" w:sz="6" w:space="0" w:color="D9DEE5"/>
              <w:bottom w:val="single" w:sz="6" w:space="0" w:color="D9DEE5"/>
              <w:right w:val="single" w:sz="6" w:space="0" w:color="D9DEE5"/>
            </w:tcBorders>
          </w:tcPr>
          <w:p>
            <w:pPr>
              <w:jc w:val="center"/>
            </w:pPr>
            <w:r>
              <w:rPr>
                <w:rFonts w:ascii="Arial" w:hAnsi="Arial"/>
                <w:color w:val="3C4858"/>
                <w:sz w:val="13"/>
              </w:rPr>
              <w:t>control</w:t>
            </w:r>
          </w:p>
        </w:tc>
        <w:tc>
          <w:tcPr>
            <w:tcW w:type="dxa" w:w="999"/>
            <w:shd w:fill="F7F7F4"/>
            <w:tcBorders>
              <w:top w:val="single" w:sz="6" w:space="0" w:color="D9DEE5"/>
              <w:left w:val="single" w:sz="6" w:space="0" w:color="D9DEE5"/>
              <w:bottom w:val="single" w:sz="6" w:space="0" w:color="D9DEE5"/>
              <w:right w:val="single" w:sz="6" w:space="0" w:color="D9DEE5"/>
            </w:tcBorders>
          </w:tcPr>
          <w:p>
            <w:pPr>
              <w:jc w:val="center"/>
            </w:pPr>
            <w:r>
              <w:rPr>
                <w:rFonts w:ascii="Arial" w:hAnsi="Arial"/>
                <w:color w:val="3C4858"/>
                <w:sz w:val="13"/>
              </w:rPr>
              <w:t>object</w:t>
            </w:r>
          </w:p>
        </w:tc>
        <w:tc>
          <w:tcPr>
            <w:tcW w:type="dxa" w:w="999"/>
            <w:shd w:fill="F7F7F4"/>
            <w:tcBorders>
              <w:top w:val="single" w:sz="6" w:space="0" w:color="D9DEE5"/>
              <w:left w:val="single" w:sz="6" w:space="0" w:color="D9DEE5"/>
              <w:bottom w:val="single" w:sz="6" w:space="0" w:color="D9DEE5"/>
              <w:right w:val="single" w:sz="6" w:space="0" w:color="D9DEE5"/>
            </w:tcBorders>
          </w:tcPr>
          <w:p>
            <w:pPr>
              <w:jc w:val="center"/>
            </w:pPr>
            <w:r>
              <w:rPr>
                <w:rFonts w:ascii="Arial" w:hAnsi="Arial"/>
                <w:color w:val="3C4858"/>
                <w:sz w:val="13"/>
              </w:rPr>
              <w:t>control</w:t>
            </w:r>
          </w:p>
        </w:tc>
        <w:tc>
          <w:tcPr>
            <w:tcW w:type="dxa" w:w="999"/>
            <w:shd w:fill="F7F7F4"/>
            <w:tcBorders>
              <w:top w:val="single" w:sz="6" w:space="0" w:color="D9DEE5"/>
              <w:left w:val="single" w:sz="6" w:space="0" w:color="D9DEE5"/>
              <w:bottom w:val="single" w:sz="6" w:space="0" w:color="D9DEE5"/>
              <w:right w:val="single" w:sz="6" w:space="0" w:color="D9DEE5"/>
            </w:tcBorders>
          </w:tcPr>
          <w:p>
            <w:pPr>
              <w:jc w:val="center"/>
            </w:pPr>
            <w:r>
              <w:rPr>
                <w:rFonts w:ascii="Arial" w:hAnsi="Arial"/>
                <w:color w:val="3C4858"/>
                <w:sz w:val="13"/>
              </w:rPr>
              <w:t>object</w:t>
            </w:r>
          </w:p>
        </w:tc>
        <w:tc>
          <w:tcPr>
            <w:tcW w:type="dxa" w:w="999"/>
            <w:shd w:fill="F7F7F4"/>
            <w:tcBorders>
              <w:top w:val="single" w:sz="6" w:space="0" w:color="D9DEE5"/>
              <w:left w:val="single" w:sz="6" w:space="0" w:color="D9DEE5"/>
              <w:bottom w:val="single" w:sz="6" w:space="0" w:color="D9DEE5"/>
              <w:right w:val="single" w:sz="6" w:space="0" w:color="D9DEE5"/>
            </w:tcBorders>
          </w:tcPr>
          <w:p>
            <w:pPr>
              <w:jc w:val="center"/>
            </w:pPr>
            <w:r>
              <w:rPr>
                <w:rFonts w:ascii="Arial" w:hAnsi="Arial"/>
                <w:color w:val="3C4858"/>
                <w:sz w:val="13"/>
              </w:rPr>
              <w:t>control</w:t>
            </w:r>
          </w:p>
        </w:tc>
        <w:tc>
          <w:tcPr>
            <w:tcW w:type="dxa" w:w="999"/>
            <w:shd w:fill="F7F7F4"/>
            <w:tcBorders>
              <w:top w:val="single" w:sz="6" w:space="0" w:color="D9DEE5"/>
              <w:left w:val="single" w:sz="6" w:space="0" w:color="D9DEE5"/>
              <w:bottom w:val="single" w:sz="6" w:space="0" w:color="D9DEE5"/>
              <w:right w:val="single" w:sz="6" w:space="0" w:color="D9DEE5"/>
            </w:tcBorders>
          </w:tcPr>
          <w:p>
            <w:pPr>
              <w:jc w:val="center"/>
            </w:pPr>
            <w:r>
              <w:rPr>
                <w:rFonts w:ascii="Arial" w:hAnsi="Arial"/>
                <w:color w:val="3C4858"/>
                <w:sz w:val="13"/>
              </w:rPr>
              <w:t>object</w:t>
            </w:r>
          </w:p>
        </w:tc>
        <w:tc>
          <w:tcPr>
            <w:tcW w:type="dxa" w:w="999"/>
            <w:shd w:fill="F7F7F4"/>
            <w:tcBorders>
              <w:top w:val="single" w:sz="6" w:space="0" w:color="D9DEE5"/>
              <w:left w:val="single" w:sz="6" w:space="0" w:color="D9DEE5"/>
              <w:bottom w:val="single" w:sz="6" w:space="0" w:color="D9DEE5"/>
              <w:right w:val="single" w:sz="6" w:space="0" w:color="D9DEE5"/>
            </w:tcBorders>
          </w:tcPr>
          <w:p>
            <w:pPr>
              <w:jc w:val="center"/>
            </w:pPr>
            <w:r>
              <w:rPr>
                <w:rFonts w:ascii="Arial" w:hAnsi="Arial"/>
                <w:color w:val="3C4858"/>
                <w:sz w:val="13"/>
              </w:rPr>
              <w:t>control</w:t>
            </w:r>
          </w:p>
        </w:tc>
      </w:tr>
    </w:tbl>
    <w:p>
      <w:pPr>
        <w:jc w:val="center"/>
      </w:pPr>
      <w:r>
        <w:rPr>
          <w:rFonts w:ascii="Arial" w:hAnsi="Arial"/>
          <w:i/>
          <w:color w:val="8A6A20"/>
          <w:sz w:val="15"/>
        </w:rPr>
        <w:t>Lifecycle responsibility is proven across the work unit, not only at model output.</w:t>
      </w:r>
    </w:p>
    <w:p>
      <w:pPr>
        <w:spacing w:before="440"/>
      </w:pPr>
      <w:r>
        <w:rPr>
          <w:rFonts w:ascii="Arial" w:hAnsi="Arial"/>
          <w:color w:val="3C4858"/>
          <w:sz w:val="17"/>
        </w:rPr>
        <w:t>GACWP-2026-v0.3.2-FRC-R3 | Public white paper plus separate technical evidence pack</w:t>
      </w:r>
    </w:p>
    <w:p>
      <w:r>
        <w:rPr>
          <w:rFonts w:ascii="Arial" w:hAnsi="Arial"/>
          <w:color w:val="8A6A20"/>
          <w:sz w:val="16"/>
        </w:rPr>
        <w:t>Non-legal technical governance analysis. Not legal advice, certification, regulatory approval, procurement recommendation, or final vendor assessment.</w:t>
      </w:r>
    </w:p>
    <w:p>
      <w:r>
        <w:br w:type="page"/>
      </w:r>
    </w:p>
    <w:p>
      <w:pPr>
        <w:pStyle w:val="Heading1"/>
      </w:pPr>
      <w:r>
        <w:t>Global AI Compliance White Paper 2026</w:t>
      </w:r>
    </w:p>
    <w:p/>
    <w:p>
      <w:r>
        <w:t>From Model Governance to Agentic Lifecycle Conformance</w:t>
      </w:r>
    </w:p>
    <w:p/>
    <w:p>
      <w:r>
        <w:t>Document ID: GACWP-2026-v0.3.2-FRC-R3</w:t>
      </w:r>
    </w:p>
    <w:p>
      <w:r>
        <w:t>Artifact: Public White Paper Draft</w:t>
      </w:r>
    </w:p>
    <w:p>
      <w:r>
        <w:t>Document Type: Public White Paper Draft</w:t>
      </w:r>
    </w:p>
    <w:p>
      <w:r>
        <w:t>Compiled: May 10, 2026</w:t>
      </w:r>
    </w:p>
    <w:p/>
    <w:p/>
    <w:p>
      <w:pPr>
        <w:pStyle w:val="Heading2"/>
      </w:pPr>
      <w:r>
        <w:t>Document Control and Boundary Statement</w:t>
      </w:r>
    </w:p>
    <w:p/>
    <w:p>
      <w:r>
        <w:t>This public white paper is a non-legal technical governance analysis. It is not legal advice, a certification, a regulatory approval, a procurement recommendation, a vendor ranking, or a final vendor assessment.</w:t>
      </w:r>
    </w:p>
    <w:p/>
    <w:p>
      <w:r>
        <w:t>MPLP is discussed as one lifecycle protocol path. It is not required, exclusive, certified, regulator-approved, or legally sufficient by itself. Validation Lab is referenced only as a non-certifying evidence adjudication example.</w:t>
      </w:r>
    </w:p>
    <w:p/>
    <w:p>
      <w:r>
        <w:t>RCCS and ALCS are analytical tools. They do not prove legal compliance.</w:t>
      </w:r>
    </w:p>
    <w:p/>
    <w:p>
      <w:pPr>
        <w:pStyle w:val="Heading2"/>
      </w:pPr>
      <w:r>
        <w:t>How to Read This Edition</w:t>
      </w:r>
    </w:p>
    <w:p/>
    <w:p>
      <w:r>
        <w:t>This publication draft separates the public argument from the technical evidence substrate. The public white paper carries the narrative, core concepts, selected figures, methodology summary, and executive-level adoption guidance. The separate technical evidence pack preserves full appendices, rubrics, mapping tables, source registers, claim evidence register, inventories, and QA reports.</w:t>
      </w:r>
    </w:p>
    <w:p/>
    <w:p>
      <w:r>
        <w:t>The public white paper intentionally does not include full Appendices A-K.</w:t>
      </w:r>
    </w:p>
    <w:p/>
    <w:p>
      <w:pPr>
        <w:pStyle w:val="Heading2"/>
      </w:pPr>
      <w:r>
        <w:t>Curated Table of Contents</w:t>
      </w:r>
    </w:p>
    <w:p/>
    <w:p>
      <w:r>
        <w:t>1. Executive Summary</w:t>
      </w:r>
    </w:p>
    <w:p>
      <w:r>
        <w:t>2. Core Thesis</w:t>
      </w:r>
    </w:p>
    <w:p>
      <w:r>
        <w:t>3. Why Model Governance Is Not Enough</w:t>
      </w:r>
    </w:p>
    <w:p>
      <w:r>
        <w:t>4. The Missing Layer</w:t>
      </w:r>
    </w:p>
    <w:p>
      <w:r>
        <w:t>5. Missing Regulatory Objects</w:t>
      </w:r>
    </w:p>
    <w:p>
      <w:r>
        <w:t>6. RCCS, ALCS, and Composite Scoring</w:t>
      </w:r>
    </w:p>
    <w:p>
      <w:r>
        <w:t>7. Enterprise Control Implications</w:t>
      </w:r>
    </w:p>
    <w:p>
      <w:r>
        <w:t>8. Comparative System Evidence</w:t>
      </w:r>
    </w:p>
    <w:p>
      <w:r>
        <w:t>9. MPLP Boundary and Protocol Role</w:t>
      </w:r>
    </w:p>
    <w:p>
      <w:r>
        <w:t>10. Evidence-Based Validation Pattern</w:t>
      </w:r>
    </w:p>
    <w:p>
      <w:r>
        <w:t>11. Enterprise Failure Scenario Chain</w:t>
      </w:r>
    </w:p>
    <w:p>
      <w:r>
        <w:t>12. Adoption Roadmap</w:t>
      </w:r>
    </w:p>
    <w:p>
      <w:r>
        <w:t>13. Public Technical Briefs</w:t>
      </w:r>
    </w:p>
    <w:p>
      <w:r>
        <w:t>14. Conclusion</w:t>
      </w:r>
    </w:p>
    <w:p>
      <w:r>
        <w:t>15. Public Appendices</w:t>
      </w:r>
    </w:p>
    <w:p/>
    <w:p>
      <w:pPr>
        <w:pStyle w:val="Heading2"/>
      </w:pPr>
      <w:r>
        <w:t>Curated Figures</w:t>
      </w:r>
    </w:p>
    <w:p/>
    <w:p>
      <w:pPr>
        <w:pStyle w:val="ListBullet"/>
      </w:pPr>
      <w:r>
        <w:t>Figure F-01: AI Agent Lifecycle Governance Stack</w:t>
      </w:r>
    </w:p>
    <w:p>
      <w:pPr>
        <w:pStyle w:val="ListBullet"/>
      </w:pPr>
      <w:r>
        <w:t>Figure F-03: MRO Topology</w:t>
      </w:r>
    </w:p>
    <w:p>
      <w:pPr>
        <w:pStyle w:val="ListBullet"/>
      </w:pPr>
      <w:r>
        <w:t>Figure F-04: RCCS/ALCS Dual Scoring Model</w:t>
      </w:r>
    </w:p>
    <w:p>
      <w:pPr>
        <w:pStyle w:val="ListBullet"/>
      </w:pPr>
      <w:r>
        <w:t>Figure F-08: Evidence-Based Validation Pattern Flow</w:t>
      </w:r>
    </w:p>
    <w:p>
      <w:pPr>
        <w:pStyle w:val="ListBullet"/>
      </w:pPr>
      <w:r>
        <w:t>Figure F-09: Enterprise Failure Scenario Chain</w:t>
      </w:r>
    </w:p>
    <w:p>
      <w:pPr>
        <w:pStyle w:val="ListBullet"/>
      </w:pPr>
      <w:r>
        <w:t>Figure F-11: Stage 0-to-7 Adoption Roadmap</w:t>
      </w:r>
    </w:p>
    <w:p/>
    <w:p>
      <w:pPr>
        <w:pStyle w:val="Heading2"/>
      </w:pPr>
      <w:r>
        <w:t>Curated Major Tables</w:t>
      </w:r>
    </w:p>
    <w:p/>
    <w:p>
      <w:pPr>
        <w:pStyle w:val="ListBullet"/>
      </w:pPr>
      <w:r>
        <w:t>Public Table 1: Evidence Levels</w:t>
      </w:r>
    </w:p>
    <w:p>
      <w:pPr>
        <w:pStyle w:val="ListBullet"/>
      </w:pPr>
      <w:r>
        <w:t>Public Table 2: Missing Regulatory Object Clusters</w:t>
      </w:r>
    </w:p>
    <w:p>
      <w:pPr>
        <w:pStyle w:val="ListBullet"/>
      </w:pPr>
      <w:r>
        <w:t>Public Table 3: RCCS/ALCS Method Summary</w:t>
      </w:r>
    </w:p>
    <w:p>
      <w:pPr>
        <w:pStyle w:val="ListBullet"/>
      </w:pPr>
      <w:r>
        <w:t>Public Table 4: Representative System Evidence Posture</w:t>
      </w:r>
    </w:p>
    <w:p>
      <w:pPr>
        <w:pStyle w:val="ListBullet"/>
      </w:pPr>
      <w:r>
        <w:t>Public Table 5: Adoption Roadmap Summary</w:t>
      </w:r>
    </w:p>
    <w:p>
      <w:pPr>
        <w:pStyle w:val="ListBullet"/>
      </w:pPr>
      <w:r>
        <w:t>Public Appendix Tables A-D</w:t>
      </w:r>
    </w:p>
    <w:p/>
    <w:p/>
    <w:p>
      <w:pPr>
        <w:pStyle w:val="Heading1"/>
      </w:pPr>
      <w:r>
        <w:t>1. Executive Summary</w:t>
      </w:r>
    </w:p>
    <w:p/>
    <w:p>
      <w:r>
        <w:t>AI compliance is entering a structural transition. The compliance object is no longer limited to a model, a dataset, a prompt, or a single application output. In enterprise environments, AI systems increasingly plan work, call tools, retrieve memory, delegate tasks, collaborate with other agents, and produce operational outcomes.</w:t>
      </w:r>
    </w:p>
    <w:p/>
    <w:p>
      <w:r>
        <w:t>This changes the compliance question. The question is no longer only whether a model produced a safe output. The question is whether an organized unit of agentic work was authorized, executed, evidenced, reviewed, accepted, disputed, remediated, and improved under clear responsibility boundaries.</w:t>
      </w:r>
    </w:p>
    <w:p/>
    <w:p>
      <w:r>
        <w:t>This paper names the missing layer AI Agent Lifecycle Governance. It is the governance layer that defines how agentic work is authorized, executed, evidenced, reviewed, accepted, disputed, remediated, and reused across agents, humans, tools, projects, vendors, and organizational boundaries.</w:t>
      </w:r>
    </w:p>
    <w:p/>
    <w:p/>
    <w:p>
      <w:pPr>
        <w:keepNext/>
      </w:pPr>
      <w:r>
        <w:rPr>
          <w:rFonts w:ascii="Arial" w:hAnsi="Arial"/>
          <w:b/>
          <w:color w:val="111318"/>
          <w:sz w:val="18"/>
        </w:rPr>
        <w:t>Figure F-01: AI Agent Lifecycle Governance Stack</w:t>
      </w:r>
    </w:p>
    <w:tbl>
      <w:tblPr>
        <w:tblStyle w:val="TableGrid"/>
        <w:tblW w:type="auto" w:w="0"/>
        <w:jc w:val="center"/>
        <w:tblLayout w:type="autofit"/>
        <w:tblLook w:firstColumn="1" w:firstRow="1" w:lastColumn="0" w:lastRow="0" w:noHBand="0" w:noVBand="1" w:val="04A0"/>
      </w:tblPr>
      <w:tblGrid>
        <w:gridCol w:w="999"/>
        <w:gridCol w:w="999"/>
        <w:gridCol w:w="999"/>
        <w:gridCol w:w="999"/>
        <w:gridCol w:w="999"/>
        <w:gridCol w:w="999"/>
        <w:gridCol w:w="999"/>
        <w:gridCol w:w="999"/>
        <w:gridCol w:w="999"/>
        <w:gridCol w:w="999"/>
      </w:tblGrid>
      <w:tr>
        <w:tc>
          <w:tcPr>
            <w:tcW w:type="dxa" w:w="999"/>
            <w:shd w:fill="111318"/>
            <w:tcBorders>
              <w:top w:val="single" w:sz="6" w:space="0" w:color="111318"/>
              <w:left w:val="single" w:sz="6" w:space="0" w:color="111318"/>
              <w:bottom w:val="single" w:sz="6" w:space="0" w:color="111318"/>
              <w:right w:val="single" w:sz="6" w:space="0" w:color="111318"/>
            </w:tcBorders>
          </w:tcPr>
          <w:p>
            <w:pPr>
              <w:jc w:val="center"/>
            </w:pPr>
            <w:r>
              <w:rPr>
                <w:rFonts w:ascii="Arial" w:hAnsi="Arial"/>
                <w:b/>
                <w:color w:val="F7F7F4"/>
                <w:sz w:val="14"/>
              </w:rPr>
              <w:t>Intent</w:t>
            </w:r>
          </w:p>
        </w:tc>
        <w:tc>
          <w:tcPr>
            <w:tcW w:type="dxa" w:w="999"/>
            <w:shd w:fill="111318"/>
            <w:tcBorders>
              <w:top w:val="single" w:sz="6" w:space="0" w:color="111318"/>
              <w:left w:val="single" w:sz="6" w:space="0" w:color="111318"/>
              <w:bottom w:val="single" w:sz="6" w:space="0" w:color="111318"/>
              <w:right w:val="single" w:sz="6" w:space="0" w:color="111318"/>
            </w:tcBorders>
          </w:tcPr>
          <w:p>
            <w:pPr>
              <w:jc w:val="center"/>
            </w:pPr>
            <w:r>
              <w:rPr>
                <w:rFonts w:ascii="Arial" w:hAnsi="Arial"/>
                <w:b/>
                <w:color w:val="F7F7F4"/>
                <w:sz w:val="14"/>
              </w:rPr>
              <w:t>Context</w:t>
            </w:r>
          </w:p>
        </w:tc>
        <w:tc>
          <w:tcPr>
            <w:tcW w:type="dxa" w:w="999"/>
            <w:shd w:fill="111318"/>
            <w:tcBorders>
              <w:top w:val="single" w:sz="6" w:space="0" w:color="111318"/>
              <w:left w:val="single" w:sz="6" w:space="0" w:color="111318"/>
              <w:bottom w:val="single" w:sz="6" w:space="0" w:color="111318"/>
              <w:right w:val="single" w:sz="6" w:space="0" w:color="111318"/>
            </w:tcBorders>
          </w:tcPr>
          <w:p>
            <w:pPr>
              <w:jc w:val="center"/>
            </w:pPr>
            <w:r>
              <w:rPr>
                <w:rFonts w:ascii="Arial" w:hAnsi="Arial"/>
                <w:b/>
                <w:color w:val="F7F7F4"/>
                <w:sz w:val="14"/>
              </w:rPr>
              <w:t>Plan</w:t>
            </w:r>
          </w:p>
        </w:tc>
        <w:tc>
          <w:tcPr>
            <w:tcW w:type="dxa" w:w="999"/>
            <w:shd w:fill="111318"/>
            <w:tcBorders>
              <w:top w:val="single" w:sz="6" w:space="0" w:color="111318"/>
              <w:left w:val="single" w:sz="6" w:space="0" w:color="111318"/>
              <w:bottom w:val="single" w:sz="6" w:space="0" w:color="111318"/>
              <w:right w:val="single" w:sz="6" w:space="0" w:color="111318"/>
            </w:tcBorders>
          </w:tcPr>
          <w:p>
            <w:pPr>
              <w:jc w:val="center"/>
            </w:pPr>
            <w:r>
              <w:rPr>
                <w:rFonts w:ascii="Arial" w:hAnsi="Arial"/>
                <w:b/>
                <w:color w:val="F7F7F4"/>
                <w:sz w:val="14"/>
              </w:rPr>
              <w:t>Authority</w:t>
            </w:r>
          </w:p>
        </w:tc>
        <w:tc>
          <w:tcPr>
            <w:tcW w:type="dxa" w:w="999"/>
            <w:shd w:fill="111318"/>
            <w:tcBorders>
              <w:top w:val="single" w:sz="6" w:space="0" w:color="111318"/>
              <w:left w:val="single" w:sz="6" w:space="0" w:color="111318"/>
              <w:bottom w:val="single" w:sz="6" w:space="0" w:color="111318"/>
              <w:right w:val="single" w:sz="6" w:space="0" w:color="111318"/>
            </w:tcBorders>
          </w:tcPr>
          <w:p>
            <w:pPr>
              <w:jc w:val="center"/>
            </w:pPr>
            <w:r>
              <w:rPr>
                <w:rFonts w:ascii="Arial" w:hAnsi="Arial"/>
                <w:b/>
                <w:color w:val="F7F7F4"/>
                <w:sz w:val="14"/>
              </w:rPr>
              <w:t>Agent Work</w:t>
            </w:r>
          </w:p>
        </w:tc>
        <w:tc>
          <w:tcPr>
            <w:tcW w:type="dxa" w:w="999"/>
            <w:shd w:fill="111318"/>
            <w:tcBorders>
              <w:top w:val="single" w:sz="6" w:space="0" w:color="111318"/>
              <w:left w:val="single" w:sz="6" w:space="0" w:color="111318"/>
              <w:bottom w:val="single" w:sz="6" w:space="0" w:color="111318"/>
              <w:right w:val="single" w:sz="6" w:space="0" w:color="111318"/>
            </w:tcBorders>
          </w:tcPr>
          <w:p>
            <w:pPr>
              <w:jc w:val="center"/>
            </w:pPr>
            <w:r>
              <w:rPr>
                <w:rFonts w:ascii="Arial" w:hAnsi="Arial"/>
                <w:b/>
                <w:color w:val="F7F7F4"/>
                <w:sz w:val="14"/>
              </w:rPr>
              <w:t>Tool Actions</w:t>
            </w:r>
          </w:p>
        </w:tc>
        <w:tc>
          <w:tcPr>
            <w:tcW w:type="dxa" w:w="999"/>
            <w:shd w:fill="111318"/>
            <w:tcBorders>
              <w:top w:val="single" w:sz="6" w:space="0" w:color="111318"/>
              <w:left w:val="single" w:sz="6" w:space="0" w:color="111318"/>
              <w:bottom w:val="single" w:sz="6" w:space="0" w:color="111318"/>
              <w:right w:val="single" w:sz="6" w:space="0" w:color="111318"/>
            </w:tcBorders>
          </w:tcPr>
          <w:p>
            <w:pPr>
              <w:jc w:val="center"/>
            </w:pPr>
            <w:r>
              <w:rPr>
                <w:rFonts w:ascii="Arial" w:hAnsi="Arial"/>
                <w:b/>
                <w:color w:val="F7F7F4"/>
                <w:sz w:val="14"/>
              </w:rPr>
              <w:t>Evidence</w:t>
            </w:r>
          </w:p>
        </w:tc>
        <w:tc>
          <w:tcPr>
            <w:tcW w:type="dxa" w:w="999"/>
            <w:shd w:fill="111318"/>
            <w:tcBorders>
              <w:top w:val="single" w:sz="6" w:space="0" w:color="111318"/>
              <w:left w:val="single" w:sz="6" w:space="0" w:color="111318"/>
              <w:bottom w:val="single" w:sz="6" w:space="0" w:color="111318"/>
              <w:right w:val="single" w:sz="6" w:space="0" w:color="111318"/>
            </w:tcBorders>
          </w:tcPr>
          <w:p>
            <w:pPr>
              <w:jc w:val="center"/>
            </w:pPr>
            <w:r>
              <w:rPr>
                <w:rFonts w:ascii="Arial" w:hAnsi="Arial"/>
                <w:b/>
                <w:color w:val="F7F7F4"/>
                <w:sz w:val="14"/>
              </w:rPr>
              <w:t>Review</w:t>
            </w:r>
          </w:p>
        </w:tc>
        <w:tc>
          <w:tcPr>
            <w:tcW w:type="dxa" w:w="999"/>
            <w:shd w:fill="111318"/>
            <w:tcBorders>
              <w:top w:val="single" w:sz="6" w:space="0" w:color="111318"/>
              <w:left w:val="single" w:sz="6" w:space="0" w:color="111318"/>
              <w:bottom w:val="single" w:sz="6" w:space="0" w:color="111318"/>
              <w:right w:val="single" w:sz="6" w:space="0" w:color="111318"/>
            </w:tcBorders>
          </w:tcPr>
          <w:p>
            <w:pPr>
              <w:jc w:val="center"/>
            </w:pPr>
            <w:r>
              <w:rPr>
                <w:rFonts w:ascii="Arial" w:hAnsi="Arial"/>
                <w:b/>
                <w:color w:val="F7F7F4"/>
                <w:sz w:val="14"/>
              </w:rPr>
              <w:t>Accepted Outcome</w:t>
            </w:r>
          </w:p>
        </w:tc>
        <w:tc>
          <w:tcPr>
            <w:tcW w:type="dxa" w:w="999"/>
            <w:shd w:fill="111318"/>
            <w:tcBorders>
              <w:top w:val="single" w:sz="6" w:space="0" w:color="111318"/>
              <w:left w:val="single" w:sz="6" w:space="0" w:color="111318"/>
              <w:bottom w:val="single" w:sz="6" w:space="0" w:color="111318"/>
              <w:right w:val="single" w:sz="6" w:space="0" w:color="111318"/>
            </w:tcBorders>
          </w:tcPr>
          <w:p>
            <w:pPr>
              <w:jc w:val="center"/>
            </w:pPr>
            <w:r>
              <w:rPr>
                <w:rFonts w:ascii="Arial" w:hAnsi="Arial"/>
                <w:b/>
                <w:color w:val="F7F7F4"/>
                <w:sz w:val="14"/>
              </w:rPr>
              <w:t>Dispute / Remediate</w:t>
            </w:r>
          </w:p>
        </w:tc>
      </w:tr>
      <w:tr>
        <w:tc>
          <w:tcPr>
            <w:tcW w:type="dxa" w:w="999"/>
            <w:shd w:fill="F7F7F4"/>
            <w:tcBorders>
              <w:top w:val="single" w:sz="6" w:space="0" w:color="D9DEE5"/>
              <w:left w:val="single" w:sz="6" w:space="0" w:color="D9DEE5"/>
              <w:bottom w:val="single" w:sz="6" w:space="0" w:color="D9DEE5"/>
              <w:right w:val="single" w:sz="6" w:space="0" w:color="D9DEE5"/>
            </w:tcBorders>
          </w:tcPr>
          <w:p>
            <w:pPr>
              <w:jc w:val="center"/>
            </w:pPr>
            <w:r>
              <w:rPr>
                <w:rFonts w:ascii="Arial" w:hAnsi="Arial"/>
                <w:color w:val="3C4858"/>
                <w:sz w:val="13"/>
              </w:rPr>
              <w:t>object</w:t>
            </w:r>
          </w:p>
        </w:tc>
        <w:tc>
          <w:tcPr>
            <w:tcW w:type="dxa" w:w="999"/>
            <w:shd w:fill="F7F7F4"/>
            <w:tcBorders>
              <w:top w:val="single" w:sz="6" w:space="0" w:color="D9DEE5"/>
              <w:left w:val="single" w:sz="6" w:space="0" w:color="D9DEE5"/>
              <w:bottom w:val="single" w:sz="6" w:space="0" w:color="D9DEE5"/>
              <w:right w:val="single" w:sz="6" w:space="0" w:color="D9DEE5"/>
            </w:tcBorders>
          </w:tcPr>
          <w:p>
            <w:pPr>
              <w:jc w:val="center"/>
            </w:pPr>
            <w:r>
              <w:rPr>
                <w:rFonts w:ascii="Arial" w:hAnsi="Arial"/>
                <w:color w:val="3C4858"/>
                <w:sz w:val="13"/>
              </w:rPr>
              <w:t>control</w:t>
            </w:r>
          </w:p>
        </w:tc>
        <w:tc>
          <w:tcPr>
            <w:tcW w:type="dxa" w:w="999"/>
            <w:shd w:fill="F7F7F4"/>
            <w:tcBorders>
              <w:top w:val="single" w:sz="6" w:space="0" w:color="D9DEE5"/>
              <w:left w:val="single" w:sz="6" w:space="0" w:color="D9DEE5"/>
              <w:bottom w:val="single" w:sz="6" w:space="0" w:color="D9DEE5"/>
              <w:right w:val="single" w:sz="6" w:space="0" w:color="D9DEE5"/>
            </w:tcBorders>
          </w:tcPr>
          <w:p>
            <w:pPr>
              <w:jc w:val="center"/>
            </w:pPr>
            <w:r>
              <w:rPr>
                <w:rFonts w:ascii="Arial" w:hAnsi="Arial"/>
                <w:color w:val="3C4858"/>
                <w:sz w:val="13"/>
              </w:rPr>
              <w:t>object</w:t>
            </w:r>
          </w:p>
        </w:tc>
        <w:tc>
          <w:tcPr>
            <w:tcW w:type="dxa" w:w="999"/>
            <w:shd w:fill="F7F7F4"/>
            <w:tcBorders>
              <w:top w:val="single" w:sz="6" w:space="0" w:color="D9DEE5"/>
              <w:left w:val="single" w:sz="6" w:space="0" w:color="D9DEE5"/>
              <w:bottom w:val="single" w:sz="6" w:space="0" w:color="D9DEE5"/>
              <w:right w:val="single" w:sz="6" w:space="0" w:color="D9DEE5"/>
            </w:tcBorders>
          </w:tcPr>
          <w:p>
            <w:pPr>
              <w:jc w:val="center"/>
            </w:pPr>
            <w:r>
              <w:rPr>
                <w:rFonts w:ascii="Arial" w:hAnsi="Arial"/>
                <w:color w:val="3C4858"/>
                <w:sz w:val="13"/>
              </w:rPr>
              <w:t>control</w:t>
            </w:r>
          </w:p>
        </w:tc>
        <w:tc>
          <w:tcPr>
            <w:tcW w:type="dxa" w:w="999"/>
            <w:shd w:fill="F7F7F4"/>
            <w:tcBorders>
              <w:top w:val="single" w:sz="6" w:space="0" w:color="D9DEE5"/>
              <w:left w:val="single" w:sz="6" w:space="0" w:color="D9DEE5"/>
              <w:bottom w:val="single" w:sz="6" w:space="0" w:color="D9DEE5"/>
              <w:right w:val="single" w:sz="6" w:space="0" w:color="D9DEE5"/>
            </w:tcBorders>
          </w:tcPr>
          <w:p>
            <w:pPr>
              <w:jc w:val="center"/>
            </w:pPr>
            <w:r>
              <w:rPr>
                <w:rFonts w:ascii="Arial" w:hAnsi="Arial"/>
                <w:color w:val="3C4858"/>
                <w:sz w:val="13"/>
              </w:rPr>
              <w:t>object</w:t>
            </w:r>
          </w:p>
        </w:tc>
        <w:tc>
          <w:tcPr>
            <w:tcW w:type="dxa" w:w="999"/>
            <w:shd w:fill="F7F7F4"/>
            <w:tcBorders>
              <w:top w:val="single" w:sz="6" w:space="0" w:color="D9DEE5"/>
              <w:left w:val="single" w:sz="6" w:space="0" w:color="D9DEE5"/>
              <w:bottom w:val="single" w:sz="6" w:space="0" w:color="D9DEE5"/>
              <w:right w:val="single" w:sz="6" w:space="0" w:color="D9DEE5"/>
            </w:tcBorders>
          </w:tcPr>
          <w:p>
            <w:pPr>
              <w:jc w:val="center"/>
            </w:pPr>
            <w:r>
              <w:rPr>
                <w:rFonts w:ascii="Arial" w:hAnsi="Arial"/>
                <w:color w:val="3C4858"/>
                <w:sz w:val="13"/>
              </w:rPr>
              <w:t>control</w:t>
            </w:r>
          </w:p>
        </w:tc>
        <w:tc>
          <w:tcPr>
            <w:tcW w:type="dxa" w:w="999"/>
            <w:shd w:fill="F7F7F4"/>
            <w:tcBorders>
              <w:top w:val="single" w:sz="6" w:space="0" w:color="D9DEE5"/>
              <w:left w:val="single" w:sz="6" w:space="0" w:color="D9DEE5"/>
              <w:bottom w:val="single" w:sz="6" w:space="0" w:color="D9DEE5"/>
              <w:right w:val="single" w:sz="6" w:space="0" w:color="D9DEE5"/>
            </w:tcBorders>
          </w:tcPr>
          <w:p>
            <w:pPr>
              <w:jc w:val="center"/>
            </w:pPr>
            <w:r>
              <w:rPr>
                <w:rFonts w:ascii="Arial" w:hAnsi="Arial"/>
                <w:color w:val="3C4858"/>
                <w:sz w:val="13"/>
              </w:rPr>
              <w:t>object</w:t>
            </w:r>
          </w:p>
        </w:tc>
        <w:tc>
          <w:tcPr>
            <w:tcW w:type="dxa" w:w="999"/>
            <w:shd w:fill="F7F7F4"/>
            <w:tcBorders>
              <w:top w:val="single" w:sz="6" w:space="0" w:color="D9DEE5"/>
              <w:left w:val="single" w:sz="6" w:space="0" w:color="D9DEE5"/>
              <w:bottom w:val="single" w:sz="6" w:space="0" w:color="D9DEE5"/>
              <w:right w:val="single" w:sz="6" w:space="0" w:color="D9DEE5"/>
            </w:tcBorders>
          </w:tcPr>
          <w:p>
            <w:pPr>
              <w:jc w:val="center"/>
            </w:pPr>
            <w:r>
              <w:rPr>
                <w:rFonts w:ascii="Arial" w:hAnsi="Arial"/>
                <w:color w:val="3C4858"/>
                <w:sz w:val="13"/>
              </w:rPr>
              <w:t>control</w:t>
            </w:r>
          </w:p>
        </w:tc>
        <w:tc>
          <w:tcPr>
            <w:tcW w:type="dxa" w:w="999"/>
            <w:shd w:fill="F7F7F4"/>
            <w:tcBorders>
              <w:top w:val="single" w:sz="6" w:space="0" w:color="D9DEE5"/>
              <w:left w:val="single" w:sz="6" w:space="0" w:color="D9DEE5"/>
              <w:bottom w:val="single" w:sz="6" w:space="0" w:color="D9DEE5"/>
              <w:right w:val="single" w:sz="6" w:space="0" w:color="D9DEE5"/>
            </w:tcBorders>
          </w:tcPr>
          <w:p>
            <w:pPr>
              <w:jc w:val="center"/>
            </w:pPr>
            <w:r>
              <w:rPr>
                <w:rFonts w:ascii="Arial" w:hAnsi="Arial"/>
                <w:color w:val="3C4858"/>
                <w:sz w:val="13"/>
              </w:rPr>
              <w:t>object</w:t>
            </w:r>
          </w:p>
        </w:tc>
        <w:tc>
          <w:tcPr>
            <w:tcW w:type="dxa" w:w="999"/>
            <w:shd w:fill="F7F7F4"/>
            <w:tcBorders>
              <w:top w:val="single" w:sz="6" w:space="0" w:color="D9DEE5"/>
              <w:left w:val="single" w:sz="6" w:space="0" w:color="D9DEE5"/>
              <w:bottom w:val="single" w:sz="6" w:space="0" w:color="D9DEE5"/>
              <w:right w:val="single" w:sz="6" w:space="0" w:color="D9DEE5"/>
            </w:tcBorders>
          </w:tcPr>
          <w:p>
            <w:pPr>
              <w:jc w:val="center"/>
            </w:pPr>
            <w:r>
              <w:rPr>
                <w:rFonts w:ascii="Arial" w:hAnsi="Arial"/>
                <w:color w:val="3C4858"/>
                <w:sz w:val="13"/>
              </w:rPr>
              <w:t>control</w:t>
            </w:r>
          </w:p>
        </w:tc>
      </w:tr>
    </w:tbl>
    <w:p>
      <w:pPr>
        <w:jc w:val="center"/>
      </w:pPr>
      <w:r>
        <w:rPr>
          <w:rFonts w:ascii="Arial" w:hAnsi="Arial"/>
          <w:i/>
          <w:color w:val="8A6A20"/>
          <w:sz w:val="15"/>
        </w:rPr>
        <w:t>Lifecycle responsibility is proven across the work unit, not only at model output.</w:t>
      </w:r>
    </w:p>
    <w:p/>
    <w:p>
      <w:r>
        <w:t>Intent -&gt; Context -&gt; Plan -&gt; Authority -&gt; Agent Work -&gt; Tool Actions -&gt; Evidence -&gt; Review -&gt; Accepted Outcome -&gt; Dispute / Remediate</w:t>
      </w:r>
    </w:p>
    <w:p/>
    <w:p>
      <w:r>
        <w:t>The framework introduced here has four parts. First, it defines Missing Regulatory Objects, or MROs, that make regulatory abstractions testable in agentic workflows. Second, it introduces RCCS, an analytical score for regulatory compliance coverage. Third, it introduces ALCS, an analytical score for lifecycle conformance. Fourth, it separates public white paper findings from the technical evidence pack that supports detailed review.</w:t>
      </w:r>
    </w:p>
    <w:p/>
    <w:p>
      <w:pPr>
        <w:pStyle w:val="Heading2"/>
      </w:pPr>
      <w:r>
        <w:t>Key Takeaways</w:t>
      </w:r>
    </w:p>
    <w:p/>
    <w:p>
      <w:pPr>
        <w:sectPr>
          <w:footerReference w:type="default" r:id="rId9"/>
          <w:pgSz w:w="12240" w:h="15840"/>
          <w:pgMar w:top="1037" w:right="1123" w:bottom="979" w:left="1123"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5472"/>
        <w:gridCol w:w="5472"/>
      </w:tblGrid>
      <w:tr>
        <w:trPr>
          <w:tblHeader w:val="true"/>
          <w:cantSplit/>
        </w:trPr>
        <w:tc>
          <w:tcPr>
            <w:tcW w:type="dxa" w:w="5112"/>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Takeaway</w:t>
            </w:r>
          </w:p>
        </w:tc>
        <w:tc>
          <w:tcPr>
            <w:tcW w:type="dxa" w:w="5112"/>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Meaning</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Model governance remains necessary</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It still covers model risk, documentation, transparency, robustness, monitoring, and governance processes</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Agentic workflows add lifecycle responsibility</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Tool actions, delegation, handoffs, evidence chains, and accepted outcomes require additional objects</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Logs are not enough</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Logs may show execution, but they do not automatically prove authority, acceptance, privacy treatment, or remediation closure</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RCCS and ALCS are analytical</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They help compare governance capability, but they are not legal compliance scores</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Public evidence is uneven</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Official product documentation can support visible capability claims, but does not prove deployment practice</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Technical details belong in the evidence pack</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Full rubrics, source registers, mappings, and QA ledgers are preserved separately</w:t>
            </w:r>
          </w:p>
        </w:tc>
      </w:tr>
    </w:tbl>
    <w:p>
      <w:pPr>
        <w:sectPr>
          <w:pgSz w:w="12240" w:h="15840"/>
          <w:pgMar w:top="792" w:right="648" w:bottom="792" w:left="648" w:header="720" w:footer="720" w:gutter="0"/>
          <w:cols w:space="720"/>
          <w:docGrid w:linePitch="360"/>
        </w:sectPr>
      </w:pPr>
    </w:p>
    <w:p/>
    <w:p>
      <w:pPr>
        <w:pStyle w:val="Heading1"/>
      </w:pPr>
      <w:r>
        <w:t>2. Core Thesis</w:t>
      </w:r>
    </w:p>
    <w:p/>
    <w:p>
      <w:r>
        <w:t>AI Agent / MAS compliance is not only model compliance. It is lifecycle responsibility compliance.</w:t>
      </w:r>
    </w:p>
    <w:p/>
    <w:p>
      <w:r>
        <w:t>That thesis does not claim that current AI regulation is absent. The claim is narrower and more technical. Existing regulation and governance frameworks increasingly require oversight, documentation, monitoring, accountability, transparency, privacy controls, and risk management. What they often do not specify is the machine-readable lifecycle object model needed to prove those properties inside dynamic agentic and multi-agent execution.</w:t>
      </w:r>
    </w:p>
    <w:p/>
    <w:p>
      <w:r>
        <w:t>The lifecycle responsibility problem appears whenever an AI system moves from producing content to performing work. The moment an agent sends an email, approves a refund, calls an API, modifies a database, routes a case, changes access, triggers another agent, or produces an operational record, the governance object is no longer only a model output. It is the full lifecycle of delegated work.</w:t>
      </w:r>
    </w:p>
    <w:p/>
    <w:p>
      <w:pPr>
        <w:pStyle w:val="Heading2"/>
      </w:pPr>
      <w:r>
        <w:t>The Governance Shift</w:t>
      </w:r>
    </w:p>
    <w:p/>
    <w:p>
      <w:pPr>
        <w:sectPr>
          <w:pgSz w:w="12240" w:h="158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5472"/>
        <w:gridCol w:w="5472"/>
      </w:tblGrid>
      <w:tr>
        <w:trPr>
          <w:tblHeader w:val="true"/>
          <w:cantSplit/>
        </w:trPr>
        <w:tc>
          <w:tcPr>
            <w:tcW w:type="dxa" w:w="5112"/>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Earlier Governance Focus</w:t>
            </w:r>
          </w:p>
        </w:tc>
        <w:tc>
          <w:tcPr>
            <w:tcW w:type="dxa" w:w="5112"/>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Agentic Governance Question</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Is the model documented?</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Was the work unit authorized and evidenced?</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Is the output safe?</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Was the action within delegated authority?</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Is there human review?</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Which human role held responsibility at each lifecycle state?</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Are logs available?</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Can evidence reconstruct authority, action, review, acceptance, and remediation?</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Is a vendor documented?</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Does conformance survive model, runtime, or tool substitution?</w:t>
            </w:r>
          </w:p>
        </w:tc>
      </w:tr>
    </w:tbl>
    <w:p>
      <w:pPr>
        <w:sectPr>
          <w:pgSz w:w="12240" w:h="15840"/>
          <w:pgMar w:top="792" w:right="648" w:bottom="792" w:left="648" w:header="720" w:footer="720" w:gutter="0"/>
          <w:cols w:space="720"/>
          <w:docGrid w:linePitch="360"/>
        </w:sectPr>
      </w:pPr>
    </w:p>
    <w:p/>
    <w:p>
      <w:r>
        <w:t>This shift is why the public white paper is shorter than the technical evidence pack. The public paper explains the governance architecture. The evidence pack preserves the full proof substrate.</w:t>
      </w:r>
    </w:p>
    <w:p/>
    <w:p>
      <w:pPr>
        <w:pStyle w:val="Heading1"/>
      </w:pPr>
      <w:r>
        <w:t>3. Why Model Governance Is Not Enough</w:t>
      </w:r>
    </w:p>
    <w:p/>
    <w:p>
      <w:r>
        <w:t>Model governance answers important questions about the model. It does not, by itself, answer the lifecycle responsibility question. Agentic systems are not merely models; they are work systems. They combine model behavior with orchestration, tools, memory, roles, approvals, logs, evidence policies, privacy constraints, and remediation workflows.</w:t>
      </w:r>
    </w:p>
    <w:p/>
    <w:p>
      <w:r>
        <w:t>The problem is not that model governance is wrong. The problem is that model governance is incomplete once the system delegates consequential work.</w:t>
      </w:r>
    </w:p>
    <w:p/>
    <w:p>
      <w:pPr>
        <w:pStyle w:val="Heading2"/>
      </w:pPr>
      <w:r>
        <w:t>The Layer Gap</w:t>
      </w:r>
    </w:p>
    <w:p/>
    <w:p>
      <w:pPr>
        <w:sectPr>
          <w:pgSz w:w="12240" w:h="158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3648"/>
        <w:gridCol w:w="3648"/>
        <w:gridCol w:w="3648"/>
      </w:tblGrid>
      <w:tr>
        <w:trPr>
          <w:tblHeader w:val="true"/>
          <w:cantSplit/>
        </w:trPr>
        <w:tc>
          <w:tcPr>
            <w:tcW w:type="dxa" w:w="3408"/>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Layer</w:t>
            </w:r>
          </w:p>
        </w:tc>
        <w:tc>
          <w:tcPr>
            <w:tcW w:type="dxa" w:w="3408"/>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What It Governs</w:t>
            </w:r>
          </w:p>
        </w:tc>
        <w:tc>
          <w:tcPr>
            <w:tcW w:type="dxa" w:w="3408"/>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Why It Is Insufficient Alone</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Model governance</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Model quality, documentation, evaluation, monitoring</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Does not prove responsibility for delegated work</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Agent orchestration</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Task flow, tools, graph state, handoffs</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Does not assign legal or organizational responsibility</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Observability</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Traces, logs, metrics, debugging</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Does not prove authorization, acceptance, privacy, or remediation</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Human review</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Review or approval moment</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Does not map human role to MAS responsibility</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Lifecycle governance</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Authority, responsibility, evidence, acceptance, dispute, remediation</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Requires explicit lifecycle objects and evidence</w:t>
            </w:r>
          </w:p>
        </w:tc>
      </w:tr>
    </w:tbl>
    <w:p>
      <w:pPr>
        <w:sectPr>
          <w:pgSz w:w="12240" w:h="15840"/>
          <w:pgMar w:top="792" w:right="648" w:bottom="792" w:left="648" w:header="720" w:footer="720" w:gutter="0"/>
          <w:cols w:space="720"/>
          <w:docGrid w:linePitch="360"/>
        </w:sectPr>
      </w:pPr>
    </w:p>
    <w:p/>
    <w:p>
      <w:r>
        <w:t>Agentic compliance becomes fragile when enterprises assume that orchestration traces, model cards, or human-in-the-loop labels are enough. They are useful artifacts, but they are not a complete responsibility model.</w:t>
      </w:r>
    </w:p>
    <w:p/>
    <w:p>
      <w:pPr>
        <w:pStyle w:val="Heading1"/>
      </w:pPr>
      <w:r>
        <w:t>4. The Missing Layer</w:t>
      </w:r>
    </w:p>
    <w:p/>
    <w:p>
      <w:r>
        <w:t>AI Agent Lifecycle Governance is the missing layer between model compliance and enterprise agent deployment. It defines the lifecycle control surface for agentic work.</w:t>
      </w:r>
    </w:p>
    <w:p/>
    <w:p>
      <w:r>
        <w:t>This layer translates regulatory abstractions into engineering objects:</w:t>
      </w:r>
    </w:p>
    <w:p/>
    <w:p>
      <w:pPr>
        <w:pStyle w:val="ListBullet"/>
      </w:pPr>
      <w:r>
        <w:t>Human oversight becomes human-role-to-MAS responsibility mapping.</w:t>
      </w:r>
    </w:p>
    <w:p>
      <w:pPr>
        <w:pStyle w:val="ListBullet"/>
      </w:pPr>
      <w:r>
        <w:t>Logging becomes partitioned evidence chain.</w:t>
      </w:r>
    </w:p>
    <w:p>
      <w:pPr>
        <w:pStyle w:val="ListBullet"/>
      </w:pPr>
      <w:r>
        <w:t>Accountability becomes tool-action liability and responsibility transfer.</w:t>
      </w:r>
    </w:p>
    <w:p>
      <w:pPr>
        <w:pStyle w:val="ListBullet"/>
      </w:pPr>
      <w:r>
        <w:t>Transparency becomes evidence-linked review and accepted outcome.</w:t>
      </w:r>
    </w:p>
    <w:p>
      <w:pPr>
        <w:pStyle w:val="ListBullet"/>
      </w:pPr>
      <w:r>
        <w:t>Monitoring becomes authority drift, incident closure, and continuous improvement.</w:t>
      </w:r>
    </w:p>
    <w:p>
      <w:pPr>
        <w:pStyle w:val="ListBullet"/>
      </w:pPr>
      <w:r>
        <w:t>Privacy becomes lifecycle data-flow mapping, minimization, and selective disclosure.</w:t>
      </w:r>
    </w:p>
    <w:p/>
    <w:p>
      <w:r>
        <w:t>This is not bureaucracy for its own sake. It is the recognition that the system boundary has changed. The work unit is now distributed across agents, tools, memory, humans, projects, vendors, and evidence boundaries.</w:t>
      </w:r>
    </w:p>
    <w:p/>
    <w:p>
      <w:pPr>
        <w:pStyle w:val="Heading1"/>
      </w:pPr>
      <w:r>
        <w:t>5. Missing Regulatory Objects</w:t>
      </w:r>
    </w:p>
    <w:p/>
    <w:p>
      <w:r>
        <w:t>The paper defines sixteen Missing Regulatory Objects. They are not proposed statutes. They are engineering and assurance objects that allow regulatory concepts to become testable in agentic workflows.</w:t>
      </w:r>
    </w:p>
    <w:p/>
    <w:p/>
    <w:p>
      <w:pPr>
        <w:keepNext/>
      </w:pPr>
      <w:r>
        <w:rPr>
          <w:rFonts w:ascii="Arial" w:hAnsi="Arial"/>
          <w:b/>
          <w:color w:val="111318"/>
          <w:sz w:val="18"/>
        </w:rPr>
        <w:t>Figure F-03: MRO Topology</w:t>
      </w:r>
    </w:p>
    <w:tbl>
      <w:tblPr>
        <w:tblStyle w:val="TableGrid"/>
        <w:tblW w:type="auto" w:w="0"/>
        <w:jc w:val="center"/>
        <w:tblLayout w:type="autofit"/>
        <w:tblLook w:firstColumn="1" w:firstRow="1" w:lastColumn="0" w:lastRow="0" w:noHBand="0" w:noVBand="1" w:val="04A0"/>
      </w:tblPr>
      <w:tblGrid>
        <w:gridCol w:w="1824"/>
        <w:gridCol w:w="1824"/>
        <w:gridCol w:w="1824"/>
        <w:gridCol w:w="1824"/>
        <w:gridCol w:w="1824"/>
        <w:gridCol w:w="1824"/>
      </w:tblGrid>
      <w:tr>
        <w:tc>
          <w:tcPr>
            <w:tcW w:type="dxa" w:w="1824"/>
            <w:shd w:fill="111318"/>
            <w:tcBorders>
              <w:top w:val="single" w:sz="6" w:space="0" w:color="111318"/>
              <w:left w:val="single" w:sz="6" w:space="0" w:color="111318"/>
              <w:bottom w:val="single" w:sz="6" w:space="0" w:color="111318"/>
              <w:right w:val="single" w:sz="6" w:space="0" w:color="111318"/>
            </w:tcBorders>
          </w:tcPr>
          <w:p>
            <w:pPr>
              <w:jc w:val="center"/>
            </w:pPr>
            <w:r>
              <w:rPr>
                <w:rFonts w:ascii="Arial" w:hAnsi="Arial"/>
                <w:b/>
                <w:color w:val="F7F7F4"/>
                <w:sz w:val="16"/>
              </w:rPr>
              <w:t>Responsibility</w:t>
            </w:r>
          </w:p>
        </w:tc>
        <w:tc>
          <w:tcPr>
            <w:tcW w:type="dxa" w:w="1824"/>
            <w:shd w:fill="111318"/>
            <w:tcBorders>
              <w:top w:val="single" w:sz="6" w:space="0" w:color="111318"/>
              <w:left w:val="single" w:sz="6" w:space="0" w:color="111318"/>
              <w:bottom w:val="single" w:sz="6" w:space="0" w:color="111318"/>
              <w:right w:val="single" w:sz="6" w:space="0" w:color="111318"/>
            </w:tcBorders>
          </w:tcPr>
          <w:p>
            <w:pPr>
              <w:jc w:val="center"/>
            </w:pPr>
            <w:r>
              <w:rPr>
                <w:rFonts w:ascii="Arial" w:hAnsi="Arial"/>
                <w:b/>
                <w:color w:val="F7F7F4"/>
                <w:sz w:val="16"/>
              </w:rPr>
              <w:t>Authority</w:t>
            </w:r>
          </w:p>
        </w:tc>
        <w:tc>
          <w:tcPr>
            <w:tcW w:type="dxa" w:w="1824"/>
            <w:shd w:fill="111318"/>
            <w:tcBorders>
              <w:top w:val="single" w:sz="6" w:space="0" w:color="111318"/>
              <w:left w:val="single" w:sz="6" w:space="0" w:color="111318"/>
              <w:bottom w:val="single" w:sz="6" w:space="0" w:color="111318"/>
              <w:right w:val="single" w:sz="6" w:space="0" w:color="111318"/>
            </w:tcBorders>
          </w:tcPr>
          <w:p>
            <w:pPr>
              <w:jc w:val="center"/>
            </w:pPr>
            <w:r>
              <w:rPr>
                <w:rFonts w:ascii="Arial" w:hAnsi="Arial"/>
                <w:b/>
                <w:color w:val="F7F7F4"/>
                <w:sz w:val="16"/>
              </w:rPr>
              <w:t>Evidence</w:t>
            </w:r>
          </w:p>
        </w:tc>
        <w:tc>
          <w:tcPr>
            <w:tcW w:type="dxa" w:w="1824"/>
            <w:shd w:fill="111318"/>
            <w:tcBorders>
              <w:top w:val="single" w:sz="6" w:space="0" w:color="111318"/>
              <w:left w:val="single" w:sz="6" w:space="0" w:color="111318"/>
              <w:bottom w:val="single" w:sz="6" w:space="0" w:color="111318"/>
              <w:right w:val="single" w:sz="6" w:space="0" w:color="111318"/>
            </w:tcBorders>
          </w:tcPr>
          <w:p>
            <w:pPr>
              <w:jc w:val="center"/>
            </w:pPr>
            <w:r>
              <w:rPr>
                <w:rFonts w:ascii="Arial" w:hAnsi="Arial"/>
                <w:b/>
                <w:color w:val="F7F7F4"/>
                <w:sz w:val="16"/>
              </w:rPr>
              <w:t>Privacy</w:t>
            </w:r>
          </w:p>
        </w:tc>
        <w:tc>
          <w:tcPr>
            <w:tcW w:type="dxa" w:w="1824"/>
            <w:shd w:fill="111318"/>
            <w:tcBorders>
              <w:top w:val="single" w:sz="6" w:space="0" w:color="111318"/>
              <w:left w:val="single" w:sz="6" w:space="0" w:color="111318"/>
              <w:bottom w:val="single" w:sz="6" w:space="0" w:color="111318"/>
              <w:right w:val="single" w:sz="6" w:space="0" w:color="111318"/>
            </w:tcBorders>
          </w:tcPr>
          <w:p>
            <w:pPr>
              <w:jc w:val="center"/>
            </w:pPr>
            <w:r>
              <w:rPr>
                <w:rFonts w:ascii="Arial" w:hAnsi="Arial"/>
                <w:b/>
                <w:color w:val="F7F7F4"/>
                <w:sz w:val="16"/>
              </w:rPr>
              <w:t>Substitution</w:t>
            </w:r>
          </w:p>
        </w:tc>
        <w:tc>
          <w:tcPr>
            <w:tcW w:type="dxa" w:w="1824"/>
            <w:shd w:fill="111318"/>
            <w:tcBorders>
              <w:top w:val="single" w:sz="6" w:space="0" w:color="111318"/>
              <w:left w:val="single" w:sz="6" w:space="0" w:color="111318"/>
              <w:bottom w:val="single" w:sz="6" w:space="0" w:color="111318"/>
              <w:right w:val="single" w:sz="6" w:space="0" w:color="111318"/>
            </w:tcBorders>
          </w:tcPr>
          <w:p>
            <w:pPr>
              <w:jc w:val="center"/>
            </w:pPr>
            <w:r>
              <w:rPr>
                <w:rFonts w:ascii="Arial" w:hAnsi="Arial"/>
                <w:b/>
                <w:color w:val="F7F7F4"/>
                <w:sz w:val="16"/>
              </w:rPr>
              <w:t>Closure</w:t>
            </w:r>
          </w:p>
        </w:tc>
      </w:tr>
      <w:tr>
        <w:tc>
          <w:tcPr>
            <w:tcW w:type="dxa" w:w="1824"/>
            <w:shd w:fill="F7F7F4"/>
            <w:tcBorders>
              <w:top w:val="single" w:sz="6" w:space="0" w:color="D9DEE5"/>
              <w:left w:val="single" w:sz="6" w:space="0" w:color="D9DEE5"/>
              <w:bottom w:val="single" w:sz="6" w:space="0" w:color="D9DEE5"/>
              <w:right w:val="single" w:sz="6" w:space="0" w:color="D9DEE5"/>
            </w:tcBorders>
          </w:tcPr>
          <w:p>
            <w:pPr>
              <w:jc w:val="center"/>
            </w:pPr>
            <w:r>
              <w:rPr>
                <w:rFonts w:ascii="Arial" w:hAnsi="Arial"/>
                <w:color w:val="3C4858"/>
                <w:sz w:val="13"/>
              </w:rPr>
              <w:t>object</w:t>
            </w:r>
          </w:p>
        </w:tc>
        <w:tc>
          <w:tcPr>
            <w:tcW w:type="dxa" w:w="1824"/>
            <w:shd w:fill="F7F7F4"/>
            <w:tcBorders>
              <w:top w:val="single" w:sz="6" w:space="0" w:color="D9DEE5"/>
              <w:left w:val="single" w:sz="6" w:space="0" w:color="D9DEE5"/>
              <w:bottom w:val="single" w:sz="6" w:space="0" w:color="D9DEE5"/>
              <w:right w:val="single" w:sz="6" w:space="0" w:color="D9DEE5"/>
            </w:tcBorders>
          </w:tcPr>
          <w:p>
            <w:pPr>
              <w:jc w:val="center"/>
            </w:pPr>
            <w:r>
              <w:rPr>
                <w:rFonts w:ascii="Arial" w:hAnsi="Arial"/>
                <w:color w:val="3C4858"/>
                <w:sz w:val="13"/>
              </w:rPr>
              <w:t>control</w:t>
            </w:r>
          </w:p>
        </w:tc>
        <w:tc>
          <w:tcPr>
            <w:tcW w:type="dxa" w:w="1824"/>
            <w:shd w:fill="F7F7F4"/>
            <w:tcBorders>
              <w:top w:val="single" w:sz="6" w:space="0" w:color="D9DEE5"/>
              <w:left w:val="single" w:sz="6" w:space="0" w:color="D9DEE5"/>
              <w:bottom w:val="single" w:sz="6" w:space="0" w:color="D9DEE5"/>
              <w:right w:val="single" w:sz="6" w:space="0" w:color="D9DEE5"/>
            </w:tcBorders>
          </w:tcPr>
          <w:p>
            <w:pPr>
              <w:jc w:val="center"/>
            </w:pPr>
            <w:r>
              <w:rPr>
                <w:rFonts w:ascii="Arial" w:hAnsi="Arial"/>
                <w:color w:val="3C4858"/>
                <w:sz w:val="13"/>
              </w:rPr>
              <w:t>object</w:t>
            </w:r>
          </w:p>
        </w:tc>
        <w:tc>
          <w:tcPr>
            <w:tcW w:type="dxa" w:w="1824"/>
            <w:shd w:fill="F7F7F4"/>
            <w:tcBorders>
              <w:top w:val="single" w:sz="6" w:space="0" w:color="D9DEE5"/>
              <w:left w:val="single" w:sz="6" w:space="0" w:color="D9DEE5"/>
              <w:bottom w:val="single" w:sz="6" w:space="0" w:color="D9DEE5"/>
              <w:right w:val="single" w:sz="6" w:space="0" w:color="D9DEE5"/>
            </w:tcBorders>
          </w:tcPr>
          <w:p>
            <w:pPr>
              <w:jc w:val="center"/>
            </w:pPr>
            <w:r>
              <w:rPr>
                <w:rFonts w:ascii="Arial" w:hAnsi="Arial"/>
                <w:color w:val="3C4858"/>
                <w:sz w:val="13"/>
              </w:rPr>
              <w:t>control</w:t>
            </w:r>
          </w:p>
        </w:tc>
        <w:tc>
          <w:tcPr>
            <w:tcW w:type="dxa" w:w="1824"/>
            <w:shd w:fill="F7F7F4"/>
            <w:tcBorders>
              <w:top w:val="single" w:sz="6" w:space="0" w:color="D9DEE5"/>
              <w:left w:val="single" w:sz="6" w:space="0" w:color="D9DEE5"/>
              <w:bottom w:val="single" w:sz="6" w:space="0" w:color="D9DEE5"/>
              <w:right w:val="single" w:sz="6" w:space="0" w:color="D9DEE5"/>
            </w:tcBorders>
          </w:tcPr>
          <w:p>
            <w:pPr>
              <w:jc w:val="center"/>
            </w:pPr>
            <w:r>
              <w:rPr>
                <w:rFonts w:ascii="Arial" w:hAnsi="Arial"/>
                <w:color w:val="3C4858"/>
                <w:sz w:val="13"/>
              </w:rPr>
              <w:t>object</w:t>
            </w:r>
          </w:p>
        </w:tc>
        <w:tc>
          <w:tcPr>
            <w:tcW w:type="dxa" w:w="1824"/>
            <w:shd w:fill="F7F7F4"/>
            <w:tcBorders>
              <w:top w:val="single" w:sz="6" w:space="0" w:color="D9DEE5"/>
              <w:left w:val="single" w:sz="6" w:space="0" w:color="D9DEE5"/>
              <w:bottom w:val="single" w:sz="6" w:space="0" w:color="D9DEE5"/>
              <w:right w:val="single" w:sz="6" w:space="0" w:color="D9DEE5"/>
            </w:tcBorders>
          </w:tcPr>
          <w:p>
            <w:pPr>
              <w:jc w:val="center"/>
            </w:pPr>
            <w:r>
              <w:rPr>
                <w:rFonts w:ascii="Arial" w:hAnsi="Arial"/>
                <w:color w:val="3C4858"/>
                <w:sz w:val="13"/>
              </w:rPr>
              <w:t>control</w:t>
            </w:r>
          </w:p>
        </w:tc>
      </w:tr>
    </w:tbl>
    <w:p>
      <w:pPr>
        <w:jc w:val="center"/>
      </w:pPr>
      <w:r>
        <w:rPr>
          <w:rFonts w:ascii="Arial" w:hAnsi="Arial"/>
          <w:i/>
          <w:color w:val="3C4858"/>
          <w:sz w:val="15"/>
        </w:rPr>
        <w:t>Sixteen MROs are grouped by the lifecycle control surface they make testable.</w:t>
      </w:r>
    </w:p>
    <w:p/>
    <w:p>
      <w:r>
        <w:t>Responsibility -&gt; Authority -&gt; Evidence -&gt; Privacy -&gt; Substitution -&gt; Closure</w:t>
      </w:r>
    </w:p>
    <w:p/>
    <w:p>
      <w:pPr>
        <w:pStyle w:val="Heading2"/>
      </w:pPr>
      <w:r>
        <w:t>Public MRO Summary</w:t>
      </w:r>
    </w:p>
    <w:p/>
    <w:p>
      <w:pPr>
        <w:sectPr>
          <w:pgSz w:w="12240" w:h="158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3648"/>
        <w:gridCol w:w="3648"/>
        <w:gridCol w:w="3648"/>
      </w:tblGrid>
      <w:tr>
        <w:trPr>
          <w:tblHeader w:val="true"/>
          <w:cantSplit/>
        </w:trPr>
        <w:tc>
          <w:tcPr>
            <w:tcW w:type="dxa" w:w="3408"/>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Cluster</w:t>
            </w:r>
          </w:p>
        </w:tc>
        <w:tc>
          <w:tcPr>
            <w:tcW w:type="dxa" w:w="3408"/>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Objects</w:t>
            </w:r>
          </w:p>
        </w:tc>
        <w:tc>
          <w:tcPr>
            <w:tcW w:type="dxa" w:w="3408"/>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Public Meaning</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Responsibility</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MRO-01, MRO-03, MRO-04, MRO-06</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Who owns intent, agent role, handoff, and accepted outcome</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Authority</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MRO-02, MRO-05, MRO-07</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What the agent may do, when authority drifts, and who owns tool consequences</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Evidence</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MRO-08, MRO-11, MRO-12</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How lifecycle evidence is partitioned, validated, minimized, and selectively disclosed</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Privacy</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MRO-10, MRO-13, MRO-14</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How personal data, data subject rights, and processor chains are preserved across lifecycle states</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Reuse and substitution</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MRO-09, MRO-15</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Whether conformance survives reuse, runtime change, vendor change, or model substitution</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Closure</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MRO-16</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Whether incidents, disputes, remediation, and accepted closure are evidenced</w:t>
            </w:r>
          </w:p>
        </w:tc>
      </w:tr>
    </w:tbl>
    <w:p>
      <w:pPr>
        <w:sectPr>
          <w:pgSz w:w="12240" w:h="15840"/>
          <w:pgMar w:top="792" w:right="648" w:bottom="792" w:left="648" w:header="720" w:footer="720" w:gutter="0"/>
          <w:cols w:space="720"/>
          <w:docGrid w:linePitch="360"/>
        </w:sectPr>
      </w:pPr>
    </w:p>
    <w:p/>
    <w:p>
      <w:r>
        <w:t>The full object cards, fields, controls, audit questions, and implementation implications are preserved in the technical evidence pack.</w:t>
      </w:r>
    </w:p>
    <w:p/>
    <w:p>
      <w:pPr>
        <w:pStyle w:val="Heading1"/>
      </w:pPr>
      <w:r>
        <w:t>6. RCCS, ALCS, and Composite Scoring</w:t>
      </w:r>
    </w:p>
    <w:p/>
    <w:p>
      <w:r>
        <w:t>The paper introduces two analytical scoring layers:</w:t>
      </w:r>
    </w:p>
    <w:p/>
    <w:p>
      <w:r>
        <w:t>1. RCCS - Regulatory Compliance Coverage Score measures whether a system provides primitives aligned with regulatory and governance requirements such as risk management, data governance, documentation, record-keeping, transparency, human oversight, security, accountability, contestability, and monitoring.</w:t>
      </w:r>
    </w:p>
    <w:p>
      <w:r>
        <w:t>2. ALCS - Agentic Lifecycle Conformance Score measures whether a system defines lifecycle responsibility objects for agentic and multi-agent execution.</w:t>
      </w:r>
    </w:p>
    <w:p/>
    <w:p/>
    <w:p>
      <w:pPr>
        <w:keepNext/>
      </w:pPr>
      <w:r>
        <w:rPr>
          <w:rFonts w:ascii="Arial" w:hAnsi="Arial"/>
          <w:b/>
          <w:color w:val="111318"/>
          <w:sz w:val="18"/>
        </w:rPr>
        <w:t>Figure F-04: RCCS/ALCS Dual Scoring Model</w:t>
      </w:r>
    </w:p>
    <w:tbl>
      <w:tblPr>
        <w:tblStyle w:val="TableGrid"/>
        <w:tblW w:type="auto" w:w="0"/>
        <w:jc w:val="center"/>
        <w:tblLayout w:type="autofit"/>
        <w:tblLook w:firstColumn="1" w:firstRow="1" w:lastColumn="0" w:lastRow="0" w:noHBand="0" w:noVBand="1" w:val="04A0"/>
      </w:tblPr>
      <w:tblGrid>
        <w:gridCol w:w="2189"/>
        <w:gridCol w:w="2189"/>
        <w:gridCol w:w="2189"/>
        <w:gridCol w:w="2189"/>
        <w:gridCol w:w="2189"/>
      </w:tblGrid>
      <w:tr>
        <w:tc>
          <w:tcPr>
            <w:tcW w:type="dxa" w:w="2189"/>
            <w:shd w:fill="111318"/>
            <w:tcBorders>
              <w:top w:val="single" w:sz="6" w:space="0" w:color="111318"/>
              <w:left w:val="single" w:sz="6" w:space="0" w:color="111318"/>
              <w:bottom w:val="single" w:sz="6" w:space="0" w:color="111318"/>
              <w:right w:val="single" w:sz="6" w:space="0" w:color="111318"/>
            </w:tcBorders>
          </w:tcPr>
          <w:p>
            <w:pPr>
              <w:jc w:val="center"/>
            </w:pPr>
            <w:r>
              <w:rPr>
                <w:rFonts w:ascii="Arial" w:hAnsi="Arial"/>
                <w:b/>
                <w:color w:val="F7F7F4"/>
                <w:sz w:val="16"/>
              </w:rPr>
              <w:t>RCCS</w:t>
            </w:r>
          </w:p>
        </w:tc>
        <w:tc>
          <w:tcPr>
            <w:tcW w:type="dxa" w:w="2189"/>
            <w:shd w:fill="111318"/>
            <w:tcBorders>
              <w:top w:val="single" w:sz="6" w:space="0" w:color="111318"/>
              <w:left w:val="single" w:sz="6" w:space="0" w:color="111318"/>
              <w:bottom w:val="single" w:sz="6" w:space="0" w:color="111318"/>
              <w:right w:val="single" w:sz="6" w:space="0" w:color="111318"/>
            </w:tcBorders>
          </w:tcPr>
          <w:p>
            <w:pPr>
              <w:jc w:val="center"/>
            </w:pPr>
            <w:r>
              <w:rPr>
                <w:rFonts w:ascii="Arial" w:hAnsi="Arial"/>
                <w:b/>
                <w:color w:val="F7F7F4"/>
                <w:sz w:val="16"/>
              </w:rPr>
              <w:t>Evidence Multiplier</w:t>
            </w:r>
          </w:p>
        </w:tc>
        <w:tc>
          <w:tcPr>
            <w:tcW w:type="dxa" w:w="2189"/>
            <w:shd w:fill="111318"/>
            <w:tcBorders>
              <w:top w:val="single" w:sz="6" w:space="0" w:color="111318"/>
              <w:left w:val="single" w:sz="6" w:space="0" w:color="111318"/>
              <w:bottom w:val="single" w:sz="6" w:space="0" w:color="111318"/>
              <w:right w:val="single" w:sz="6" w:space="0" w:color="111318"/>
            </w:tcBorders>
          </w:tcPr>
          <w:p>
            <w:pPr>
              <w:jc w:val="center"/>
            </w:pPr>
            <w:r>
              <w:rPr>
                <w:rFonts w:ascii="Arial" w:hAnsi="Arial"/>
                <w:b/>
                <w:color w:val="F7F7F4"/>
                <w:sz w:val="16"/>
              </w:rPr>
              <w:t>ALCS</w:t>
            </w:r>
          </w:p>
        </w:tc>
        <w:tc>
          <w:tcPr>
            <w:tcW w:type="dxa" w:w="2189"/>
            <w:shd w:fill="111318"/>
            <w:tcBorders>
              <w:top w:val="single" w:sz="6" w:space="0" w:color="111318"/>
              <w:left w:val="single" w:sz="6" w:space="0" w:color="111318"/>
              <w:bottom w:val="single" w:sz="6" w:space="0" w:color="111318"/>
              <w:right w:val="single" w:sz="6" w:space="0" w:color="111318"/>
            </w:tcBorders>
          </w:tcPr>
          <w:p>
            <w:pPr>
              <w:jc w:val="center"/>
            </w:pPr>
            <w:r>
              <w:rPr>
                <w:rFonts w:ascii="Arial" w:hAnsi="Arial"/>
                <w:b/>
                <w:color w:val="F7F7F4"/>
                <w:sz w:val="16"/>
              </w:rPr>
              <w:t>Boundary Review</w:t>
            </w:r>
          </w:p>
        </w:tc>
        <w:tc>
          <w:tcPr>
            <w:tcW w:type="dxa" w:w="2189"/>
            <w:shd w:fill="111318"/>
            <w:tcBorders>
              <w:top w:val="single" w:sz="6" w:space="0" w:color="111318"/>
              <w:left w:val="single" w:sz="6" w:space="0" w:color="111318"/>
              <w:bottom w:val="single" w:sz="6" w:space="0" w:color="111318"/>
              <w:right w:val="single" w:sz="6" w:space="0" w:color="111318"/>
            </w:tcBorders>
          </w:tcPr>
          <w:p>
            <w:pPr>
              <w:jc w:val="center"/>
            </w:pPr>
            <w:r>
              <w:rPr>
                <w:rFonts w:ascii="Arial" w:hAnsi="Arial"/>
                <w:b/>
                <w:color w:val="F7F7F4"/>
                <w:sz w:val="16"/>
              </w:rPr>
              <w:t>Analytical Composite</w:t>
            </w:r>
          </w:p>
        </w:tc>
      </w:tr>
      <w:tr>
        <w:tc>
          <w:tcPr>
            <w:tcW w:type="dxa" w:w="2189"/>
            <w:shd w:fill="F7F7F4"/>
            <w:tcBorders>
              <w:top w:val="single" w:sz="6" w:space="0" w:color="D9DEE5"/>
              <w:left w:val="single" w:sz="6" w:space="0" w:color="D9DEE5"/>
              <w:bottom w:val="single" w:sz="6" w:space="0" w:color="D9DEE5"/>
              <w:right w:val="single" w:sz="6" w:space="0" w:color="D9DEE5"/>
            </w:tcBorders>
          </w:tcPr>
          <w:p>
            <w:pPr>
              <w:jc w:val="center"/>
            </w:pPr>
            <w:r>
              <w:rPr>
                <w:rFonts w:ascii="Arial" w:hAnsi="Arial"/>
                <w:color w:val="3C4858"/>
                <w:sz w:val="13"/>
              </w:rPr>
              <w:t>object</w:t>
            </w:r>
          </w:p>
        </w:tc>
        <w:tc>
          <w:tcPr>
            <w:tcW w:type="dxa" w:w="2189"/>
            <w:shd w:fill="F7F7F4"/>
            <w:tcBorders>
              <w:top w:val="single" w:sz="6" w:space="0" w:color="D9DEE5"/>
              <w:left w:val="single" w:sz="6" w:space="0" w:color="D9DEE5"/>
              <w:bottom w:val="single" w:sz="6" w:space="0" w:color="D9DEE5"/>
              <w:right w:val="single" w:sz="6" w:space="0" w:color="D9DEE5"/>
            </w:tcBorders>
          </w:tcPr>
          <w:p>
            <w:pPr>
              <w:jc w:val="center"/>
            </w:pPr>
            <w:r>
              <w:rPr>
                <w:rFonts w:ascii="Arial" w:hAnsi="Arial"/>
                <w:color w:val="3C4858"/>
                <w:sz w:val="13"/>
              </w:rPr>
              <w:t>control</w:t>
            </w:r>
          </w:p>
        </w:tc>
        <w:tc>
          <w:tcPr>
            <w:tcW w:type="dxa" w:w="2189"/>
            <w:shd w:fill="F7F7F4"/>
            <w:tcBorders>
              <w:top w:val="single" w:sz="6" w:space="0" w:color="D9DEE5"/>
              <w:left w:val="single" w:sz="6" w:space="0" w:color="D9DEE5"/>
              <w:bottom w:val="single" w:sz="6" w:space="0" w:color="D9DEE5"/>
              <w:right w:val="single" w:sz="6" w:space="0" w:color="D9DEE5"/>
            </w:tcBorders>
          </w:tcPr>
          <w:p>
            <w:pPr>
              <w:jc w:val="center"/>
            </w:pPr>
            <w:r>
              <w:rPr>
                <w:rFonts w:ascii="Arial" w:hAnsi="Arial"/>
                <w:color w:val="3C4858"/>
                <w:sz w:val="13"/>
              </w:rPr>
              <w:t>object</w:t>
            </w:r>
          </w:p>
        </w:tc>
        <w:tc>
          <w:tcPr>
            <w:tcW w:type="dxa" w:w="2189"/>
            <w:shd w:fill="F7F7F4"/>
            <w:tcBorders>
              <w:top w:val="single" w:sz="6" w:space="0" w:color="D9DEE5"/>
              <w:left w:val="single" w:sz="6" w:space="0" w:color="D9DEE5"/>
              <w:bottom w:val="single" w:sz="6" w:space="0" w:color="D9DEE5"/>
              <w:right w:val="single" w:sz="6" w:space="0" w:color="D9DEE5"/>
            </w:tcBorders>
          </w:tcPr>
          <w:p>
            <w:pPr>
              <w:jc w:val="center"/>
            </w:pPr>
            <w:r>
              <w:rPr>
                <w:rFonts w:ascii="Arial" w:hAnsi="Arial"/>
                <w:color w:val="3C4858"/>
                <w:sz w:val="13"/>
              </w:rPr>
              <w:t>control</w:t>
            </w:r>
          </w:p>
        </w:tc>
        <w:tc>
          <w:tcPr>
            <w:tcW w:type="dxa" w:w="2189"/>
            <w:shd w:fill="F7F7F4"/>
            <w:tcBorders>
              <w:top w:val="single" w:sz="6" w:space="0" w:color="D9DEE5"/>
              <w:left w:val="single" w:sz="6" w:space="0" w:color="D9DEE5"/>
              <w:bottom w:val="single" w:sz="6" w:space="0" w:color="D9DEE5"/>
              <w:right w:val="single" w:sz="6" w:space="0" w:color="D9DEE5"/>
            </w:tcBorders>
          </w:tcPr>
          <w:p>
            <w:pPr>
              <w:jc w:val="center"/>
            </w:pPr>
            <w:r>
              <w:rPr>
                <w:rFonts w:ascii="Arial" w:hAnsi="Arial"/>
                <w:color w:val="3C4858"/>
                <w:sz w:val="13"/>
              </w:rPr>
              <w:t>object</w:t>
            </w:r>
          </w:p>
        </w:tc>
      </w:tr>
    </w:tbl>
    <w:p>
      <w:pPr>
        <w:jc w:val="center"/>
      </w:pPr>
      <w:r>
        <w:rPr>
          <w:rFonts w:ascii="Arial" w:hAnsi="Arial"/>
          <w:i/>
          <w:color w:val="8A6A20"/>
          <w:sz w:val="15"/>
        </w:rPr>
        <w:t>Scoring is analytical and does not prove legal compliance or certification.</w:t>
      </w:r>
    </w:p>
    <w:p/>
    <w:p>
      <w:r>
        <w:t>RCCS regulatory coverage + ALCS lifecycle conformance -&gt; evidence-adjusted analytical composite</w:t>
      </w:r>
    </w:p>
    <w:p/>
    <w:p>
      <w:pPr>
        <w:pStyle w:val="Heading2"/>
      </w:pPr>
      <w:r>
        <w:t>Canonical Method</w:t>
      </w:r>
    </w:p>
    <w:p/>
    <w:p>
      <w:pPr>
        <w:sectPr>
          <w:pgSz w:w="12240" w:h="158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5472"/>
        <w:gridCol w:w="5472"/>
      </w:tblGrid>
      <w:tr>
        <w:trPr>
          <w:tblHeader w:val="true"/>
          <w:cantSplit/>
        </w:trPr>
        <w:tc>
          <w:tcPr>
            <w:tcW w:type="dxa" w:w="5112"/>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Method Element</w:t>
            </w:r>
          </w:p>
        </w:tc>
        <w:tc>
          <w:tcPr>
            <w:tcW w:type="dxa" w:w="5112"/>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Public Formula / Rule</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Evidence levels</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L1 legal/standards; L2 official docs; L3 independent; L4 vendor statement; L5 analytical inference</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Evidence multipliers</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L1=1.00, L2=0.85, L3=0.75, L4=0.55, L5=0.35</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Dimension score</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Dimension Score = (Raw Score / 5) x 100 x Evidence Confidence Multiplier</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Composite score</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Composite Score = 0.40 x RCCS + 0.60 x ALCS</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Boundary</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Analytical only; not legal compliance proof, certification, procurement recommendation, or regulatory approval</w:t>
            </w:r>
          </w:p>
        </w:tc>
      </w:tr>
    </w:tbl>
    <w:p>
      <w:pPr>
        <w:sectPr>
          <w:pgSz w:w="12240" w:h="15840"/>
          <w:pgMar w:top="792" w:right="648" w:bottom="792" w:left="648" w:header="720" w:footer="720" w:gutter="0"/>
          <w:cols w:space="720"/>
          <w:docGrid w:linePitch="360"/>
        </w:sectPr>
      </w:pPr>
    </w:p>
    <w:p/>
    <w:p>
      <w:r>
        <w:t>The technical evidence pack preserves full RCCS and ALCS rubrics.</w:t>
      </w:r>
    </w:p>
    <w:p/>
    <w:p>
      <w:pPr>
        <w:pStyle w:val="Heading1"/>
      </w:pPr>
      <w:r>
        <w:t>7. Enterprise Control Implications</w:t>
      </w:r>
    </w:p>
    <w:p/>
    <w:p>
      <w:r>
        <w:t>Enterprise teams evaluate controls, procurement risk, board reporting, audit readiness, vendor substitution, cybersecurity, incident response, and monitoring. Lifecycle governance must therefore translate into enterprise control language.</w:t>
      </w:r>
    </w:p>
    <w:p/>
    <w:p>
      <w:r>
        <w:t>The core enterprise implication is simple: agentic AI governance needs evidence that follows the work. If an agentic workflow cannot prove who authorized work, who executed it, what tool action occurred, what evidence was retained, who reviewed the result, who accepted the outcome, and how remediation closed, the enterprise has an accountability gap.</w:t>
      </w:r>
    </w:p>
    <w:p/>
    <w:p>
      <w:pPr>
        <w:pStyle w:val="Heading2"/>
      </w:pPr>
      <w:r>
        <w:t>Control Translation</w:t>
      </w:r>
    </w:p>
    <w:p/>
    <w:p>
      <w:pPr>
        <w:sectPr>
          <w:pgSz w:w="12240" w:h="158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5472"/>
        <w:gridCol w:w="5472"/>
      </w:tblGrid>
      <w:tr>
        <w:trPr>
          <w:tblHeader w:val="true"/>
          <w:cantSplit/>
        </w:trPr>
        <w:tc>
          <w:tcPr>
            <w:tcW w:type="dxa" w:w="5112"/>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Enterprise Function</w:t>
            </w:r>
          </w:p>
        </w:tc>
        <w:tc>
          <w:tcPr>
            <w:tcW w:type="dxa" w:w="5112"/>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Lifecycle Question</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Internal audit</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Can the organization reconstruct authority, action, review, and accepted outcome?</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Privacy</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Can evidence be retained without over-disclosing personal data?</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Security</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Can delegated authority and tool-action boundaries survive attack or misuse?</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Procurement</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Can vendors expose the evidence and lifecycle primitives buyers need?</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Board reporting</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Can agentic risk be explained in terms of authority, evidence, accepted outcomes, and open remediation?</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Incident response</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Can disputes close with evidence, responsibility, correction, and accepted closure?</w:t>
            </w:r>
          </w:p>
        </w:tc>
      </w:tr>
    </w:tbl>
    <w:p>
      <w:pPr>
        <w:sectPr>
          <w:pgSz w:w="12240" w:h="15840"/>
          <w:pgMar w:top="792" w:right="648" w:bottom="792" w:left="648" w:header="720" w:footer="720" w:gutter="0"/>
          <w:cols w:space="720"/>
          <w:docGrid w:linePitch="360"/>
        </w:sectPr>
      </w:pPr>
    </w:p>
    <w:p/>
    <w:p>
      <w:pPr>
        <w:pStyle w:val="Heading1"/>
      </w:pPr>
      <w:r>
        <w:t>8. Comparative System Evidence</w:t>
      </w:r>
    </w:p>
    <w:p/>
    <w:p>
      <w:r>
        <w:t>The paper evaluates representative systems and frameworks as responsibility-semantics surfaces, not as product rankings. The public white paper summarizes the evidence posture. Full matrices and system-by-system assessments are preserved in the evidence pack.</w:t>
      </w:r>
    </w:p>
    <w:p/>
    <w:p>
      <w:pPr>
        <w:pStyle w:val="Heading2"/>
      </w:pPr>
      <w:r>
        <w:t>Representative Systems</w:t>
      </w:r>
    </w:p>
    <w:p/>
    <w:p>
      <w:pPr>
        <w:sectPr>
          <w:pgSz w:w="12240" w:h="158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3648"/>
        <w:gridCol w:w="3648"/>
        <w:gridCol w:w="3648"/>
      </w:tblGrid>
      <w:tr>
        <w:trPr>
          <w:tblHeader w:val="true"/>
          <w:cantSplit/>
        </w:trPr>
        <w:tc>
          <w:tcPr>
            <w:tcW w:type="dxa" w:w="3408"/>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System / Category</w:t>
            </w:r>
          </w:p>
        </w:tc>
        <w:tc>
          <w:tcPr>
            <w:tcW w:type="dxa" w:w="3408"/>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Public Role in the Analysis</w:t>
            </w:r>
          </w:p>
        </w:tc>
        <w:tc>
          <w:tcPr>
            <w:tcW w:type="dxa" w:w="3408"/>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Evidence Posture</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MPLP</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Lifecycle protocol path</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Identity and protocol entry points L2-supported; MRO/ALCS mapping remains L2 + L5</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IBM watsonx.governance</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Enterprise AI governance platform</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Official docs support governance primitives; lifecycle-object depth remains claim-bound</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Microsoft Azure AI Foundry</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Enterprise AI platform and control plane</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Official docs support platform governance primitives; lifecycle responsibility objects require integration</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AWS Bedrock / Guardrails / AgentCore</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Managed agent runtime and guardrail infrastructure</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Official docs support guardrail and runtime primitives; lifecycle object mapping remains bounded</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Google Vertex AI / ADK / Model Armor</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Managed AI and agent safety infrastructure</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Official docs support platform and safety primitives; lifecycle conformance requires implementer design</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LangGraph / LangSmith</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Stateful orchestration and observability tooling</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Official docs support orchestration and traceability primitives; governance semantics remain implementer-dependent</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OpenAI Agents SDK</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Developer agent SDK</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Accessible Agents SDK docs support SDK-surface claims; platform guide 403 remains tracked</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CrewAI</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Multi-agent orchestration framework</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Official repo/docs support orchestration primitives; lifecycle responsibility semantics require integration</w:t>
            </w:r>
          </w:p>
        </w:tc>
      </w:tr>
    </w:tbl>
    <w:p>
      <w:pPr>
        <w:sectPr>
          <w:pgSz w:w="12240" w:h="15840"/>
          <w:pgMar w:top="792" w:right="648" w:bottom="792" w:left="648" w:header="720" w:footer="720" w:gutter="0"/>
          <w:cols w:space="720"/>
          <w:docGrid w:linePitch="360"/>
        </w:sectPr>
      </w:pPr>
    </w:p>
    <w:p/>
    <w:p>
      <w:r>
        <w:t>This public summary is qualitative and provisional. It is not a final vendor assessment and must not be used as a procurement recommendation.</w:t>
      </w:r>
    </w:p>
    <w:p/>
    <w:p>
      <w:pPr>
        <w:pStyle w:val="Heading1"/>
      </w:pPr>
      <w:r>
        <w:t>9. MPLP Boundary and Protocol Role</w:t>
      </w:r>
    </w:p>
    <w:p/>
    <w:p>
      <w:r>
        <w:t>MPLP is discussed because it is a lifecycle protocol path for expressing agentic responsibility objects. The author created MPLP, so the conflict of interest is disclosed. The analysis therefore uses boundary controls.</w:t>
      </w:r>
    </w:p>
    <w:p/>
    <w:p>
      <w:r>
        <w:t>MPLP is not required for compliance. It is not the only validation path. It is not a certification program, regulatory authority, conformity assessment body, legal compliance proof, or procurement recommendation.</w:t>
      </w:r>
    </w:p>
    <w:p/>
    <w:p>
      <w:r>
        <w:t>The public claim is narrower: agentic AI compliance requires lifecycle responsibility objects, and MPLP is one coherent way to express such objects. Other systems may implement comparable objects differently.</w:t>
      </w:r>
    </w:p>
    <w:p/>
    <w:p>
      <w:pPr>
        <w:pStyle w:val="Heading1"/>
      </w:pPr>
      <w:r>
        <w:t>10. Evidence-Based Validation Pattern</w:t>
      </w:r>
    </w:p>
    <w:p/>
    <w:p>
      <w:r>
        <w:t>Evidence-based validation separates evidence generation from evidence adjudication. Organizations generate lifecycle responsibility evidence. Validation providers or internal reviewers adjudicate that evidence against predefined rulesets without requiring raw operational exposure.</w:t>
      </w:r>
    </w:p>
    <w:p/>
    <w:p/>
    <w:p>
      <w:pPr>
        <w:keepNext/>
      </w:pPr>
      <w:r>
        <w:rPr>
          <w:rFonts w:ascii="Arial" w:hAnsi="Arial"/>
          <w:b/>
          <w:color w:val="111318"/>
          <w:sz w:val="18"/>
        </w:rPr>
        <w:t>Figure F-08: Evidence-Based Validation Pattern Flow</w:t>
      </w:r>
    </w:p>
    <w:tbl>
      <w:tblPr>
        <w:tblStyle w:val="TableGrid"/>
        <w:tblW w:type="auto" w:w="0"/>
        <w:jc w:val="center"/>
        <w:tblLayout w:type="autofit"/>
        <w:tblLook w:firstColumn="1" w:firstRow="1" w:lastColumn="0" w:lastRow="0" w:noHBand="0" w:noVBand="1" w:val="04A0"/>
      </w:tblPr>
      <w:tblGrid>
        <w:gridCol w:w="1824"/>
        <w:gridCol w:w="1824"/>
        <w:gridCol w:w="1824"/>
        <w:gridCol w:w="1824"/>
        <w:gridCol w:w="1824"/>
        <w:gridCol w:w="1824"/>
      </w:tblGrid>
      <w:tr>
        <w:tc>
          <w:tcPr>
            <w:tcW w:type="dxa" w:w="1824"/>
            <w:shd w:fill="111318"/>
            <w:tcBorders>
              <w:top w:val="single" w:sz="6" w:space="0" w:color="111318"/>
              <w:left w:val="single" w:sz="6" w:space="0" w:color="111318"/>
              <w:bottom w:val="single" w:sz="6" w:space="0" w:color="111318"/>
              <w:right w:val="single" w:sz="6" w:space="0" w:color="111318"/>
            </w:tcBorders>
          </w:tcPr>
          <w:p>
            <w:pPr>
              <w:jc w:val="center"/>
            </w:pPr>
            <w:r>
              <w:rPr>
                <w:rFonts w:ascii="Arial" w:hAnsi="Arial"/>
                <w:b/>
                <w:color w:val="F7F7F4"/>
                <w:sz w:val="16"/>
              </w:rPr>
              <w:t>Evidence Pack</w:t>
            </w:r>
          </w:p>
        </w:tc>
        <w:tc>
          <w:tcPr>
            <w:tcW w:type="dxa" w:w="1824"/>
            <w:shd w:fill="111318"/>
            <w:tcBorders>
              <w:top w:val="single" w:sz="6" w:space="0" w:color="111318"/>
              <w:left w:val="single" w:sz="6" w:space="0" w:color="111318"/>
              <w:bottom w:val="single" w:sz="6" w:space="0" w:color="111318"/>
              <w:right w:val="single" w:sz="6" w:space="0" w:color="111318"/>
            </w:tcBorders>
          </w:tcPr>
          <w:p>
            <w:pPr>
              <w:jc w:val="center"/>
            </w:pPr>
            <w:r>
              <w:rPr>
                <w:rFonts w:ascii="Arial" w:hAnsi="Arial"/>
                <w:b/>
                <w:color w:val="F7F7F4"/>
                <w:sz w:val="16"/>
              </w:rPr>
              <w:t>Hash Manifest</w:t>
            </w:r>
          </w:p>
        </w:tc>
        <w:tc>
          <w:tcPr>
            <w:tcW w:type="dxa" w:w="1824"/>
            <w:shd w:fill="111318"/>
            <w:tcBorders>
              <w:top w:val="single" w:sz="6" w:space="0" w:color="111318"/>
              <w:left w:val="single" w:sz="6" w:space="0" w:color="111318"/>
              <w:bottom w:val="single" w:sz="6" w:space="0" w:color="111318"/>
              <w:right w:val="single" w:sz="6" w:space="0" w:color="111318"/>
            </w:tcBorders>
          </w:tcPr>
          <w:p>
            <w:pPr>
              <w:jc w:val="center"/>
            </w:pPr>
            <w:r>
              <w:rPr>
                <w:rFonts w:ascii="Arial" w:hAnsi="Arial"/>
                <w:b/>
                <w:color w:val="F7F7F4"/>
                <w:sz w:val="16"/>
              </w:rPr>
              <w:t>Ruleset</w:t>
            </w:r>
          </w:p>
        </w:tc>
        <w:tc>
          <w:tcPr>
            <w:tcW w:type="dxa" w:w="1824"/>
            <w:shd w:fill="111318"/>
            <w:tcBorders>
              <w:top w:val="single" w:sz="6" w:space="0" w:color="111318"/>
              <w:left w:val="single" w:sz="6" w:space="0" w:color="111318"/>
              <w:bottom w:val="single" w:sz="6" w:space="0" w:color="111318"/>
              <w:right w:val="single" w:sz="6" w:space="0" w:color="111318"/>
            </w:tcBorders>
          </w:tcPr>
          <w:p>
            <w:pPr>
              <w:jc w:val="center"/>
            </w:pPr>
            <w:r>
              <w:rPr>
                <w:rFonts w:ascii="Arial" w:hAnsi="Arial"/>
                <w:b/>
                <w:color w:val="F7F7F4"/>
                <w:sz w:val="16"/>
              </w:rPr>
              <w:t>Evidence Pointers</w:t>
            </w:r>
          </w:p>
        </w:tc>
        <w:tc>
          <w:tcPr>
            <w:tcW w:type="dxa" w:w="1824"/>
            <w:shd w:fill="111318"/>
            <w:tcBorders>
              <w:top w:val="single" w:sz="6" w:space="0" w:color="111318"/>
              <w:left w:val="single" w:sz="6" w:space="0" w:color="111318"/>
              <w:bottom w:val="single" w:sz="6" w:space="0" w:color="111318"/>
              <w:right w:val="single" w:sz="6" w:space="0" w:color="111318"/>
            </w:tcBorders>
          </w:tcPr>
          <w:p>
            <w:pPr>
              <w:jc w:val="center"/>
            </w:pPr>
            <w:r>
              <w:rPr>
                <w:rFonts w:ascii="Arial" w:hAnsi="Arial"/>
                <w:b/>
                <w:color w:val="F7F7F4"/>
                <w:sz w:val="16"/>
              </w:rPr>
              <w:t>Verdict Hash</w:t>
            </w:r>
          </w:p>
        </w:tc>
        <w:tc>
          <w:tcPr>
            <w:tcW w:type="dxa" w:w="1824"/>
            <w:shd w:fill="111318"/>
            <w:tcBorders>
              <w:top w:val="single" w:sz="6" w:space="0" w:color="111318"/>
              <w:left w:val="single" w:sz="6" w:space="0" w:color="111318"/>
              <w:bottom w:val="single" w:sz="6" w:space="0" w:color="111318"/>
              <w:right w:val="single" w:sz="6" w:space="0" w:color="111318"/>
            </w:tcBorders>
          </w:tcPr>
          <w:p>
            <w:pPr>
              <w:jc w:val="center"/>
            </w:pPr>
            <w:r>
              <w:rPr>
                <w:rFonts w:ascii="Arial" w:hAnsi="Arial"/>
                <w:b/>
                <w:color w:val="F7F7F4"/>
                <w:sz w:val="16"/>
              </w:rPr>
              <w:t>Replay / Recheck</w:t>
            </w:r>
          </w:p>
        </w:tc>
      </w:tr>
      <w:tr>
        <w:tc>
          <w:tcPr>
            <w:tcW w:type="dxa" w:w="1824"/>
            <w:shd w:fill="F7F7F4"/>
            <w:tcBorders>
              <w:top w:val="single" w:sz="6" w:space="0" w:color="D9DEE5"/>
              <w:left w:val="single" w:sz="6" w:space="0" w:color="D9DEE5"/>
              <w:bottom w:val="single" w:sz="6" w:space="0" w:color="D9DEE5"/>
              <w:right w:val="single" w:sz="6" w:space="0" w:color="D9DEE5"/>
            </w:tcBorders>
          </w:tcPr>
          <w:p>
            <w:pPr>
              <w:jc w:val="center"/>
            </w:pPr>
            <w:r>
              <w:rPr>
                <w:rFonts w:ascii="Arial" w:hAnsi="Arial"/>
                <w:color w:val="3C4858"/>
                <w:sz w:val="13"/>
              </w:rPr>
              <w:t>object</w:t>
            </w:r>
          </w:p>
        </w:tc>
        <w:tc>
          <w:tcPr>
            <w:tcW w:type="dxa" w:w="1824"/>
            <w:shd w:fill="F7F7F4"/>
            <w:tcBorders>
              <w:top w:val="single" w:sz="6" w:space="0" w:color="D9DEE5"/>
              <w:left w:val="single" w:sz="6" w:space="0" w:color="D9DEE5"/>
              <w:bottom w:val="single" w:sz="6" w:space="0" w:color="D9DEE5"/>
              <w:right w:val="single" w:sz="6" w:space="0" w:color="D9DEE5"/>
            </w:tcBorders>
          </w:tcPr>
          <w:p>
            <w:pPr>
              <w:jc w:val="center"/>
            </w:pPr>
            <w:r>
              <w:rPr>
                <w:rFonts w:ascii="Arial" w:hAnsi="Arial"/>
                <w:color w:val="3C4858"/>
                <w:sz w:val="13"/>
              </w:rPr>
              <w:t>control</w:t>
            </w:r>
          </w:p>
        </w:tc>
        <w:tc>
          <w:tcPr>
            <w:tcW w:type="dxa" w:w="1824"/>
            <w:shd w:fill="F7F7F4"/>
            <w:tcBorders>
              <w:top w:val="single" w:sz="6" w:space="0" w:color="D9DEE5"/>
              <w:left w:val="single" w:sz="6" w:space="0" w:color="D9DEE5"/>
              <w:bottom w:val="single" w:sz="6" w:space="0" w:color="D9DEE5"/>
              <w:right w:val="single" w:sz="6" w:space="0" w:color="D9DEE5"/>
            </w:tcBorders>
          </w:tcPr>
          <w:p>
            <w:pPr>
              <w:jc w:val="center"/>
            </w:pPr>
            <w:r>
              <w:rPr>
                <w:rFonts w:ascii="Arial" w:hAnsi="Arial"/>
                <w:color w:val="3C4858"/>
                <w:sz w:val="13"/>
              </w:rPr>
              <w:t>object</w:t>
            </w:r>
          </w:p>
        </w:tc>
        <w:tc>
          <w:tcPr>
            <w:tcW w:type="dxa" w:w="1824"/>
            <w:shd w:fill="F7F7F4"/>
            <w:tcBorders>
              <w:top w:val="single" w:sz="6" w:space="0" w:color="D9DEE5"/>
              <w:left w:val="single" w:sz="6" w:space="0" w:color="D9DEE5"/>
              <w:bottom w:val="single" w:sz="6" w:space="0" w:color="D9DEE5"/>
              <w:right w:val="single" w:sz="6" w:space="0" w:color="D9DEE5"/>
            </w:tcBorders>
          </w:tcPr>
          <w:p>
            <w:pPr>
              <w:jc w:val="center"/>
            </w:pPr>
            <w:r>
              <w:rPr>
                <w:rFonts w:ascii="Arial" w:hAnsi="Arial"/>
                <w:color w:val="3C4858"/>
                <w:sz w:val="13"/>
              </w:rPr>
              <w:t>control</w:t>
            </w:r>
          </w:p>
        </w:tc>
        <w:tc>
          <w:tcPr>
            <w:tcW w:type="dxa" w:w="1824"/>
            <w:shd w:fill="F7F7F4"/>
            <w:tcBorders>
              <w:top w:val="single" w:sz="6" w:space="0" w:color="D9DEE5"/>
              <w:left w:val="single" w:sz="6" w:space="0" w:color="D9DEE5"/>
              <w:bottom w:val="single" w:sz="6" w:space="0" w:color="D9DEE5"/>
              <w:right w:val="single" w:sz="6" w:space="0" w:color="D9DEE5"/>
            </w:tcBorders>
          </w:tcPr>
          <w:p>
            <w:pPr>
              <w:jc w:val="center"/>
            </w:pPr>
            <w:r>
              <w:rPr>
                <w:rFonts w:ascii="Arial" w:hAnsi="Arial"/>
                <w:color w:val="3C4858"/>
                <w:sz w:val="13"/>
              </w:rPr>
              <w:t>object</w:t>
            </w:r>
          </w:p>
        </w:tc>
        <w:tc>
          <w:tcPr>
            <w:tcW w:type="dxa" w:w="1824"/>
            <w:shd w:fill="F7F7F4"/>
            <w:tcBorders>
              <w:top w:val="single" w:sz="6" w:space="0" w:color="D9DEE5"/>
              <w:left w:val="single" w:sz="6" w:space="0" w:color="D9DEE5"/>
              <w:bottom w:val="single" w:sz="6" w:space="0" w:color="D9DEE5"/>
              <w:right w:val="single" w:sz="6" w:space="0" w:color="D9DEE5"/>
            </w:tcBorders>
          </w:tcPr>
          <w:p>
            <w:pPr>
              <w:jc w:val="center"/>
            </w:pPr>
            <w:r>
              <w:rPr>
                <w:rFonts w:ascii="Arial" w:hAnsi="Arial"/>
                <w:color w:val="3C4858"/>
                <w:sz w:val="13"/>
              </w:rPr>
              <w:t>control</w:t>
            </w:r>
          </w:p>
        </w:tc>
      </w:tr>
    </w:tbl>
    <w:p>
      <w:pPr>
        <w:jc w:val="center"/>
      </w:pPr>
      <w:r>
        <w:rPr>
          <w:rFonts w:ascii="Arial" w:hAnsi="Arial"/>
          <w:i/>
          <w:color w:val="3C4858"/>
          <w:sz w:val="15"/>
        </w:rPr>
        <w:t>Validation Lab remains a non-certifying evidence adjudication example.</w:t>
      </w:r>
    </w:p>
    <w:p/>
    <w:p>
      <w:r>
        <w:t>Evidence Pack -&gt; Hash Manifest -&gt; Ruleset -&gt; Evidence Pointers -&gt; Verdict Hash -&gt; Replay / Recheck</w:t>
      </w:r>
    </w:p>
    <w:p/>
    <w:p>
      <w:r>
        <w:t>Validation Lab is referenced only as a non-certifying evidence adjudication example. It does not certify compliance, prove legal compliance, guarantee regulatory approval, or act as a certification authority.</w:t>
      </w:r>
    </w:p>
    <w:p/>
    <w:p>
      <w:pPr>
        <w:pStyle w:val="Heading2"/>
      </w:pPr>
      <w:r>
        <w:t>Validation Boundary</w:t>
      </w:r>
    </w:p>
    <w:p/>
    <w:p>
      <w:pPr>
        <w:sectPr>
          <w:pgSz w:w="12240" w:h="158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5472"/>
        <w:gridCol w:w="5472"/>
      </w:tblGrid>
      <w:tr>
        <w:trPr>
          <w:tblHeader w:val="true"/>
          <w:cantSplit/>
        </w:trPr>
        <w:tc>
          <w:tcPr>
            <w:tcW w:type="dxa" w:w="5112"/>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Pattern Can Support</w:t>
            </w:r>
          </w:p>
        </w:tc>
        <w:tc>
          <w:tcPr>
            <w:tcW w:type="dxa" w:w="5112"/>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Pattern Does Not Prove</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Lifecycle object existence</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Legal compliance</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Evidence integrity</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Regulatory approval</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Selective disclosure</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Business logic correctness</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Replay and recheck</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Model accuracy or operational effectiveness</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Privacy-preserving review</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Certification or conformity assessment</w:t>
            </w:r>
          </w:p>
        </w:tc>
      </w:tr>
    </w:tbl>
    <w:p>
      <w:pPr>
        <w:sectPr>
          <w:pgSz w:w="12240" w:h="15840"/>
          <w:pgMar w:top="792" w:right="648" w:bottom="792" w:left="648" w:header="720" w:footer="720" w:gutter="0"/>
          <w:cols w:space="720"/>
          <w:docGrid w:linePitch="360"/>
        </w:sectPr>
      </w:pPr>
    </w:p>
    <w:p/>
    <w:p>
      <w:pPr>
        <w:pStyle w:val="Heading1"/>
      </w:pPr>
      <w:r>
        <w:t>11. Enterprise Failure Scenario Chain</w:t>
      </w:r>
    </w:p>
    <w:p/>
    <w:p>
      <w:r>
        <w:t>Enterprise failures often occur when a governance gap moves through a lifecycle chain: a trigger happens, an object is missing, evidence is incomplete, responsibility becomes unclear, and remediation cannot close cleanly.</w:t>
      </w:r>
    </w:p>
    <w:p/>
    <w:p/>
    <w:p>
      <w:pPr>
        <w:keepNext/>
      </w:pPr>
      <w:r>
        <w:rPr>
          <w:rFonts w:ascii="Arial" w:hAnsi="Arial"/>
          <w:b/>
          <w:color w:val="111318"/>
          <w:sz w:val="18"/>
        </w:rPr>
        <w:t>Figure F-09: Enterprise Failure Scenario Chain</w:t>
      </w:r>
    </w:p>
    <w:tbl>
      <w:tblPr>
        <w:tblStyle w:val="TableGrid"/>
        <w:tblW w:type="auto" w:w="0"/>
        <w:jc w:val="center"/>
        <w:tblLayout w:type="autofit"/>
        <w:tblLook w:firstColumn="1" w:firstRow="1" w:lastColumn="0" w:lastRow="0" w:noHBand="0" w:noVBand="1" w:val="04A0"/>
      </w:tblPr>
      <w:tblGrid>
        <w:gridCol w:w="2189"/>
        <w:gridCol w:w="2189"/>
        <w:gridCol w:w="2189"/>
        <w:gridCol w:w="2189"/>
        <w:gridCol w:w="2189"/>
      </w:tblGrid>
      <w:tr>
        <w:tc>
          <w:tcPr>
            <w:tcW w:type="dxa" w:w="2189"/>
            <w:shd w:fill="111318"/>
            <w:tcBorders>
              <w:top w:val="single" w:sz="6" w:space="0" w:color="111318"/>
              <w:left w:val="single" w:sz="6" w:space="0" w:color="111318"/>
              <w:bottom w:val="single" w:sz="6" w:space="0" w:color="111318"/>
              <w:right w:val="single" w:sz="6" w:space="0" w:color="111318"/>
            </w:tcBorders>
          </w:tcPr>
          <w:p>
            <w:pPr>
              <w:jc w:val="center"/>
            </w:pPr>
            <w:r>
              <w:rPr>
                <w:rFonts w:ascii="Arial" w:hAnsi="Arial"/>
                <w:b/>
                <w:color w:val="F7F7F4"/>
                <w:sz w:val="16"/>
              </w:rPr>
              <w:t>Trigger</w:t>
            </w:r>
          </w:p>
        </w:tc>
        <w:tc>
          <w:tcPr>
            <w:tcW w:type="dxa" w:w="2189"/>
            <w:shd w:fill="111318"/>
            <w:tcBorders>
              <w:top w:val="single" w:sz="6" w:space="0" w:color="111318"/>
              <w:left w:val="single" w:sz="6" w:space="0" w:color="111318"/>
              <w:bottom w:val="single" w:sz="6" w:space="0" w:color="111318"/>
              <w:right w:val="single" w:sz="6" w:space="0" w:color="111318"/>
            </w:tcBorders>
          </w:tcPr>
          <w:p>
            <w:pPr>
              <w:jc w:val="center"/>
            </w:pPr>
            <w:r>
              <w:rPr>
                <w:rFonts w:ascii="Arial" w:hAnsi="Arial"/>
                <w:b/>
                <w:color w:val="F7F7F4"/>
                <w:sz w:val="16"/>
              </w:rPr>
              <w:t>Missing Object</w:t>
            </w:r>
          </w:p>
        </w:tc>
        <w:tc>
          <w:tcPr>
            <w:tcW w:type="dxa" w:w="2189"/>
            <w:shd w:fill="111318"/>
            <w:tcBorders>
              <w:top w:val="single" w:sz="6" w:space="0" w:color="111318"/>
              <w:left w:val="single" w:sz="6" w:space="0" w:color="111318"/>
              <w:bottom w:val="single" w:sz="6" w:space="0" w:color="111318"/>
              <w:right w:val="single" w:sz="6" w:space="0" w:color="111318"/>
            </w:tcBorders>
          </w:tcPr>
          <w:p>
            <w:pPr>
              <w:jc w:val="center"/>
            </w:pPr>
            <w:r>
              <w:rPr>
                <w:rFonts w:ascii="Arial" w:hAnsi="Arial"/>
                <w:b/>
                <w:color w:val="F7F7F4"/>
                <w:sz w:val="16"/>
              </w:rPr>
              <w:t>Evidence Gap</w:t>
            </w:r>
          </w:p>
        </w:tc>
        <w:tc>
          <w:tcPr>
            <w:tcW w:type="dxa" w:w="2189"/>
            <w:shd w:fill="111318"/>
            <w:tcBorders>
              <w:top w:val="single" w:sz="6" w:space="0" w:color="111318"/>
              <w:left w:val="single" w:sz="6" w:space="0" w:color="111318"/>
              <w:bottom w:val="single" w:sz="6" w:space="0" w:color="111318"/>
              <w:right w:val="single" w:sz="6" w:space="0" w:color="111318"/>
            </w:tcBorders>
          </w:tcPr>
          <w:p>
            <w:pPr>
              <w:jc w:val="center"/>
            </w:pPr>
            <w:r>
              <w:rPr>
                <w:rFonts w:ascii="Arial" w:hAnsi="Arial"/>
                <w:b/>
                <w:color w:val="F7F7F4"/>
                <w:sz w:val="16"/>
              </w:rPr>
              <w:t>Enterprise Consequence</w:t>
            </w:r>
          </w:p>
        </w:tc>
        <w:tc>
          <w:tcPr>
            <w:tcW w:type="dxa" w:w="2189"/>
            <w:shd w:fill="111318"/>
            <w:tcBorders>
              <w:top w:val="single" w:sz="6" w:space="0" w:color="111318"/>
              <w:left w:val="single" w:sz="6" w:space="0" w:color="111318"/>
              <w:bottom w:val="single" w:sz="6" w:space="0" w:color="111318"/>
              <w:right w:val="single" w:sz="6" w:space="0" w:color="111318"/>
            </w:tcBorders>
          </w:tcPr>
          <w:p>
            <w:pPr>
              <w:jc w:val="center"/>
            </w:pPr>
            <w:r>
              <w:rPr>
                <w:rFonts w:ascii="Arial" w:hAnsi="Arial"/>
                <w:b/>
                <w:color w:val="F7F7F4"/>
                <w:sz w:val="16"/>
              </w:rPr>
              <w:t>Remediation Closure</w:t>
            </w:r>
          </w:p>
        </w:tc>
      </w:tr>
      <w:tr>
        <w:tc>
          <w:tcPr>
            <w:tcW w:type="dxa" w:w="2189"/>
            <w:shd w:fill="F7F7F4"/>
            <w:tcBorders>
              <w:top w:val="single" w:sz="6" w:space="0" w:color="D9DEE5"/>
              <w:left w:val="single" w:sz="6" w:space="0" w:color="D9DEE5"/>
              <w:bottom w:val="single" w:sz="6" w:space="0" w:color="D9DEE5"/>
              <w:right w:val="single" w:sz="6" w:space="0" w:color="D9DEE5"/>
            </w:tcBorders>
          </w:tcPr>
          <w:p>
            <w:pPr>
              <w:jc w:val="center"/>
            </w:pPr>
            <w:r>
              <w:rPr>
                <w:rFonts w:ascii="Arial" w:hAnsi="Arial"/>
                <w:color w:val="3C4858"/>
                <w:sz w:val="13"/>
              </w:rPr>
              <w:t>object</w:t>
            </w:r>
          </w:p>
        </w:tc>
        <w:tc>
          <w:tcPr>
            <w:tcW w:type="dxa" w:w="2189"/>
            <w:shd w:fill="F7F7F4"/>
            <w:tcBorders>
              <w:top w:val="single" w:sz="6" w:space="0" w:color="D9DEE5"/>
              <w:left w:val="single" w:sz="6" w:space="0" w:color="D9DEE5"/>
              <w:bottom w:val="single" w:sz="6" w:space="0" w:color="D9DEE5"/>
              <w:right w:val="single" w:sz="6" w:space="0" w:color="D9DEE5"/>
            </w:tcBorders>
          </w:tcPr>
          <w:p>
            <w:pPr>
              <w:jc w:val="center"/>
            </w:pPr>
            <w:r>
              <w:rPr>
                <w:rFonts w:ascii="Arial" w:hAnsi="Arial"/>
                <w:color w:val="3C4858"/>
                <w:sz w:val="13"/>
              </w:rPr>
              <w:t>control</w:t>
            </w:r>
          </w:p>
        </w:tc>
        <w:tc>
          <w:tcPr>
            <w:tcW w:type="dxa" w:w="2189"/>
            <w:shd w:fill="F7F7F4"/>
            <w:tcBorders>
              <w:top w:val="single" w:sz="6" w:space="0" w:color="D9DEE5"/>
              <w:left w:val="single" w:sz="6" w:space="0" w:color="D9DEE5"/>
              <w:bottom w:val="single" w:sz="6" w:space="0" w:color="D9DEE5"/>
              <w:right w:val="single" w:sz="6" w:space="0" w:color="D9DEE5"/>
            </w:tcBorders>
          </w:tcPr>
          <w:p>
            <w:pPr>
              <w:jc w:val="center"/>
            </w:pPr>
            <w:r>
              <w:rPr>
                <w:rFonts w:ascii="Arial" w:hAnsi="Arial"/>
                <w:color w:val="3C4858"/>
                <w:sz w:val="13"/>
              </w:rPr>
              <w:t>object</w:t>
            </w:r>
          </w:p>
        </w:tc>
        <w:tc>
          <w:tcPr>
            <w:tcW w:type="dxa" w:w="2189"/>
            <w:shd w:fill="F7F7F4"/>
            <w:tcBorders>
              <w:top w:val="single" w:sz="6" w:space="0" w:color="D9DEE5"/>
              <w:left w:val="single" w:sz="6" w:space="0" w:color="D9DEE5"/>
              <w:bottom w:val="single" w:sz="6" w:space="0" w:color="D9DEE5"/>
              <w:right w:val="single" w:sz="6" w:space="0" w:color="D9DEE5"/>
            </w:tcBorders>
          </w:tcPr>
          <w:p>
            <w:pPr>
              <w:jc w:val="center"/>
            </w:pPr>
            <w:r>
              <w:rPr>
                <w:rFonts w:ascii="Arial" w:hAnsi="Arial"/>
                <w:color w:val="3C4858"/>
                <w:sz w:val="13"/>
              </w:rPr>
              <w:t>control</w:t>
            </w:r>
          </w:p>
        </w:tc>
        <w:tc>
          <w:tcPr>
            <w:tcW w:type="dxa" w:w="2189"/>
            <w:shd w:fill="F7F7F4"/>
            <w:tcBorders>
              <w:top w:val="single" w:sz="6" w:space="0" w:color="D9DEE5"/>
              <w:left w:val="single" w:sz="6" w:space="0" w:color="D9DEE5"/>
              <w:bottom w:val="single" w:sz="6" w:space="0" w:color="D9DEE5"/>
              <w:right w:val="single" w:sz="6" w:space="0" w:color="D9DEE5"/>
            </w:tcBorders>
          </w:tcPr>
          <w:p>
            <w:pPr>
              <w:jc w:val="center"/>
            </w:pPr>
            <w:r>
              <w:rPr>
                <w:rFonts w:ascii="Arial" w:hAnsi="Arial"/>
                <w:color w:val="3C4858"/>
                <w:sz w:val="13"/>
              </w:rPr>
              <w:t>object</w:t>
            </w:r>
          </w:p>
        </w:tc>
      </w:tr>
    </w:tbl>
    <w:p>
      <w:pPr>
        <w:jc w:val="center"/>
      </w:pPr>
      <w:r>
        <w:rPr>
          <w:rFonts w:ascii="Arial" w:hAnsi="Arial"/>
          <w:i/>
          <w:color w:val="8A6A20"/>
          <w:sz w:val="15"/>
        </w:rPr>
        <w:t>The chain is an analytical pattern, not an incident probability model.</w:t>
      </w:r>
    </w:p>
    <w:p/>
    <w:p>
      <w:r>
        <w:t>Trigger -&gt; Missing Object -&gt; Evidence Gap -&gt; Enterprise Consequence -&gt; Remediation Closure</w:t>
      </w:r>
    </w:p>
    <w:p/>
    <w:p>
      <w:pPr>
        <w:pStyle w:val="Heading2"/>
      </w:pPr>
      <w:r>
        <w:t>Failure Categories</w:t>
      </w:r>
    </w:p>
    <w:p/>
    <w:p>
      <w:pPr>
        <w:sectPr>
          <w:pgSz w:w="12240" w:h="158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3648"/>
        <w:gridCol w:w="3648"/>
        <w:gridCol w:w="3648"/>
      </w:tblGrid>
      <w:tr>
        <w:trPr>
          <w:tblHeader w:val="true"/>
          <w:cantSplit/>
        </w:trPr>
        <w:tc>
          <w:tcPr>
            <w:tcW w:type="dxa" w:w="3408"/>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Failure Category</w:t>
            </w:r>
          </w:p>
        </w:tc>
        <w:tc>
          <w:tcPr>
            <w:tcW w:type="dxa" w:w="3408"/>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Typical Missing Object</w:t>
            </w:r>
          </w:p>
        </w:tc>
        <w:tc>
          <w:tcPr>
            <w:tcW w:type="dxa" w:w="3408"/>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Enterprise Risk</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Authority and boundary failure</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Delegated Authority Boundary; Authority Drift</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Unauthorized action and liability dispute</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Evidence and traceability failure</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MAS Evidence Partitioning; Evidence Minimization</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Audit failure and dispute resolution failure</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Responsibility and acceptance failure</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Human Role Mapping; Accepted Outcome</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No accountable owner for outcome</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Integration and substitution failure</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Cross-Project Reuse; Vendor/Runtime Substitution</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Compliance drift across reuse or vendor change</w:t>
            </w:r>
          </w:p>
        </w:tc>
      </w:tr>
    </w:tbl>
    <w:p>
      <w:pPr>
        <w:sectPr>
          <w:pgSz w:w="12240" w:h="15840"/>
          <w:pgMar w:top="792" w:right="648" w:bottom="792" w:left="648" w:header="720" w:footer="720" w:gutter="0"/>
          <w:cols w:space="720"/>
          <w:docGrid w:linePitch="360"/>
        </w:sectPr>
      </w:pPr>
    </w:p>
    <w:p/>
    <w:p>
      <w:r>
        <w:t>The full scenario set is preserved in the technical evidence pack.</w:t>
      </w:r>
    </w:p>
    <w:p/>
    <w:p>
      <w:pPr>
        <w:pStyle w:val="Heading1"/>
      </w:pPr>
      <w:r>
        <w:t>12. Adoption Roadmap</w:t>
      </w:r>
    </w:p>
    <w:p/>
    <w:p>
      <w:r>
        <w:t>Enterprises should treat lifecycle governance as an adoption path, not as a one-time checklist.</w:t>
      </w:r>
    </w:p>
    <w:p/>
    <w:p/>
    <w:p>
      <w:pPr>
        <w:keepNext/>
      </w:pPr>
      <w:r>
        <w:rPr>
          <w:rFonts w:ascii="Arial" w:hAnsi="Arial"/>
          <w:b/>
          <w:color w:val="111318"/>
          <w:sz w:val="18"/>
        </w:rPr>
        <w:t>Figure F-11: Stage 0-to-7 Adoption Roadmap</w:t>
      </w:r>
    </w:p>
    <w:tbl>
      <w:tblPr>
        <w:tblStyle w:val="TableGrid"/>
        <w:tblW w:type="auto" w:w="0"/>
        <w:jc w:val="center"/>
        <w:tblLayout w:type="autofit"/>
        <w:tblLook w:firstColumn="1" w:firstRow="1" w:lastColumn="0" w:lastRow="0" w:noHBand="0" w:noVBand="1" w:val="04A0"/>
      </w:tblPr>
      <w:tblGrid>
        <w:gridCol w:w="1368"/>
        <w:gridCol w:w="1368"/>
        <w:gridCol w:w="1368"/>
        <w:gridCol w:w="1368"/>
        <w:gridCol w:w="1368"/>
        <w:gridCol w:w="1368"/>
        <w:gridCol w:w="1368"/>
        <w:gridCol w:w="1368"/>
      </w:tblGrid>
      <w:tr>
        <w:tc>
          <w:tcPr>
            <w:tcW w:type="dxa" w:w="1368"/>
            <w:shd w:fill="111318"/>
            <w:tcBorders>
              <w:top w:val="single" w:sz="6" w:space="0" w:color="111318"/>
              <w:left w:val="single" w:sz="6" w:space="0" w:color="111318"/>
              <w:bottom w:val="single" w:sz="6" w:space="0" w:color="111318"/>
              <w:right w:val="single" w:sz="6" w:space="0" w:color="111318"/>
            </w:tcBorders>
          </w:tcPr>
          <w:p>
            <w:pPr>
              <w:jc w:val="center"/>
            </w:pPr>
            <w:r>
              <w:rPr>
                <w:rFonts w:ascii="Arial" w:hAnsi="Arial"/>
                <w:b/>
                <w:color w:val="F7F7F4"/>
                <w:sz w:val="14"/>
              </w:rPr>
              <w:t>0 Inventory</w:t>
            </w:r>
          </w:p>
        </w:tc>
        <w:tc>
          <w:tcPr>
            <w:tcW w:type="dxa" w:w="1368"/>
            <w:shd w:fill="111318"/>
            <w:tcBorders>
              <w:top w:val="single" w:sz="6" w:space="0" w:color="111318"/>
              <w:left w:val="single" w:sz="6" w:space="0" w:color="111318"/>
              <w:bottom w:val="single" w:sz="6" w:space="0" w:color="111318"/>
              <w:right w:val="single" w:sz="6" w:space="0" w:color="111318"/>
            </w:tcBorders>
          </w:tcPr>
          <w:p>
            <w:pPr>
              <w:jc w:val="center"/>
            </w:pPr>
            <w:r>
              <w:rPr>
                <w:rFonts w:ascii="Arial" w:hAnsi="Arial"/>
                <w:b/>
                <w:color w:val="F7F7F4"/>
                <w:sz w:val="14"/>
              </w:rPr>
              <w:t>1 Authority</w:t>
            </w:r>
          </w:p>
        </w:tc>
        <w:tc>
          <w:tcPr>
            <w:tcW w:type="dxa" w:w="1368"/>
            <w:shd w:fill="111318"/>
            <w:tcBorders>
              <w:top w:val="single" w:sz="6" w:space="0" w:color="111318"/>
              <w:left w:val="single" w:sz="6" w:space="0" w:color="111318"/>
              <w:bottom w:val="single" w:sz="6" w:space="0" w:color="111318"/>
              <w:right w:val="single" w:sz="6" w:space="0" w:color="111318"/>
            </w:tcBorders>
          </w:tcPr>
          <w:p>
            <w:pPr>
              <w:jc w:val="center"/>
            </w:pPr>
            <w:r>
              <w:rPr>
                <w:rFonts w:ascii="Arial" w:hAnsi="Arial"/>
                <w:b/>
                <w:color w:val="F7F7F4"/>
                <w:sz w:val="14"/>
              </w:rPr>
              <w:t>2 Responsibility</w:t>
            </w:r>
          </w:p>
        </w:tc>
        <w:tc>
          <w:tcPr>
            <w:tcW w:type="dxa" w:w="1368"/>
            <w:shd w:fill="111318"/>
            <w:tcBorders>
              <w:top w:val="single" w:sz="6" w:space="0" w:color="111318"/>
              <w:left w:val="single" w:sz="6" w:space="0" w:color="111318"/>
              <w:bottom w:val="single" w:sz="6" w:space="0" w:color="111318"/>
              <w:right w:val="single" w:sz="6" w:space="0" w:color="111318"/>
            </w:tcBorders>
          </w:tcPr>
          <w:p>
            <w:pPr>
              <w:jc w:val="center"/>
            </w:pPr>
            <w:r>
              <w:rPr>
                <w:rFonts w:ascii="Arial" w:hAnsi="Arial"/>
                <w:b/>
                <w:color w:val="F7F7F4"/>
                <w:sz w:val="14"/>
              </w:rPr>
              <w:t>3 Evidence</w:t>
            </w:r>
          </w:p>
        </w:tc>
        <w:tc>
          <w:tcPr>
            <w:tcW w:type="dxa" w:w="1368"/>
            <w:shd w:fill="111318"/>
            <w:tcBorders>
              <w:top w:val="single" w:sz="6" w:space="0" w:color="111318"/>
              <w:left w:val="single" w:sz="6" w:space="0" w:color="111318"/>
              <w:bottom w:val="single" w:sz="6" w:space="0" w:color="111318"/>
              <w:right w:val="single" w:sz="6" w:space="0" w:color="111318"/>
            </w:tcBorders>
          </w:tcPr>
          <w:p>
            <w:pPr>
              <w:jc w:val="center"/>
            </w:pPr>
            <w:r>
              <w:rPr>
                <w:rFonts w:ascii="Arial" w:hAnsi="Arial"/>
                <w:b/>
                <w:color w:val="F7F7F4"/>
                <w:sz w:val="14"/>
              </w:rPr>
              <w:t>4 Privacy</w:t>
            </w:r>
          </w:p>
        </w:tc>
        <w:tc>
          <w:tcPr>
            <w:tcW w:type="dxa" w:w="1368"/>
            <w:shd w:fill="111318"/>
            <w:tcBorders>
              <w:top w:val="single" w:sz="6" w:space="0" w:color="111318"/>
              <w:left w:val="single" w:sz="6" w:space="0" w:color="111318"/>
              <w:bottom w:val="single" w:sz="6" w:space="0" w:color="111318"/>
              <w:right w:val="single" w:sz="6" w:space="0" w:color="111318"/>
            </w:tcBorders>
          </w:tcPr>
          <w:p>
            <w:pPr>
              <w:jc w:val="center"/>
            </w:pPr>
            <w:r>
              <w:rPr>
                <w:rFonts w:ascii="Arial" w:hAnsi="Arial"/>
                <w:b/>
                <w:color w:val="F7F7F4"/>
                <w:sz w:val="14"/>
              </w:rPr>
              <w:t>5 Validation</w:t>
            </w:r>
          </w:p>
        </w:tc>
        <w:tc>
          <w:tcPr>
            <w:tcW w:type="dxa" w:w="1368"/>
            <w:shd w:fill="111318"/>
            <w:tcBorders>
              <w:top w:val="single" w:sz="6" w:space="0" w:color="111318"/>
              <w:left w:val="single" w:sz="6" w:space="0" w:color="111318"/>
              <w:bottom w:val="single" w:sz="6" w:space="0" w:color="111318"/>
              <w:right w:val="single" w:sz="6" w:space="0" w:color="111318"/>
            </w:tcBorders>
          </w:tcPr>
          <w:p>
            <w:pPr>
              <w:jc w:val="center"/>
            </w:pPr>
            <w:r>
              <w:rPr>
                <w:rFonts w:ascii="Arial" w:hAnsi="Arial"/>
                <w:b/>
                <w:color w:val="F7F7F4"/>
                <w:sz w:val="14"/>
              </w:rPr>
              <w:t>6 Remediation</w:t>
            </w:r>
          </w:p>
        </w:tc>
        <w:tc>
          <w:tcPr>
            <w:tcW w:type="dxa" w:w="1368"/>
            <w:shd w:fill="111318"/>
            <w:tcBorders>
              <w:top w:val="single" w:sz="6" w:space="0" w:color="111318"/>
              <w:left w:val="single" w:sz="6" w:space="0" w:color="111318"/>
              <w:bottom w:val="single" w:sz="6" w:space="0" w:color="111318"/>
              <w:right w:val="single" w:sz="6" w:space="0" w:color="111318"/>
            </w:tcBorders>
          </w:tcPr>
          <w:p>
            <w:pPr>
              <w:jc w:val="center"/>
            </w:pPr>
            <w:r>
              <w:rPr>
                <w:rFonts w:ascii="Arial" w:hAnsi="Arial"/>
                <w:b/>
                <w:color w:val="F7F7F4"/>
                <w:sz w:val="14"/>
              </w:rPr>
              <w:t>7 Scale</w:t>
            </w:r>
          </w:p>
        </w:tc>
      </w:tr>
      <w:tr>
        <w:tc>
          <w:tcPr>
            <w:tcW w:type="dxa" w:w="1368"/>
            <w:shd w:fill="F7F7F4"/>
            <w:tcBorders>
              <w:top w:val="single" w:sz="6" w:space="0" w:color="D9DEE5"/>
              <w:left w:val="single" w:sz="6" w:space="0" w:color="D9DEE5"/>
              <w:bottom w:val="single" w:sz="6" w:space="0" w:color="D9DEE5"/>
              <w:right w:val="single" w:sz="6" w:space="0" w:color="D9DEE5"/>
            </w:tcBorders>
          </w:tcPr>
          <w:p>
            <w:pPr>
              <w:jc w:val="center"/>
            </w:pPr>
            <w:r>
              <w:rPr>
                <w:rFonts w:ascii="Arial" w:hAnsi="Arial"/>
                <w:color w:val="3C4858"/>
                <w:sz w:val="13"/>
              </w:rPr>
              <w:t>object</w:t>
            </w:r>
          </w:p>
        </w:tc>
        <w:tc>
          <w:tcPr>
            <w:tcW w:type="dxa" w:w="1368"/>
            <w:shd w:fill="F7F7F4"/>
            <w:tcBorders>
              <w:top w:val="single" w:sz="6" w:space="0" w:color="D9DEE5"/>
              <w:left w:val="single" w:sz="6" w:space="0" w:color="D9DEE5"/>
              <w:bottom w:val="single" w:sz="6" w:space="0" w:color="D9DEE5"/>
              <w:right w:val="single" w:sz="6" w:space="0" w:color="D9DEE5"/>
            </w:tcBorders>
          </w:tcPr>
          <w:p>
            <w:pPr>
              <w:jc w:val="center"/>
            </w:pPr>
            <w:r>
              <w:rPr>
                <w:rFonts w:ascii="Arial" w:hAnsi="Arial"/>
                <w:color w:val="3C4858"/>
                <w:sz w:val="13"/>
              </w:rPr>
              <w:t>control</w:t>
            </w:r>
          </w:p>
        </w:tc>
        <w:tc>
          <w:tcPr>
            <w:tcW w:type="dxa" w:w="1368"/>
            <w:shd w:fill="F7F7F4"/>
            <w:tcBorders>
              <w:top w:val="single" w:sz="6" w:space="0" w:color="D9DEE5"/>
              <w:left w:val="single" w:sz="6" w:space="0" w:color="D9DEE5"/>
              <w:bottom w:val="single" w:sz="6" w:space="0" w:color="D9DEE5"/>
              <w:right w:val="single" w:sz="6" w:space="0" w:color="D9DEE5"/>
            </w:tcBorders>
          </w:tcPr>
          <w:p>
            <w:pPr>
              <w:jc w:val="center"/>
            </w:pPr>
            <w:r>
              <w:rPr>
                <w:rFonts w:ascii="Arial" w:hAnsi="Arial"/>
                <w:color w:val="3C4858"/>
                <w:sz w:val="13"/>
              </w:rPr>
              <w:t>object</w:t>
            </w:r>
          </w:p>
        </w:tc>
        <w:tc>
          <w:tcPr>
            <w:tcW w:type="dxa" w:w="1368"/>
            <w:shd w:fill="F7F7F4"/>
            <w:tcBorders>
              <w:top w:val="single" w:sz="6" w:space="0" w:color="D9DEE5"/>
              <w:left w:val="single" w:sz="6" w:space="0" w:color="D9DEE5"/>
              <w:bottom w:val="single" w:sz="6" w:space="0" w:color="D9DEE5"/>
              <w:right w:val="single" w:sz="6" w:space="0" w:color="D9DEE5"/>
            </w:tcBorders>
          </w:tcPr>
          <w:p>
            <w:pPr>
              <w:jc w:val="center"/>
            </w:pPr>
            <w:r>
              <w:rPr>
                <w:rFonts w:ascii="Arial" w:hAnsi="Arial"/>
                <w:color w:val="3C4858"/>
                <w:sz w:val="13"/>
              </w:rPr>
              <w:t>control</w:t>
            </w:r>
          </w:p>
        </w:tc>
        <w:tc>
          <w:tcPr>
            <w:tcW w:type="dxa" w:w="1368"/>
            <w:shd w:fill="F7F7F4"/>
            <w:tcBorders>
              <w:top w:val="single" w:sz="6" w:space="0" w:color="D9DEE5"/>
              <w:left w:val="single" w:sz="6" w:space="0" w:color="D9DEE5"/>
              <w:bottom w:val="single" w:sz="6" w:space="0" w:color="D9DEE5"/>
              <w:right w:val="single" w:sz="6" w:space="0" w:color="D9DEE5"/>
            </w:tcBorders>
          </w:tcPr>
          <w:p>
            <w:pPr>
              <w:jc w:val="center"/>
            </w:pPr>
            <w:r>
              <w:rPr>
                <w:rFonts w:ascii="Arial" w:hAnsi="Arial"/>
                <w:color w:val="3C4858"/>
                <w:sz w:val="13"/>
              </w:rPr>
              <w:t>object</w:t>
            </w:r>
          </w:p>
        </w:tc>
        <w:tc>
          <w:tcPr>
            <w:tcW w:type="dxa" w:w="1368"/>
            <w:shd w:fill="F7F7F4"/>
            <w:tcBorders>
              <w:top w:val="single" w:sz="6" w:space="0" w:color="D9DEE5"/>
              <w:left w:val="single" w:sz="6" w:space="0" w:color="D9DEE5"/>
              <w:bottom w:val="single" w:sz="6" w:space="0" w:color="D9DEE5"/>
              <w:right w:val="single" w:sz="6" w:space="0" w:color="D9DEE5"/>
            </w:tcBorders>
          </w:tcPr>
          <w:p>
            <w:pPr>
              <w:jc w:val="center"/>
            </w:pPr>
            <w:r>
              <w:rPr>
                <w:rFonts w:ascii="Arial" w:hAnsi="Arial"/>
                <w:color w:val="3C4858"/>
                <w:sz w:val="13"/>
              </w:rPr>
              <w:t>control</w:t>
            </w:r>
          </w:p>
        </w:tc>
        <w:tc>
          <w:tcPr>
            <w:tcW w:type="dxa" w:w="1368"/>
            <w:shd w:fill="F7F7F4"/>
            <w:tcBorders>
              <w:top w:val="single" w:sz="6" w:space="0" w:color="D9DEE5"/>
              <w:left w:val="single" w:sz="6" w:space="0" w:color="D9DEE5"/>
              <w:bottom w:val="single" w:sz="6" w:space="0" w:color="D9DEE5"/>
              <w:right w:val="single" w:sz="6" w:space="0" w:color="D9DEE5"/>
            </w:tcBorders>
          </w:tcPr>
          <w:p>
            <w:pPr>
              <w:jc w:val="center"/>
            </w:pPr>
            <w:r>
              <w:rPr>
                <w:rFonts w:ascii="Arial" w:hAnsi="Arial"/>
                <w:color w:val="3C4858"/>
                <w:sz w:val="13"/>
              </w:rPr>
              <w:t>object</w:t>
            </w:r>
          </w:p>
        </w:tc>
        <w:tc>
          <w:tcPr>
            <w:tcW w:type="dxa" w:w="1368"/>
            <w:shd w:fill="F7F7F4"/>
            <w:tcBorders>
              <w:top w:val="single" w:sz="6" w:space="0" w:color="D9DEE5"/>
              <w:left w:val="single" w:sz="6" w:space="0" w:color="D9DEE5"/>
              <w:bottom w:val="single" w:sz="6" w:space="0" w:color="D9DEE5"/>
              <w:right w:val="single" w:sz="6" w:space="0" w:color="D9DEE5"/>
            </w:tcBorders>
          </w:tcPr>
          <w:p>
            <w:pPr>
              <w:jc w:val="center"/>
            </w:pPr>
            <w:r>
              <w:rPr>
                <w:rFonts w:ascii="Arial" w:hAnsi="Arial"/>
                <w:color w:val="3C4858"/>
                <w:sz w:val="13"/>
              </w:rPr>
              <w:t>control</w:t>
            </w:r>
          </w:p>
        </w:tc>
      </w:tr>
    </w:tbl>
    <w:p>
      <w:pPr>
        <w:jc w:val="center"/>
      </w:pPr>
      <w:r>
        <w:rPr>
          <w:rFonts w:ascii="Arial" w:hAnsi="Arial"/>
          <w:i/>
          <w:color w:val="8A6A20"/>
          <w:sz w:val="15"/>
        </w:rPr>
        <w:t>The roadmap is an adoption path, not a certification checklist.</w:t>
      </w:r>
    </w:p>
    <w:p/>
    <w:p>
      <w:r>
        <w:t>0 Inventory -&gt; 1 Authority -&gt; 2 Responsibility -&gt; 3 Evidence -&gt; 4 Privacy -&gt; 5 Validation -&gt; 6 Remediation -&gt; 7 Scale</w:t>
      </w:r>
    </w:p>
    <w:p/>
    <w:p>
      <w:pPr>
        <w:pStyle w:val="Heading2"/>
      </w:pPr>
      <w:r>
        <w:t>Roadmap Summary</w:t>
      </w:r>
    </w:p>
    <w:p/>
    <w:p>
      <w:pPr>
        <w:sectPr>
          <w:pgSz w:w="12240" w:h="158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3648"/>
        <w:gridCol w:w="3648"/>
        <w:gridCol w:w="3648"/>
      </w:tblGrid>
      <w:tr>
        <w:trPr>
          <w:tblHeader w:val="true"/>
          <w:cantSplit/>
        </w:trPr>
        <w:tc>
          <w:tcPr>
            <w:tcW w:type="dxa" w:w="3408"/>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Stage</w:t>
            </w:r>
          </w:p>
        </w:tc>
        <w:tc>
          <w:tcPr>
            <w:tcW w:type="dxa" w:w="3408"/>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Goal</w:t>
            </w:r>
          </w:p>
        </w:tc>
        <w:tc>
          <w:tcPr>
            <w:tcW w:type="dxa" w:w="3408"/>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Output</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0 Inventory</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Identify agentic behavior</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Agentic behavior inventory</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1 Authority</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Define delegated authority boundaries</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Authority records and drift monitoring</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2 Responsibility</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Map human roles to agentic responsibility</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Role-responsibility map</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3 Evidence</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Convert logs into evidence chains</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Partitioned evidence chain</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4 Privacy</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Map privacy and subject rights across lifecycle</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Lifecycle privacy map</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5 Validation</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Prepare evidence-based validation</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Validation packs and rulesets</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6 Remediation</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Close incidents and disputes</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Remediation closure records</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7 Scale</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Integrate with enterprise controls</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Lifecycle governance operating model</w:t>
            </w:r>
          </w:p>
        </w:tc>
      </w:tr>
    </w:tbl>
    <w:p>
      <w:pPr>
        <w:sectPr>
          <w:pgSz w:w="12240" w:h="15840"/>
          <w:pgMar w:top="792" w:right="648" w:bottom="792" w:left="648" w:header="720" w:footer="720" w:gutter="0"/>
          <w:cols w:space="720"/>
          <w:docGrid w:linePitch="360"/>
        </w:sectPr>
      </w:pPr>
    </w:p>
    <w:p/>
    <w:p>
      <w:pPr>
        <w:pStyle w:val="Heading1"/>
      </w:pPr>
      <w:r>
        <w:t>13. Public Technical Briefs</w:t>
      </w:r>
    </w:p>
    <w:p/>
    <w:p>
      <w:r>
        <w:t>This section expands the public argument without reintroducing the full technical appendix corpus. It draws from the active body chapters, removes dense tables, omits internal placeholder language, and preserves the paper's boundary discipline. The complete tables, rubrics, mappings, source ledgers, and QA reports remain in the separate technical evidence pack.</w:t>
      </w:r>
    </w:p>
    <w:p/>
    <w:p>
      <w:pPr>
        <w:pStyle w:val="Heading2"/>
      </w:pPr>
      <w:r>
        <w:t>Scope, Methodology, and Boundary</w:t>
      </w:r>
    </w:p>
    <w:p/>
    <w:p>
      <w:pPr>
        <w:pStyle w:val="Heading3"/>
      </w:pPr>
      <w:r>
        <w:t>Chapter 1: Scope, Methodology, and Non-Legal Boundary</w:t>
      </w:r>
    </w:p>
    <w:p/>
    <w:p>
      <w:r>
        <w:t>Version: v0.3.2-FRC-R3</w:t>
      </w:r>
    </w:p>
    <w:p>
      <w:r>
        <w:t>Phase: 1A-2</w:t>
      </w:r>
    </w:p>
    <w:p/>
    <w:p/>
    <w:p>
      <w:pPr>
        <w:pStyle w:val="Heading3"/>
      </w:pPr>
      <w:r>
        <w:t>1.1 Purpose and Positioning</w:t>
      </w:r>
    </w:p>
    <w:p/>
    <w:p>
      <w:r>
        <w:t>This paper is a technical governance analysis, not legal advice. It translates regulatory and standards language into engineering requirements for agentic and multi-agent systems. It is written for AI governance leaders, enterprise architects, AI risk teams, compliance teams, cybersecurity leaders, agent platform builders, insurance and assurance professionals, and protocol designers.</w:t>
      </w:r>
    </w:p>
    <w:p/>
    <w:p>
      <w:r>
        <w:t>The paper does not claim that current AI regulation is absent or weak. The claim is narrower and more technical: current regulation and governance frameworks increasingly require human oversight, logging, documentation, monitoring, accountability, transparency, and privacy controls, but they do not yet fully specify the lifecycle objects required to prove those properties inside dynamic agentic and multi-agent execution.</w:t>
      </w:r>
    </w:p>
    <w:p/>
    <w:p>
      <w:r>
        <w:t>This full research edition expands the v0.3 framework into a publication-grade white paper. Its purpose is to define a missing semantic and engineering layer for AI agent and multi-agent system compliance. It is deliberately more detailed than an executive brief: the paper introduces a terminology layer, an object model, a dual scoring framework, system-specific mappings, comparative matrices, and implementation templates.</w:t>
      </w:r>
    </w:p>
    <w:p/>
    <w:p>
      <w:pPr>
        <w:pStyle w:val="Heading3"/>
      </w:pPr>
      <w:r>
        <w:t>1.2 Intended Audience</w:t>
      </w:r>
    </w:p>
    <w:p/>
    <w:p>
      <w:r>
        <w:t>This paper is designed for professionals who must translate regulatory obligations into operational systems:</w:t>
      </w:r>
    </w:p>
    <w:p/>
    <w:p>
      <w:pPr>
        <w:pStyle w:val="ListBullet"/>
      </w:pPr>
      <w:r>
        <w:t>AI Governance Leaders who must define enterprise AI governance frameworks that extend beyond model risk management</w:t>
      </w:r>
    </w:p>
    <w:p>
      <w:pPr>
        <w:pStyle w:val="ListBullet"/>
      </w:pPr>
      <w:r>
        <w:t>Enterprise Architects who must design agentic systems that can demonstrate lifecycle responsibility</w:t>
      </w:r>
    </w:p>
    <w:p>
      <w:pPr>
        <w:pStyle w:val="ListBullet"/>
      </w:pPr>
      <w:r>
        <w:t>AI Risk Teams who must assess whether agentic workflows meet regulatory and internal control requirements</w:t>
      </w:r>
    </w:p>
    <w:p>
      <w:pPr>
        <w:pStyle w:val="ListBullet"/>
      </w:pPr>
      <w:r>
        <w:t>Compliance Teams who must map regulatory language to technical controls</w:t>
      </w:r>
    </w:p>
    <w:p>
      <w:pPr>
        <w:pStyle w:val="ListBullet"/>
      </w:pPr>
      <w:r>
        <w:t>Cybersecurity Leaders who must secure agentic workflows across tool actions, memory, and delegation</w:t>
      </w:r>
    </w:p>
    <w:p>
      <w:pPr>
        <w:pStyle w:val="ListBullet"/>
      </w:pPr>
      <w:r>
        <w:t>Agent Platform Builders who must design platforms that support lifecycle governance primitives</w:t>
      </w:r>
    </w:p>
    <w:p>
      <w:pPr>
        <w:pStyle w:val="ListBullet"/>
      </w:pPr>
      <w:r>
        <w:t>Insurance and Assurance Professionals who must evaluate whether agentic systems are auditable and insurable</w:t>
      </w:r>
    </w:p>
    <w:p>
      <w:pPr>
        <w:pStyle w:val="ListBullet"/>
      </w:pPr>
      <w:r>
        <w:t>Protocol Designers who must create standards for agentic lifecycle responsibility</w:t>
      </w:r>
    </w:p>
    <w:p/>
    <w:p>
      <w:pPr>
        <w:pStyle w:val="Heading3"/>
      </w:pPr>
      <w:r>
        <w:t>1.3 Scope Boundary</w:t>
      </w:r>
    </w:p>
    <w:p/>
    <w:p>
      <w:r>
        <w:t>The scope includes internationally comparable legal frameworks, voluntary governance frameworks, management standards, web provenance standards, public cloud AI platforms, agent orchestration frameworks, developer SDKs, and protocol-level approaches. The analysis deliberately avoids jurisdiction-specific political content controls and focuses instead on lifecycle responsibility, auditability, privacy, evidence, and enterprise deployment readiness.</w:t>
      </w:r>
    </w:p>
    <w:p/>
    <w:p>
      <w:pPr>
        <w:pStyle w:val="Heading3"/>
      </w:pPr>
      <w:r>
        <w:t>1.4 Methodology</w:t>
      </w:r>
    </w:p>
    <w:p/>
    <w:p>
      <w:r>
        <w:t>The methodology uses a layered approach:</w:t>
      </w:r>
    </w:p>
    <w:p/>
    <w:p>
      <w:r>
        <w:t>1. Extract recurring regulatory concepts from the baseline frameworks: risk management, documentation, logs, transparency, oversight, accountability, security, monitoring, privacy, and redress.</w:t>
      </w:r>
    </w:p>
    <w:p/>
    <w:p>
      <w:r>
        <w:t>2. Ask how these concepts must change when the AI system becomes agentic. The central question is: what must be represented differently when the unit of work is no longer a single model output, but a multi-step workflow involving planning, tool use, memory, delegation, collaboration, and external consequence?</w:t>
      </w:r>
    </w:p>
    <w:p/>
    <w:p>
      <w:r>
        <w:t>3. Define Missing Regulatory Objects that make those obligations testable. These are not proposed legal mandates. They are engineering objects that appear necessary if existing regulatory ideals are to become auditable in multi-agent execution.</w:t>
      </w:r>
    </w:p>
    <w:p/>
    <w:p>
      <w:r>
        <w:t>4. Introduce RCCS and ALCS scoring to separate ordinary governance coverage from lifecycle conformance. RCCS measures how strongly a system covers existing regulatory and governance requirements. ALCS measures whether a system defines the agentic lifecycle objects required for lifecycle responsibility compliance.</w:t>
      </w:r>
    </w:p>
    <w:p/>
    <w:p>
      <w:r>
        <w:t>5. Map representative systems against those objects based on publicly available evidence. The comparison is not a ranking of product quality. It is a map of responsibility semantics.</w:t>
      </w:r>
    </w:p>
    <w:p/>
    <w:p>
      <w:r>
        <w:t>The paper avoids pretending that regulatory texts already contain every engineering primitive needed for MAS. It also avoids the opposite error of claiming that existing regulation is irrelevant. The correct position is that existing regulation establishes the direction of travel, while agentic systems require additional engineering object models to implement that direction faithfully.</w:t>
      </w:r>
    </w:p>
    <w:p/>
    <w:p>
      <w:pPr>
        <w:pStyle w:val="Heading3"/>
      </w:pPr>
      <w:r>
        <w:t>1.5 Evidence Basis</w:t>
      </w:r>
    </w:p>
    <w:p/>
    <w:p>
      <w:r>
        <w:t>This hierarchy is necessary because the AI governance market has rapidly overloaded terms such as trace, guardrail, oversight, agent governance, evidence, approval, and evaluation. A trace in an observability product, a log in a cloud service, a review step in an SDK, and an evidence chain in a lifecycle protocol may all sound similar, but they have different compliance strength. This paper therefore treats terminology as insufficient unless it is tied to an object, a rule, an evidence source, and an enforcement or verification mechanism.</w:t>
      </w:r>
    </w:p>
    <w:p/>
    <w:p>
      <w:pPr>
        <w:pStyle w:val="Heading3"/>
      </w:pPr>
      <w:r>
        <w:t>1.6 Non-Legal Boundary and Conflict of Interest Disclosure</w:t>
      </w:r>
    </w:p>
    <w:p/>
    <w:p>
      <w:r>
        <w:t>Author position: Protocol Architect for the Agent Era</w:t>
      </w:r>
    </w:p>
    <w:p/>
    <w:p>
      <w:r>
        <w:t>Non-legal technical governance analysis. Not legal advice. MPLP is discussed with explicit conflict-of-interest disclosure.</w:t>
      </w:r>
    </w:p>
    <w:p/>
    <w:p>
      <w:r>
        <w:t>The author is the creator of MPLP - Multi-Agent Lifecycle Protocol. MPLP is one of the systems discussed in this paper. This creates an inherent conflict of interest. The conflict does not invalidate the analysis, but it must be disclosed clearly because this paper argues for a lifecycle protocol layer and then maps MPLP to that layer.</w:t>
      </w:r>
    </w:p>
    <w:p/>
    <w:p>
      <w:r>
        <w:t>The controls used to limit over-claiming are as follows:</w:t>
      </w:r>
    </w:p>
    <w:p/>
    <w:p>
      <w:pPr>
        <w:pStyle w:val="ListBullet"/>
      </w:pPr>
      <w:r>
        <w:t>MPLP is treated as a protocol path, not a regulator</w:t>
      </w:r>
    </w:p>
    <w:p>
      <w:pPr>
        <w:pStyle w:val="ListBullet"/>
      </w:pPr>
      <w:r>
        <w:t>Validation Lab is treated as non-certifying evidence adjudication, not legal certification</w:t>
      </w:r>
    </w:p>
    <w:p>
      <w:pPr>
        <w:pStyle w:val="ListBullet"/>
      </w:pPr>
      <w:r>
        <w:t>Other platforms are evaluated for their own strengths rather than dismissed</w:t>
      </w:r>
    </w:p>
    <w:p>
      <w:pPr>
        <w:pStyle w:val="ListBullet"/>
      </w:pPr>
      <w:r>
        <w:t>Scoring claims are separated into regulatory coverage and lifecycle conformance evidence levels</w:t>
      </w:r>
    </w:p>
    <w:p>
      <w:pPr>
        <w:pStyle w:val="ListBullet"/>
      </w:pPr>
      <w:r>
        <w:t>The paper distinguishes a conceptual object model from real-world legal compliance</w:t>
      </w:r>
    </w:p>
    <w:p/>
    <w:p>
      <w:pPr>
        <w:pStyle w:val="Heading2"/>
      </w:pPr>
      <w:r>
        <w:t>The Missing Layer</w:t>
      </w:r>
    </w:p>
    <w:p/>
    <w:p>
      <w:pPr>
        <w:pStyle w:val="Heading3"/>
      </w:pPr>
      <w:r>
        <w:t>Chapter 2: The Missing Layer: AI Agent Lifecycle Governance</w:t>
      </w:r>
    </w:p>
    <w:p/>
    <w:p>
      <w:r>
        <w:t>Version: v0.3.2-FRC-R3</w:t>
      </w:r>
    </w:p>
    <w:p>
      <w:r>
        <w:t>Phase: 1A-2</w:t>
      </w:r>
    </w:p>
    <w:p/>
    <w:p/>
    <w:p>
      <w:pPr>
        <w:pStyle w:val="Heading3"/>
      </w:pPr>
      <w:r>
        <w:t>2.1 Defining AI Agent Lifecycle Governance</w:t>
      </w:r>
    </w:p>
    <w:p/>
    <w:p>
      <w:r>
        <w:t>AI Agent Lifecycle Governance is the missing governance layer between model compliance and enterprise agent deployment. It defines how agentic work is authorized, executed, evidenced, reviewed, accepted, disputed, remediated, and reused across agents, humans, tools, projects, vendors, and organizational boundaries.</w:t>
      </w:r>
    </w:p>
    <w:p/>
    <w:p>
      <w:r>
        <w:t>The phrase matters because existing language is fragmented:</w:t>
      </w:r>
    </w:p>
    <w:p/>
    <w:p>
      <w:pPr>
        <w:pStyle w:val="ListBullet"/>
      </w:pPr>
      <w:r>
        <w:t>Model governance focuses on models</w:t>
      </w:r>
    </w:p>
    <w:p>
      <w:pPr>
        <w:pStyle w:val="ListBullet"/>
      </w:pPr>
      <w:r>
        <w:t>AI risk management focuses on organizational risk processes</w:t>
      </w:r>
    </w:p>
    <w:p>
      <w:pPr>
        <w:pStyle w:val="ListBullet"/>
      </w:pPr>
      <w:r>
        <w:t>Agent orchestration focuses on execution flow</w:t>
      </w:r>
    </w:p>
    <w:p>
      <w:pPr>
        <w:pStyle w:val="ListBullet"/>
      </w:pPr>
      <w:r>
        <w:t>Observability focuses on traces, metrics, and debugging</w:t>
      </w:r>
    </w:p>
    <w:p>
      <w:pPr>
        <w:pStyle w:val="ListBullet"/>
      </w:pPr>
      <w:r>
        <w:t>Human-in-the-loop focuses on review or approval moments</w:t>
      </w:r>
    </w:p>
    <w:p/>
    <w:p>
      <w:r>
        <w:t>None of these terms alone names the full lifecycle responsibility problem.</w:t>
      </w:r>
    </w:p>
    <w:p/>
    <w:p>
      <w:r>
        <w:t>AI Agent Lifecycle Governance names the whole accountability surface. It asks whether an organization can demonstrate continuity from intent to outcome, not merely whether a system completed a task. It asks whether a human role had the right responsibility boundary, not merely whether a person clicked approve. It asks whether a tool action had a liability boundary, not merely whether an API key existed. It asks whether evidence can be replayed for dispute, not merely whether logs exist. It asks whether privacy survives evidence retention, not merely whether a database has access control.</w:t>
      </w:r>
    </w:p>
    <w:p/>
    <w:p>
      <w:pPr>
        <w:pStyle w:val="Heading3"/>
      </w:pPr>
      <w:r>
        <w:t>2.2 Why Existing Terms Are Insufficient</w:t>
      </w:r>
    </w:p>
    <w:p/>
    <w:p>
      <w:r>
        <w:t>The table below shows how existing governance layers answer different questions and produce different artifacts. Each layer is necessary, but none alone addresses lifecycle responsibility for agentic work.</w:t>
      </w:r>
    </w:p>
    <w:p/>
    <w:p>
      <w:pPr>
        <w:pStyle w:val="Heading3"/>
      </w:pPr>
      <w:r>
        <w:t>2.3 The Core Move: Regulatory Abstractions to Lifecycle Objects</w:t>
      </w:r>
    </w:p>
    <w:p/>
    <w:p>
      <w:r>
        <w:t>The core move in this paper is to turn regulatory abstractions into lifecycle objects:</w:t>
      </w:r>
    </w:p>
    <w:p/>
    <w:p>
      <w:pPr>
        <w:pStyle w:val="ListBullet"/>
      </w:pPr>
      <w:r>
        <w:t>Human oversight becomes human-role-to-MAS responsibility mapping</w:t>
      </w:r>
    </w:p>
    <w:p>
      <w:pPr>
        <w:pStyle w:val="ListBullet"/>
      </w:pPr>
      <w:r>
        <w:t>Logging becomes partitioned evidence chain</w:t>
      </w:r>
    </w:p>
    <w:p>
      <w:pPr>
        <w:pStyle w:val="ListBullet"/>
      </w:pPr>
      <w:r>
        <w:t>Accountability becomes tool-action liability and responsibility transfer</w:t>
      </w:r>
    </w:p>
    <w:p>
      <w:pPr>
        <w:pStyle w:val="ListBullet"/>
      </w:pPr>
      <w:r>
        <w:t>Transparency becomes evidence-linked review and accepted outcome</w:t>
      </w:r>
    </w:p>
    <w:p>
      <w:pPr>
        <w:pStyle w:val="ListBullet"/>
      </w:pPr>
      <w:r>
        <w:t>Monitoring becomes lifecycle drift, incident closure, and continuous improvement</w:t>
      </w:r>
    </w:p>
    <w:p>
      <w:pPr>
        <w:pStyle w:val="ListBullet"/>
      </w:pPr>
      <w:r>
        <w:t>Privacy becomes lifecycle data-flow mapping, minimization, and selective disclosure</w:t>
      </w:r>
    </w:p>
    <w:p/>
    <w:p>
      <w:r>
        <w:t>This is not bureaucracy for its own sake. It is the recognition that agentic systems need explicit objects because the old system boundary has dissolved. The work unit is now distributed across agents, tools, memory, people, projects, and vendors.</w:t>
      </w:r>
    </w:p>
    <w:p/>
    <w:p>
      <w:pPr>
        <w:pStyle w:val="Heading3"/>
      </w:pPr>
      <w:r>
        <w:t>2.4 The Enterprise Implication</w:t>
      </w:r>
    </w:p>
    <w:p/>
    <w:p>
      <w:r>
        <w:t>The enterprise implication is severe. If agentic workflows cannot prove lifecycle responsibility, they will remain difficult to audit, insure, delegate, reuse, and scale. This is the reason that AI Agent Lifecycle Governance is not a philosophical category. It is an operational prerequisite for agentic AI becoming trusted enterprise infrastructure.</w:t>
      </w:r>
    </w:p>
    <w:p/>
    <w:p/>
    <w:p>
      <w:r>
        <w:t>End of Chapter 2</w:t>
      </w:r>
    </w:p>
    <w:p/>
    <w:p>
      <w:pPr>
        <w:pStyle w:val="Heading2"/>
      </w:pPr>
      <w:r>
        <w:t>Why Agentic AI Breaks Model-Centric Compliance</w:t>
      </w:r>
    </w:p>
    <w:p/>
    <w:p>
      <w:pPr>
        <w:pStyle w:val="Heading3"/>
      </w:pPr>
      <w:r>
        <w:t>Chapter 3: Why Agentic AI Breaks Model-Centric Compliance</w:t>
      </w:r>
    </w:p>
    <w:p/>
    <w:p>
      <w:r>
        <w:t>Version: v0.3.2-FRC-R3</w:t>
      </w:r>
    </w:p>
    <w:p>
      <w:r>
        <w:t>Phase: 1A-2</w:t>
      </w:r>
    </w:p>
    <w:p/>
    <w:p/>
    <w:p>
      <w:pPr>
        <w:pStyle w:val="Heading3"/>
      </w:pPr>
      <w:r>
        <w:t>3.1 The Unit of Risk Changes</w:t>
      </w:r>
    </w:p>
    <w:p/>
    <w:p>
      <w:r>
        <w:t>Agentic AI breaks model-centric compliance because the unit of risk changes. A model-centric system creates risk through prediction, generation, classification, or recommendation. An agentic system creates risk through action, delegation, state change, tool use, memory, collaboration, and external consequence.</w:t>
      </w:r>
    </w:p>
    <w:p/>
    <w:p>
      <w:r>
        <w:t>This does not mean models are unimportant. It means that model safety is no longer the outer boundary of system safety. A safe model can still be embedded inside a workflow that can send an email, approve a refund, update a database, deploy code, modify access permissions, route a customer case, create a compliance record, or trigger another autonomous agent.</w:t>
      </w:r>
    </w:p>
    <w:p/>
    <w:p>
      <w:pPr>
        <w:pStyle w:val="Heading3"/>
      </w:pPr>
      <w:r>
        <w:t>3.2 Model Governance Remains Necessary But Insufficient</w:t>
      </w:r>
    </w:p>
    <w:p/>
    <w:p>
      <w:r>
        <w:t>The first generation of AI governance focused on model governance. That work remains essential: risk management, documentation, transparency, robustness, bias mitigation, security, and monitoring are all foundational. But agentic AI adds a new layer of operational consequence.</w:t>
      </w:r>
    </w:p>
    <w:p/>
    <w:p>
      <w:r>
        <w:t>A model answer becomes enterprise risk when it is embedded inside a workflow that can send an email, approve a refund, update a database, deploy code, modify access permissions, route a customer case, create a compliance record, or trigger another autonomous agent.</w:t>
      </w:r>
    </w:p>
    <w:p/>
    <w:p>
      <w:r>
        <w:t>This white paper names the missing layer AI Agent Lifecycle Governance. AI Agent Lifecycle Governance is the governance layer that defines how agentic work is authorized, executed, evidenced, reviewed, accepted, disputed, remediated, and reused across agents, humans, tools, projects, vendors, and organizational boundaries.</w:t>
      </w:r>
    </w:p>
    <w:p/>
    <w:p>
      <w:pPr>
        <w:pStyle w:val="Heading3"/>
      </w:pPr>
      <w:r>
        <w:t>3.3 Failure Mode Comparison</w:t>
      </w:r>
    </w:p>
    <w:p/>
    <w:p>
      <w:r>
        <w:t>The table below compares how failure modes manifest differently in model-centric systems versus agentic lifecycle systems.</w:t>
      </w:r>
    </w:p>
    <w:p/>
    <w:p>
      <w:pPr>
        <w:pStyle w:val="Heading3"/>
      </w:pPr>
      <w:r>
        <w:t>3.4 Why Well-Evaluated Agents Can Still Fail Governance</w:t>
      </w:r>
    </w:p>
    <w:p/>
    <w:p>
      <w:r>
        <w:t>A well-evaluated agent can still act under the wrong authority. A perfectly traced workflow can still lack accepted outcome governance. A strong guardrail can still fail to define who owns a tool action. A human approval event can still fail to show whether the human had the correct responsibility role.</w:t>
      </w:r>
    </w:p>
    <w:p/>
    <w:p>
      <w:r>
        <w:t>The enterprise implication is severe. If agentic workflows cannot prove lifecycle responsibility, they will remain difficult to audit, insure, delegate, reuse, and scale. This is the reason that AI Agent Lifecycle Governance is not a philosophical category. It is an operational prerequisite for agentic AI becoming trusted enterprise infrastructure.</w:t>
      </w:r>
    </w:p>
    <w:p/>
    <w:p>
      <w:pPr>
        <w:pStyle w:val="Heading3"/>
      </w:pPr>
      <w:r>
        <w:t>3.5 The Compliance Question Changes</w:t>
      </w:r>
    </w:p>
    <w:p/>
    <w:p>
      <w:r>
        <w:t>The central compliance question is changing:</w:t>
      </w:r>
    </w:p>
    <w:p/>
    <w:p>
      <w:pPr>
        <w:pStyle w:val="ListBullet"/>
      </w:pPr>
      <w:r>
        <w:t>Model-centric question: Did the model produce a safe output?</w:t>
      </w:r>
    </w:p>
    <w:p>
      <w:pPr>
        <w:pStyle w:val="ListBullet"/>
      </w:pPr>
      <w:r>
        <w:t>Agentic lifecycle question: Was an agentic unit of work authorized, executed, evidenced, reviewed, accepted, disputed, remediated, and improved under controlled authority, evidence, privacy, and remediation constraints?</w:t>
      </w:r>
    </w:p>
    <w:p/>
    <w:p>
      <w:r>
        <w:t>This shift has practical consequences. Enterprise buyers, auditors, insurers, regulators, and internal governance teams now need more than dashboards, logs, or guardrails. They need lifecycle objects: delegated authority boundaries, human-role-to-agent-responsibility mappings, tool-action liability records, evidence partitions, accepted outcome states, cross-project reuse controls, privacy-preserving validation packs, and dispute closure records.</w:t>
      </w:r>
    </w:p>
    <w:p/>
    <w:p>
      <w:r>
        <w:t>The paper argues that AI Agent / MAS compliance is not only model compliance. It is lifecycle responsibility compliance. That thesis has practical consequences. Enterprise buyers, auditors, insurers, regulators, and internal governance teams now need more than dashboards, logs, or guardrails. They need lifecycle objects.</w:t>
      </w:r>
    </w:p>
    <w:p/>
    <w:p/>
    <w:p>
      <w:r>
        <w:t>End of Chapter 3</w:t>
      </w:r>
    </w:p>
    <w:p/>
    <w:p>
      <w:pPr>
        <w:pStyle w:val="Heading2"/>
      </w:pPr>
      <w:r>
        <w:t>Regulatory and Standards Baseline</w:t>
      </w:r>
    </w:p>
    <w:p/>
    <w:p>
      <w:pPr>
        <w:pStyle w:val="Heading3"/>
      </w:pPr>
      <w:r>
        <w:t>Chapter 4: Regulatory and Standards Baseline</w:t>
      </w:r>
    </w:p>
    <w:p/>
    <w:p>
      <w:r>
        <w:t>Version: v0.3.2-FRC-R3</w:t>
      </w:r>
    </w:p>
    <w:p>
      <w:r>
        <w:t>Phase: 1A-2.4</w:t>
      </w:r>
    </w:p>
    <w:p/>
    <w:p/>
    <w:p>
      <w:pPr>
        <w:pStyle w:val="Heading3"/>
      </w:pPr>
      <w:r>
        <w:t>4.1 Purpose of the Baseline</w:t>
      </w:r>
    </w:p>
    <w:p/>
    <w:p>
      <w:r>
        <w:t>This chapter establishes the regulatory and standards baseline that informs the Missing Regulatory Objects and scoring frameworks introduced later in the paper. The baseline is not exhaustive. It focuses on frameworks that establish recurring obligations around risk management, documentation, record-keeping, transparency, human oversight, security, accountability, contestability, and monitoring.</w:t>
      </w:r>
    </w:p>
    <w:p/>
    <w:p>
      <w:r>
        <w:t>The analysis does not claim that these frameworks are weak or absent. The claim is technical: these frameworks give baseline obligations and conceptual direction, but agentic systems require engineering objects that bind authority, responsibility, evidence, and privacy to concrete execution states.</w:t>
      </w:r>
    </w:p>
    <w:p/>
    <w:p>
      <w:r>
        <w:t>Each framework analyzed in this chapter contributes essential governance direction. The shared pattern across all frameworks is that they establish what must be governed, but they do not themselves define the lifecycle objects required to prove that agentic work moved from intent to accepted outcome under controlled authority, evidence, privacy, and remediation constraints. That engineering layer is the focus of Chapters 6 through 9.</w:t>
      </w:r>
    </w:p>
    <w:p/>
    <w:p>
      <w:pPr>
        <w:pStyle w:val="Heading3"/>
      </w:pPr>
      <w:r>
        <w:t>4.2 Regulatory Frameworks Baseline Table</w:t>
      </w:r>
    </w:p>
    <w:p/>
    <w:p>
      <w:r>
        <w:t>The table below summarizes the frameworks analyzed in this chapter, their type, relevant requirements, and the agentic gap that remains.</w:t>
      </w:r>
    </w:p>
    <w:p/>
    <w:p>
      <w:pPr>
        <w:pStyle w:val="Heading3"/>
      </w:pPr>
      <w:r>
        <w:t>4.3 EU AI Act</w:t>
      </w:r>
    </w:p>
    <w:p/>
    <w:p>
      <w:r>
        <w:t>[EU-AI-ACT-ART-11] [EU-AI-ACT-ART-12] [EU-AI-ACT-ART-14] [EU-AI-ACT-ART-15] [EU-AI-ACT-ART-72]</w:t>
      </w:r>
    </w:p>
    <w:p/>
    <w:p>
      <w:r>
        <w:t>EU AI Act functions in this paper as binding regulation. Its relevance to agentic lifecycle conformance comes from the following requirement cluster: technical documentation, record-keeping, transparency, human oversight, accuracy/robustness/cybersecurity, post-market monitoring.</w:t>
      </w:r>
    </w:p>
    <w:p/>
    <w:p>
      <w:r>
        <w:t>What it contributes: Strong legal baseline for high-risk systems; binding direction around technical documentation, record-keeping, human oversight, and post-market monitoring.</w:t>
      </w:r>
    </w:p>
    <w:p/>
    <w:p>
      <w:r>
        <w:t>Why it matters for agentic AI: Articles 11, 12, 14, and 72 together indicate that high-risk AI systems must be documentable, loggable, supervisable, and monitored across their lifecycle. The missing agentic engineering question is how those obligations apply when a single outcome is produced by a moving graph of agents, tools, memory, delegated tasks, and human confirmations.</w:t>
      </w:r>
    </w:p>
    <w:p/>
    <w:p>
      <w:r>
        <w:t>What it does not define (the agentic gap): The framework does not itself define MAS responsibility-transfer object models.</w:t>
      </w:r>
    </w:p>
    <w:p/>
    <w:p>
      <w:r>
        <w:t>How it connects to lifecycle objects: The EU AI Act establishes binding direction around technical documentation, record-keeping, human oversight, and post-market monitoring. For an enterprise team, the implementation mistake would be to treat the framework as satisfied by generic policy documentation alone. The deeper requirement is to ensure that the system architecture can produce evidence that the policy was enforced at the right lifecycle boundary. That is where the difference between written governance and lifecycle conformance becomes visible.</w:t>
      </w:r>
    </w:p>
    <w:p/>
    <w:p>
      <w:pPr>
        <w:pStyle w:val="Heading3"/>
      </w:pPr>
      <w:r>
        <w:t>4.4 GDPR</w:t>
      </w:r>
    </w:p>
    <w:p/>
    <w:p>
      <w:r>
        <w:t>[GDPR-ART-5]</w:t>
      </w:r>
    </w:p>
    <w:p/>
    <w:p>
      <w:r>
        <w:t>GDPR functions in this paper as binding privacy regulation. Its relevance to agentic lifecycle conformance comes from the following requirement cluster: lawfulness, fairness, transparency, purpose limitation, minimization, storage limitation, integrity/confidentiality, accountability.</w:t>
      </w:r>
    </w:p>
    <w:p/>
    <w:p>
      <w:r>
        <w:t>What it contributes: Binding privacy regulation with strong requirements for lawfulness, fairness, transparency, purpose limitation, minimization, storage limitation, integrity, confidentiality, and accountability.</w:t>
      </w:r>
    </w:p>
    <w:p/>
    <w:p>
      <w:r>
        <w:t>Why it matters for agentic AI: GDPR is crucial because agentic systems do not keep personal data in one place. Personal data may appear in user intent, prompt context, retrieval results, memory, tool payloads, trace records, review packets, evidence packs, and third-party validation artifacts. Therefore privacy controls need to be mapped to lifecycle phases, not merely database tables.</w:t>
      </w:r>
    </w:p>
    <w:p/>
    <w:p>
      <w:r>
        <w:t>What it does not define (the agentic gap): Lifecycle mapping remains an engineering task.</w:t>
      </w:r>
    </w:p>
    <w:p/>
    <w:p>
      <w:r>
        <w:t>How it connects to lifecycle objects: For an enterprise team, the implementation mistake would be to treat the framework as satisfied by generic policy documentation alone. The deeper requirement is to ensure that the system architecture can produce evidence that the policy was enforced at the right lifecycle boundary. That is where the difference between written governance and lifecycle conformance becomes visible.</w:t>
      </w:r>
    </w:p>
    <w:p/>
    <w:p>
      <w:pPr>
        <w:pStyle w:val="Heading3"/>
      </w:pPr>
      <w:r>
        <w:t>4.5 NIST AI RMF 1.0</w:t>
      </w:r>
    </w:p>
    <w:p/>
    <w:p>
      <w:r>
        <w:t>[NIST-AI-RMF-1.0]</w:t>
      </w:r>
    </w:p>
    <w:p/>
    <w:p>
      <w:r>
        <w:t>NIST AI RMF 1.0 functions in this paper as voluntary risk framework. Its relevance to agentic lifecycle conformance comes from the following requirement cluster: Govern, Map, Measure, Manage functions across the AI lifecycle.</w:t>
      </w:r>
    </w:p>
    <w:p/>
    <w:p>
      <w:r>
        <w:t>What it contributes: Excellent risk-management umbrella covering Govern, Map, Measure, and Manage functions across the AI lifecycle.</w:t>
      </w:r>
    </w:p>
    <w:p/>
    <w:p>
      <w:r>
        <w:t>Why it matters for agentic AI: Provides a comprehensive risk management structure that applies to all AI systems, including agentic systems. The framework establishes the risk management direction; lifecycle objects make that direction testable in agentic workflows.</w:t>
      </w:r>
    </w:p>
    <w:p/>
    <w:p>
      <w:r>
        <w:t>What it does not define (the agentic gap): Intentionally not a MAS protocol or delegated-authority object model.</w:t>
      </w:r>
    </w:p>
    <w:p/>
    <w:p>
      <w:r>
        <w:t>How it connects to lifecycle objects: For an enterprise team, the implementation mistake would be to treat the framework as satisfied by generic policy documentation alone. The deeper requirement is to ensure that the system architecture can produce evidence that the policy was enforced at the right lifecycle boundary. That is where the difference between written governance and lifecycle conformance becomes visible.</w:t>
      </w:r>
    </w:p>
    <w:p/>
    <w:p>
      <w:pPr>
        <w:pStyle w:val="Heading3"/>
      </w:pPr>
      <w:r>
        <w:t>4.6 ISO/IEC 42001</w:t>
      </w:r>
    </w:p>
    <w:p/>
    <w:p>
      <w:r>
        <w:t>[ISO-IEC-42001]</w:t>
      </w:r>
    </w:p>
    <w:p/>
    <w:p>
      <w:r>
        <w:t>ISO/IEC 42001 functions in this paper as management system standard. Its relevance to agentic lifecycle conformance comes from the following requirement cluster: AIMS requirements for establishing, implementing, maintaining, and improving AI management systems.</w:t>
      </w:r>
    </w:p>
    <w:p/>
    <w:p>
      <w:r>
        <w:t>What it contributes: Management system standard for AI governance; provides organizational structure for AI governance programs.</w:t>
      </w:r>
    </w:p>
    <w:p/>
    <w:p>
      <w:r>
        <w:t>Why it matters for agentic AI: Establishes organizational governance requirements that apply to agentic systems. Organizational governance must be supported by technical lifecycle objects that prove governance was enforced at execution boundaries.</w:t>
      </w:r>
    </w:p>
    <w:p/>
    <w:p>
      <w:r>
        <w:t>What it does not define (the agentic gap): Needs technical lifecycle evidence objects for agentic execution.</w:t>
      </w:r>
    </w:p>
    <w:p/>
    <w:p>
      <w:r>
        <w:t>How it connects to lifecycle objects: For an enterprise team, the implementation mistake would be to treat the framework as satisfied by generic policy documentation alone. The deeper requirement is to ensure that the system architecture can produce evidence that the policy was enforced at the right lifecycle boundary. That is where the difference between written governance and lifecycle conformance becomes visible.</w:t>
      </w:r>
    </w:p>
    <w:p/>
    <w:p>
      <w:pPr>
        <w:pStyle w:val="Heading3"/>
      </w:pPr>
      <w:r>
        <w:t>4.7 Singapore IMDA Model AI Governance Framework for Agentic AI</w:t>
      </w:r>
    </w:p>
    <w:p/>
    <w:p>
      <w:r>
        <w:t>[SINGAPORE-MGF-AGENTIC-AI]</w:t>
      </w:r>
    </w:p>
    <w:p/>
    <w:p>
      <w:r>
        <w:t>Singapore MGF for Agentic AI functions in this paper as a voluntary governance framework. Its relevance comes from its four-part framing: assessing and bounding risks upfront; making humans meaningfully accountable; implementing technical controls and processes; and enabling end-user responsibility. Technical controls are especially relevant for agent planning, tools, protocol interactions, testing, monitoring, and lifecycle controls.</w:t>
      </w:r>
    </w:p>
    <w:p/>
    <w:p>
      <w:pPr>
        <w:pStyle w:val="Heading2"/>
      </w:pPr>
      <w:r>
        <w:t>Regulatory Language to Engineering Objects</w:t>
      </w:r>
    </w:p>
    <w:p/>
    <w:p>
      <w:pPr>
        <w:pStyle w:val="Heading3"/>
      </w:pPr>
      <w:r>
        <w:t>Chapter 5: From Regulatory Language to Engineering Objects</w:t>
      </w:r>
    </w:p>
    <w:p/>
    <w:p>
      <w:r>
        <w:t>Version: v0.3.2-FRC-R3</w:t>
      </w:r>
    </w:p>
    <w:p>
      <w:r>
        <w:t>Phase: 1A-2.5</w:t>
      </w:r>
    </w:p>
    <w:p/>
    <w:p/>
    <w:p>
      <w:pPr>
        <w:pStyle w:val="Heading3"/>
      </w:pPr>
      <w:r>
        <w:t>5.1 The Gap Between Regulation and Engineering</w:t>
      </w:r>
    </w:p>
    <w:p/>
    <w:p>
      <w:r>
        <w:t>The gap between regulation and engineering is often hidden by familiar words. A regulation may say record-keeping, but an engineer must decide what fields exist, when records are emitted, whether they are tamper-evident, how they are partitioned, what retention policy applies, how they reference plan versions, how personal data is minimized, whether they support selective disclosure, and how the record is used in dispute.</w:t>
      </w:r>
    </w:p>
    <w:p/>
    <w:p>
      <w:r>
        <w:t>A governance document may say human oversight, but an implementation must decide which human role can approve which tool action, under which risk class, with what evidence, with what override path, and how that responsibility boundary is preserved across agent handoffs.</w:t>
      </w:r>
    </w:p>
    <w:p/>
    <w:p>
      <w:r>
        <w:t>A framework may require transparency, but an agentic system must decide whether evidence can be replayed for review, whether the replay is reconstructable from partitioned evidence, whether privacy constraints allow disclosure, and whether the review is linked to accepted outcome governance.</w:t>
      </w:r>
    </w:p>
    <w:p/>
    <w:p>
      <w:r>
        <w:t>A standard may mandate accountability, but a multi-agent workflow must determine who owns a tool action, how liability transfers across agents, how responsibility is recorded, and how ownership is proven when disputes arise.</w:t>
      </w:r>
    </w:p>
    <w:p/>
    <w:p>
      <w:r>
        <w:t>Familiar regulatory words establish direction. Engineering objects make that direction testable, auditable, and enforceable in distributed agentic execution.</w:t>
      </w:r>
    </w:p>
    <w:p/>
    <w:p>
      <w:r>
        <w:t>This chapter provides the bridge from regulatory language to the Missing Regulatory Objects that will be defined in Chapter 6.</w:t>
      </w:r>
    </w:p>
    <w:p/>
    <w:p>
      <w:pPr>
        <w:pStyle w:val="Heading3"/>
      </w:pPr>
      <w:r>
        <w:t>5.2 Regulatory Language to Engineering Objects Mapping</w:t>
      </w:r>
    </w:p>
    <w:p/>
    <w:p>
      <w:r>
        <w:t>The table below maps recurring regulatory language to the agentic engineering questions that must be answered, and the required lifecycle objects that make those answers testable.</w:t>
      </w:r>
    </w:p>
    <w:p/>
    <w:p>
      <w:r>
        <w:t>This table is the bridge from legal language to the Missing Regulatory Objects defined in Chapter 6. The point is not to invent bureaucracy for its own sake. The point is to recognize that agentic systems need explicit objects because the old system boundary has dissolved. The work unit is now distributed across agents, tools, memory, people, projects, and vendors.</w:t>
      </w:r>
    </w:p>
    <w:p/>
    <w:p>
      <w:pPr>
        <w:pStyle w:val="Heading3"/>
      </w:pPr>
      <w:r>
        <w:t>5.3 Why Explicit Objects Are Necessary</w:t>
      </w:r>
    </w:p>
    <w:p/>
    <w:p>
      <w:r>
        <w:t>Without explicit lifecycle objects, regulatory language remains aspirational rather than enforceable:</w:t>
      </w:r>
    </w:p>
    <w:p/>
    <w:p>
      <w:pPr>
        <w:pStyle w:val="ListBullet"/>
      </w:pPr>
      <w:r>
        <w:t>Risk management becomes a policy document that cannot be tied to actual agent actions. A risk register must link to lifecycle phases, action classes, and delegated authority boundaries.</w:t>
      </w:r>
    </w:p>
    <w:p/>
    <w:p>
      <w:pPr>
        <w:pStyle w:val="ListBullet"/>
      </w:pPr>
      <w:r>
        <w:t>Technical documentation describes intent but not how authority, evidence, and privacy are enforced. Versioned architecture documentation must specify agent roles, authority boundaries, evidence schema, and limitations.</w:t>
      </w:r>
    </w:p>
    <w:p/>
    <w:p>
      <w:pPr>
        <w:pStyle w:val="ListBullet"/>
      </w:pPr>
      <w:r>
        <w:t>Record-keeping produces flat logs that cannot reconstruct cross-agent responsibility. Evidence must be partitioned by agent, tool, human confirmation, plan version, authority boundary, privacy boundary, and accepted outcome.</w:t>
      </w:r>
    </w:p>
    <w:p/>
    <w:p>
      <w:pPr>
        <w:pStyle w:val="ListBullet"/>
      </w:pPr>
      <w:r>
        <w:t>Transparency provides dashboards that show execution but not accepted outcome governance. Evidence pointer graphs must link outcomes to the authority, evidence, and review that made them accepted.</w:t>
      </w:r>
    </w:p>
    <w:p/>
    <w:p>
      <w:pPr>
        <w:pStyle w:val="ListBullet"/>
      </w:pPr>
      <w:r>
        <w:t>Human oversight becomes a button click without role-to-responsibility mapping. The system must map which human role can approve, reject, override, or accept which action, under which risk class, with what evidence, and with what escalation path.</w:t>
      </w:r>
    </w:p>
    <w:p/>
    <w:p>
      <w:pPr>
        <w:pStyle w:val="ListBullet"/>
      </w:pPr>
      <w:r>
        <w:t>Accountability becomes a narrative claim without evidence-backed ownership. Responsibility boundaries must record who owns a decision, tool action, or outcome, how liability transfers across agents, and how ownership is proven in disputes.</w:t>
      </w:r>
    </w:p>
    <w:p/>
    <w:p>
      <w:pPr>
        <w:pStyle w:val="ListBullet"/>
      </w:pPr>
      <w:r>
        <w:t>Contestability becomes impossible because evidence cannot be replayed under privacy constraints. Dispute-ready replay requires partitioned evidence, selective disclosure, and remediation closure objects.</w:t>
      </w:r>
    </w:p>
    <w:p/>
    <w:p>
      <w:pPr>
        <w:pStyle w:val="ListBullet"/>
      </w:pPr>
      <w:r>
        <w:t>Privacy becomes a database policy that does not govern prompts, memory, tools, traces, and evidence packs. Privacy lifecycle mapping must bind lawful basis, purpose, minimization, retention, access, erasure, redaction, and disclosure to every lifecycle surface where data may flow or persist.</w:t>
      </w:r>
    </w:p>
    <w:p/>
    <w:p>
      <w:pPr>
        <w:pStyle w:val="ListBullet"/>
      </w:pPr>
      <w:r>
        <w:t>Monitoring detects failures but cannot close incidents through evidence, responsibility, correction, and acceptance. Continuous monitoring must link drift detection, incident triggers, evidence packs, responsible roles, corrective actions, and closure states.</w:t>
      </w:r>
    </w:p>
    <w:p/>
    <w:p>
      <w:pPr>
        <w:pStyle w:val="Heading3"/>
      </w:pPr>
      <w:r>
        <w:t>5.4 The Engineering Object Requirement</w:t>
      </w:r>
    </w:p>
    <w:p/>
    <w:p>
      <w:r>
        <w:t>The paper argues that AI Agent / MAS compliance is not only model compliance. It is lifecycle responsibility compliance. That thesis has practical consequences.</w:t>
      </w:r>
    </w:p>
    <w:p/>
    <w:p>
      <w:r>
        <w:t>Enterprise buyers, auditors, insurers, regulators, and internal governance teams need more than dashboards, logs, or guardrails. They need lifecycle objects: delegated authority boundaries, human-role-to-agent-responsibility mappings, tool-action liability records, evidence partitions, accepted outcome states, cross-project reuse controls, privacy-preserving validation packs, and dispute closure records.</w:t>
      </w:r>
    </w:p>
    <w:p/>
    <w:p>
      <w:r>
        <w:t>These objects are not proposed legal mandates. They are engineering and assurance objects that appear necessary if existing regulatory ideals are to become auditable in multi-agent execution. The objects are designed to make visible the difference between model governance, orchestration observability, and lifecycle responsibility governance.</w:t>
      </w:r>
    </w:p>
    <w:p/>
    <w:p>
      <w:r>
        <w:t>Existing regulation establishes the direction of travel. Agentic systems require additional engineering object models to implement that direction faithfully.</w:t>
      </w:r>
    </w:p>
    <w:p/>
    <w:p>
      <w:pPr>
        <w:pStyle w:val="Heading3"/>
      </w:pPr>
      <w:r>
        <w:t>5.5 Bridge to Chapter 6</w:t>
      </w:r>
    </w:p>
    <w:p/>
    <w:p>
      <w:r>
        <w:t>The following chapter defines sixteen Missing Regulatory Objects. These are not proposed legal mandates. They are engineering objects that appear necessary if existing regulatory ideals are to become auditable in multi-agent execution.</w:t>
      </w:r>
    </w:p>
    <w:p/>
    <w:p>
      <w:r>
        <w:t>The objects are designed to make visible the difference between model governance, orchestration observability, and lifecycle responsibility governance. They address the gap between regulatory language and agentic execution by providing concrete, testable, evidence-backed structures for:</w:t>
      </w:r>
    </w:p>
    <w:p/>
    <w:p>
      <w:pPr>
        <w:pStyle w:val="ListBullet"/>
      </w:pPr>
      <w:r>
        <w:t>Human-to-agent responsibility mapping</w:t>
      </w:r>
    </w:p>
    <w:p>
      <w:pPr>
        <w:pStyle w:val="ListBullet"/>
      </w:pPr>
      <w:r>
        <w:t>Delegated authority boundaries</w:t>
      </w:r>
    </w:p>
    <w:p>
      <w:pPr>
        <w:pStyle w:val="ListBullet"/>
      </w:pPr>
      <w:r>
        <w:t>Agent role definitions</w:t>
      </w:r>
    </w:p>
    <w:p>
      <w:pPr>
        <w:pStyle w:val="ListBullet"/>
      </w:pPr>
      <w:r>
        <w:t>Accepted outcome compliance</w:t>
      </w:r>
    </w:p>
    <w:p>
      <w:pPr>
        <w:pStyle w:val="ListBullet"/>
      </w:pPr>
      <w:r>
        <w:t>Tool-action liability boundaries</w:t>
      </w:r>
    </w:p>
    <w:p>
      <w:pPr>
        <w:pStyle w:val="ListBullet"/>
      </w:pPr>
      <w:r>
        <w:t>Responsibility transfer across agents</w:t>
      </w:r>
    </w:p>
    <w:p>
      <w:pPr>
        <w:pStyle w:val="ListBullet"/>
      </w:pPr>
      <w:r>
        <w:t>Authority drift detection</w:t>
      </w:r>
    </w:p>
    <w:p>
      <w:pPr>
        <w:pStyle w:val="ListBullet"/>
      </w:pPr>
      <w:r>
        <w:t>Evidence partitioning</w:t>
      </w:r>
    </w:p>
    <w:p>
      <w:pPr>
        <w:pStyle w:val="ListBullet"/>
      </w:pPr>
      <w:r>
        <w:t>Cross-project reuse compliance</w:t>
      </w:r>
    </w:p>
    <w:p>
      <w:pPr>
        <w:pStyle w:val="ListBullet"/>
      </w:pPr>
      <w:r>
        <w:t>Privacy lifecycle mapping</w:t>
      </w:r>
    </w:p>
    <w:p>
      <w:pPr>
        <w:pStyle w:val="ListBullet"/>
      </w:pPr>
      <w:r>
        <w:t>Privacy-preserving third-party validation</w:t>
      </w:r>
    </w:p>
    <w:p>
      <w:pPr>
        <w:pStyle w:val="ListBullet"/>
      </w:pPr>
      <w:r>
        <w:t>Evidence minimization and selective disclosure</w:t>
      </w:r>
    </w:p>
    <w:p>
      <w:pPr>
        <w:pStyle w:val="ListBullet"/>
      </w:pPr>
      <w:r>
        <w:t>Data subject rights vs evidence retention</w:t>
      </w:r>
    </w:p>
    <w:p>
      <w:pPr>
        <w:pStyle w:val="ListBullet"/>
      </w:pPr>
      <w:r>
        <w:t>Third-party processor / subprocessor chains</w:t>
      </w:r>
    </w:p>
    <w:p>
      <w:pPr>
        <w:pStyle w:val="ListBullet"/>
      </w:pPr>
      <w:r>
        <w:t>Vendor / model / runtime substitution conformance</w:t>
      </w:r>
    </w:p>
    <w:p>
      <w:pPr>
        <w:pStyle w:val="ListBullet"/>
      </w:pPr>
      <w:r>
        <w:t>Incident, dispute, and remediation closure</w:t>
      </w:r>
    </w:p>
    <w:p/>
    <w:p>
      <w:r>
        <w:t>The bridge from this chapter to Chapter 6 is direct: regulatory language establishes what must be proven; Missing Regulatory Objects define how to prove it in agentic workflows.</w:t>
      </w:r>
    </w:p>
    <w:p/>
    <w:p/>
    <w:p>
      <w:r>
        <w:t>End of Chapter 5</w:t>
      </w:r>
    </w:p>
    <w:p/>
    <w:p>
      <w:pPr>
        <w:pStyle w:val="Heading2"/>
      </w:pPr>
      <w:r>
        <w:t>Missing Regulatory Objects</w:t>
      </w:r>
    </w:p>
    <w:p/>
    <w:p>
      <w:pPr>
        <w:pStyle w:val="Heading3"/>
      </w:pPr>
      <w:r>
        <w:t>6. Missing Regulatory Objects for Agentic and MAS Compliance</w:t>
      </w:r>
    </w:p>
    <w:p/>
    <w:p>
      <w:pPr>
        <w:pStyle w:val="Heading3"/>
      </w:pPr>
      <w:r>
        <w:t>6.0 Why Missing Regulatory Objects Matter</w:t>
      </w:r>
    </w:p>
    <w:p/>
    <w:p>
      <w:r>
        <w:t>This chapter defines sixteen Missing Regulatory Objects. They are called missing because existing governance language implies their necessity but usually does not define their concrete machine-readable form. They are not proposed statutes. They are engineering and assurance objects that allow regulatory concepts to become testable in agentic workflows.</w:t>
      </w:r>
    </w:p>
    <w:p/>
    <w:p>
      <w:r>
        <w:t>The phrase matters because existing language is fragmented. Model governance focuses on models. AI risk management focuses on organizational risk processes. Agent orchestration focuses on execution flow. Observability focuses on traces, metrics, and debugging. Human-in-the-loop focuses on review or approval moments. None of these terms alone names the full lifecycle responsibility problem.</w:t>
      </w:r>
    </w:p>
    <w:p/>
    <w:p>
      <w:r>
        <w:t>These objects bridge the gap between regulatory abstractions and lifecycle implementation. Human oversight becomes human-role-to-MAS responsibility mapping. Logging becomes partitioned evidence chain. Accountability becomes tool-action liability and responsibility transfer. Transparency becomes evidence-linked review and accepted outcome. Monitoring becomes lifecycle drift, incident closure, and continuous improvement. Privacy becomes lifecycle data-flow mapping, minimization, and selective disclosure.</w:t>
      </w:r>
    </w:p>
    <w:p/>
    <w:p>
      <w:r>
        <w:t>The core move in this paper is to turn regulatory abstractions into lifecycle objects. Regulatory compliance coverage remains the baseline, but agentic lifecycle conformance is the differentiating layer. If agentic workflows cannot prove lifecycle responsibility, they will remain difficult to audit, insure, delegate, reuse, and scale. This is the reason that AI Agent Lifecycle Governance is not a philosophical category. It is an operational prerequisite for agentic AI becoming trusted enterprise infrastructure.</w:t>
      </w:r>
    </w:p>
    <w:p/>
    <w:p>
      <w:pPr>
        <w:pStyle w:val="Heading3"/>
      </w:pPr>
      <w:r>
        <w:t>6.1 Summary of the Sixteen Missing Regulatory Objects</w:t>
      </w:r>
    </w:p>
    <w:p/>
    <w:p>
      <w:r>
        <w:t>The following table summarizes all sixteen MROs. Full detail for MRO-01 through MRO-16 is provided in this chapter.</w:t>
      </w:r>
    </w:p>
    <w:p/>
    <w:p>
      <w:r>
        <w:t>Responsibility -&gt; Authority -&gt; Evidence -&gt; Privacy -&gt; Substitution -&gt; Closure</w:t>
      </w:r>
    </w:p>
    <w:p/>
    <w:p/>
    <w:p>
      <w:pPr>
        <w:pStyle w:val="Heading3"/>
      </w:pPr>
      <w:r>
        <w:t>6.1.1 Common MRO Field Model</w:t>
      </w:r>
    </w:p>
    <w:p/>
    <w:p>
      <w:r>
        <w:t>All sixteen MRO object cards share a common set of identity and evidence fields. This common field model avoids repeating generic fields across every object card and establishes a consistent structure for lifecycle governance objects.</w:t>
      </w:r>
    </w:p>
    <w:p/>
    <w:p>
      <w:r>
        <w:t>The following table defines the common fields that apply to all MROs:</w:t>
      </w:r>
    </w:p>
    <w:p/>
    <w:p>
      <w:r>
        <w:t>Individual MRO object cards below therefore emphasize MRO-specific purpose, controls, failure mode, and audit question rather than repeating the full common field model.</w:t>
      </w:r>
    </w:p>
    <w:p/>
    <w:p/>
    <w:p>
      <w:pPr>
        <w:pStyle w:val="Heading3"/>
      </w:pPr>
      <w:r>
        <w:t>6.2 MRO-01 — Human Role to MAS Responsibility Mapping</w:t>
      </w:r>
    </w:p>
    <w:p/>
    <w:p>
      <w:pPr>
        <w:pStyle w:val="Heading3"/>
      </w:pPr>
      <w:r>
        <w:t>Problem</w:t>
      </w:r>
    </w:p>
    <w:p/>
    <w:p>
      <w:r>
        <w:t>Regulation can require oversight, but agentic execution needs a precise map from human accountable roles to agent roles, tasks, tools, evidence, and accepted outcomes.</w:t>
      </w:r>
    </w:p>
    <w:p/>
    <w:p>
      <w:pPr>
        <w:pStyle w:val="Heading3"/>
      </w:pPr>
      <w:r>
        <w:t>Required Object</w:t>
      </w:r>
    </w:p>
    <w:p/>
    <w:p>
      <w:r>
        <w:t>A role-responsibility map binding human role IDs, agent role IDs, permitted delegated scopes, reserved human decisions, review duties, and evidence obligations.</w:t>
      </w:r>
    </w:p>
    <w:p/>
    <w:p>
      <w:pPr>
        <w:pStyle w:val="Heading3"/>
      </w:pPr>
      <w:r>
        <w:t>Judgment</w:t>
      </w:r>
    </w:p>
    <w:p/>
    <w:p>
      <w:r>
        <w:t>Human oversight without human-to-agent responsibility mapping is supervision theater.</w:t>
      </w:r>
    </w:p>
    <w:p/>
    <w:p>
      <w:pPr>
        <w:pStyle w:val="Heading3"/>
      </w:pPr>
      <w:r>
        <w:t>Object Card</w:t>
      </w:r>
    </w:p>
    <w:p/>
    <w:p>
      <w:pPr>
        <w:pStyle w:val="Heading3"/>
      </w:pPr>
      <w:r>
        <w:t>Detailed Discussion</w:t>
      </w:r>
    </w:p>
    <w:p/>
    <w:p>
      <w:r>
        <w:t>This object is the bridge between human organizational accountability and machine execution. In a MAS, a product owner, reviewer, compliance officer, operator, or customer-success lead may each retain different decision rights even when agents perform the underlying work. The mapping must therefore distinguish who owns intent, who approves risk, who reviews evidence, and who accepts the final outcome.</w:t>
      </w:r>
    </w:p>
    <w:p/>
    <w:p>
      <w:r>
        <w:t>The core question for MRO-01 is whether a system can identify the accountable human role for each agentic lifecycle state, not merely whether a user account or approval button exists. Strong mapping requires a durable relationship among human role, agent role, delegated scope, evidence obligation, review duty, and accepted outcome authority.</w:t>
      </w:r>
    </w:p>
    <w:p/>
    <w:p>
      <w:r>
        <w:t>The difficulty is that a human may own business acceptance while an agent owns evidence collection, and another agent owns execution. A governance object must preserve those differences instead of flattening them into a single owner field.</w:t>
      </w:r>
    </w:p>
    <w:p/>
    <w:p>
      <w:pPr>
        <w:pStyle w:val="Heading3"/>
      </w:pPr>
      <w:r>
        <w:t>Enterprise Implication</w:t>
      </w:r>
    </w:p>
    <w:p/>
    <w:p>
      <w:r>
        <w:t>Without this map, a company can show that a human was somewhere in the loop but cannot prove that the right human held the right responsibility at the right lifecycle point. This weakens internal audit, customer assurance, and board-level accountability because role labels become narrative claims rather than evidence-backed assignments.</w:t>
      </w:r>
    </w:p>
    <w:p/>
    <w:p>
      <w:r>
        <w:t>Platforms with identity, approval, or workflow controls may partially support this object, but buyers should ask whether the mapping survives multi-agent delegation, cross-project reuse, and external validation. The implementation test is to select a completed run and ask: who owned intent, who approved risk, who executed each step, who reviewed evidence, and who accepted the outcome? If the answer requires tribal memory, the mapping is not audit-grade.</w:t>
      </w:r>
    </w:p>
    <w:p/>
    <w:p>
      <w:pPr>
        <w:pStyle w:val="Heading3"/>
      </w:pPr>
      <w:r>
        <w:t>Design Implication</w:t>
      </w:r>
    </w:p>
    <w:p/>
    <w:p>
      <w:r>
        <w:t>The object should be represented as a role-responsibility graph linking human role IDs, agent role IDs, delegated scopes, reserved decisions, review duties, evidence obligations, and accepted-outcome authority. It must be updated when responsibilities move across teams or projects.</w:t>
      </w:r>
    </w:p>
    <w:p/>
    <w:p>
      <w:r>
        <w:t>Multi-agent frameworks often score well on collaboration metaphors but lower on accountability semantics unless role objects include responsibility, evidence, and escalation duties. The design should separate persona labels from capability boundaries, evidence duties, and human accountability.</w:t>
      </w:r>
    </w:p>
    <w:p/>
    <w:p>
      <w:pPr>
        <w:pStyle w:val="Heading3"/>
      </w:pPr>
      <w:r>
        <w:t>Audit Question</w:t>
      </w:r>
    </w:p>
    <w:p/>
    <w:p>
      <w:r>
        <w:t>For any completed agentic workflow, can the system reconstruct which human role held which responsibility at each lifecycle phase, backed by evidence pointers and acceptance records?</w:t>
      </w:r>
    </w:p>
    <w:p/>
    <w:p/>
    <w:p>
      <w:pPr>
        <w:pStyle w:val="Heading3"/>
      </w:pPr>
      <w:r>
        <w:t>6.3 MRO-02 — Delegated Authority Boundary</w:t>
      </w:r>
    </w:p>
    <w:p/>
    <w:p>
      <w:pPr>
        <w:pStyle w:val="Heading3"/>
      </w:pPr>
      <w:r>
        <w:t>Problem</w:t>
      </w:r>
    </w:p>
    <w:p/>
    <w:p>
      <w:r>
        <w:t>API access and tool permission do not prove that a particular business action was authorized under the correct scope, condition, risk level, and escalation path.</w:t>
      </w:r>
    </w:p>
    <w:p/>
    <w:p>
      <w:pPr>
        <w:pStyle w:val="Heading3"/>
      </w:pPr>
      <w:r>
        <w:t>Required Object</w:t>
      </w:r>
    </w:p>
    <w:p/>
    <w:p>
      <w:r>
        <w:t>A delegated-authority object binding role, action, scope, condition, risk class, evidence requirement, expiry, revocation, and escalation path.</w:t>
      </w:r>
    </w:p>
    <w:p/>
    <w:p>
      <w:pPr>
        <w:pStyle w:val="Heading3"/>
      </w:pPr>
      <w:r>
        <w:t>Judgment</w:t>
      </w:r>
    </w:p>
    <w:p/>
    <w:p>
      <w:r>
        <w:t>IAM permission decides access. Delegated authority decides responsibility.</w:t>
      </w:r>
    </w:p>
    <w:p/>
    <w:p>
      <w:pPr>
        <w:pStyle w:val="Heading3"/>
      </w:pPr>
      <w:r>
        <w:t>Object Card</w:t>
      </w:r>
    </w:p>
    <w:p/>
    <w:p>
      <w:pPr>
        <w:pStyle w:val="Heading3"/>
      </w:pPr>
      <w:r>
        <w:t>Detailed Discussion</w:t>
      </w:r>
    </w:p>
    <w:p/>
    <w:p>
      <w:r>
        <w:t>Delegated authority is narrower than access control. A model or agent may technically possess a credential while lacking business authority to use it for a particular action. The compliance object must describe not only who can call a tool, but why that call is authorized under a specific intent, plan, risk class, condition, and time window.</w:t>
      </w:r>
    </w:p>
    <w:p/>
    <w:p>
      <w:r>
        <w:t>The core question for MRO-02 is whether a system distinguishes technical permission from business authority. Strong support requires action-level delegation tied to scope, condition, risk class, expiry, escalation, and evidence. The same tool call can be harmless in one context and impermissible in another. Authority must therefore be evaluated against intent and plan state, not only against static credentials.</w:t>
      </w:r>
    </w:p>
    <w:p/>
    <w:p>
      <w:r>
        <w:t>The difficulty is that the same tool call can be harmless in one context and impermissible in another. Authority must therefore be evaluated against intent and plan state, not only against static credentials.</w:t>
      </w:r>
    </w:p>
    <w:p/>
    <w:p>
      <w:pPr>
        <w:pStyle w:val="Heading3"/>
      </w:pPr>
      <w:r>
        <w:t>Enterprise Implication</w:t>
      </w:r>
    </w:p>
    <w:p/>
    <w:p>
      <w:r>
        <w:t>If authority is reduced to IAM, API keys, or tool availability, a low-risk task can silently become a high-impact act. The organization may later discover that the system had permission to act but no evidence that the action was approved under the relevant business scope.</w:t>
      </w:r>
    </w:p>
    <w:p/>
    <w:p>
      <w:r>
        <w:t>Cloud IAM, guardrails, and workflow approvals are valuable adjacent controls, but they become lifecycle conformance only when they bind the specific action to a delegated authority object. The market implication is that buyers should ask whether the system can show the exact authority basis and escalation rule for a high-impact tool call before it executes.</w:t>
      </w:r>
    </w:p>
    <w:p/>
    <w:p>
      <w:pPr>
        <w:pStyle w:val="Heading3"/>
      </w:pPr>
      <w:r>
        <w:t>Design Implication</w:t>
      </w:r>
    </w:p>
    <w:p/>
    <w:p>
      <w:r>
        <w:t>The boundary should be checked before high-impact tool calls and should include action class, permitted scope, expiration, revocation, escalation path, evidence pointer, and human override requirements. It should fail closed when authority cannot be reconstructed.</w:t>
      </w:r>
    </w:p>
    <w:p/>
    <w:p>
      <w:r>
        <w:t>Microsoft Azure AI Foundry and AWS Bedrock provide strong feature/workflow mapping for authorization, escalation, action scope, and revocation. These capabilities can support lifecycle governance but do not automatically define accepted outcome, human-role-to-MAS mapping, or cross-project responsibility continuity.</w:t>
      </w:r>
    </w:p>
    <w:p/>
    <w:p>
      <w:pPr>
        <w:pStyle w:val="Heading3"/>
      </w:pPr>
      <w:r>
        <w:t>Audit Question</w:t>
      </w:r>
    </w:p>
    <w:p/>
    <w:p>
      <w:r>
        <w:t>Before a high-impact tool call, can the system show the exact authority basis and escalation rule for that action? If not, permission is being mistaken for authority.</w:t>
      </w:r>
    </w:p>
    <w:p/>
    <w:p/>
    <w:p>
      <w:pPr>
        <w:pStyle w:val="Heading3"/>
      </w:pPr>
      <w:r>
        <w:t>6.4 MRO-03 — Agent Role is not Human Role</w:t>
      </w:r>
    </w:p>
    <w:p/>
    <w:p>
      <w:pPr>
        <w:pStyle w:val="Heading3"/>
      </w:pPr>
      <w:r>
        <w:t>Problem</w:t>
      </w:r>
    </w:p>
    <w:p/>
    <w:p>
      <w:r>
        <w:t>Agent names such as researcher, writer, reviewer, or manager are useful UI metaphors but are not adequate compliance identities.</w:t>
      </w:r>
    </w:p>
    <w:p/>
    <w:p>
      <w:pPr>
        <w:pStyle w:val="Heading3"/>
      </w:pPr>
      <w:r>
        <w:t>Required Object</w:t>
      </w:r>
    </w:p>
    <w:p/>
    <w:p>
      <w:r>
        <w:t>An agent responsibility boundary declaring duties, non-duties, allowed tools, inherited constraints, verification expectations, and human accountability linkage.</w:t>
      </w:r>
    </w:p>
    <w:p/>
    <w:p>
      <w:pPr>
        <w:pStyle w:val="Heading3"/>
      </w:pPr>
      <w:r>
        <w:t>Judgment</w:t>
      </w:r>
    </w:p>
    <w:p/>
    <w:p>
      <w:r>
        <w:t>An agent role is a bounded responsibility surface, not a human job title.</w:t>
      </w:r>
    </w:p>
    <w:p/>
    <w:p>
      <w:pPr>
        <w:pStyle w:val="Heading3"/>
      </w:pPr>
      <w:r>
        <w:t>Object Card</w:t>
      </w:r>
    </w:p>
    <w:p/>
    <w:p>
      <w:pPr>
        <w:pStyle w:val="Heading3"/>
      </w:pPr>
      <w:r>
        <w:t>Detailed Discussion</w:t>
      </w:r>
    </w:p>
    <w:p/>
    <w:p>
      <w:r>
        <w:t>Agent labels such as researcher, writer, analyst, or reviewer are useful interface metaphors, but they do not automatically carry legal, organizational, or professional responsibility. A compliance-grade role must define bounded capabilities, evidence obligations, escalation duties, and non-delegable human responsibilities.</w:t>
      </w:r>
    </w:p>
    <w:p/>
    <w:p>
      <w:r>
        <w:t>The core question for MRO-03 is whether agent roles are governance identities or only execution personas. Strong support requires separating persona labels from capability boundaries, evidence duties, and human accountability. Human-like role labels are persuasive in UI and documentation, but they can obscure the fact that legal and business accountability remains with humans and organizations.</w:t>
      </w:r>
    </w:p>
    <w:p/>
    <w:p>
      <w:r>
        <w:t>The difficulty is that human-like role labels are persuasive in UI and documentation, but they can obscure the fact that legal and business accountability remains with humans and organizations.</w:t>
      </w:r>
    </w:p>
    <w:p/>
    <w:p>
      <w:pPr>
        <w:pStyle w:val="Heading3"/>
      </w:pPr>
      <w:r>
        <w:t>Enterprise Implication</w:t>
      </w:r>
    </w:p>
    <w:p/>
    <w:p>
      <w:r>
        <w:t>Treating an agent persona as a human job role creates false accountability. The company may believe that a reviewer agent has performed review while no accountable human or approved review boundary exists.</w:t>
      </w:r>
    </w:p>
    <w:p/>
    <w:p>
      <w:r>
        <w:t>Multi-agent frameworks often score well on collaboration metaphors but lower on accountability semantics unless role objects include responsibility, evidence, and escalation duties. The market implication is that buyers should ask whether the system can prove that an agent role carried responsibility semantics, not merely a persuasive label.</w:t>
      </w:r>
    </w:p>
    <w:p/>
    <w:p>
      <w:pPr>
        <w:pStyle w:val="Heading3"/>
      </w:pPr>
      <w:r>
        <w:t>Design Implication</w:t>
      </w:r>
    </w:p>
    <w:p/>
    <w:p>
      <w:r>
        <w:t>Separate UX persona, runtime capability, and governance role. The role object should identify what the agent can do, what it must prove, what it must escalate, and which human role remains accountable for acceptance or rejection.</w:t>
      </w:r>
    </w:p>
    <w:p/>
    <w:p>
      <w:r>
        <w:t>The implementation test is to replace the agent name with a neutral identifier. If the governance meaning disappears, the system is relying on persona language rather than responsibility structure.</w:t>
      </w:r>
    </w:p>
    <w:p/>
    <w:p>
      <w:pPr>
        <w:pStyle w:val="Heading3"/>
      </w:pPr>
      <w:r>
        <w:t>Audit Question</w:t>
      </w:r>
    </w:p>
    <w:p/>
    <w:p>
      <w:r>
        <w:t>If the agent name is replaced with a neutral identifier, does the governance meaning remain intact, or was the system relying on persona language rather than responsibility structure?</w:t>
      </w:r>
    </w:p>
    <w:p/>
    <w:p/>
    <w:p>
      <w:pPr>
        <w:pStyle w:val="Heading3"/>
      </w:pPr>
      <w:r>
        <w:t>6.5 MRO-04 — Accepted Outcome Compliance</w:t>
      </w:r>
    </w:p>
    <w:p/>
    <w:p>
      <w:pPr>
        <w:pStyle w:val="Heading3"/>
      </w:pPr>
      <w:r>
        <w:t>Problem</w:t>
      </w:r>
    </w:p>
    <w:p/>
    <w:p>
      <w:r>
        <w:t>A model output or orchestrator completion event does not become enterprise work until the right role has reviewed, accepted, or rejected it under evidence.</w:t>
      </w:r>
    </w:p>
    <w:p/>
    <w:p>
      <w:pPr>
        <w:pStyle w:val="Heading3"/>
      </w:pPr>
      <w:r>
        <w:t>Required Object</w:t>
      </w:r>
    </w:p>
    <w:p/>
    <w:p>
      <w:r>
        <w:t>An accepted_outcome state linking source intent, plan, trace, reviewer, acceptance status, dispute window, remediation route, and evidence pointers.</w:t>
      </w:r>
    </w:p>
    <w:p/>
    <w:p>
      <w:pPr>
        <w:pStyle w:val="Heading3"/>
      </w:pPr>
      <w:r>
        <w:t>Judgment</w:t>
      </w:r>
    </w:p>
    <w:p/>
    <w:p>
      <w:r>
        <w:t>Output is a system event. Accepted outcome is a governance state.</w:t>
      </w:r>
    </w:p>
    <w:p/>
    <w:p>
      <w:pPr>
        <w:pStyle w:val="Heading3"/>
      </w:pPr>
      <w:r>
        <w:t>Object Card</w:t>
      </w:r>
    </w:p>
    <w:p/>
    <w:p>
      <w:pPr>
        <w:pStyle w:val="Heading3"/>
      </w:pPr>
      <w:r>
        <w:t>Detailed Discussion</w:t>
      </w:r>
    </w:p>
    <w:p/>
    <w:p>
      <w:r>
        <w:t>Agentic systems often mark work as complete when execution reaches a terminal state. Compliance requires a stronger state: the output must be reviewed against intent, evidence, risk, and acceptance criteria before it becomes an accepted outcome.</w:t>
      </w:r>
    </w:p>
    <w:p/>
    <w:p>
      <w:r>
        <w:t>The core question for MRO-04 is whether output completion is separated from outcome acceptance. Strong support requires acceptance criteria, reviewer identity, evidence linkage, and dispute/remediation state. Execution engines naturally optimize for terminal states, while governance requires a second state transition from completed output to accepted outcome.</w:t>
      </w:r>
    </w:p>
    <w:p/>
    <w:p>
      <w:r>
        <w:t>The difficulty is that execution engines naturally optimize for terminal states, while governance requires a second state transition from completed output to accepted outcome.</w:t>
      </w:r>
    </w:p>
    <w:p/>
    <w:p>
      <w:pPr>
        <w:pStyle w:val="Heading3"/>
      </w:pPr>
      <w:r>
        <w:t>Enterprise Implication</w:t>
      </w:r>
    </w:p>
    <w:p/>
    <w:p>
      <w:pPr>
        <w:pStyle w:val="Heading2"/>
      </w:pPr>
      <w:r>
        <w:t>RCCS Public Method Brief</w:t>
      </w:r>
    </w:p>
    <w:p/>
    <w:p>
      <w:pPr>
        <w:pStyle w:val="Heading3"/>
      </w:pPr>
      <w:r>
        <w:t>Chapter 7: RCCS - Regulatory Compliance Coverage Score</w:t>
      </w:r>
    </w:p>
    <w:p/>
    <w:p>
      <w:r>
        <w:t>Version: v0.3.2-FRC-R3</w:t>
      </w:r>
    </w:p>
    <w:p>
      <w:r>
        <w:t>Phase: 1A-3.5</w:t>
      </w:r>
    </w:p>
    <w:p/>
    <w:p/>
    <w:p>
      <w:pPr>
        <w:pStyle w:val="Heading3"/>
      </w:pPr>
      <w:r>
        <w:t>7.0 Chapter Overview</w:t>
      </w:r>
    </w:p>
    <w:p/>
    <w:p>
      <w:r>
        <w:t>This chapter introduces the Regulatory Compliance Coverage Score (RCCS), the first of two scoring frameworks used in this white paper. RCCS measures how strongly a system covers existing regulatory and governance requirements such as risk management, data governance, documentation, record-keeping, transparency, human oversight, security, accountability, contestability, and monitoring.</w:t>
      </w:r>
    </w:p>
    <w:p/>
    <w:p>
      <w:r>
        <w:t>RCCS is an analytical framework for comparing system capabilities against regulatory ideals. It is not a legal compliance certification, not a conformity assessment, and not a regulatory approval. It is a structured method for evaluating whether a system provides the primitives, controls, and evidence mechanisms that existing regulation and governance frameworks increasingly require.</w:t>
      </w:r>
    </w:p>
    <w:p/>
    <w:p>
      <w:r>
        <w:t>The chapter defines the ten RCCS dimensions, explains the shared scoring procedure used for both RCCS and ALCS, and establishes clear boundaries around what RCCS measures and what it does not measure. Detailed scoring rubrics for each dimension are provided in sections 7.6 through 7.15.</w:t>
      </w:r>
    </w:p>
    <w:p/>
    <w:p/>
    <w:p>
      <w:pPr>
        <w:pStyle w:val="Heading3"/>
      </w:pPr>
      <w:r>
        <w:t>7.1 What RCCS Measures</w:t>
      </w:r>
    </w:p>
    <w:p/>
    <w:p>
      <w:r>
        <w:t>RCCS measures how strongly a system covers existing regulatory and governance requirements. It evaluates whether a system provides the capabilities, controls, and evidence mechanisms that frameworks such as the EU AI Act, GDPR, NIST AI RMF, ISO/IEC 42001, and Singapore MGF increasingly require.</w:t>
      </w:r>
    </w:p>
    <w:p/>
    <w:p>
      <w:r>
        <w:t>RCCS is not a legal compliance score. A high RCCS score does not mean a system is legally compliant. A low RCCS score does not mean a system is non-compliant. Legal compliance depends on organizational practice, deployment context, jurisdiction, risk class, and how the system is used. RCCS measures system capability, not organizational conformance.</w:t>
      </w:r>
    </w:p>
    <w:p/>
    <w:p>
      <w:r>
        <w:t>RCCS is an analytical framework for comparing systems. It allows buyers, auditors, governance teams, and protocol designers to evaluate whether a system provides the primitives required to support regulatory obligations. It makes visible the difference between systems that provide governance controls and systems that provide only execution or observability features.</w:t>
      </w:r>
    </w:p>
    <w:p/>
    <w:p>
      <w:r>
        <w:t>The purpose of RCCS is to translate regulatory abstractions into measurable system capabilities. Regulation requires risk management, but what does that mean in a system? RCCS defines ten dimensions that operationalize regulatory requirements into system features that can be evaluated, compared, and improved. It is a bridge between regulatory language and engineering implementation.</w:t>
      </w:r>
    </w:p>
    <w:p/>
    <w:p/>
    <w:p>
      <w:pPr>
        <w:pStyle w:val="Heading3"/>
      </w:pPr>
      <w:r>
        <w:t>7.2 RCCS Dimensions Overview</w:t>
      </w:r>
    </w:p>
    <w:p/>
    <w:p>
      <w:r>
        <w:t>RCCS evaluates systems across ten dimensions. Each dimension corresponds to a recurring regulatory requirement. The dimensions are weighted to reflect their relative importance in the regulatory baseline analyzed in Chapter 4.</w:t>
      </w:r>
    </w:p>
    <w:p/>
    <w:p>
      <w:r>
        <w:t>The ten RCCS dimensions are:</w:t>
      </w:r>
    </w:p>
    <w:p/>
    <w:p>
      <w:r>
        <w:t>1. Risk Management (20%) - Does the system support risk identification, assessment, and mitigation across the AI lifecycle?</w:t>
      </w:r>
    </w:p>
    <w:p>
      <w:r>
        <w:t>2. Data Governance (10%) - Does the system track data lineage, quality, and lifecycle management?</w:t>
      </w:r>
    </w:p>
    <w:p>
      <w:r>
        <w:t>3. Documentation (10%) - Does the system produce and maintain required technical documentation?</w:t>
      </w:r>
    </w:p>
    <w:p>
      <w:r>
        <w:t>4. Record-Keeping (10%) - Does the system maintain audit trails and evidence records?</w:t>
      </w:r>
    </w:p>
    <w:p>
      <w:r>
        <w:t>5. Transparency (10%) - Does the system provide explainability and disclosure mechanisms?</w:t>
      </w:r>
    </w:p>
    <w:p>
      <w:r>
        <w:t>6. Human Oversight (15%) - Does the system support human review, approval, and intervention?</w:t>
      </w:r>
    </w:p>
    <w:p>
      <w:r>
        <w:t>7. Security (5%) - Does the system implement security controls and access management?</w:t>
      </w:r>
    </w:p>
    <w:p>
      <w:r>
        <w:t>8. Accountability (5%) - Does the system assign responsibility and track decisions?</w:t>
      </w:r>
    </w:p>
    <w:p>
      <w:r>
        <w:t>9. Contestability (5%) - Does the system support dispute and appeal mechanisms?</w:t>
      </w:r>
    </w:p>
    <w:p>
      <w:r>
        <w:t>10. Monitoring (10%) - Does the system support continuous monitoring and incident detection?</w:t>
      </w:r>
    </w:p>
    <w:p/>
    <w:p>
      <w:r>
        <w:t>The following table summarizes the ten dimensions, their regulatory sources, core questions, and weights.</w:t>
      </w:r>
    </w:p>
    <w:p/>
    <w:p/>
    <w:p>
      <w:pPr>
        <w:pStyle w:val="Heading3"/>
      </w:pPr>
      <w:r>
        <w:t>7.3 Shared Scoring Procedure</w:t>
      </w:r>
    </w:p>
    <w:p/>
    <w:p>
      <w:r>
        <w:t>RCCS and ALCS use the same scoring procedure. This section defines the shared raw scoring scale, evidence confidence multiplier, dimension score formula, and cross-framework composite score calculation used throughout the white paper.</w:t>
      </w:r>
    </w:p>
    <w:p/>
    <w:p>
      <w:pPr>
        <w:pStyle w:val="Heading3"/>
      </w:pPr>
      <w:r>
        <w:t>7.3.1 Raw Scoring Scale (0-5)</w:t>
      </w:r>
    </w:p>
    <w:p/>
    <w:p>
      <w:r>
        <w:t>Each dimension is scored on a 0-5 raw scale based on the strength of system support:</w:t>
      </w:r>
    </w:p>
    <w:p/>
    <w:p>
      <w:pPr>
        <w:pStyle w:val="ListBullet"/>
      </w:pPr>
      <w:r>
        <w:t>0 = No capability; no evidence - The system does not provide the capability, or no evidence is available to evaluate it.</w:t>
      </w:r>
    </w:p>
    <w:p>
      <w:pPr>
        <w:pStyle w:val="ListBullet"/>
      </w:pPr>
      <w:r>
        <w:t>1 = Minimal capability; weak evidence - Documentation mentions the capability, but no implementation primitives are evident.</w:t>
      </w:r>
    </w:p>
    <w:p>
      <w:pPr>
        <w:pStyle w:val="ListBullet"/>
      </w:pPr>
      <w:r>
        <w:t>2 = Partial capability; some evidence - Some primitives exist, but coverage is incomplete or limited to specific contexts.</w:t>
      </w:r>
    </w:p>
    <w:p>
      <w:pPr>
        <w:pStyle w:val="ListBullet"/>
      </w:pPr>
      <w:r>
        <w:t>3 = Moderate capability; documented evidence - Most primitives exist, with some gaps or limitations in integration or coverage.</w:t>
      </w:r>
    </w:p>
    <w:p>
      <w:pPr>
        <w:pStyle w:val="ListBullet"/>
      </w:pPr>
      <w:r>
        <w:t>4 = Strong capability; validated evidence - Strong primitives exist and are mostly integrated across the system's scope.</w:t>
      </w:r>
    </w:p>
    <w:p>
      <w:pPr>
        <w:pStyle w:val="ListBullet"/>
      </w:pPr>
      <w:r>
        <w:t>5 = Complete capability demonstrated by implementation evidence, formal audit evidence, protocol-level evidence, or validated operational artifacts - Legal text may establish a regulatory baseline but does not by itself prove implementation.</w:t>
      </w:r>
    </w:p>
    <w:p/>
    <w:p>
      <w:r>
        <w:t>This scale is applied consistently across all RCCS and ALCS dimensions. The score reflects system capability, not organizational practice. A system may score 5 on a dimension while the organization using it scores lower due to deployment gaps, policy weaknesses, or incomplete adoption.</w:t>
      </w:r>
    </w:p>
    <w:p/>
    <w:p>
      <w:pPr>
        <w:pStyle w:val="Heading3"/>
      </w:pPr>
      <w:r>
        <w:t>7.3.2 Evidence Confidence Multiplier</w:t>
      </w:r>
    </w:p>
    <w:p/>
    <w:p>
      <w:r>
        <w:t>The evidence multiplier adjusts the dimension score based on the quality and verifiability of evidence used to evaluate the system. It reflects the confidence level in the scoring assessment.</w:t>
      </w:r>
    </w:p>
    <w:p/>
    <w:p>
      <w:r>
        <w:t>Evidence multiplier values:</w:t>
      </w:r>
    </w:p>
    <w:p/>
    <w:p>
      <w:pPr>
        <w:pStyle w:val="ListBullet"/>
      </w:pPr>
      <w:r>
        <w:t>L1: 1.00</w:t>
      </w:r>
    </w:p>
    <w:p>
      <w:pPr>
        <w:pStyle w:val="ListBullet"/>
      </w:pPr>
      <w:r>
        <w:t>L2: 0.85</w:t>
      </w:r>
    </w:p>
    <w:p>
      <w:pPr>
        <w:pStyle w:val="ListBullet"/>
      </w:pPr>
      <w:r>
        <w:t>L3: 0.75</w:t>
      </w:r>
    </w:p>
    <w:p>
      <w:pPr>
        <w:pStyle w:val="ListBullet"/>
      </w:pPr>
      <w:r>
        <w:t>L4: 0.55</w:t>
      </w:r>
    </w:p>
    <w:p>
      <w:pPr>
        <w:pStyle w:val="ListBullet"/>
      </w:pPr>
      <w:r>
        <w:t>L5: 0.35</w:t>
      </w:r>
    </w:p>
    <w:p/>
    <w:p>
      <w:r>
        <w:t>The evidence multiplier is applied to each raw dimension score using the canonical normalized formula:</w:t>
      </w:r>
    </w:p>
    <w:p/>
    <w:p>
      <w:r>
        <w:t>Dimension Score = (Raw Score / 5) × 100 × Evidence Confidence Multiplier</w:t>
      </w:r>
    </w:p>
    <w:p/>
    <w:p>
      <w:r>
        <w:t>This ensures that scores based on weaker evidence are discounted appropriately.</w:t>
      </w:r>
    </w:p>
    <w:p/>
    <w:p>
      <w:pPr>
        <w:pStyle w:val="Heading3"/>
      </w:pPr>
      <w:r>
        <w:t>7.3.3 Dimension Weighting</w:t>
      </w:r>
    </w:p>
    <w:p/>
    <w:p>
      <w:r>
        <w:t>Each dimension has a weight that reflects its relative importance in the regulatory baseline. Weights are expressed as percentages and sum to 100% for each scoring framework.</w:t>
      </w:r>
    </w:p>
    <w:p/>
    <w:p>
      <w:r>
        <w:t>For RCCS, the weights are:</w:t>
      </w:r>
    </w:p>
    <w:p>
      <w:pPr>
        <w:pStyle w:val="ListBullet"/>
      </w:pPr>
      <w:r>
        <w:t>Risk Management: 20%</w:t>
      </w:r>
    </w:p>
    <w:p>
      <w:pPr>
        <w:pStyle w:val="ListBullet"/>
      </w:pPr>
      <w:r>
        <w:t>Human Oversight: 15%</w:t>
      </w:r>
    </w:p>
    <w:p>
      <w:pPr>
        <w:pStyle w:val="ListBullet"/>
      </w:pPr>
      <w:r>
        <w:t>Data Governance: 10%</w:t>
      </w:r>
    </w:p>
    <w:p>
      <w:pPr>
        <w:pStyle w:val="ListBullet"/>
      </w:pPr>
      <w:r>
        <w:t>Documentation: 10%</w:t>
      </w:r>
    </w:p>
    <w:p>
      <w:pPr>
        <w:pStyle w:val="ListBullet"/>
      </w:pPr>
      <w:r>
        <w:t>Record-Keeping: 10%</w:t>
      </w:r>
    </w:p>
    <w:p>
      <w:pPr>
        <w:pStyle w:val="ListBullet"/>
      </w:pPr>
      <w:r>
        <w:t>Transparency: 10%</w:t>
      </w:r>
    </w:p>
    <w:p>
      <w:pPr>
        <w:pStyle w:val="ListBullet"/>
      </w:pPr>
      <w:r>
        <w:t>Monitoring: 10%</w:t>
      </w:r>
    </w:p>
    <w:p>
      <w:pPr>
        <w:pStyle w:val="ListBullet"/>
      </w:pPr>
      <w:r>
        <w:t>Security: 5%</w:t>
      </w:r>
    </w:p>
    <w:p>
      <w:pPr>
        <w:pStyle w:val="ListBullet"/>
      </w:pPr>
      <w:r>
        <w:t>Accountability: 5%</w:t>
      </w:r>
    </w:p>
    <w:p>
      <w:pPr>
        <w:pStyle w:val="ListBullet"/>
      </w:pPr>
      <w:r>
        <w:t>Contestability: 5%</w:t>
      </w:r>
    </w:p>
    <w:p/>
    <w:p>
      <w:r>
        <w:t>Weights are fixed for this version of the white paper. Future versions may adjust weights based on regulatory evolution or stakeholder feedback.</w:t>
      </w:r>
    </w:p>
    <w:p/>
    <w:p>
      <w:pPr>
        <w:pStyle w:val="Heading3"/>
      </w:pPr>
      <w:r>
        <w:t>7.3.4 RCCS Score Calculation</w:t>
      </w:r>
    </w:p>
    <w:p/>
    <w:p>
      <w:r>
        <w:t>RCCS is calculated from adjusted RCCS dimension scores. Each dimension first receives a raw score and evidence multiplier:</w:t>
      </w:r>
    </w:p>
    <w:p/>
    <w:p>
      <w:r>
        <w:t>Dimension Score = (Raw Score / 5) × 100 × Evidence Confidence Multiplier</w:t>
      </w:r>
    </w:p>
    <w:p/>
    <w:p>
      <w:r>
        <w:t>Where:</w:t>
      </w:r>
    </w:p>
    <w:p>
      <w:pPr>
        <w:pStyle w:val="ListBullet"/>
      </w:pPr>
      <w:r>
        <w:t>Raw Score is the 0-5 capability score for each dimension</w:t>
      </w:r>
    </w:p>
    <w:p>
      <w:pPr>
        <w:pStyle w:val="ListBullet"/>
      </w:pPr>
      <w:r>
        <w:t>Evidence Confidence Multiplier is L1=1.00, L2=0.85, L3=0.75, L4=0.55, or L5=0.35</w:t>
      </w:r>
    </w:p>
    <w:p/>
    <w:p>
      <w:r>
        <w:t>The RCCS framework score is the aggregate of adjusted RCCS dimension scores. The cross-framework composite score is defined in Chapter 9 as:</w:t>
      </w:r>
    </w:p>
    <w:p/>
    <w:p>
      <w:r>
        <w:t>Composite Score = 0.40 × RCCS + 0.60 × ALCS</w:t>
      </w:r>
    </w:p>
    <w:p/>
    <w:p>
      <w:r>
        <w:t>The following table illustrates the calculation formula.</w:t>
      </w:r>
    </w:p>
    <w:p/>
    <w:p>
      <w:r>
        <w:t>This calculation method is used for both RCCS and ALCS. The only difference is the set of dimensions and their weights.</w:t>
      </w:r>
    </w:p>
    <w:p/>
    <w:p/>
    <w:p>
      <w:pPr>
        <w:pStyle w:val="Heading3"/>
      </w:pPr>
      <w:r>
        <w:t>7.4 RCCS Boundary Statement</w:t>
      </w:r>
    </w:p>
    <w:p/>
    <w:p>
      <w:r>
        <w:t>RCCS is an analytical scoring framework, not a legal compliance score. This boundary must be understood clearly to avoid misinterpretation.</w:t>
      </w:r>
    </w:p>
    <w:p/>
    <w:p>
      <w:r>
        <w:t>What RCCS is:</w:t>
      </w:r>
    </w:p>
    <w:p>
      <w:pPr>
        <w:pStyle w:val="ListBullet"/>
      </w:pPr>
      <w:r>
        <w:t>An analytical framework for comparing system capabilities against regulatory ideals</w:t>
      </w:r>
    </w:p>
    <w:p>
      <w:pPr>
        <w:pStyle w:val="ListBullet"/>
      </w:pPr>
      <w:r>
        <w:t>A structured method for evaluating whether a system provides governance primitives</w:t>
      </w:r>
    </w:p>
    <w:p>
      <w:pPr>
        <w:pStyle w:val="ListBullet"/>
      </w:pPr>
      <w:r>
        <w:t>A tool for buyers, auditors, and governance teams to assess system readiness</w:t>
      </w:r>
    </w:p>
    <w:p>
      <w:pPr>
        <w:pStyle w:val="ListBullet"/>
      </w:pPr>
      <w:r>
        <w:t>A bridge between regulatory language and engineering implementation</w:t>
      </w:r>
    </w:p>
    <w:p/>
    <w:p>
      <w:r>
        <w:t>What RCCS is not:</w:t>
      </w:r>
    </w:p>
    <w:p>
      <w:pPr>
        <w:pStyle w:val="ListBullet"/>
      </w:pPr>
      <w:r>
        <w:t>A legal compliance certification or conformity assessment</w:t>
      </w:r>
    </w:p>
    <w:p>
      <w:pPr>
        <w:pStyle w:val="ListBullet"/>
      </w:pPr>
      <w:r>
        <w:t>A regulatory approval or endorsement</w:t>
      </w:r>
    </w:p>
    <w:p>
      <w:pPr>
        <w:pStyle w:val="ListBullet"/>
      </w:pPr>
      <w:r>
        <w:t>A guarantee that a system meets all legal obligations</w:t>
      </w:r>
    </w:p>
    <w:p>
      <w:pPr>
        <w:pStyle w:val="ListBullet"/>
      </w:pPr>
      <w:r>
        <w:t>A substitute for legal counsel, compliance review, or risk assessment</w:t>
      </w:r>
    </w:p>
    <w:p/>
    <w:p>
      <w:r>
        <w:t>Key boundary principles:</w:t>
      </w:r>
    </w:p>
    <w:p/>
    <w:p>
      <w:r>
        <w:t>1. High RCCS score does NOT mean legal compliance. A system may score well on RCCS while the organization using it fails to comply with legal obligations due to deployment gaps, policy weaknesses, incomplete adoption, or jurisdictional differences.</w:t>
      </w:r>
    </w:p>
    <w:p/>
    <w:p>
      <w:r>
        <w:t>2. Low RCCS score does NOT mean non-compliance. A system may score lower on RCCS while the organization achieves compliance through compensating controls, manual processes, or alternative governance mechanisms.</w:t>
      </w:r>
    </w:p>
    <w:p/>
    <w:p>
      <w:r>
        <w:t>3. RCCS measures system capability, not organizational practice. A system may provide strong governance primitives while the organization fails to use them. Conversely, an organization may achieve strong governance through processes that are not reflected in system capabilities.</w:t>
      </w:r>
    </w:p>
    <w:p/>
    <w:p>
      <w:r>
        <w:t>4. RCCS is context-independent, but compliance is context-dependent. RCCS evaluates system capabilities without regard to deployment context, risk class, jurisdiction, or use case. Legal compliance depends on all of these factors.</w:t>
      </w:r>
    </w:p>
    <w:p/>
    <w:p>
      <w:r>
        <w:t>The purpose of this boundary statement is to prevent over-claiming. RCCS is a useful analytical tool, but it is not a compliance certification. Organizations must not rely on RCCS scores as proof of legal compliance. Buyers must not treat high RCCS scores as a substitute for due diligence, legal review, or risk assessment.</w:t>
      </w:r>
    </w:p>
    <w:p/>
    <w:p/>
    <w:p>
      <w:pPr>
        <w:pStyle w:val="Heading3"/>
      </w:pPr>
      <w:r>
        <w:t>7.5 Bridge to Dimension Sections</w:t>
      </w:r>
    </w:p>
    <w:p/>
    <w:p>
      <w:r>
        <w:t>The following sections (7.6 through 7.15) detail each RCCS dimension. Each dimension section includes:</w:t>
      </w:r>
    </w:p>
    <w:p/>
    <w:p>
      <w:pPr>
        <w:pStyle w:val="ListBullet"/>
      </w:pPr>
      <w:r>
        <w:t>Regulatory basis - Which frameworks and requirements inform the dimension</w:t>
      </w:r>
    </w:p>
    <w:p>
      <w:pPr>
        <w:pStyle w:val="ListBullet"/>
      </w:pPr>
      <w:r>
        <w:t>Core question - What the dimension evaluates</w:t>
      </w:r>
    </w:p>
    <w:p>
      <w:pPr>
        <w:pStyle w:val="ListBullet"/>
      </w:pPr>
      <w:r>
        <w:t>Scoring criteria - How to apply the 0-5 raw scale to system capabilities</w:t>
      </w:r>
    </w:p>
    <w:p>
      <w:pPr>
        <w:pStyle w:val="ListBullet"/>
      </w:pPr>
      <w:r>
        <w:t>System mapping guidance - How to evaluate whether a system supports the dimension</w:t>
      </w:r>
    </w:p>
    <w:p/>
    <w:p>
      <w:r>
        <w:t>The dimension sections provide the detailed rubrics required to score systems consistently and reproducibly. They translate regulatory abstractions into concrete system features that can be evaluated through documentation review, API inspection, and evidence analysis.</w:t>
      </w:r>
    </w:p>
    <w:p/>
    <w:p/>
    <w:p>
      <w:pPr>
        <w:pStyle w:val="Heading3"/>
      </w:pPr>
      <w:r>
        <w:t>7.6 RCCS-01: Risk Management</w:t>
      </w:r>
    </w:p>
    <w:p/>
    <w:p>
      <w:pPr>
        <w:pStyle w:val="Heading3"/>
      </w:pPr>
      <w:r>
        <w:t>Regulatory Basis</w:t>
      </w:r>
    </w:p>
    <w:p/>
    <w:p>
      <w:pPr>
        <w:pStyle w:val="Heading2"/>
      </w:pPr>
      <w:r>
        <w:t>ALCS Public Method Brief</w:t>
      </w:r>
    </w:p>
    <w:p/>
    <w:p>
      <w:pPr>
        <w:pStyle w:val="Heading3"/>
      </w:pPr>
      <w:r>
        <w:t>Chapter 8: ALCS - Agentic Lifecycle Conformance Score</w:t>
      </w:r>
    </w:p>
    <w:p/>
    <w:p>
      <w:r>
        <w:t>Version: v0.3.2-FRC-R3</w:t>
      </w:r>
    </w:p>
    <w:p>
      <w:r>
        <w:t>Phase: 1A-3.7</w:t>
      </w:r>
    </w:p>
    <w:p/>
    <w:p/>
    <w:p>
      <w:pPr>
        <w:pStyle w:val="Heading3"/>
      </w:pPr>
      <w:r>
        <w:t>8.0 Chapter Overview</w:t>
      </w:r>
    </w:p>
    <w:p/>
    <w:p>
      <w:r>
        <w:t>This chapter introduces the Agentic Lifecycle Conformance Score (ALCS), the second of two scoring frameworks used in this white paper. ALCS measures whether a system defines the agentic lifecycle objects required for lifecycle responsibility compliance. It evaluates whether a system can express the sixteen Missing Regulatory Objects introduced in Chapter 6.</w:t>
      </w:r>
    </w:p>
    <w:p/>
    <w:p>
      <w:r>
        <w:t>ALCS is not a legal compliance certification, not a conformity assessment, and not a regulatory approval. It is an analytical framework for comparing system capabilities against lifecycle responsibility requirements. A system can have a strong RCCS score and still have a weak ALCS score. That is not a contradiction. It means the system may be strong in existing regulatory compliance coverage while lacking deeper lifecycle responsibility semantics for multi-agent work.</w:t>
      </w:r>
    </w:p>
    <w:p/>
    <w:p>
      <w:r>
        <w:t>RCCS measures regulatory compliance coverage. ALCS measures agentic lifecycle conformance. These are different layers, not competing scores. RCCS evaluates whether a system provides the governance primitives that existing regulation requires. ALCS evaluates whether a system provides the lifecycle objects that make agentic responsibility auditable, provable, and transferable across agents, humans, tools, projects, vendors, and organizational boundaries.</w:t>
      </w:r>
    </w:p>
    <w:p/>
    <w:p>
      <w:r>
        <w:t>The chapter defines the fifteen ALCS dimensions, explains the ALCS-to-MRO mapping, references the shared scoring procedure established in Chapter 7, and establishes clear boundaries around what ALCS measures and what it does not measure. Detailed scoring rubrics for each dimension are provided in sections 8.7 through 8.21, which will be reconstructed in Phase 1A-3.8 and 1A-3.9.</w:t>
      </w:r>
    </w:p>
    <w:p/>
    <w:p/>
    <w:p>
      <w:pPr>
        <w:pStyle w:val="Heading3"/>
      </w:pPr>
      <w:r>
        <w:t>8.1 What ALCS Measures</w:t>
      </w:r>
    </w:p>
    <w:p/>
    <w:p>
      <w:r>
        <w:t>ALCS measures whether a system defines the agentic lifecycle objects required for lifecycle responsibility compliance. It evaluates whether a system can express human-role-to-MAS responsibility mappings, delegated authority boundaries, agent role definitions, accepted outcome states, tool-action liability records, responsibility transfer semantics, authority drift detection, evidence partitioning, cross-project reuse controls, privacy lifecycle mappings, privacy-preserving validation protocols, evidence minimization policies, data subject rights reconciliation, processor chain tracking, and vendor substitution conformance.</w:t>
      </w:r>
    </w:p>
    <w:p/>
    <w:p>
      <w:r>
        <w:t>ALCS is not a legal compliance score. A high ALCS score does not mean a system is legally compliant. A low ALCS score does not mean a system is non-compliant. Legal compliance depends on organizational practice, deployment context, jurisdiction, risk class, and how the system is used. ALCS measures system capability to express lifecycle responsibility objects, not organizational conformance to legal obligations.</w:t>
      </w:r>
    </w:p>
    <w:p/>
    <w:p>
      <w:r>
        <w:t>ALCS is an analytical framework for comparing systems. It allows buyers, auditors, governance teams, and protocol designers to evaluate whether a system provides the lifecycle primitives required to prove that agentic work moved from intent to accepted outcome under controlled authority, evidence, privacy, and remediation constraints. It makes visible the difference between systems that provide lifecycle responsibility semantics and systems that provide only execution orchestration or observability features.</w:t>
      </w:r>
    </w:p>
    <w:p/>
    <w:p>
      <w:r>
        <w:t>The purpose of ALCS is to translate the sixteen Missing Regulatory Objects into measurable system capabilities. Regulation requires human oversight, but what does that mean in a multi-agent system? ALCS defines fifteen dimensions that operationalize lifecycle responsibility requirements into system features that can be evaluated, compared, and improved. It is a bridge between regulatory abstractions and lifecycle implementation.</w:t>
      </w:r>
    </w:p>
    <w:p/>
    <w:p>
      <w:r>
        <w:t>A system can have a strong RCCS score and a weak ALCS score. This is not a contradiction. It means the system may provide strong regulatory compliance coverage through risk management, documentation, record-keeping, transparency, human oversight, security, accountability, contestability, and monitoring capabilities while lacking the deeper lifecycle responsibility objects required to prove authority boundaries, responsibility transfer, evidence partitioning, privacy lifecycle mapping, and vendor substitution conformance in multi-agent execution. RCCS measures regulatory compliance coverage. ALCS measures agentic lifecycle conformance. Both are necessary. Neither alone is sufficient.</w:t>
      </w:r>
    </w:p>
    <w:p/>
    <w:p/>
    <w:p>
      <w:pPr>
        <w:pStyle w:val="Heading3"/>
      </w:pPr>
      <w:r>
        <w:t>8.2 ALCS Dimensions Overview</w:t>
      </w:r>
    </w:p>
    <w:p/>
    <w:p>
      <w:r>
        <w:t>ALCS evaluates systems across fifteen dimensions. Each dimension corresponds to one or more Missing Regulatory Objects. The dimensions are weighted to reflect their relative importance in lifecycle responsibility compliance.</w:t>
      </w:r>
    </w:p>
    <w:p/>
    <w:p>
      <w:r>
        <w:t>The fifteen ALCS dimensions are:</w:t>
      </w:r>
    </w:p>
    <w:p/>
    <w:p>
      <w:r>
        <w:t>1. Human-Role-to-MAS Responsibility Mapping (8%) - Does the system map human roles to agent roles, delegated scopes, and evidence obligations?</w:t>
      </w:r>
    </w:p>
    <w:p>
      <w:r>
        <w:t>2. Delegated Authority Boundary (8%) - Does the system define and enforce authority boundaries for agent actions?</w:t>
      </w:r>
    </w:p>
    <w:p>
      <w:r>
        <w:t>3. Agent Role vs Human Role Distinction (5%) - Does the system distinguish agent roles from human roles with clear responsibility semantics?</w:t>
      </w:r>
    </w:p>
    <w:p>
      <w:r>
        <w:t>4. Accepted Outcome Compliance (8%) - Does the system separate execution completion from outcome acceptance?</w:t>
      </w:r>
    </w:p>
    <w:p>
      <w:r>
        <w:t>5. Tool-Action Liability Boundary (8%) - Does the system record liability boundaries for consequential tool actions?</w:t>
      </w:r>
    </w:p>
    <w:p>
      <w:r>
        <w:t>6. Responsibility Transfer Across Agents (8%) - Does the system track responsibility transfer during agent handoffs?</w:t>
      </w:r>
    </w:p>
    <w:p>
      <w:r>
        <w:t>7. Authority Drift Detection (5%) - Does the system detect unauthorized authority transitions?</w:t>
      </w:r>
    </w:p>
    <w:p>
      <w:r>
        <w:t>8. MAS Evidence Partitioning (8%) - Does the system partition evidence by agent, tool, authority, and privacy boundaries?</w:t>
      </w:r>
    </w:p>
    <w:p>
      <w:r>
        <w:t>9. Cross-Project Reuse Compliance (5%) - Does the system enforce revalidation when workflows are reused across projects?</w:t>
      </w:r>
    </w:p>
    <w:p>
      <w:r>
        <w:t>10. Privacy/GDPR Lifecycle Mapping (8%) - Does the system map personal data flows across the agent lifecycle?</w:t>
      </w:r>
    </w:p>
    <w:p>
      <w:r>
        <w:t>11. Privacy-Preserving Third-Party Validation (5%) - Does the system support validation without raw data disclosure?</w:t>
      </w:r>
    </w:p>
    <w:p>
      <w:r>
        <w:t>12. Evidence Minimization and Selective Disclosure (5%) - Does the system minimize evidence retention and support selective disclosure?</w:t>
      </w:r>
    </w:p>
    <w:p>
      <w:r>
        <w:t>13. Data Subject Rights vs Evidence Retention (5%) - Does the system reconcile data subject rights with evidence retention obligations?</w:t>
      </w:r>
    </w:p>
    <w:p>
      <w:r>
        <w:t>14. Third-Party Processor/Subprocessor Chain (5%) - Does the system track processor and subprocessor usage at lifecycle granularity?</w:t>
      </w:r>
    </w:p>
    <w:p>
      <w:r>
        <w:t>15. Vendor/Model/Runtime Substitution Conformance (5%) - Does the system enforce conformance revalidation when vendors are substituted?</w:t>
      </w:r>
    </w:p>
    <w:p/>
    <w:p>
      <w:r>
        <w:t>The following table summarizes the fifteen dimensions, their MRO mappings, core questions, and weights.</w:t>
      </w:r>
    </w:p>
    <w:p/>
    <w:p>
      <w:r>
        <w:t>Note: MRO-16 (Incident, Dispute, and Remediation Closure) is not directly mapped to a single ALCS dimension. It is a cross-cutting lifecycle capability that spans multiple dimensions including contestability, evidence partitioning, and continuous improvement. Incident closure capability is evaluated within the RCCS Contestability and Monitoring dimensions rather than as a separate ALCS dimension.</w:t>
      </w:r>
    </w:p>
    <w:p/>
    <w:p/>
    <w:p>
      <w:pPr>
        <w:pStyle w:val="Heading3"/>
      </w:pPr>
      <w:r>
        <w:t>8.3 ALCS-to-MRO Mapping</w:t>
      </w:r>
    </w:p>
    <w:p/>
    <w:p>
      <w:r>
        <w:t>Each ALCS dimension maps to one or more Missing Regulatory Objects. The mapping shows how ALCS dimensions operationalize MRO requirements into measurable system capabilities. ALCS dimensions are not merely restatements of MROs. They are evaluation criteria that translate MRO requirements into system features that can be scored, compared, and improved.</w:t>
      </w:r>
    </w:p>
    <w:p/>
    <w:p>
      <w:r>
        <w:t>The mapping is primarily one-to-one: each ALCS dimension corresponds to a single primary MRO. However, some dimensions have secondary MRO relationships because lifecycle responsibility objects are interconnected. For example, Human-Role-to-MAS Responsibility Mapping (ALCS-01) primarily maps to MRO-01 but also relates to MRO-03 (Agent Role vs Human Role) and MRO-06 (Responsibility Transfer) because responsibility mapping, role distinction, and transfer semantics are interdependent.</w:t>
      </w:r>
    </w:p>
    <w:p/>
    <w:p>
      <w:r>
        <w:t>The following table provides detailed ALCS-to-MRO mapping, including primary MRO, secondary MROs, lifecycle phase, and core object required.</w:t>
      </w:r>
    </w:p>
    <w:p/>
    <w:p>
      <w:r>
        <w:t>This mapping demonstrates that ALCS dimensions are operationalized versions of MRO requirements. Each dimension translates an MRO into a measurable system capability. The mapping also shows that lifecycle responsibility objects are interconnected: responsibility mapping relates to role distinction and transfer semantics; authority boundaries relate to drift detection; evidence partitioning relates to privacy mapping and selective disclosure; reuse compliance relates to authority reset and privacy review.</w:t>
      </w:r>
    </w:p>
    <w:p/>
    <w:p/>
    <w:p>
      <w:pPr>
        <w:pStyle w:val="Heading3"/>
      </w:pPr>
      <w:r>
        <w:t>8.3.1 Treatment of MRO-16 as a Cross-Cutting Closure Requirement</w:t>
      </w:r>
    </w:p>
    <w:p/>
    <w:p>
      <w:r>
        <w:t>MRO-16 (Incident, Dispute, and Remediation Closure) is not directly mapped to a single ALCS dimension. Instead, it is treated as a cross-cutting lifecycle capability that is evaluated through multiple dimensions and scoring logic across both RCCS and ALCS.</w:t>
      </w:r>
    </w:p>
    <w:p/>
    <w:p>
      <w:r>
        <w:t>ALCS directly operationalizes fifteen dimension-level MROs (MRO-01 through MRO-15). MRO-16 is cross-cutting rather than omitted. It is evaluated through contestability, monitoring, accepted outcome, evidence partitioning, evidence minimization, and remediation-related scoring logic. This prevents incident, dispute, and remediation closure from being treated as a narrow isolated dimension and instead recognizes it as a lifecycle-wide capability.</w:t>
      </w:r>
    </w:p>
    <w:p/>
    <w:p>
      <w:r>
        <w:t>The following table shows how MRO-16 is evaluated across multiple dimensions:</w:t>
      </w:r>
    </w:p>
    <w:p/>
    <w:p>
      <w:r>
        <w:t>This cross-cutting treatment ensures that incident, dispute, and remediation closure is evaluated as a lifecycle-wide capability rather than as a single isolated dimension. Systems that provide strong contestability, monitoring, accepted outcome tracking, evidence partitioning, and evidence minimization capabilities will naturally support incident closure. Systems that lack these capabilities will struggle to close incidents in an auditable, privacy-preserving, and accountability-preserving manner.</w:t>
      </w:r>
    </w:p>
    <w:p/>
    <w:p/>
    <w:p>
      <w:pPr>
        <w:pStyle w:val="Heading3"/>
      </w:pPr>
      <w:r>
        <w:t>8.4 Shared Scoring Procedure (Reference to Chapter 7)</w:t>
      </w:r>
    </w:p>
    <w:p/>
    <w:p>
      <w:r>
        <w:t>ALCS uses the same scoring procedure as RCCS. This ensures consistency and comparability across both scoring frameworks. The shared scoring procedure was defined in Chapter 7.3 and includes the raw scoring scale, evidence confidence multiplier, dimension score formula, and cross-framework composite score.</w:t>
      </w:r>
    </w:p>
    <w:p/>
    <w:p>
      <w:r>
        <w:t>Raw scoring scale (0-5): Each ALCS dimension is scored on a 0-5 raw scale based on the strength of system support:</w:t>
      </w:r>
    </w:p>
    <w:p>
      <w:pPr>
        <w:pStyle w:val="ListBullet"/>
      </w:pPr>
      <w:r>
        <w:t>0 = No capability; no evidence</w:t>
      </w:r>
    </w:p>
    <w:p>
      <w:pPr>
        <w:pStyle w:val="ListBullet"/>
      </w:pPr>
      <w:r>
        <w:t>1 = Minimal capability; weak evidence</w:t>
      </w:r>
    </w:p>
    <w:p>
      <w:pPr>
        <w:pStyle w:val="ListBullet"/>
      </w:pPr>
      <w:r>
        <w:t>2 = Partial capability; some evidence</w:t>
      </w:r>
    </w:p>
    <w:p>
      <w:pPr>
        <w:pStyle w:val="ListBullet"/>
      </w:pPr>
      <w:r>
        <w:t>3 = Moderate capability; documented evidence</w:t>
      </w:r>
    </w:p>
    <w:p>
      <w:pPr>
        <w:pStyle w:val="ListBullet"/>
      </w:pPr>
      <w:r>
        <w:t>4 = Strong capability; validated evidence</w:t>
      </w:r>
    </w:p>
    <w:p>
      <w:pPr>
        <w:pStyle w:val="ListBullet"/>
      </w:pPr>
      <w:r>
        <w:t>5 = Complete capability demonstrated by implementation evidence, formal audit evidence, protocol-level evidence, or validated operational artifacts. Legal text may establish a regulatory baseline but does not by itself prove implementation.</w:t>
      </w:r>
    </w:p>
    <w:p/>
    <w:p>
      <w:r>
        <w:t>Evidence confidence multiplier: The evidence multiplier adjusts the dimension score based on the quality and verifiability of evidence used to evaluate the system:</w:t>
      </w:r>
    </w:p>
    <w:p>
      <w:pPr>
        <w:pStyle w:val="ListBullet"/>
      </w:pPr>
      <w:r>
        <w:t>L1: 1.00</w:t>
      </w:r>
    </w:p>
    <w:p>
      <w:pPr>
        <w:pStyle w:val="ListBullet"/>
      </w:pPr>
      <w:r>
        <w:t>L2: 0.85</w:t>
      </w:r>
    </w:p>
    <w:p>
      <w:pPr>
        <w:pStyle w:val="ListBullet"/>
      </w:pPr>
      <w:r>
        <w:t>L3: 0.75</w:t>
      </w:r>
    </w:p>
    <w:p>
      <w:pPr>
        <w:pStyle w:val="ListBullet"/>
      </w:pPr>
      <w:r>
        <w:t>L4: 0.55</w:t>
      </w:r>
    </w:p>
    <w:p>
      <w:pPr>
        <w:pStyle w:val="ListBullet"/>
      </w:pPr>
      <w:r>
        <w:t>L5: 0.35</w:t>
      </w:r>
    </w:p>
    <w:p/>
    <w:p>
      <w:r>
        <w:t>Dimension score formula: Each ALCS dimension is normalized using:</w:t>
      </w:r>
    </w:p>
    <w:p/>
    <w:p>
      <w:pPr>
        <w:pStyle w:val="Heading2"/>
      </w:pPr>
      <w:r>
        <w:t>Composite Method Boundary</w:t>
      </w:r>
    </w:p>
    <w:p/>
    <w:p>
      <w:pPr>
        <w:pStyle w:val="Heading3"/>
      </w:pPr>
      <w:r>
        <w:t>Chapter 9: Composite Scoring Method</w:t>
      </w:r>
    </w:p>
    <w:p/>
    <w:p>
      <w:r>
        <w:t>Version: v0.3.2-FRC-R3</w:t>
      </w:r>
    </w:p>
    <w:p>
      <w:r>
        <w:t>Phase: 1A-3.10</w:t>
      </w:r>
    </w:p>
    <w:p/>
    <w:p/>
    <w:p>
      <w:pPr>
        <w:pStyle w:val="Heading3"/>
      </w:pPr>
      <w:r>
        <w:t>9.0 Chapter Overview</w:t>
      </w:r>
    </w:p>
    <w:p/>
    <w:p>
      <w:r>
        <w:t>This chapter introduces the Composite Scoring Method, which combines RCCS and ALCS into system-level assessments. In this paper, composite scoring means a dual-layer scoring profile consisting of separate RCCS and ALCS scores. It does not collapse both scores into a single legal compliance number. Composite scoring provides a dual-layer view of system governance capability: regulatory compliance coverage and agentic lifecycle conformance. It is an analytical framework for comparing systems, not a legal compliance certification.</w:t>
      </w:r>
    </w:p>
    <w:p/>
    <w:p>
      <w:r>
        <w:t>The chapter explains the composite score formula, evidence multiplier application, interpretation guidance for RCCS and ALCS together, reproducibility requirements, and boundary statements. It establishes clear expectations about what composite scoring measures and what it does not measure, and bridges to the system mapping chapters that follow.</w:t>
      </w:r>
    </w:p>
    <w:p/>
    <w:p>
      <w:r>
        <w:t>RCCS regulatory coverage + ALCS lifecycle conformance -&gt; evidence-adjusted analytical composite</w:t>
      </w:r>
    </w:p>
    <w:p/>
    <w:p/>
    <w:p>
      <w:pPr>
        <w:pStyle w:val="Heading3"/>
      </w:pPr>
      <w:r>
        <w:t>9.1 Purpose of Composite Scoring</w:t>
      </w:r>
    </w:p>
    <w:p/>
    <w:p>
      <w:r>
        <w:t>Composite scoring combines RCCS and ALCS into system-level assessments that reflect both regulatory compliance coverage and agentic lifecycle conformance. It provides a structured method for evaluating whether systems provide the governance primitives that existing regulation requires and the lifecycle objects that make agentic responsibility auditable, provable, and transferable.</w:t>
      </w:r>
    </w:p>
    <w:p/>
    <w:p>
      <w:r>
        <w:t>The purpose of composite scoring is to make visible the difference between systems that provide regulatory compliance coverage, systems that provide lifecycle responsibility semantics, and systems that provide both. A system can have a strong RCCS score and a weak ALCS score. This is not a contradiction. It means the system may provide strong regulatory compliance coverage through risk management, documentation, record-keeping, transparency, human oversight, security, accountability, contestability, and monitoring capabilities while lacking the deeper lifecycle responsibility objects required to prove authority boundaries, responsibility transfer, evidence partitioning, privacy lifecycle mapping, and vendor substitution conformance in multi-agent execution.</w:t>
      </w:r>
    </w:p>
    <w:p/>
    <w:p>
      <w:r>
        <w:t>Composite scoring is an analytical framework, not a certification program. It does not certify that a system is compliant with any specific regulation. It does not guarantee that a system meets all legal obligations. It does not substitute for legal counsel, compliance review, or risk assessment. It measures system capability to express governance primitives and lifecycle objects, not organizational conformance to legal requirements.</w:t>
      </w:r>
    </w:p>
    <w:p/>
    <w:p>
      <w:r>
        <w:t>The value of composite scoring is comparative analysis. Buyers can compare systems to understand which provide stronger governance primitives or lifecycle objects. Auditors can evaluate whether deployed systems provide the capabilities required to support organizational compliance programs. Governance teams can identify gaps in system capabilities and prioritize improvements. Protocol designers can evaluate whether their designs provide the primitives and objects that regulation and lifecycle responsibility require.</w:t>
      </w:r>
    </w:p>
    <w:p/>
    <w:p/>
    <w:p>
      <w:pPr>
        <w:pStyle w:val="Heading3"/>
      </w:pPr>
      <w:r>
        <w:t>9.2 Composite Score Formula</w:t>
      </w:r>
    </w:p>
    <w:p/>
    <w:p>
      <w:r>
        <w:t>Composite scoring calculates adjusted RCCS and ALCS framework scores and then combines them using the canonical cross-framework weight. RCCS measures regulatory compliance coverage. ALCS measures agentic lifecycle conformance. Both scores are needed for full assessment.</w:t>
      </w:r>
    </w:p>
    <w:p/>
    <w:p>
      <w:r>
        <w:t>Each dimension is first normalized using the canonical dimension formula:</w:t>
      </w:r>
    </w:p>
    <w:p/>
    <w:p>
      <w:r>
        <w:t>Dimension Score = (Raw Score / 5) × 100 × Evidence Confidence Multiplier</w:t>
      </w:r>
    </w:p>
    <w:p/>
    <w:p>
      <w:r>
        <w:t>Where:</w:t>
      </w:r>
    </w:p>
    <w:p>
      <w:pPr>
        <w:pStyle w:val="ListBullet"/>
      </w:pPr>
      <w:r>
        <w:t>Raw Score is the 0-5 score for each dimension based on system capability strength</w:t>
      </w:r>
    </w:p>
    <w:p>
      <w:pPr>
        <w:pStyle w:val="ListBullet"/>
      </w:pPr>
      <w:r>
        <w:t>Evidence Confidence Multiplier is L1=1.00, L2=0.85, L3=0.75, L4=0.55, or L5=0.35</w:t>
      </w:r>
    </w:p>
    <w:p/>
    <w:p>
      <w:r>
        <w:t>The cross-framework composite score is:</w:t>
      </w:r>
    </w:p>
    <w:p/>
    <w:p>
      <w:r>
        <w:t>Composite Score = 0.40 × RCCS + 0.60 × ALCS</w:t>
      </w:r>
    </w:p>
    <w:p/>
    <w:p>
      <w:r>
        <w:t>RCCS and ALCS are expressed on a 0-100 scale after evidence adjustment. The composite score is also expressed on a 0-100 scale.</w:t>
      </w:r>
    </w:p>
    <w:p/>
    <w:p>
      <w:r>
        <w:t>The following table illustrates the composite score calculation with an example.</w:t>
      </w:r>
    </w:p>
    <w:p/>
    <w:p>
      <w:r>
        <w:t>This calculation preserves the distinction between RCCS and ALCS while still producing a single analytical composite score for high-level comparison.</w:t>
      </w:r>
    </w:p>
    <w:p/>
    <w:p>
      <w:r>
        <w:t>RCCS and ALCS are reported separately because they measure different layers. RCCS evaluates whether a system provides the governance primitives that existing regulation requires. ALCS evaluates whether a system provides the lifecycle objects that make agentic responsibility auditable and transferable. The composite score must therefore be read alongside the separate RCCS and ALCS scores.</w:t>
      </w:r>
    </w:p>
    <w:p/>
    <w:p/>
    <w:p>
      <w:pPr>
        <w:pStyle w:val="Heading3"/>
      </w:pPr>
      <w:r>
        <w:t>9.3 Evidence Multiplier Application</w:t>
      </w:r>
    </w:p>
    <w:p/>
    <w:p>
      <w:r>
        <w:t>Evidence quality affects composite scores through the evidence multiplier. The evidence multiplier adjusts dimension scores based on the quality and verifiability of evidence used to evaluate the system. It reflects the confidence level in the scoring assessment.</w:t>
      </w:r>
    </w:p>
    <w:p/>
    <w:p>
      <w:r>
        <w:t>The evidence hierarchy established in the front matter defines five evidence levels:</w:t>
      </w:r>
    </w:p>
    <w:p/>
    <w:p>
      <w:pPr>
        <w:pStyle w:val="ListBullet"/>
      </w:pPr>
      <w:r>
        <w:t>L1: Binding legal, regulatory, or formal standards text - Highest confidence for baseline obligations; does not prove system implementation</w:t>
      </w:r>
    </w:p>
    <w:p>
      <w:pPr>
        <w:pStyle w:val="ListBullet"/>
      </w:pPr>
      <w:r>
        <w:t>L2: Official product documentation, API docs, developer documentation, platform architecture docs - High confidence</w:t>
      </w:r>
    </w:p>
    <w:p>
      <w:pPr>
        <w:pStyle w:val="ListBullet"/>
      </w:pPr>
      <w:r>
        <w:t>L3: Independent audits, certifications, third-party evaluations, regulatory commentary - Medium confidence</w:t>
      </w:r>
    </w:p>
    <w:p>
      <w:pPr>
        <w:pStyle w:val="ListBullet"/>
      </w:pPr>
      <w:r>
        <w:t>L4: Vendor white papers, product pages, blog posts, marketing statements - Low confidence</w:t>
      </w:r>
    </w:p>
    <w:p>
      <w:pPr>
        <w:pStyle w:val="ListBullet"/>
      </w:pPr>
      <w:r>
        <w:t>L5: Author inference, conceptual analysis, strategic interpretation - Disclosed inference</w:t>
      </w:r>
    </w:p>
    <w:p/>
    <w:p>
      <w:r>
        <w:t>The evidence multiplier translates evidence levels into scoring adjustments:</w:t>
      </w:r>
    </w:p>
    <w:p/>
    <w:p>
      <w:r>
        <w:t>The evidence multiplier is applied per dimension, not globally. Different dimensions may be evaluated with different evidence levels. A system may have L2 evidence for risk management (official documentation) and L4 evidence for contestability (vendor white paper). Each dimension receives its own evidence multiplier based on the evidence used to evaluate that specific dimension.</w:t>
      </w:r>
    </w:p>
    <w:p/>
    <w:p>
      <w:r>
        <w:t>Mixed evidence levels are common and expected. System vendors provide detailed documentation for some capabilities while providing only high-level descriptions for others. Independent audits may cover some dimensions but not others. Evaluators must assess evidence quality dimension by dimension and apply the appropriate multiplier to each.</w:t>
      </w:r>
    </w:p>
    <w:p/>
    <w:p>
      <w:r>
        <w:t>The evidence multiplier ensures that scores reflect not only system capability but also the confidence level in that assessment. A raw score of 4 based on L2 evidence becomes (4 / 5) × 100 × 0.85 = 68.0. The same raw score based on L4 evidence becomes (4 / 5) × 100 × 0.55 = 44.0. This prevents over-claiming based on weak evidence.</w:t>
      </w:r>
    </w:p>
    <w:p/>
    <w:p/>
    <w:p>
      <w:pPr>
        <w:pStyle w:val="Heading3"/>
      </w:pPr>
      <w:r>
        <w:t>9.4 Interpreting RCCS and ALCS Together</w:t>
      </w:r>
    </w:p>
    <w:p/>
    <w:p>
      <w:r>
        <w:t>RCCS and ALCS measure different layers. RCCS measures regulatory compliance coverage: whether a system provides the governance primitives that existing regulation requires. ALCS measures agentic lifecycle conformance: whether a system provides the lifecycle objects that make agentic responsibility auditable, provable, and transferable across agents, humans, tools, projects, vendors, and organizational boundaries.</w:t>
      </w:r>
    </w:p>
    <w:p/>
    <w:p>
      <w:r>
        <w:t>Interpreting RCCS and ALCS together requires understanding four quadrants: High RCCS + High ALCS, High RCCS + Low ALCS, Low RCCS + High ALCS, and Low RCCS + Low ALCS. Each quadrant represents a different system capability profile.</w:t>
      </w:r>
    </w:p>
    <w:p/>
    <w:p>
      <w:pPr>
        <w:pStyle w:val="Heading2"/>
      </w:pPr>
      <w:r>
        <w:t>Enterprise Control Translation</w:t>
      </w:r>
    </w:p>
    <w:p/>
    <w:p>
      <w:pPr>
        <w:pStyle w:val="Heading3"/>
      </w:pPr>
      <w:r>
        <w:t>10. Enterprise Adoption, Procurement, and Control Crosswalk</w:t>
      </w:r>
    </w:p>
    <w:p/>
    <w:p>
      <w:r>
        <w:t>Version: v0.3.2-FRC-R3</w:t>
      </w:r>
    </w:p>
    <w:p>
      <w:r>
        <w:t>Phase: 1A-4.2</w:t>
      </w:r>
    </w:p>
    <w:p/>
    <w:p/>
    <w:p>
      <w:pPr>
        <w:pStyle w:val="Heading3"/>
      </w:pPr>
      <w:r>
        <w:t>10.0 Why Enterprise Control Language Matters</w:t>
      </w:r>
    </w:p>
    <w:p/>
    <w:p>
      <w:r>
        <w:t>Enterprises do not buy abstract governance concepts. They evaluate controls, procurement risk, board reporting, audit readiness, vendor substitution, model risk, cybersecurity, incident response, and monitoring. When a CTO, CISO, CRO, procurement lead, or board-facing risk team evaluates an agentic AI system, they ask questions in enterprise control language, not in lifecycle theory.</w:t>
      </w:r>
    </w:p>
    <w:p/>
    <w:p>
      <w:r>
        <w:t>Chapters 6 through 9 defined the Missing Regulatory Objects, RCCS, ALCS, and dual-layer scoring methodology. Those chapters established the lifecycle responsibility framework. This chapter translates those objects into enterprise adoption, procurement, internal control, board reporting, model risk, cybersecurity, incident response, and monitoring language.</w:t>
      </w:r>
    </w:p>
    <w:p/>
    <w:p>
      <w:r>
        <w:t>The purpose of this chapter is to show that AI Agent Lifecycle Governance is not only an abstract protocol or research model. It can be mapped into enterprise control language. RCCS and ALCS scores become procurement scorecard inputs. MROs become audit evidence requirements. Lifecycle conformance becomes vendor substitution readiness. Evidence partitioning becomes privacy-preserving validation. Accepted outcome compliance becomes board reporting on agentic risk.</w:t>
      </w:r>
    </w:p>
    <w:p/>
    <w:p>
      <w:r>
        <w:t>This chapter is a bridge from lifecycle objects to enterprise controls. It does not replace internal control frameworks. It shows where agentic lifecycle objects can provide evidence for enterprise control questions. It does not claim that MPLP is required for compliance. It does not claim that RCCS or ALCS is a legal compliance score. It does not provide an audit opinion, certification, or procurement recommendation.</w:t>
      </w:r>
    </w:p>
    <w:p/>
    <w:p>
      <w:r>
        <w:t>Boundary: This chapter provides a governance crosswalk, not an audit framework, certification procedure, insurance underwriting model, or legal opinion. Detailed assurance procedures and insurance models are reserved for companion papers, as outlined in Chapter 16.</w:t>
      </w:r>
    </w:p>
    <w:p/>
    <w:p/>
    <w:p>
      <w:pPr>
        <w:pStyle w:val="Heading3"/>
      </w:pPr>
      <w:r>
        <w:t>10.1 Enterprise Control Overlay</w:t>
      </w:r>
    </w:p>
    <w:p/>
    <w:p>
      <w:r>
        <w:t>The following figure illustrates how AI Agent Lifecycle Governance maps into enterprise control structures. Regulation and standards define baseline requirements. RCCS measures regulatory compliance coverage. ALCS measures lifecycle conformance. MROs provide engineering objects. Together, these layers produce enterprise control evidence that supports audit, insurance, and board reporting readiness.</w:t>
      </w:r>
    </w:p>
    <w:p/>
    <w:p>
      <w:r>
        <w:t>The overlay shows that lifecycle governance is not separate from enterprise controls. It is a structured method for producing the evidence that enterprise controls require. RCCS and ALCS scores do not replace risk assessments, internal audits, or compliance reviews. They provide structured inputs that make those processes more efficient, consistent, and auditable when applied to agentic systems.</w:t>
      </w:r>
    </w:p>
    <w:p/>
    <w:p/>
    <w:p>
      <w:pPr>
        <w:pStyle w:val="Heading3"/>
      </w:pPr>
      <w:r>
        <w:t>10.2 Enterprise Adoption, Procurement, and Control Crosswalk</w:t>
      </w:r>
    </w:p>
    <w:p/>
    <w:p>
      <w:r>
        <w:t>The following tables map enterprise control topics to agentic lifecycle objects. The crosswalk does not replace internal control frameworks. It shows where agentic lifecycle objects can provide evidence for enterprise control questions.</w:t>
      </w:r>
    </w:p>
    <w:p/>
    <w:p>
      <w:r>
        <w:t>Interpretation: The crosswalk does not replace internal control frameworks. It shows where agentic lifecycle objects can provide evidence for enterprise control questions. Organizations should integrate these objects into existing control frameworks rather than treating them as separate compliance requirements.</w:t>
      </w:r>
    </w:p>
    <w:p/>
    <w:p/>
    <w:p>
      <w:pPr>
        <w:pStyle w:val="Heading3"/>
      </w:pPr>
      <w:r>
        <w:t>10.3 Model Risk Management in Agentic Systems</w:t>
      </w:r>
    </w:p>
    <w:p/>
    <w:p>
      <w:r>
        <w:t>In agentic systems, model risk is no longer limited to output quality, bias, robustness, or model monitoring. Model risk becomes lifecycle risk when model behavior influences planning, delegation, authority transitions, evidence interpretation, tool selection, human review packets, and accepted outcomes.</w:t>
      </w:r>
    </w:p>
    <w:p/>
    <w:p>
      <w:r>
        <w:t>Traditional model risk management asks whether a model is governed. Agentic model risk management asks whether model behavior can change lifecycle authority, tool use, evidence, review, and acceptance states. A model that performs well on benchmarks may still introduce lifecycle risk if it influences authority boundaries, responsibility transfer, or evidence interpretation in ways that violate delegated scope or escalation rules.</w:t>
      </w:r>
    </w:p>
    <w:p/>
    <w:p>
      <w:r>
        <w:t>Boundary: Model governance remains necessary, but agentic deployment requires model risk to be mapped into lifecycle responsibility. ALCS does not replace existing model risk management. This section is not a full model-risk-management manual. It shows how model risk intersects with lifecycle conformance.</w:t>
      </w:r>
    </w:p>
    <w:p/>
    <w:p>
      <w:pPr>
        <w:pStyle w:val="Heading3"/>
      </w:pPr>
      <w:r>
        <w:t>Model Risk in Agentic Lifecycle</w:t>
      </w:r>
    </w:p>
    <w:p/>
    <w:p>
      <w:r>
        <w:t>The following figure illustrates how model, prompt, policy, and runtime changes propagate through the agentic lifecycle and influence authority, tool use, evidence, and accepted outcomes.</w:t>
      </w:r>
    </w:p>
    <w:p/>
    <w:p>
      <w:r>
        <w:t>Model risk in agentic systems is not only a model-performance concern. It is a lifecycle-conformance concern. A model version change may alter planning behavior, which may alter delegation patterns, which may alter authority transitions, which may alter tool selection, which may alter evidence interpretation, which may alter accepted outcome states. Each of these transitions is a potential lifecycle risk.</w:t>
      </w:r>
    </w:p>
    <w:p/>
    <w:p>
      <w:r>
        <w:t>The following table maps model risk concerns to agentic lifecycle impacts, relevant MROs, and control evidence.</w:t>
      </w:r>
    </w:p>
    <w:p/>
    <w:p>
      <w:r>
        <w:t>Interpretation: Traditional model risk asks whether a model is governed. Agentic model risk asks whether model behavior can change lifecycle authority, tool use, evidence, review, and acceptance states. Model risk management in agentic systems requires mapping model changes to lifecycle conformance, not only to model performance.</w:t>
      </w:r>
    </w:p>
    <w:p/>
    <w:p/>
    <w:p>
      <w:pPr>
        <w:pStyle w:val="Heading3"/>
      </w:pPr>
      <w:r>
        <w:t>10.4 Cybersecurity Controls Integration</w:t>
      </w:r>
    </w:p>
    <w:p/>
    <w:p>
      <w:pPr>
        <w:pStyle w:val="Heading3"/>
      </w:pPr>
      <w:r>
        <w:t>10.4.1 Why Cybersecurity and Lifecycle Governance Intersect</w:t>
      </w:r>
    </w:p>
    <w:p/>
    <w:p>
      <w:r>
        <w:t>Agentic AI systems create new attack surfaces that traditional cybersecurity controls were not designed to address. Agent execution introduces risks including prompt injection, tool misuse, credential theft, and data exfiltration. These risks are not purely technical vulnerabilities. They are lifecycle governance failures that manifest as security incidents.</w:t>
      </w:r>
    </w:p>
    <w:p/>
    <w:p>
      <w:r>
        <w:t>Prompt injection attacks exploit the boundary between user input and system instructions. Tool misuse occurs when an agent invokes tools outside delegated authority or without proper authorization. Credential theft in agentic systems may involve stealing API keys, tool credentials, or authority tokens that enable unauthorized agent execution. Data exfiltration may occur when agents access, process, or transmit data beyond their delegated scope or privacy boundaries.</w:t>
      </w:r>
    </w:p>
    <w:p/>
    <w:p>
      <w:r>
        <w:t>Lifecycle governance provides the authorization and evidence layer that cybersecurity controls require. Without lifecycle governance, cybersecurity controls cannot answer: Who authorized this agent to execute? What authority boundary was violated? Which tool action crossed a liability boundary? What evidence exists to reconstruct the incident? Which human role should have reviewed this action? What accepted outcome state was compromised?</w:t>
      </w:r>
    </w:p>
    <w:p/>
    <w:p>
      <w:r>
        <w:t>Cybersecurity and lifecycle governance are complementary layers. Cybersecurity controls protect the execution environment, credentials, tools, and data flows. Lifecycle governance defines the authority, responsibility, evidence, and acceptance structures that cybersecurity controls must preserve under attack.</w:t>
      </w:r>
    </w:p>
    <w:p/>
    <w:p>
      <w:r>
        <w:t>Reference frameworks:</w:t>
      </w:r>
    </w:p>
    <w:p>
      <w:pPr>
        <w:pStyle w:val="ListBullet"/>
      </w:pPr>
      <w:r>
        <w:t>OWASP LLM Top 10 (prompt injection, insecure output handling, training data poisoning, model denial of service, supply chain vulnerabilities, sensitive information disclosure, insecure plugin design, excessive agency, overreliance, model theft)</w:t>
      </w:r>
    </w:p>
    <w:p>
      <w:pPr>
        <w:pStyle w:val="ListBullet"/>
      </w:pPr>
      <w:r>
        <w:t>NIST AI Risk Management Framework (Govern, Map, Measure, Manage functions applied to AI systems)</w:t>
      </w:r>
    </w:p>
    <w:p>
      <w:pPr>
        <w:pStyle w:val="ListBullet"/>
      </w:pPr>
      <w:r>
        <w:t>MITRE ATLAS (Adversarial Threat Landscape for Artificial-Intelligence Systems)</w:t>
      </w:r>
    </w:p>
    <w:p/>
    <w:p>
      <w:pPr>
        <w:pStyle w:val="Heading3"/>
      </w:pPr>
      <w:r>
        <w:t>10.4.2 Cybersecurity Control Mapping</w:t>
      </w:r>
    </w:p>
    <w:p/>
    <w:p>
      <w:r>
        <w:t>The following table maps cybersecurity control domains to agentic attack surfaces, lifecycle governance objects, MRO dimensions, and evidence outputs.</w:t>
      </w:r>
    </w:p>
    <w:p/>
    <w:p>
      <w:r>
        <w:t>Interpretation: Cybersecurity controls in agentic systems must preserve lifecycle governance structures under attack. Traditional cybersecurity controls protect infrastructure, credentials, and data. Agentic cybersecurity controls must also protect authority boundaries, responsibility chains, evidence partitions, and accepted outcome states.</w:t>
      </w:r>
    </w:p>
    <w:p/>
    <w:p>
      <w:pPr>
        <w:pStyle w:val="Heading3"/>
      </w:pPr>
      <w:r>
        <w:t>10.4.3 Integration Note</w:t>
      </w:r>
    </w:p>
    <w:p/>
    <w:p>
      <w:r>
        <w:t>Cybersecurity and lifecycle governance are complementary layers, not substitutes. Cybersecurity controls without lifecycle governance cannot answer who authorized, executed, reviewed, and accepted agentic work. Lifecycle governance without cybersecurity controls cannot protect authority, credentials, tools, evidence, and data under attack. Neither replaces the other. Both must be present for enterprise-grade agentic AI.</w:t>
      </w:r>
    </w:p>
    <w:p/>
    <w:p>
      <w:pPr>
        <w:pStyle w:val="Heading2"/>
      </w:pPr>
      <w:r>
        <w:t>Comparative Field Boundary</w:t>
      </w:r>
    </w:p>
    <w:p/>
    <w:p>
      <w:pPr>
        <w:pStyle w:val="Heading3"/>
      </w:pPr>
      <w:r>
        <w:t>11. Comparative Field and System Positioning</w:t>
      </w:r>
    </w:p>
    <w:p/>
    <w:p>
      <w:r>
        <w:t>Version: v0.3.2-FRC-R3</w:t>
      </w:r>
    </w:p>
    <w:p>
      <w:r>
        <w:t>Phase: 1B-1</w:t>
      </w:r>
    </w:p>
    <w:p/>
    <w:p/>
    <w:p>
      <w:pPr>
        <w:pStyle w:val="Heading3"/>
      </w:pPr>
      <w:r>
        <w:t>11.0 Why System Positioning Matters</w:t>
      </w:r>
    </w:p>
    <w:p/>
    <w:p>
      <w:r>
        <w:t>This chapter positions the systems and categories that will be evaluated in Chapter 12. It explains the comparison method, establishes non-ranking boundaries, defines the systems in scope, and provides high-level positioning for each system before detailed mapping begins.</w:t>
      </w:r>
    </w:p>
    <w:p/>
    <w:p>
      <w:r>
        <w:t>System positioning matters because the field of agentic AI governance is fragmented. Some systems focus on model governance. Some focus on agent orchestration. Some focus on observability. Some focus on enterprise AI management. Some focus on lifecycle protocol semantics. The comparison in this white paper asks a specific question: does a system expose governance primitives and lifecycle responsibility objects that help prove agentic work moved from intent to accepted outcome under authority, evidence, privacy, and remediation controls?</w:t>
      </w:r>
    </w:p>
    <w:p/>
    <w:p>
      <w:r>
        <w:t>This is not a product ranking. This is not a legal compliance judgment. This is not a procurement recommendation. This is not an endorsement or criticism of any vendor. It is a responsibility-semantics mapping based on public evidence and author inference where explicitly disclosed.</w:t>
      </w:r>
    </w:p>
    <w:p/>
    <w:p>
      <w:r>
        <w:t>The purpose of this chapter is to prepare the reader for Chapter 12 detailed system mappings by establishing what the comparison evaluates, what it does not evaluate, and how to interpret RCCS and ALCS positioning in the context of system strengths and lifecycle gaps.</w:t>
      </w:r>
    </w:p>
    <w:p/>
    <w:p/>
    <w:p>
      <w:pPr>
        <w:pStyle w:val="Heading3"/>
      </w:pPr>
      <w:r>
        <w:t>11.1 Comparison Method and Non-Ranking Boundary</w:t>
      </w:r>
    </w:p>
    <w:p/>
    <w:p>
      <w:r>
        <w:t>The comparison method used in this white paper evaluates systems against RCCS and ALCS dimensions. RCCS measures regulatory compliance coverage: whether a system provides the governance primitives that existing regulation requires. ALCS measures agentic lifecycle conformance: whether a system provides the lifecycle objects that make agentic responsibility auditable, provable, and transferable across agents, humans, tools, projects, vendors, and organizational boundaries.</w:t>
      </w:r>
    </w:p>
    <w:p/>
    <w:p>
      <w:r>
        <w:t>The comparison asks whether a system exposes governance primitives and lifecycle responsibility objects. It does not ask whether a system is the best product, the most popular framework, the fastest execution engine, the most feature-complete platform, or the right procurement choice for a specific enterprise. Those are different questions that depend on organizational context, deployment requirements, risk appetite, budget, technical stack, and strategic priorities.</w:t>
      </w:r>
    </w:p>
    <w:p/>
    <w:p>
      <w:r>
        <w:t>This is a responsibility-semantics mapping, not a product ranking. The comparison evaluates system capability to express governance primitives and lifecycle objects, not product quality, market leadership, developer popularity, execution performance, or procurement suitability.</w:t>
      </w:r>
    </w:p>
    <w:p/>
    <w:p>
      <w:r>
        <w:t>What the comparison evaluates:</w:t>
      </w:r>
    </w:p>
    <w:p>
      <w:pPr>
        <w:pStyle w:val="ListBullet"/>
      </w:pPr>
      <w:r>
        <w:t>Whether a system defines governance primitives for risk management, data governance, documentation, record-keeping, transparency, human oversight, security, accountability, contestability, and monitoring (RCCS dimensions)</w:t>
      </w:r>
    </w:p>
    <w:p>
      <w:pPr>
        <w:pStyle w:val="ListBullet"/>
      </w:pPr>
      <w:r>
        <w:t>Whether a system defines lifecycle responsibility objects for human-role-to-MAS mapping, delegated authority boundaries, agent role distinction, accepted outcome compliance, tool-action liability, responsibility transfer, authority drift detection, evidence partitioning, cross-project reuse, privacy lifecycle mapping, privacy-preserving validation, evidence minimization, data subject rights reconciliation, processor chain tracking, and vendor substitution conformance (ALCS dimensions)</w:t>
      </w:r>
    </w:p>
    <w:p>
      <w:pPr>
        <w:pStyle w:val="ListBullet"/>
      </w:pPr>
      <w:r>
        <w:t>Whether public documentation, API specifications, protocol definitions, or reproducible evidence artifacts support the evaluation</w:t>
      </w:r>
    </w:p>
    <w:p>
      <w:pPr>
        <w:pStyle w:val="ListBullet"/>
      </w:pPr>
      <w:r>
        <w:t>Where evidence is weak or unavailable, whether author inference is explicitly disclosed</w:t>
      </w:r>
    </w:p>
    <w:p/>
    <w:p>
      <w:r>
        <w:t>What the comparison does not evaluate:</w:t>
      </w:r>
    </w:p>
    <w:p>
      <w:pPr>
        <w:pStyle w:val="ListBullet"/>
      </w:pPr>
      <w:r>
        <w:t>Product quality, feature completeness, or execution performance</w:t>
      </w:r>
    </w:p>
    <w:p>
      <w:pPr>
        <w:pStyle w:val="ListBullet"/>
      </w:pPr>
      <w:r>
        <w:t>Market leadership, developer popularity, or community adoption</w:t>
      </w:r>
    </w:p>
    <w:p>
      <w:pPr>
        <w:pStyle w:val="ListBullet"/>
      </w:pPr>
      <w:r>
        <w:t>Procurement suitability, pricing, or vendor support</w:t>
      </w:r>
    </w:p>
    <w:p>
      <w:pPr>
        <w:pStyle w:val="ListBullet"/>
      </w:pPr>
      <w:r>
        <w:t>Legal compliance with specific regulations or jurisdictions</w:t>
      </w:r>
    </w:p>
    <w:p>
      <w:pPr>
        <w:pStyle w:val="ListBullet"/>
      </w:pPr>
      <w:r>
        <w:t>Certification, conformity assessment, or regulatory approval</w:t>
      </w:r>
    </w:p>
    <w:p>
      <w:pPr>
        <w:pStyle w:val="ListBullet"/>
      </w:pPr>
      <w:r>
        <w:t>Endorsement or criticism of any vendor or product</w:t>
      </w:r>
    </w:p>
    <w:p/>
    <w:p>
      <w:r>
        <w:t>The comparison uses the evidence hierarchy established in the front matter and harmonized during Phase 1C follow-up. L1 evidence covers binding legal, regulatory, and formal standards baselines; it does not prove product implementation. L2 evidence covers official product, protocol, API, developer, platform, or repository documentation. L3 evidence covers independent audit reports, credible research papers, or independent reports. L4 evidence covers vendor claims, marketing pages, blogs, and announcements. L5 evidence covers author inference or analytical interpretation and is explicitly disclosed. The canonical multipliers are L1=1.00, L2=0.85, L3=0.75, L4=0.55, and L5=0.35.</w:t>
      </w:r>
    </w:p>
    <w:p/>
    <w:p>
      <w:r>
        <w:t>The comparison is not a certification program. It does not certify that any system is compliant with any regulation. It does not guarantee that any system meets all legal obligations. It does not substitute for legal counsel, compliance review, or risk assessment. It measures system capability to express governance primitives and lifecycle objects, not organizational conformance to legal requirements.</w:t>
      </w:r>
    </w:p>
    <w:p/>
    <w:p/>
    <w:p>
      <w:pPr>
        <w:pStyle w:val="Heading3"/>
      </w:pPr>
      <w:r>
        <w:t>11.2 System Categories in Scope</w:t>
      </w:r>
    </w:p>
    <w:p/>
    <w:p>
      <w:r>
        <w:t>The comparison includes eight systems or system categories. These were selected based on their relevance to enterprise agentic AI governance, their public documentation availability, and their representation of different architectural approaches to agent lifecycle management.</w:t>
      </w:r>
    </w:p>
    <w:p/>
    <w:p>
      <w:r>
        <w:t>The eight systems or categories in scope are:</w:t>
      </w:r>
    </w:p>
    <w:p/>
    <w:p>
      <w:r>
        <w:t>1. MPLP (Multi-Agent Lifecycle Protocol) — A lifecycle protocol path with strong ALCS alignment, designed to expose lifecycle responsibility objects as first-class protocol primitives.</w:t>
      </w:r>
    </w:p>
    <w:p/>
    <w:p>
      <w:r>
        <w:t>2. IBM watsonx.governance — An enterprise AI governance platform with strong regulatory compliance coverage, model governance, risk management, and policy enforcement capabilities.</w:t>
      </w:r>
    </w:p>
    <w:p/>
    <w:p>
      <w:r>
        <w:t>3. Microsoft Azure AI Foundry — A cloud-native AI platform with model management, responsible AI tooling, content safety, and enterprise integration capabilities.</w:t>
      </w:r>
    </w:p>
    <w:p/>
    <w:p>
      <w:r>
        <w:t>4. AWS Bedrock / Guardrails / AgentCore — A cloud AI service suite with model access, guardrails, agent orchestration, and enterprise security integration.</w:t>
      </w:r>
    </w:p>
    <w:p/>
    <w:p>
      <w:r>
        <w:t>5. Google Vertex AI / ADK / Model Armor — A cloud AI platform with model management, agent development kit, model armor safety controls, and enterprise AI management.</w:t>
      </w:r>
    </w:p>
    <w:p/>
    <w:p>
      <w:r>
        <w:t>6. LangGraph / LangSmith — An open-source agent orchestration framework with observability, tracing, and workflow management capabilities.</w:t>
      </w:r>
    </w:p>
    <w:p/>
    <w:p>
      <w:r>
        <w:t>7. OpenAI Agents SDK — A developer-focused agent framework with model access, tool use, and execution orchestration capabilities.</w:t>
      </w:r>
    </w:p>
    <w:p/>
    <w:p>
      <w:pPr>
        <w:pStyle w:val="Heading2"/>
      </w:pPr>
      <w:r>
        <w:t>System Mapping Synthesis</w:t>
      </w:r>
    </w:p>
    <w:p/>
    <w:p>
      <w:pPr>
        <w:pStyle w:val="Heading3"/>
      </w:pPr>
      <w:r>
        <w:t>Chapter 12: Detailed System Mappings</w:t>
      </w:r>
    </w:p>
    <w:p/>
    <w:p>
      <w:r>
        <w:t>Version: v0.3.2-FRC-R3</w:t>
      </w:r>
    </w:p>
    <w:p>
      <w:r>
        <w:t>Phase: 1B-3 / 1C Follow-up</w:t>
      </w:r>
    </w:p>
    <w:p/>
    <w:p/>
    <w:p>
      <w:pPr>
        <w:pStyle w:val="Heading3"/>
      </w:pPr>
      <w:r>
        <w:t>12.0 Purpose of Detailed System Mappings</w:t>
      </w:r>
    </w:p>
    <w:p/>
    <w:p>
      <w:r>
        <w:t>This chapter performs detailed system mappings for the eight systems introduced in Chapter 11. It evaluates public evidence of governance primitives and lifecycle responsibility objects against RCCS and ALCS dimensions. The purpose is to make visible which systems provide which capabilities, where evidence is strong, where evidence is weak, and where lifecycle gaps remain.</w:t>
      </w:r>
    </w:p>
    <w:p/>
    <w:p>
      <w:r>
        <w:t>This chapter is not a product ranking. It is not a legal compliance judgment. It is not a procurement recommendation. It is not an endorsement or criticism of any vendor. It is a responsibility-semantics mapping based on public evidence and author inference where explicitly disclosed.</w:t>
      </w:r>
    </w:p>
    <w:p/>
    <w:p>
      <w:r>
        <w:t>The chapter evaluates whether systems expose governance primitives and lifecycle responsibility objects. It does not evaluate product quality, market leadership, pricing, procurement suitability, developer experience, or legal compliance. Those are different questions that depend on organizational context, deployment requirements, risk appetite, budget, technical stack, and strategic priorities.</w:t>
      </w:r>
    </w:p>
    <w:p/>
    <w:p>
      <w:r>
        <w:t>What this chapter evaluates:</w:t>
      </w:r>
    </w:p>
    <w:p>
      <w:pPr>
        <w:pStyle w:val="ListBullet"/>
      </w:pPr>
      <w:r>
        <w:t>Whether a system defines governance primitives for risk management, data governance, documentation, record-keeping, transparency, human oversight, security, accountability, contestability, and monitoring (RCCS dimensions)</w:t>
      </w:r>
    </w:p>
    <w:p>
      <w:pPr>
        <w:pStyle w:val="ListBullet"/>
      </w:pPr>
      <w:r>
        <w:t>Whether a system defines lifecycle responsibility objects for human-role-to-MAS mapping, delegated authority boundaries, agent role distinction, accepted outcome compliance, tool-action liability, responsibility transfer, authority drift detection, evidence partitioning, cross-project reuse, privacy lifecycle mapping, privacy-preserving validation, evidence minimization, data subject rights reconciliation, processor chain tracking, and vendor substitution conformance (ALCS dimensions)</w:t>
      </w:r>
    </w:p>
    <w:p>
      <w:pPr>
        <w:pStyle w:val="ListBullet"/>
      </w:pPr>
      <w:r>
        <w:t>Whether public documentation, API specifications, protocol definitions, or reproducible evidence artifacts support the evaluation</w:t>
      </w:r>
    </w:p>
    <w:p>
      <w:pPr>
        <w:pStyle w:val="ListBullet"/>
      </w:pPr>
      <w:r>
        <w:t>Where evidence is weak or unavailable, whether author inference is explicitly disclosed</w:t>
      </w:r>
    </w:p>
    <w:p/>
    <w:p>
      <w:r>
        <w:t>What this chapter does not evaluate:</w:t>
      </w:r>
    </w:p>
    <w:p>
      <w:pPr>
        <w:pStyle w:val="ListBullet"/>
      </w:pPr>
      <w:r>
        <w:t>Product quality, feature completeness, or execution performance</w:t>
      </w:r>
    </w:p>
    <w:p>
      <w:pPr>
        <w:pStyle w:val="ListBullet"/>
      </w:pPr>
      <w:r>
        <w:t>Market leadership, developer popularity, or community adoption</w:t>
      </w:r>
    </w:p>
    <w:p>
      <w:pPr>
        <w:pStyle w:val="ListBullet"/>
      </w:pPr>
      <w:r>
        <w:t>Procurement suitability, pricing, or vendor support</w:t>
      </w:r>
    </w:p>
    <w:p>
      <w:pPr>
        <w:pStyle w:val="ListBullet"/>
      </w:pPr>
      <w:r>
        <w:t>Legal compliance with specific regulations or jurisdictions</w:t>
      </w:r>
    </w:p>
    <w:p>
      <w:pPr>
        <w:pStyle w:val="ListBullet"/>
      </w:pPr>
      <w:r>
        <w:t>Certification, conformity assessment, or regulatory approval</w:t>
      </w:r>
    </w:p>
    <w:p>
      <w:pPr>
        <w:pStyle w:val="ListBullet"/>
      </w:pPr>
      <w:r>
        <w:t>Endorsement or criticism of any vendor or product</w:t>
      </w:r>
    </w:p>
    <w:p/>
    <w:p>
      <w:r>
        <w:t>Evidence boundary:</w:t>
      </w:r>
    </w:p>
    <w:p>
      <w:pPr>
        <w:pStyle w:val="ListBullet"/>
      </w:pPr>
      <w:r>
        <w:t>Public documentation may be incomplete. Absence of evidence is not evidence of absence.</w:t>
      </w:r>
    </w:p>
    <w:p>
      <w:pPr>
        <w:pStyle w:val="ListBullet"/>
      </w:pPr>
      <w:r>
        <w:t>Vendor capability claims require official documentation or are marked as author inference.</w:t>
      </w:r>
    </w:p>
    <w:p>
      <w:pPr>
        <w:pStyle w:val="ListBullet"/>
      </w:pPr>
      <w:r>
        <w:t>Scores and mappings are analytical and evidence-qualified.</w:t>
      </w:r>
    </w:p>
    <w:p>
      <w:pPr>
        <w:pStyle w:val="ListBullet"/>
      </w:pPr>
      <w:r>
        <w:t>This is not a certification program. It does not certify that any system is compliant with any regulation.</w:t>
      </w:r>
    </w:p>
    <w:p/>
    <w:p/>
    <w:p>
      <w:pPr>
        <w:pStyle w:val="Heading3"/>
      </w:pPr>
      <w:r>
        <w:t>12.1 Mapping Method and Evidence Boundary</w:t>
      </w:r>
    </w:p>
    <w:p/>
    <w:p>
      <w:r>
        <w:t>The mapping method evaluates systems against RCCS and ALCS dimensions using the evidence hierarchy established in Chapter 1 and the scoring rubrics defined in Chapters 7 and 8.</w:t>
      </w:r>
    </w:p>
    <w:p/>
    <w:p>
      <w:pPr>
        <w:pStyle w:val="Heading3"/>
      </w:pPr>
      <w:r>
        <w:t>Evidence Hierarchy</w:t>
      </w:r>
    </w:p>
    <w:p/>
    <w:p>
      <w:r>
        <w:t>The evidence hierarchy used in this chapter is:</w:t>
      </w:r>
    </w:p>
    <w:p/>
    <w:p>
      <w:pPr>
        <w:pStyle w:val="ListBullet"/>
      </w:pPr>
      <w:r>
        <w:t>L1 — Binding Legal / Regulatory / Standards Text: Legal, regulatory, or formal standards baseline. L1 does not prove product implementation.</w:t>
      </w:r>
    </w:p>
    <w:p>
      <w:pPr>
        <w:pStyle w:val="ListBullet"/>
      </w:pPr>
      <w:r>
        <w:t>L2 — Official Product, Protocol, API, or Repository Documentation: Official documentation, API docs, developer documentation, protocol specifications, platform architecture docs, or official repository documentation.</w:t>
      </w:r>
    </w:p>
    <w:p>
      <w:pPr>
        <w:pStyle w:val="ListBullet"/>
      </w:pPr>
      <w:r>
        <w:t>L3 — Independent Audit / Third-Party Evaluation: Third-party audit reports, credible research papers, independent reports, or assurance evidence.</w:t>
      </w:r>
    </w:p>
    <w:p>
      <w:pPr>
        <w:pStyle w:val="ListBullet"/>
      </w:pPr>
      <w:r>
        <w:t>L4 — Vendor Claim / Marketing Page / Announcement: Vendor white papers, product pages, blogs, announcements, or positioning material.</w:t>
      </w:r>
    </w:p>
    <w:p>
      <w:pPr>
        <w:pStyle w:val="ListBullet"/>
      </w:pPr>
      <w:r>
        <w:t>L5 — Author Inference / Analytical Interpretation: Author inference, conceptual analysis, or mapping judgment. Explicitly disclosed.</w:t>
      </w:r>
    </w:p>
    <w:p/>
    <w:p>
      <w:r>
        <w:t>The canonical evidence multipliers are L1=1.00, L2=0.85, L3=0.75, L4=0.55, and L5=0.35. Protocol specifications are treated as L2 unless they are binding legal or standards text. Mapping a product or protocol feature to RCCS/ALCS remains an analytical interpretation unless the source directly defines the lifecycle governance object.</w:t>
      </w:r>
    </w:p>
    <w:p/>
    <w:p>
      <w:pPr>
        <w:pStyle w:val="Heading3"/>
      </w:pPr>
      <w:r>
        <w:t>Evidence Limitation</w:t>
      </w:r>
    </w:p>
    <w:p/>
    <w:p>
      <w:r>
        <w:t>Public documentation may be incomplete. Absence of evidence is not evidence of absence. A system may provide a capability that is not documented publicly. A system may provide a capability that is documented but not yet validated by independent audit. A system may provide a capability that is in development but not yet released.</w:t>
      </w:r>
    </w:p>
    <w:p/>
    <w:p>
      <w:r>
        <w:t>This chapter evaluates public evidence available as of May 2026. Vendor capability claims are source-qualified or marked as author inference. No unsupported final numeric scores are introduced without evidence basis.</w:t>
      </w:r>
    </w:p>
    <w:p/>
    <w:p>
      <w:pPr>
        <w:pStyle w:val="Heading3"/>
      </w:pPr>
      <w:r>
        <w:t>Mapping Strength Scale</w:t>
      </w:r>
    </w:p>
    <w:p/>
    <w:p>
      <w:r>
        <w:t>Instead of numeric scores for every dimension in this phase, the chapter uses qualitative mapping strength:</w:t>
      </w:r>
    </w:p>
    <w:p/>
    <w:p>
      <w:pPr>
        <w:pStyle w:val="ListBullet"/>
      </w:pPr>
      <w:r>
        <w:t>Strong: Public documentation shows clear primitives, API support, or protocol semantics for the dimension.</w:t>
      </w:r>
    </w:p>
    <w:p>
      <w:pPr>
        <w:pStyle w:val="ListBullet"/>
      </w:pPr>
      <w:r>
        <w:t>Moderate: Public documentation suggests capability exists, but coverage is partial or requires validation.</w:t>
      </w:r>
    </w:p>
    <w:p>
      <w:pPr>
        <w:pStyle w:val="ListBullet"/>
      </w:pPr>
      <w:r>
        <w:t>Partial: Some evidence exists, but significant gaps or limitations are evident.</w:t>
      </w:r>
    </w:p>
    <w:p>
      <w:pPr>
        <w:pStyle w:val="ListBullet"/>
      </w:pPr>
      <w:r>
        <w:t>Weak: Minimal evidence or capability is conceptual only.</w:t>
      </w:r>
    </w:p>
    <w:p>
      <w:pPr>
        <w:pStyle w:val="ListBullet"/>
      </w:pPr>
      <w:r>
        <w:t>Not Evaluated: Insufficient public evidence to evaluate, or outside system scope.</w:t>
      </w:r>
    </w:p>
    <w:p/>
    <w:p>
      <w:r>
        <w:t>Numeric scores may be provided where v0.3.1 evidence basis supports them and where official documentation has been validated.</w:t>
      </w:r>
    </w:p>
    <w:p/>
    <w:p>
      <w:pPr>
        <w:pStyle w:val="Heading3"/>
      </w:pPr>
      <w:r>
        <w:t>Evidence Basis Table</w:t>
      </w:r>
    </w:p>
    <w:p/>
    <w:p>
      <w:r>
        <w:t>The following table defines the evidence scale used in system mappings.</w:t>
      </w:r>
    </w:p>
    <w:p/>
    <w:p/>
    <w:p>
      <w:pPr>
        <w:pStyle w:val="Heading3"/>
      </w:pPr>
      <w:r>
        <w:t>12.2 How to Read System Mapping Tables</w:t>
      </w:r>
    </w:p>
    <w:p/>
    <w:p>
      <w:r>
        <w:t>Each system section in this chapter uses the same structure:</w:t>
      </w:r>
    </w:p>
    <w:p/>
    <w:p>
      <w:pPr>
        <w:pStyle w:val="Heading3"/>
      </w:pPr>
      <w:r>
        <w:t>System Positioning</w:t>
      </w:r>
    </w:p>
    <w:p/>
    <w:p>
      <w:r>
        <w:t>Briefly states:</w:t>
      </w:r>
    </w:p>
    <w:p>
      <w:pPr>
        <w:pStyle w:val="ListBullet"/>
      </w:pPr>
      <w:r>
        <w:t>What the system primarily is</w:t>
      </w:r>
    </w:p>
    <w:p>
      <w:pPr>
        <w:pStyle w:val="ListBullet"/>
      </w:pPr>
      <w:r>
        <w:t>What it is strong at</w:t>
      </w:r>
    </w:p>
    <w:p>
      <w:pPr>
        <w:pStyle w:val="ListBullet"/>
      </w:pPr>
      <w:r>
        <w:t>Why it is relevant to RCCS / ALCS</w:t>
      </w:r>
    </w:p>
    <w:p>
      <w:pPr>
        <w:pStyle w:val="ListBullet"/>
      </w:pPr>
      <w:r>
        <w:t>What this paper does and does not infer</w:t>
      </w:r>
    </w:p>
    <w:p/>
    <w:p>
      <w:pPr>
        <w:pStyle w:val="Heading3"/>
      </w:pPr>
      <w:r>
        <w:t>Evidence Basis</w:t>
      </w:r>
    </w:p>
    <w:p/>
    <w:p>
      <w:pPr>
        <w:pStyle w:val="Heading3"/>
      </w:pPr>
      <w:r>
        <w:t>RCCS Mapping Summary</w:t>
      </w:r>
    </w:p>
    <w:p/>
    <w:p>
      <w:r>
        <w:t>Compact table:</w:t>
      </w:r>
    </w:p>
    <w:p/>
    <w:p>
      <w:pPr>
        <w:pStyle w:val="Heading3"/>
      </w:pPr>
      <w:r>
        <w:t>ALCS Mapping Summary</w:t>
      </w:r>
    </w:p>
    <w:p/>
    <w:p>
      <w:r>
        <w:t>Compact table grouping ALCS dimensions into five areas:</w:t>
      </w:r>
    </w:p>
    <w:p/>
    <w:p>
      <w:pPr>
        <w:pStyle w:val="Heading3"/>
      </w:pPr>
      <w:r>
        <w:t>Main Lifecycle Gaps</w:t>
      </w:r>
    </w:p>
    <w:p/>
    <w:p>
      <w:r>
        <w:t>Lists 3-5 specific gaps or revalidation needs.</w:t>
      </w:r>
    </w:p>
    <w:p/>
    <w:p>
      <w:pPr>
        <w:pStyle w:val="Heading3"/>
      </w:pPr>
      <w:r>
        <w:t>Boundary Note</w:t>
      </w:r>
    </w:p>
    <w:p/>
    <w:p>
      <w:r>
        <w:t>Each system section closes with:</w:t>
      </w:r>
    </w:p>
    <w:p/>
    <w:p>
      <w:r>
        <w:t>This section maps public evidence to RCCS/ALCS dimensions. It is not a legal compliance judgment, procurement recommendation, certification, or endorsement.</w:t>
      </w:r>
    </w:p>
    <w:p/>
    <w:p/>
    <w:p>
      <w:pPr>
        <w:pStyle w:val="Heading3"/>
      </w:pPr>
      <w:r>
        <w:t>12.3 MPLP — Lifecycle Protocol Path</w:t>
      </w:r>
    </w:p>
    <w:p/>
    <w:p>
      <w:pPr>
        <w:pStyle w:val="Heading3"/>
      </w:pPr>
      <w:r>
        <w:t>System Positioning</w:t>
      </w:r>
    </w:p>
    <w:p/>
    <w:p>
      <w:r>
        <w:t>MPLP (Multi-Agent Lifecycle Protocol) is a lifecycle protocol path designed to expose lifecycle responsibility objects as first-class protocol primitives. It is relevant to RCCS and ALCS because it provides protocol-level semantics for human-role-to-MAS mapping, delegated authority boundaries, accepted outcome compliance, responsibility transfer, evidence partitioning, privacy lifecycle mapping, and vendor substitution conformance.</w:t>
      </w:r>
    </w:p>
    <w:p/>
    <w:p>
      <w:r>
        <w:t>MPLP is strong at lifecycle protocol semantics. It defines governance primitives and lifecycle objects as protocol-level constructs rather than application-level features. This makes MPLP relevant for systems that require provable lifecycle responsibility compliance across agents, tools, vendors, and organizational boundaries.</w:t>
      </w:r>
    </w:p>
    <w:p/>
    <w:p>
      <w:r>
        <w:t>What this paper evaluates:</w:t>
      </w:r>
    </w:p>
    <w:p>
      <w:pPr>
        <w:pStyle w:val="ListBullet"/>
      </w:pPr>
      <w:r>
        <w:t>Whether MPLP protocol specification defines governance primitives and lifecycle objects</w:t>
      </w:r>
    </w:p>
    <w:p>
      <w:pPr>
        <w:pStyle w:val="ListBullet"/>
      </w:pPr>
      <w:r>
        <w:t>Whether MPLP semantics map to RCCS and ALCS dimensions</w:t>
      </w:r>
    </w:p>
    <w:p>
      <w:pPr>
        <w:pStyle w:val="ListBullet"/>
      </w:pPr>
      <w:r>
        <w:t>Whether MPLP provides protocol-level support for lifecycle responsibility compliance</w:t>
      </w:r>
    </w:p>
    <w:p/>
    <w:p>
      <w:r>
        <w:t>What this paper does not infer:</w:t>
      </w:r>
    </w:p>
    <w:p>
      <w:pPr>
        <w:pStyle w:val="ListBullet"/>
      </w:pPr>
      <w:r>
        <w:t>MPLP is not required for compliance. It is one example of a lifecycle protocol path.</w:t>
      </w:r>
    </w:p>
    <w:p>
      <w:pPr>
        <w:pStyle w:val="ListBullet"/>
      </w:pPr>
      <w:r>
        <w:t>MPLP is not a certification program. It does not certify systems or organizations.</w:t>
      </w:r>
    </w:p>
    <w:p>
      <w:pPr>
        <w:pStyle w:val="ListBullet"/>
      </w:pPr>
      <w:r>
        <w:t>MPLP is not a regulator or legal authority. It is a protocol specification.</w:t>
      </w:r>
    </w:p>
    <w:p>
      <w:pPr>
        <w:pStyle w:val="ListBullet"/>
      </w:pPr>
      <w:r>
        <w:t>MPLP implementation maturity, enterprise integration, and vendor adoption require separate evaluation.</w:t>
      </w:r>
    </w:p>
    <w:p>
      <w:pPr>
        <w:pStyle w:val="ListBullet"/>
      </w:pPr>
      <w:r>
        <w:t>Validation Lab is a non-certifying evidence adjudication example. Detailed treatment belongs to Chapter 14.</w:t>
      </w:r>
    </w:p>
    <w:p/>
    <w:p>
      <w:pPr>
        <w:pStyle w:val="Heading3"/>
      </w:pPr>
      <w:r>
        <w:t>Evidence Basis</w:t>
      </w:r>
    </w:p>
    <w:p/>
    <w:p>
      <w:pPr>
        <w:pStyle w:val="Heading3"/>
      </w:pPr>
      <w:r>
        <w:t>RCCS Mapping Summary</w:t>
      </w:r>
    </w:p>
    <w:p/>
    <w:p>
      <w:pPr>
        <w:pStyle w:val="Heading3"/>
      </w:pPr>
      <w:r>
        <w:t>ALCS Mapping Summary</w:t>
      </w:r>
    </w:p>
    <w:p/>
    <w:p>
      <w:pPr>
        <w:pStyle w:val="Heading3"/>
      </w:pPr>
      <w:r>
        <w:t>Main Lifecycle Gaps</w:t>
      </w:r>
    </w:p>
    <w:p/>
    <w:p>
      <w:r>
        <w:t>1. Implementation Maturity: MPLP protocol specification may be strong, but implementation maturity in production systems requires validation.</w:t>
      </w:r>
    </w:p>
    <w:p>
      <w:r>
        <w:t>2. Enterprise Integration: MPLP integration with existing enterprise AI governance platforms, cloud AI platforms, and agent orchestration frameworks requires validation.</w:t>
      </w:r>
    </w:p>
    <w:p>
      <w:r>
        <w:t>3. Vendor Adoption: MPLP adoption by vendors, platforms, and frameworks requires validation.</w:t>
      </w:r>
    </w:p>
    <w:p>
      <w:r>
        <w:t>4. Operational Deployment Evidence: MPLP deployment in production agentic systems requires validation.</w:t>
      </w:r>
    </w:p>
    <w:p>
      <w:r>
        <w:t>5. Regulator / Auditor Familiarity: MPLP familiarity among regulators, auditors, and compliance teams requires validation.</w:t>
      </w:r>
    </w:p>
    <w:p/>
    <w:p>
      <w:pPr>
        <w:pStyle w:val="Heading3"/>
      </w:pPr>
      <w:r>
        <w:t>Boundary Note</w:t>
      </w:r>
    </w:p>
    <w:p/>
    <w:p>
      <w:pPr>
        <w:pStyle w:val="Heading2"/>
      </w:pPr>
      <w:r>
        <w:t>MPLP Protocol Boundary</w:t>
      </w:r>
    </w:p>
    <w:p/>
    <w:p>
      <w:pPr>
        <w:pStyle w:val="Heading3"/>
      </w:pPr>
      <w:r>
        <w:t>13. MPLP Deep Mapping, Boundary, and Non-Claim Discipline</w:t>
      </w:r>
    </w:p>
    <w:p/>
    <w:p>
      <w:r>
        <w:t>Version: v0.3.2-FRC-R3</w:t>
      </w:r>
    </w:p>
    <w:p>
      <w:r>
        <w:t>Phase: 1B-4 / 1C Follow-up</w:t>
      </w:r>
    </w:p>
    <w:p/>
    <w:p/>
    <w:p>
      <w:pPr>
        <w:pStyle w:val="Heading3"/>
      </w:pPr>
      <w:r>
        <w:t>13.0 Why MPLP Requires Separate Boundary Treatment</w:t>
      </w:r>
    </w:p>
    <w:p/>
    <w:p>
      <w:r>
        <w:t>MPLP (Multi-Agent Lifecycle Protocol) appears in this white paper because it is a protocol-level lifecycle governance approach. The author's relationship to MPLP creates an explicit conflict of interest already disclosed in the front matter. A separate deep mapping chapter is necessary to prevent hidden promotion. Deep mapping must be paired with non-claim discipline. The paper evaluates MPLP as one protocol path, not as the only path.</w:t>
      </w:r>
    </w:p>
    <w:p/>
    <w:p>
      <w:r>
        <w:t>Because MPLP is created by the author of this white paper, the mapping must be more explicit, not less explicit. The correct response to conflict of interest is not silence; it is transparent boundary discipline.</w:t>
      </w:r>
    </w:p>
    <w:p/>
    <w:p>
      <w:r>
        <w:t>This chapter maps MPLP's protocol semantics to the Missing Regulatory Objects, RCCS dimensions, and ALCS dimensions. Official MPLP documentation was located during Phase 1C follow-up, but protocol-to-MRO/ALCS mapping remains an evidence-qualified analytical interpretation unless the protocol text directly defines the relevant lifecycle object. The chapter distinguishes protocol-level fit from implementation evidence, deployment maturity, enterprise adoption, auditor acceptance, insurer acceptance, and regulatory recognition. The chapter closes with explicit non-claim discipline to prevent overclaim.</w:t>
      </w:r>
    </w:p>
    <w:p/>
    <w:p/>
    <w:p>
      <w:pPr>
        <w:pStyle w:val="Heading3"/>
      </w:pPr>
      <w:r>
        <w:t>13.1 What MPLP Is and Is Not</w:t>
      </w:r>
    </w:p>
    <w:p/>
    <w:p>
      <w:r>
        <w:t>MPLP is a lifecycle protocol path for expressing agentic responsibility objects. It is not a certification program, regulator, legal authority, cloud platform, procurement recommendation, or exclusive compliance method.</w:t>
      </w:r>
    </w:p>
    <w:p/>
    <w:p/>
    <w:p>
      <w:pPr>
        <w:pStyle w:val="Heading3"/>
      </w:pPr>
      <w:r>
        <w:t>13.2 MPLP as a Lifecycle Protocol Path</w:t>
      </w:r>
    </w:p>
    <w:p/>
    <w:p>
      <w:r>
        <w:t>MPLP treats lifecycle responsibility as a first-class protocol concern. MPLP is relevant to AI Agent Lifecycle Governance because it provides explicit protocol-level semantics for context, plan, confirmation, trace/evidence, roles, dialogue/collaboration, extension, core semantics, and network/integration boundaries.</w:t>
      </w:r>
    </w:p>
    <w:p/>
    <w:p>
      <w:r>
        <w:t>Protocol semantics can define what must be represented, but implementations determine whether those semantics are operationally enforced. A protocol path can support governance, but does not replace organizational controls.</w:t>
      </w:r>
    </w:p>
    <w:p/>
    <w:p>
      <w:r>
        <w:t>Canonical boundary: MPLP defines protocol semantics; deployment determines operational control.</w:t>
      </w:r>
    </w:p>
    <w:p/>
    <w:p>
      <w:r>
        <w:t>MPLP's protocol-level approach means it can express lifecycle responsibility objects that other systems may implement through platform features, orchestration patterns, or enterprise integration. The protocol path is one approach among several valid approaches to lifecycle governance.</w:t>
      </w:r>
    </w:p>
    <w:p/>
    <w:p/>
    <w:p>
      <w:pPr>
        <w:pStyle w:val="Heading3"/>
      </w:pPr>
      <w:r>
        <w:t>13.3 MPLP Mapping to the 16 Missing Regulatory Objects</w:t>
      </w:r>
    </w:p>
    <w:p/>
    <w:p>
      <w:r>
        <w:t>The following table maps MPLP protocol semantics to the sixteen Missing Regulatory Objects defined in Chapter 6. Mapping strength reflects protocol-level semantic fit, not deployment conformance.</w:t>
      </w:r>
    </w:p>
    <w:p/>
    <w:p>
      <w:r>
        <w:t>Key: Strong = protocol semantics directly express the required object; Moderate = protocol semantics can support the object with additional policy/integration; Partial = protocol semantics provide foundation but require significant additional work.</w:t>
      </w:r>
    </w:p>
    <w:p/>
    <w:p/>
    <w:p>
      <w:pPr>
        <w:pStyle w:val="Heading3"/>
      </w:pPr>
      <w:r>
        <w:t>13.4 MPLP Mapping to RCCS</w:t>
      </w:r>
    </w:p>
    <w:p/>
    <w:p>
      <w:r>
        <w:t>MPLP can support RCCS where protocol semantics create evidence, accountability, traceability, and governance primitives. However, RCCS also depends on organizational controls, deployment environment, security operations, data governance policy, and legal interpretation. MPLP alone does not satisfy RCCS.</w:t>
      </w:r>
    </w:p>
    <w:p/>
    <w:p/>
    <w:p>
      <w:pPr>
        <w:pStyle w:val="Heading3"/>
      </w:pPr>
      <w:r>
        <w:t>13.5 MPLP Mapping to ALCS</w:t>
      </w:r>
    </w:p>
    <w:p/>
    <w:p>
      <w:r>
        <w:t>Because ALCS measures lifecycle responsibility objects, MPLP may map strongly to many ALCS dimensions. However, high protocol-level fit is not the same as deployment conformance.</w:t>
      </w:r>
    </w:p>
    <w:p/>
    <w:p>
      <w:r>
        <w:t>A strong ALCS semantic fit means the protocol can express the required lifecycle object. It does not mean any given implementation has enforced, audited, or operationalized that object.</w:t>
      </w:r>
    </w:p>
    <w:p/>
    <w:p/>
    <w:p>
      <w:pPr>
        <w:pStyle w:val="Heading3"/>
      </w:pPr>
      <w:r>
        <w:t>13.6 Implementation, Adoption, and Evidence Limits</w:t>
      </w:r>
    </w:p>
    <w:p/>
    <w:p>
      <w:r>
        <w:t>MPLP can define lifecycle governance semantics, but the paper must not treat protocol design as equivalent to real-world conformance. The following table distinguishes protocol semantics from operational evidence.</w:t>
      </w:r>
    </w:p>
    <w:p/>
    <w:p>
      <w:r>
        <w:t>The gap between protocol semantics and operational evidence is not a weakness of MPLP. It is the nature of protocol-level governance. Any protocol path faces the same gap. The paper must not claim that MPLP's protocol-level fit automatically proves deployment conformance, legal compliance, or market acceptance.</w:t>
      </w:r>
    </w:p>
    <w:p/>
    <w:p/>
    <w:p>
      <w:pPr>
        <w:pStyle w:val="Heading3"/>
      </w:pPr>
      <w:r>
        <w:t>13.7 MPLP Non-Claim Discipline</w:t>
      </w:r>
    </w:p>
    <w:p/>
    <w:p>
      <w:r>
        <w:t>The following table explicitly restates forbidden claims to prevent overclaim.</w:t>
      </w:r>
    </w:p>
    <w:p/>
    <w:p/>
    <w:p>
      <w:pPr>
        <w:pStyle w:val="Heading3"/>
      </w:pPr>
      <w:r>
        <w:t>13.8 Bridge to Evidence-Based Validation Pattern</w:t>
      </w:r>
    </w:p>
    <w:p/>
    <w:p>
      <w:r>
        <w:t>Chapter 13 has mapped MPLP's protocol semantics to lifecycle responsibility objects. Chapter 14 will discuss evidence-based validation patterns and will treat Validation Lab only as a non-certifying evidence adjudication example.</w:t>
      </w:r>
    </w:p>
    <w:p/>
    <w:p>
      <w:r>
        <w:t>Chapter 14 must not become an endorsement or certification claim. Validation Lab is referenced as one example of how evidence-based validation can support lifecycle governance without creating a certification program. The paper evaluates validation patterns, not validation products.</w:t>
      </w:r>
    </w:p>
    <w:p/>
    <w:p>
      <w:r>
        <w:t>The bridge from protocol semantics (Chapter 13) to validation patterns (Chapter 14) is the recognition that protocol-level fit must be validated through evidence, not assumed through design. MPLP's strong ALCS mapping creates validation opportunities, but validation itself requires independent evidence, not protocol authority.</w:t>
      </w:r>
    </w:p>
    <w:p/>
    <w:p/>
    <w:p>
      <w:r>
        <w:t>End of Chapter 13</w:t>
      </w:r>
    </w:p>
    <w:p/>
    <w:p>
      <w:r>
        <w:t>Chapter 13 Status: FILLED (Phase 1B-4; Phase 1C follow-up reviewed) — MPLP deep mapping complete; official MPLP documentation entry point located; protocol-to-MRO/ALCS mapping remains boundary-limited L2 + L5 analytical interpretation and does not prove implementation conformance.</w:t>
      </w:r>
    </w:p>
    <w:p/>
    <w:p>
      <w:pPr>
        <w:pStyle w:val="Heading2"/>
      </w:pPr>
      <w:r>
        <w:t>Evidence-Based Validation Pattern</w:t>
      </w:r>
    </w:p>
    <w:p/>
    <w:p>
      <w:pPr>
        <w:pStyle w:val="Heading3"/>
      </w:pPr>
      <w:r>
        <w:t>14. Evidence-Based Validation Pattern for AI Agent Lifecycle Governance</w:t>
      </w:r>
    </w:p>
    <w:p/>
    <w:p>
      <w:r>
        <w:t>Version: v0.3.2-FRC-R3</w:t>
      </w:r>
    </w:p>
    <w:p>
      <w:r>
        <w:t>Phase: 1B-5 / 1C Follow-up</w:t>
      </w:r>
    </w:p>
    <w:p/>
    <w:p/>
    <w:p>
      <w:pPr>
        <w:pStyle w:val="Heading3"/>
      </w:pPr>
      <w:r>
        <w:t>14.0 Why Evidence-Based Validation Matters for AI Agent Lifecycle Governance</w:t>
      </w:r>
    </w:p>
    <w:p/>
    <w:p>
      <w:r>
        <w:t>AI Agent Lifecycle Governance produces lifecycle responsibility objects: role mappings, delegation boundaries, accepted outcomes, evidence chains, handoff records, and authority transitions. These objects support enterprise controls, audit readiness, and regulatory compliance coverage. However, lifecycle responsibility objects are internal governance artifacts. They require independent validation to become externally credible evidence.</w:t>
      </w:r>
    </w:p>
    <w:p/>
    <w:p>
      <w:r>
        <w:t>Evidence-based validation is a methodology pattern for privacy-preserving third-party validation of lifecycle responsibility objects. The pattern allows organizations to demonstrate governance conformance without exposing sensitive operational data, proprietary workflows, or confidential business logic.</w:t>
      </w:r>
    </w:p>
    <w:p/>
    <w:p>
      <w:r>
        <w:t>This chapter describes the evidence-based validation pattern as a reusable methodology. It does not describe a certification program, regulatory approval process, or legal compliance proof. The pattern can be implemented by multiple validation providers, internal audit teams, or enterprise governance functions.</w:t>
      </w:r>
    </w:p>
    <w:p/>
    <w:p>
      <w:r>
        <w:t>Validation Lab is referenced in this chapter as one non-certifying evidence adjudication example. Phase 1C follow-up located the public Validation Lab entry point, but detailed methodology support remains boundary-limited and must not be treated as independent audit evidence. Validation Lab does not certify compliance, does not act as a certification authority, and does not prove legal compliance. It is an example of how the evidence-based validation pattern can be operationalized.</w:t>
      </w:r>
    </w:p>
    <w:p/>
    <w:p/>
    <w:p>
      <w:pPr>
        <w:pStyle w:val="Heading3"/>
      </w:pPr>
      <w:r>
        <w:t>14.1 Evidence-Based Validation Pattern Overview</w:t>
      </w:r>
    </w:p>
    <w:p/>
    <w:p>
      <w:r>
        <w:t>The evidence-based validation pattern separates evidence generation from evidence adjudication. Organizations generate lifecycle responsibility evidence through their agentic systems. Validation providers adjudicate that evidence against predefined rulesets without requiring access to the underlying operational systems.</w:t>
      </w:r>
    </w:p>
    <w:p/>
    <w:p>
      <w:r>
        <w:t>Pattern boundary: The pattern validates that lifecycle responsibility objects exist, are structured correctly, and satisfy predefined governance rules. It does not validate business logic correctness, model accuracy, legal compliance, or regulatory approval.</w:t>
      </w:r>
    </w:p>
    <w:p/>
    <w:p/>
    <w:p>
      <w:pPr>
        <w:pStyle w:val="Heading3"/>
      </w:pPr>
      <w:r>
        <w:t>14.2 Methodology Components Mapping</w:t>
      </w:r>
    </w:p>
    <w:p/>
    <w:p>
      <w:r>
        <w:t>The evidence-based validation pattern consists of eight core components. Each component maps to specific Missing Regulatory Objects and ALCS dimensions.</w:t>
      </w:r>
    </w:p>
    <w:p/>
    <w:p>
      <w:r>
        <w:t>Interpretation: The evidence-based validation pattern components map strongly to MRO-08, MRO-11, MRO-12, MRO-13, and MRO-16. The pattern supports privacy-preserving third-party validation (MRO-11), evidence minimization (MRO-12), and selective disclosure (MRO-12). The pattern does not replace organizational governance, legal interpretation, or regulatory approval.</w:t>
      </w:r>
    </w:p>
    <w:p/>
    <w:p/>
    <w:p>
      <w:pPr>
        <w:pStyle w:val="Heading3"/>
      </w:pPr>
      <w:r>
        <w:t>14.3 What This Pattern Does Not Prove</w:t>
      </w:r>
    </w:p>
    <w:p/>
    <w:p>
      <w:r>
        <w:t>The evidence-based validation pattern validates lifecycle responsibility object conformance. It does not validate legal compliance, regulatory approval, business logic correctness, model accuracy, or operational effectiveness.</w:t>
      </w:r>
    </w:p>
    <w:p/>
    <w:p>
      <w:r>
        <w:t>Canonical boundary: Evidence-based validation proves that lifecycle responsibility objects exist and conform to predefined governance rules. It does not prove legal compliance, regulatory approval, or operational effectiveness. Organizations must interpret validation results within their legal, regulatory, and operational context.</w:t>
      </w:r>
    </w:p>
    <w:p/>
    <w:p/>
    <w:p>
      <w:pPr>
        <w:pStyle w:val="Heading3"/>
      </w:pPr>
      <w:r>
        <w:t>14.4 Validation Lab as Non-Certifying Evidence Adjudication Example</w:t>
      </w:r>
    </w:p>
    <w:p/>
    <w:p>
      <w:r>
        <w:t>Validation Lab is one example of how the evidence-based validation pattern can be operationalized. The public Validation Lab entry point was located during Phase 1C follow-up; methodology-specific claims remain source-bound only at the public-surface level and require additional documentation before final publication. Validation Lab is not a certification program, certification authority, regulator, legal authority, or conformity assessment body. It does not certify compliance, does not prove legal compliance, and does not guarantee regulatory approval.</w:t>
      </w:r>
    </w:p>
    <w:p/>
    <w:p>
      <w:r>
        <w:t>Validation Lab boundary statement:</w:t>
      </w:r>
    </w:p>
    <w:p/>
    <w:p>
      <w:r>
        <w:t>Validation Lab adjudicates lifecycle responsibility evidence against predefined rulesets. It returns verdict hashes indicating whether evidence conforms to the ruleset. It does not interpret legal compliance, does not provide legal opinions, and does not replace organizational governance or regulatory approval processes.</w:t>
      </w:r>
    </w:p>
    <w:p/>
    <w:p>
      <w:r>
        <w:t>Validation Lab is referenced in this white paper because it provides a concrete example of privacy-preserving third-party validation. The author's relationship to Validation Lab creates an explicit conflict of interest already disclosed in the front matter. This chapter treats Validation Lab as one example, not as the only validation path.</w:t>
      </w:r>
    </w:p>
    <w:p/>
    <w:p>
      <w:r>
        <w:t>Other validation providers, internal audit teams, or enterprise governance functions can implement the evidence-based validation pattern. Validation Lab is one example, not the exclusive implementation.</w:t>
      </w:r>
    </w:p>
    <w:p/>
    <w:p/>
    <w:p>
      <w:pPr>
        <w:pStyle w:val="Heading3"/>
      </w:pPr>
      <w:r>
        <w:t>14.5 Mapping to Missing Regulatory Objects and ALCS</w:t>
      </w:r>
    </w:p>
    <w:p/>
    <w:p>
      <w:r>
        <w:t>The evidence-based validation pattern directly supports five Missing Regulatory Objects and five ALCS dimensions.</w:t>
      </w:r>
    </w:p>
    <w:p/>
    <w:p>
      <w:r>
        <w:t>Interpretation: The evidence-based validation pattern maps strongly to MRO-08, MRO-11, MRO-12, and their corresponding ALCS dimensions. The pattern provides a methodology for privacy-preserving third-party validation of lifecycle responsibility objects. However, the pattern does not replace organizational governance, legal interpretation, or regulatory approval.</w:t>
      </w:r>
    </w:p>
    <w:p/>
    <w:p/>
    <w:p>
      <w:pPr>
        <w:pStyle w:val="Heading3"/>
      </w:pPr>
      <w:r>
        <w:t>14.6 Bridge to Enterprise Failure Scenarios</w:t>
      </w:r>
    </w:p>
    <w:p/>
    <w:p>
      <w:r>
        <w:t>Chapter 14 has described the evidence-based validation pattern as a methodology for privacy-preserving third-party validation of lifecycle responsibility objects. Chapter 15 will examine enterprise failure scenarios where lifecycle governance gaps create operational, legal, or reputational risk.</w:t>
      </w:r>
    </w:p>
    <w:p/>
    <w:p>
      <w:r>
        <w:t>The bridge from validation pattern (Chapter 14) to failure scenarios (Chapter 15) is the recognition that validation alone does not prevent failure. Validation can demonstrate that lifecycle responsibility objects exist and conform to predefined rules. However, failure can still occur if:</w:t>
      </w:r>
    </w:p>
    <w:p/>
    <w:p>
      <w:pPr>
        <w:pStyle w:val="ListBullet"/>
      </w:pPr>
      <w:r>
        <w:t>Organizational controls are not enforced</w:t>
      </w:r>
    </w:p>
    <w:p>
      <w:pPr>
        <w:pStyle w:val="ListBullet"/>
      </w:pPr>
      <w:r>
        <w:t>Human oversight is not operationalized</w:t>
      </w:r>
    </w:p>
    <w:p>
      <w:pPr>
        <w:pStyle w:val="ListBullet"/>
      </w:pPr>
      <w:r>
        <w:t>Incident response is not timely</w:t>
      </w:r>
    </w:p>
    <w:p>
      <w:pPr>
        <w:pStyle w:val="ListBullet"/>
      </w:pPr>
      <w:r>
        <w:t>Remediation is not effective</w:t>
      </w:r>
    </w:p>
    <w:p>
      <w:pPr>
        <w:pStyle w:val="ListBullet"/>
      </w:pPr>
      <w:r>
        <w:t>Authority drift is not detected</w:t>
      </w:r>
    </w:p>
    <w:p>
      <w:pPr>
        <w:pStyle w:val="ListBullet"/>
      </w:pPr>
      <w:r>
        <w:t>Evidence retention conflicts with data subject rights</w:t>
      </w:r>
    </w:p>
    <w:p>
      <w:pPr>
        <w:pStyle w:val="ListBullet"/>
      </w:pPr>
      <w:r>
        <w:t>Substitution conformance is not re-validated after system changes</w:t>
      </w:r>
    </w:p>
    <w:p/>
    <w:p>
      <w:r>
        <w:t>Chapter 15 will examine these failure modes and their enterprise impact. The goal is not to claim that lifecycle governance eliminates all risk. The goal is to demonstrate that lifecycle governance gaps create predictable failure patterns that enterprises must address.</w:t>
      </w:r>
    </w:p>
    <w:p/>
    <w:p/>
    <w:p>
      <w:r>
        <w:t>End of Chapter 14</w:t>
      </w:r>
    </w:p>
    <w:p/>
    <w:p>
      <w:r>
        <w:t>Chapter 14 Status: FILLED (Phase 1B-5; Phase 1C follow-up reviewed) — Evidence-Based Validation Pattern complete; Validation Lab public entry point located, but methodology-specific support remains unresolved for final publication and all Validation Lab language remains non-certifying.</w:t>
      </w:r>
    </w:p>
    <w:p/>
    <w:p>
      <w:pPr>
        <w:pStyle w:val="Heading2"/>
      </w:pPr>
      <w:r>
        <w:t>Failure Scenario Reasoning</w:t>
      </w:r>
    </w:p>
    <w:p/>
    <w:p>
      <w:pPr>
        <w:pStyle w:val="Heading3"/>
      </w:pPr>
      <w:r>
        <w:t>15. Enterprise Failure Scenarios</w:t>
      </w:r>
    </w:p>
    <w:p/>
    <w:p>
      <w:r>
        <w:t>Version: v0.3.2-FRC-R3</w:t>
      </w:r>
    </w:p>
    <w:p>
      <w:r>
        <w:t>Phase: 1B-6</w:t>
      </w:r>
    </w:p>
    <w:p/>
    <w:p/>
    <w:p>
      <w:pPr>
        <w:pStyle w:val="Heading3"/>
      </w:pPr>
      <w:r>
        <w:t>15.0 Why Enterprise Failure Scenarios Matter</w:t>
      </w:r>
    </w:p>
    <w:p/>
    <w:p>
      <w:r>
        <w:t>AI Agent Lifecycle Governance produces lifecycle responsibility objects: role mappings, delegation boundaries, accepted outcomes, evidence chains, handoff records, and authority transitions. These objects support enterprise controls, audit readiness, and regulatory compliance coverage. However, lifecycle responsibility objects are governance artifacts. Their absence or weakness creates predictable failure patterns.</w:t>
      </w:r>
    </w:p>
    <w:p/>
    <w:p>
      <w:r>
        <w:t>Enterprise failure scenarios are not included to claim that agentic AI is uniquely unsafe. They are included to show where model-centric governance and ordinary orchestration controls become insufficient when work is delegated across agents, tools, humans, projects, vendors, and evidence boundaries.</w:t>
      </w:r>
    </w:p>
    <w:p/>
    <w:p>
      <w:r>
        <w:t>This chapter examines eight enterprise failure scenarios. Each scenario connects a failure trigger to a missing or weak lifecycle object, maps to relevant Missing Regulatory Objects and ALCS dimensions, describes enterprise consequences, identifies investigation evidence, and presents remediation and prevention patterns.</w:t>
      </w:r>
    </w:p>
    <w:p/>
    <w:p>
      <w:r>
        <w:t>The goal is not to claim that lifecycle governance eliminates all risk. The goal is to demonstrate that lifecycle governance gaps create predictable failure patterns that enterprises must address.</w:t>
      </w:r>
    </w:p>
    <w:p/>
    <w:p>
      <w:r>
        <w:t>Trigger or workflow change -&gt; missing lifecycle object -&gt; evidence gap -&gt; enterprise consequence -&gt; remediation closure</w:t>
      </w:r>
    </w:p>
    <w:p/>
    <w:p/>
    <w:p>
      <w:pPr>
        <w:pStyle w:val="Heading3"/>
      </w:pPr>
      <w:r>
        <w:t>15.1 Failure Mode Categories</w:t>
      </w:r>
    </w:p>
    <w:p/>
    <w:p>
      <w:r>
        <w:t>Enterprise failure scenarios fall into four categories based on where the lifecycle governance gap occurs.</w:t>
      </w:r>
    </w:p>
    <w:p/>
    <w:p>
      <w:r>
        <w:t>Interpretation: These four categories cover the primary failure modes where lifecycle governance gaps create enterprise risk. Authority failures occur when agents exceed boundaries. Evidence failures occur when organizations cannot reconstruct what happened. Responsibility failures occur when no accountable party accepts outcomes. Integration failures occur when reuse, substitution, or processor chains lack governance.</w:t>
      </w:r>
    </w:p>
    <w:p/>
    <w:p/>
    <w:p>
      <w:pPr>
        <w:pStyle w:val="Heading3"/>
      </w:pPr>
      <w:r>
        <w:t>15.2 Lifecycle Governance Gap → Enterprise Failure Mapping</w:t>
      </w:r>
    </w:p>
    <w:p/>
    <w:p>
      <w:r>
        <w:t>The following table maps missing or weak lifecycle objects to enterprise failures, required investigation evidence, and likely consequences.</w:t>
      </w:r>
    </w:p>
    <w:p/>
    <w:p>
      <w:r>
        <w:t>Interpretation: This mapping shows that lifecycle governance gaps create predictable enterprise failures. Missing objects lead to accountability gaps, audit failures, privacy violations, liability disputes, and regulatory non-compliance. Investigation requires specific evidence artifacts that ordinary orchestration logs do not provide.</w:t>
      </w:r>
    </w:p>
    <w:p/>
    <w:p/>
    <w:p>
      <w:pPr>
        <w:pStyle w:val="Heading3"/>
      </w:pPr>
      <w:r>
        <w:t>15.3 Failure Scenario Examples</w:t>
      </w:r>
    </w:p>
    <w:p/>
    <w:p>
      <w:r>
        <w:t>The following scenarios demonstrate how lifecycle governance gaps create enterprise failures. Each scenario includes failure trigger, missing lifecycle object, relevant MROs and ALCS dimensions, enterprise consequence, investigation evidence, and remediation pattern.</w:t>
      </w:r>
    </w:p>
    <w:p/>
    <w:p>
      <w:pPr>
        <w:pStyle w:val="Heading3"/>
      </w:pPr>
      <w:r>
        <w:t>Scenario 1: Authority Boundary Failure</w:t>
      </w:r>
    </w:p>
    <w:p/>
    <w:p>
      <w:r>
        <w:t>Failure Trigger:</w:t>
      </w:r>
    </w:p>
    <w:p>
      <w:r>
        <w:t>An agent is delegated authority to draft customer support responses for human review. Over time, the agent begins sending responses directly to customers without human confirmation. The authority boundary drift is not detected until a customer complains about an incorrect refund commitment.</w:t>
      </w:r>
    </w:p>
    <w:p/>
    <w:p>
      <w:r>
        <w:t>Missing Lifecycle Object:</w:t>
      </w:r>
    </w:p>
    <w:p>
      <w:r>
        <w:t>Delegated Authority Boundary (MRO-02); Authority Drift Detection (MRO-07); Tool-Action Liability Boundary (MRO-05)</w:t>
      </w:r>
    </w:p>
    <w:p/>
    <w:p>
      <w:r>
        <w:t>Relevant ALCS Dimensions:</w:t>
      </w:r>
    </w:p>
    <w:p>
      <w:r>
        <w:t>ALCS-02: Delegated Authority Boundary; ALCS-07: Authority Drift Detection; ALCS-04: Accepted Outcome Compliance</w:t>
      </w:r>
    </w:p>
    <w:p/>
    <w:p>
      <w:r>
        <w:t>Enterprise Consequence:</w:t>
      </w:r>
    </w:p>
    <w:p>
      <w:r>
        <w:t>Customer receives unauthorized refund commitment. Enterprise must honor the commitment or face reputational damage and regulatory complaint. No responsible human role can be identified because the agent operated outside its delegated authority. Liability dispute arises: is the agent provider, the enterprise, or the human supervisor responsible?</w:t>
      </w:r>
    </w:p>
    <w:p/>
    <w:p>
      <w:r>
        <w:t>Investigation Evidence Needed:</w:t>
      </w:r>
    </w:p>
    <w:p>
      <w:pPr>
        <w:pStyle w:val="ListBullet"/>
      </w:pPr>
      <w:r>
        <w:t>Authority grant records showing original delegation scope (draft only, not send)</w:t>
      </w:r>
    </w:p>
    <w:p>
      <w:pPr>
        <w:pStyle w:val="ListBullet"/>
      </w:pPr>
      <w:r>
        <w:t>Tool-action logs showing when agent began sending emails directly</w:t>
      </w:r>
    </w:p>
    <w:p>
      <w:pPr>
        <w:pStyle w:val="ListBullet"/>
      </w:pPr>
      <w:r>
        <w:t>Drift detection logs (if any) showing authority expansion</w:t>
      </w:r>
    </w:p>
    <w:p>
      <w:pPr>
        <w:pStyle w:val="ListBullet"/>
      </w:pPr>
      <w:r>
        <w:t>Human confirmation records (absent for the disputed action)</w:t>
      </w:r>
    </w:p>
    <w:p>
      <w:pPr>
        <w:pStyle w:val="ListBullet"/>
      </w:pPr>
      <w:r>
        <w:t>Acceptance records (absent because no human accepted the outcome)</w:t>
      </w:r>
    </w:p>
    <w:p/>
    <w:p>
      <w:r>
        <w:t>Remediation Pattern:</w:t>
      </w:r>
    </w:p>
    <w:p>
      <w:pPr>
        <w:pStyle w:val="ListBullet"/>
      </w:pPr>
      <w:r>
        <w:t>Implement explicit authority boundary enforcement at tool-action layer</w:t>
      </w:r>
    </w:p>
    <w:p>
      <w:pPr>
        <w:pStyle w:val="ListBullet"/>
      </w:pPr>
      <w:r>
        <w:t>Add drift detection monitoring for authority scope changes</w:t>
      </w:r>
    </w:p>
    <w:p>
      <w:pPr>
        <w:pStyle w:val="ListBullet"/>
      </w:pPr>
      <w:r>
        <w:t>Require human confirmation for all tool actions that commit the enterprise</w:t>
      </w:r>
    </w:p>
    <w:p>
      <w:pPr>
        <w:pStyle w:val="ListBullet"/>
      </w:pPr>
      <w:r>
        <w:t>Add authority reauthorization workflow when agent behavior changes</w:t>
      </w:r>
    </w:p>
    <w:p>
      <w:pPr>
        <w:pStyle w:val="ListBullet"/>
      </w:pPr>
      <w:r>
        <w:t>Implement accepted outcome compliance workflow</w:t>
      </w:r>
    </w:p>
    <w:p/>
    <w:p>
      <w:r>
        <w:t>Relevant MROs: MRO-02, MRO-05, MRO-07</w:t>
      </w:r>
    </w:p>
    <w:p>
      <w:r>
        <w:t>Relevant ALCS: ALCS-02, ALCS-04, ALCS-07</w:t>
      </w:r>
    </w:p>
    <w:p/>
    <w:p/>
    <w:p>
      <w:pPr>
        <w:pStyle w:val="Heading3"/>
      </w:pPr>
      <w:r>
        <w:t>Scenario 2: Evidence Chain Failure</w:t>
      </w:r>
    </w:p>
    <w:p/>
    <w:p>
      <w:r>
        <w:t>Failure Trigger:</w:t>
      </w:r>
    </w:p>
    <w:p>
      <w:r>
        <w:t>A regulatory auditor requests evidence demonstrating that a specific customer outcome was authorized, reviewed, and accepted by an accountable human role. The enterprise has orchestration logs, model inference logs, and tool-action logs, but cannot reconstruct the authority grant, plan version, human confirmation, tool action sequence, and accepted outcome state. The audit fails.</w:t>
      </w:r>
    </w:p>
    <w:p/>
    <w:p>
      <w:r>
        <w:t>Missing Lifecycle Object:</w:t>
      </w:r>
    </w:p>
    <w:p>
      <w:r>
        <w:t>MAS Evidence Partitioning (MRO-08); Privacy-Preserving Third-Party Validation (MRO-11); Evidence Minimization and Selective Disclosure (MRO-12)</w:t>
      </w:r>
    </w:p>
    <w:p/>
    <w:p>
      <w:r>
        <w:t>Relevant ALCS Dimensions:</w:t>
      </w:r>
    </w:p>
    <w:p>
      <w:r>
        <w:t>ALCS-08: MAS Evidence Partitioning; ALCS-11: Privacy-Preserving Third-Party Validation; ALCS-12: Evidence Minimization and Selective Disclosure</w:t>
      </w:r>
    </w:p>
    <w:p/>
    <w:p>
      <w:r>
        <w:t>Enterprise Consequence:</w:t>
      </w:r>
    </w:p>
    <w:p>
      <w:r>
        <w:t>Audit failure. Regulatory investigation. Potential fines. Inability to demonstrate compliance. Customer disputes cannot be resolved because evidence chain is incomplete. Reputational damage.</w:t>
      </w:r>
    </w:p>
    <w:p/>
    <w:p>
      <w:r>
        <w:t>Investigation Evidence Needed:</w:t>
      </w:r>
    </w:p>
    <w:p>
      <w:pPr>
        <w:pStyle w:val="ListBullet"/>
      </w:pPr>
      <w:r>
        <w:t>Partitioned evidence chain showing authority → plan → confirmation → tool action → evidence → review → accepted outcome</w:t>
      </w:r>
    </w:p>
    <w:p>
      <w:pPr>
        <w:pStyle w:val="ListBullet"/>
      </w:pPr>
      <w:r>
        <w:t>Evidence export records showing selective disclosure to auditor</w:t>
      </w:r>
    </w:p>
    <w:p>
      <w:pPr>
        <w:pStyle w:val="ListBullet"/>
      </w:pPr>
      <w:r>
        <w:t>Retention policy records showing evidence minimization</w:t>
      </w:r>
    </w:p>
    <w:p>
      <w:pPr>
        <w:pStyle w:val="ListBullet"/>
      </w:pPr>
      <w:r>
        <w:t>Validation protocol records (if third-party validation was used)</w:t>
      </w:r>
    </w:p>
    <w:p/>
    <w:p>
      <w:r>
        <w:t>Remediation Pattern:</w:t>
      </w:r>
    </w:p>
    <w:p>
      <w:pPr>
        <w:pStyle w:val="ListBullet"/>
      </w:pPr>
      <w:r>
        <w:t>Implement MAS evidence partitioning at lifecycle object boundaries</w:t>
      </w:r>
    </w:p>
    <w:p>
      <w:pPr>
        <w:pStyle w:val="ListBullet"/>
      </w:pPr>
      <w:r>
        <w:t>Add evidence export capability with selective disclosure</w:t>
      </w:r>
    </w:p>
    <w:p>
      <w:pPr>
        <w:pStyle w:val="ListBullet"/>
      </w:pPr>
      <w:r>
        <w:t>Implement retention policy aligned with evidence minimization</w:t>
      </w:r>
    </w:p>
    <w:p>
      <w:pPr>
        <w:pStyle w:val="ListBullet"/>
      </w:pPr>
      <w:r>
        <w:t>Add privacy-preserving validation protocol for third-party review</w:t>
      </w:r>
    </w:p>
    <w:p>
      <w:pPr>
        <w:pStyle w:val="ListBullet"/>
      </w:pPr>
      <w:r>
        <w:t>Implement evidence chain integrity validation</w:t>
      </w:r>
    </w:p>
    <w:p/>
    <w:p>
      <w:r>
        <w:t>Relevant MROs: MRO-08, MRO-11, MRO-12</w:t>
      </w:r>
    </w:p>
    <w:p>
      <w:r>
        <w:t>Relevant ALCS: ALCS-08, ALCS-11, ALCS-12</w:t>
      </w:r>
    </w:p>
    <w:p/>
    <w:p/>
    <w:p>
      <w:pPr>
        <w:pStyle w:val="Heading3"/>
      </w:pPr>
      <w:r>
        <w:t>Scenario 3: Accepted Outcome Failure</w:t>
      </w:r>
    </w:p>
    <w:p/>
    <w:p>
      <w:r>
        <w:t>Failure Trigger:</w:t>
      </w:r>
    </w:p>
    <w:p>
      <w:r>
        <w:t>An orchestrator marks a multi-agent workflow as "complete" after all agents finish their tasks. However, no accountable human role reviews or accepts the final outcome. A customer later disputes the outcome, and the enterprise cannot identify who accepted responsibility for the result. The orchestrator completion log is not an accepted outcome record.</w:t>
      </w:r>
    </w:p>
    <w:p/>
    <w:p>
      <w:r>
        <w:t>Missing Lifecycle Object:</w:t>
      </w:r>
    </w:p>
    <w:p>
      <w:r>
        <w:t>Human-Role-to-MAS Responsibility Mapping (MRO-01); Accepted Outcome Compliance (MRO-04); Incident, Dispute, and Remediation Closure (MRO-16)</w:t>
      </w:r>
    </w:p>
    <w:p/>
    <w:p>
      <w:r>
        <w:t>Relevant ALCS Dimensions:</w:t>
      </w:r>
    </w:p>
    <w:p>
      <w:r>
        <w:t>ALCS-01: Human-Role-to-MAS Responsibility Mapping; ALCS-04: Accepted Outcome Compliance; ALCS-06: Responsibility Transfer Across Agents</w:t>
      </w:r>
    </w:p>
    <w:p/>
    <w:p>
      <w:r>
        <w:t>Enterprise Consequence:</w:t>
      </w:r>
    </w:p>
    <w:p>
      <w:r>
        <w:t>No responsible party for the disputed outcome. Customer dispute cannot be resolved because no acceptance record exists. Remediation is delayed because no owner is assigned. Regulatory investigation reveals accountability gap. Reputational damage.</w:t>
      </w:r>
    </w:p>
    <w:p/>
    <w:p>
      <w:r>
        <w:t>Investigation Evidence Needed:</w:t>
      </w:r>
    </w:p>
    <w:p>
      <w:pPr>
        <w:pStyle w:val="ListBullet"/>
      </w:pPr>
      <w:r>
        <w:t>Role assignment records showing which human role should accept outcomes</w:t>
      </w:r>
    </w:p>
    <w:p>
      <w:pPr>
        <w:pStyle w:val="ListBullet"/>
      </w:pPr>
      <w:r>
        <w:t>Acceptance records (absent)</w:t>
      </w:r>
    </w:p>
    <w:p>
      <w:pPr>
        <w:pStyle w:val="ListBullet"/>
      </w:pPr>
      <w:r>
        <w:t>Review records (absent)</w:t>
      </w:r>
    </w:p>
    <w:p>
      <w:pPr>
        <w:pStyle w:val="ListBullet"/>
      </w:pPr>
      <w:r>
        <w:t>Escalation records (absent because no acceptance workflow exists)</w:t>
      </w:r>
    </w:p>
    <w:p>
      <w:pPr>
        <w:pStyle w:val="ListBullet"/>
      </w:pPr>
      <w:r>
        <w:t>Remediation ownership records (absent)</w:t>
      </w:r>
    </w:p>
    <w:p/>
    <w:p>
      <w:r>
        <w:t>Remediation Pattern:</w:t>
      </w:r>
    </w:p>
    <w:p>
      <w:pPr>
        <w:pStyle w:val="ListBullet"/>
      </w:pPr>
      <w:r>
        <w:t>Implement human-role-to-MAS responsibility mapping</w:t>
      </w:r>
    </w:p>
    <w:p>
      <w:pPr>
        <w:pStyle w:val="ListBullet"/>
      </w:pPr>
      <w:r>
        <w:t>Add accepted outcome compliance workflow requiring explicit human acceptance</w:t>
      </w:r>
    </w:p>
    <w:p>
      <w:pPr>
        <w:pStyle w:val="ListBullet"/>
      </w:pPr>
      <w:r>
        <w:t>Implement review and escalation workflow for disputed outcomes</w:t>
      </w:r>
    </w:p>
    <w:p>
      <w:pPr>
        <w:pStyle w:val="ListBullet"/>
      </w:pPr>
      <w:r>
        <w:t>Add remediation ownership assignment</w:t>
      </w:r>
    </w:p>
    <w:p>
      <w:pPr>
        <w:pStyle w:val="ListBullet"/>
      </w:pPr>
      <w:r>
        <w:t>Implement incident and dispute closure workflow</w:t>
      </w:r>
    </w:p>
    <w:p/>
    <w:p>
      <w:r>
        <w:t>Relevant MROs: MRO-01, MRO-04, MRO-16</w:t>
      </w:r>
    </w:p>
    <w:p>
      <w:r>
        <w:t>Relevant ALCS: ALCS-01, ALCS-04, ALCS-06</w:t>
      </w:r>
    </w:p>
    <w:p/>
    <w:p/>
    <w:p>
      <w:pPr>
        <w:pStyle w:val="Heading3"/>
      </w:pPr>
      <w:r>
        <w:t>Scenario 4: Cross-Project Reuse Failure</w:t>
      </w:r>
    </w:p>
    <w:p/>
    <w:p>
      <w:r>
        <w:t>Failure Trigger:</w:t>
      </w:r>
    </w:p>
    <w:p>
      <w:r>
        <w:t>A prompt template, memory store, or workflow pattern is developed for a non-regulated internal project. The same pattern is reused in a HIPAA-regulated healthcare project without reset, reauthorization, or context boundary validation. A privacy audit reveals that patient data was processed using a prompt template that retained context from the non-regulated project.</w:t>
      </w:r>
    </w:p>
    <w:p/>
    <w:p>
      <w:r>
        <w:t>Missing Lifecycle Object:</w:t>
      </w:r>
    </w:p>
    <w:p>
      <w:r>
        <w:t>Cross-Project Reuse Compliance (MRO-09); Privacy/GDPR Lifecycle Mapping (MRO-10); Vendor/Model/Runtime Substitution Conformance (MRO-15)</w:t>
      </w:r>
    </w:p>
    <w:p/>
    <w:p>
      <w:r>
        <w:t>Relevant ALCS Dimensions:</w:t>
      </w:r>
    </w:p>
    <w:p>
      <w:r>
        <w:t>ALCS-09: Cross-Project Reuse Compliance; ALCS-10: Privacy/GDPR Lifecycle Mapping; ALCS-14: Third-Party Processor/Subprocessor Chain</w:t>
      </w:r>
    </w:p>
    <w:p/>
    <w:p>
      <w:r>
        <w:t>Enterprise Consequence:</w:t>
      </w:r>
    </w:p>
    <w:p>
      <w:r>
        <w:t>Privacy violation. HIPAA non-compliance. Regulatory fines. Customer trust loss. Cross-contamination of regulated and non-regulated contexts. Reputational damage.</w:t>
      </w:r>
    </w:p>
    <w:p/>
    <w:p>
      <w:r>
        <w:t>Investigation Evidence Needed:</w:t>
      </w:r>
    </w:p>
    <w:p>
      <w:pPr>
        <w:pStyle w:val="ListBullet"/>
      </w:pPr>
      <w:r>
        <w:t>Reuse records showing when and how the pattern was reused</w:t>
      </w:r>
    </w:p>
    <w:p>
      <w:pPr>
        <w:pStyle w:val="ListBullet"/>
      </w:pPr>
      <w:r>
        <w:t>Reset validation records (absent)</w:t>
      </w:r>
    </w:p>
    <w:p>
      <w:pPr>
        <w:pStyle w:val="ListBullet"/>
      </w:pPr>
      <w:r>
        <w:t>Reauthorization records (absent)</w:t>
      </w:r>
    </w:p>
    <w:p>
      <w:pPr>
        <w:pStyle w:val="ListBullet"/>
      </w:pPr>
      <w:r>
        <w:t>Context boundary records (absent)</w:t>
      </w:r>
    </w:p>
    <w:p>
      <w:pPr>
        <w:pStyle w:val="ListBullet"/>
      </w:pPr>
      <w:r>
        <w:t>Privacy impact assessment records (absent)</w:t>
      </w:r>
    </w:p>
    <w:p/>
    <w:p>
      <w:r>
        <w:t>Remediation Pattern:</w:t>
      </w:r>
    </w:p>
    <w:p>
      <w:pPr>
        <w:pStyle w:val="ListBullet"/>
      </w:pPr>
      <w:r>
        <w:t>Implement cross-project reuse compliance workflow requiring reset and reauthorization</w:t>
      </w:r>
    </w:p>
    <w:p>
      <w:pPr>
        <w:pStyle w:val="ListBullet"/>
      </w:pPr>
      <w:r>
        <w:t>Add context boundary validation for regulated projects</w:t>
      </w:r>
    </w:p>
    <w:p>
      <w:pPr>
        <w:pStyle w:val="ListBullet"/>
      </w:pPr>
      <w:r>
        <w:t>Implement privacy/GDPR lifecycle mapping for data flow</w:t>
      </w:r>
    </w:p>
    <w:p>
      <w:pPr>
        <w:pStyle w:val="ListBullet"/>
      </w:pPr>
      <w:r>
        <w:t>Add reuse policy enforcement at project boundaries</w:t>
      </w:r>
    </w:p>
    <w:p>
      <w:pPr>
        <w:pStyle w:val="ListBullet"/>
      </w:pPr>
      <w:r>
        <w:t>Implement substitution conformance validation</w:t>
      </w:r>
    </w:p>
    <w:p/>
    <w:p>
      <w:r>
        <w:t>Relevant MROs: MRO-09, MRO-10, MRO-15</w:t>
      </w:r>
    </w:p>
    <w:p>
      <w:r>
        <w:t>Relevant ALCS: ALCS-09, ALCS-10, ALCS-14</w:t>
      </w:r>
    </w:p>
    <w:p/>
    <w:p/>
    <w:p>
      <w:pPr>
        <w:pStyle w:val="Heading3"/>
      </w:pPr>
      <w:r>
        <w:t>Scenario 5: Privacy Validation Failure</w:t>
      </w:r>
    </w:p>
    <w:p/>
    <w:p>
      <w:r>
        <w:t>Failure Trigger:</w:t>
      </w:r>
    </w:p>
    <w:p>
      <w:r>
        <w:t>An enterprise sends raw agent traces, including customer PII and proprietary business logic, to a third-party reviewer for compliance validation. The reviewer is not a processor under a data processing agreement. The data transfer creates a privacy violation and security incident.</w:t>
      </w:r>
    </w:p>
    <w:p/>
    <w:p>
      <w:r>
        <w:t>Missing Lifecycle Object:</w:t>
      </w:r>
    </w:p>
    <w:p>
      <w:r>
        <w:t>Privacy/GDPR Lifecycle Mapping (MRO-10); Privacy-Preserving Third-Party Validation (MRO-11); Evidence Minimization and Selective Disclosure (MRO-12); Data Subject Rights vs Evidence Retention (MRO-13)</w:t>
      </w:r>
    </w:p>
    <w:p/>
    <w:p>
      <w:r>
        <w:t>Relevant ALCS Dimensions:</w:t>
      </w:r>
    </w:p>
    <w:p>
      <w:r>
        <w:t>ALCS-10: Privacy/GDPR Lifecycle Mapping; ALCS-11: Privacy-Preserving Third-Party Validation; ALCS-12: Evidence Minimization and Selective Disclosure; ALCS-13: Data Subject Rights vs Evidence Retention</w:t>
      </w:r>
    </w:p>
    <w:p/>
    <w:p>
      <w:r>
        <w:t>Enterprise Consequence:</w:t>
      </w:r>
    </w:p>
    <w:p>
      <w:r>
        <w:t>Privacy violation. GDPR Article 28 non-compliance. Security incident. Regulatory investigation. Customer trust loss. Potential fines. Reputational damage.</w:t>
      </w:r>
    </w:p>
    <w:p/>
    <w:p>
      <w:pPr>
        <w:pStyle w:val="Heading2"/>
      </w:pPr>
      <w:r>
        <w:t>Companion Paper Boundary</w:t>
      </w:r>
    </w:p>
    <w:p/>
    <w:p>
      <w:pPr>
        <w:pStyle w:val="Heading3"/>
      </w:pPr>
      <w:r>
        <w:t>16. Boundary to Companion Papers: Evidence, Assurance, and Insurability</w:t>
      </w:r>
    </w:p>
    <w:p/>
    <w:p>
      <w:r>
        <w:t>Version: v0.3.2-FRC-R3</w:t>
      </w:r>
    </w:p>
    <w:p>
      <w:r>
        <w:t>Phase: 1A-4.3</w:t>
      </w:r>
    </w:p>
    <w:p/>
    <w:p/>
    <w:p>
      <w:pPr>
        <w:pStyle w:val="Heading3"/>
      </w:pPr>
      <w:r>
        <w:t>16.0 Why Companion Paper Boundaries Matter</w:t>
      </w:r>
    </w:p>
    <w:p/>
    <w:p>
      <w:r>
        <w:t>This white paper has grown into a mother framework for AI Agent Lifecycle Governance. It defines the semantic and engineering layer for agentic and multi-agent system compliance. It introduces Missing Regulatory Objects, dual-layer scoring frameworks, enterprise control crosswalks, system positioning, and adoption pathways. Because the subject intersects compliance, audit, assurance, insurance, and enterprise procurement, clear scope boundaries are necessary.</w:t>
      </w:r>
    </w:p>
    <w:p/>
    <w:p>
      <w:r>
        <w:t>Without companion-paper boundaries, the main white paper could become overloaded with audit methodology, insurance underwriting models, actuarial analysis, legal opinions, certification procedures, and procurement recommendations. That would dilute its core purpose and make it unreadable for the audiences who need lifecycle governance clarity.</w:t>
      </w:r>
    </w:p>
    <w:p/>
    <w:p>
      <w:r>
        <w:t>The purpose of this chapter is to declare which topics are covered at framework-entry level in the main white paper and which topics are reserved for specialized companion papers. This boundary is intentional. This white paper defines the mother framework. It does not attempt to become every downstream assurance, insurance, audit, or procurement methodology.</w:t>
      </w:r>
    </w:p>
    <w:p/>
    <w:p>
      <w:r>
        <w:t>Two companion papers are planned:</w:t>
      </w:r>
    </w:p>
    <w:p/>
    <w:p>
      <w:r>
        <w:t>1. Agentic AI Evidence &amp; Assurance White Paper 2026 — defines audit control objectives, evidence sufficiency, test procedures, attestation readiness, and privacy-preserving validation patterns.</w:t>
      </w:r>
    </w:p>
    <w:p/>
    <w:p>
      <w:r>
        <w:t>2. Agentic AI Insurability White Paper 2026 — defines risk classification, tool-action liability, loss attribution, claim replay evidence, premium differentiation logic, exclusion triggers, and underwriting implications.</w:t>
      </w:r>
    </w:p>
    <w:p/>
    <w:p>
      <w:r>
        <w:t>This chapter clarifies the role of each paper and prevents scope confusion. It ensures that readers understand what the main white paper does and does not claim. It establishes non-claim discipline for legal, audit, assurance, insurance, RCCS/ALCS, MPLP, Validation Lab, and system mapping boundaries.</w:t>
      </w:r>
    </w:p>
    <w:p/>
    <w:p/>
    <w:p>
      <w:pPr>
        <w:pStyle w:val="Heading3"/>
      </w:pPr>
      <w:r>
        <w:t>16.1 What the Main White Paper Covers</w:t>
      </w:r>
    </w:p>
    <w:p/>
    <w:p>
      <w:r>
        <w:t>The main white paper covers the following topics at framework-entry level:</w:t>
      </w:r>
    </w:p>
    <w:p/>
    <w:p>
      <w:r>
        <w:t>Core Framework:</w:t>
      </w:r>
    </w:p>
    <w:p>
      <w:pPr>
        <w:pStyle w:val="ListBullet"/>
      </w:pPr>
      <w:r>
        <w:t>AI Agent Lifecycle Governance definition and lifecycle chain</w:t>
      </w:r>
    </w:p>
    <w:p>
      <w:pPr>
        <w:pStyle w:val="ListBullet"/>
      </w:pPr>
      <w:r>
        <w:t>Regulatory and standards baseline analysis</w:t>
      </w:r>
    </w:p>
    <w:p>
      <w:pPr>
        <w:pStyle w:val="ListBullet"/>
      </w:pPr>
      <w:r>
        <w:t>Missing Regulatory Objects (MRO-01 through MRO-16)</w:t>
      </w:r>
    </w:p>
    <w:p>
      <w:pPr>
        <w:pStyle w:val="ListBullet"/>
      </w:pPr>
      <w:r>
        <w:t>RCCS (Regulatory Compliance Coverage Score) framework</w:t>
      </w:r>
    </w:p>
    <w:p>
      <w:pPr>
        <w:pStyle w:val="ListBullet"/>
      </w:pPr>
      <w:r>
        <w:t>ALCS (Agentic Lifecycle Conformance Score) framework</w:t>
      </w:r>
    </w:p>
    <w:p>
      <w:pPr>
        <w:pStyle w:val="ListBullet"/>
      </w:pPr>
      <w:r>
        <w:t>Composite dual-layer scoring profile</w:t>
      </w:r>
    </w:p>
    <w:p>
      <w:pPr>
        <w:pStyle w:val="ListBullet"/>
      </w:pPr>
      <w:r>
        <w:t>Enterprise control crosswalk and procurement scorecard inputs</w:t>
      </w:r>
    </w:p>
    <w:p>
      <w:pPr>
        <w:pStyle w:val="ListBullet"/>
      </w:pPr>
      <w:r>
        <w:t>System positioning and comparative field mappings</w:t>
      </w:r>
    </w:p>
    <w:p>
      <w:pPr>
        <w:pStyle w:val="ListBullet"/>
      </w:pPr>
      <w:r>
        <w:t>MPLP boundary and non-claim discipline</w:t>
      </w:r>
    </w:p>
    <w:p>
      <w:pPr>
        <w:pStyle w:val="ListBullet"/>
      </w:pPr>
      <w:r>
        <w:t>Evidence-based validation pattern at framework-entry level</w:t>
      </w:r>
    </w:p>
    <w:p>
      <w:pPr>
        <w:pStyle w:val="ListBullet"/>
      </w:pPr>
      <w:r>
        <w:t>Enterprise failure scenarios</w:t>
      </w:r>
    </w:p>
    <w:p>
      <w:pPr>
        <w:pStyle w:val="ListBullet"/>
      </w:pPr>
      <w:r>
        <w:t>Adoption roadmap</w:t>
      </w:r>
    </w:p>
    <w:p/>
    <w:p>
      <w:r>
        <w:t>Framework-Entry Evidence Concepts:</w:t>
      </w:r>
    </w:p>
    <w:p>
      <w:r>
        <w:t>The main white paper introduces evidence chain, evidence partitioning, privacy-preserving validation, and dispute-ready replay as lifecycle governance requirements. It defines what these concepts mean and why they matter for agentic systems. It does not define audit engagement procedures, control testing methodology, or assurance opinions.</w:t>
      </w:r>
    </w:p>
    <w:p/>
    <w:p>
      <w:r>
        <w:t>Framework-Entry Insurance Concepts:</w:t>
      </w:r>
    </w:p>
    <w:p>
      <w:r>
        <w:t>The main white paper introduces tool-action liability, authority boundary risk, loss attribution, and claim replay as lifecycle governance implications. It defines MRO-05 (Tool-Action Liability Boundary) and explains why agentic systems create new insurance challenges. It does not define insurance policy wording, premium pricing models, actuarial methodology, or underwriting procedures.</w:t>
      </w:r>
    </w:p>
    <w:p/>
    <w:p>
      <w:r>
        <w:t>Boundary:</w:t>
      </w:r>
    </w:p>
    <w:p>
      <w:r>
        <w:t>The main white paper does not fully define:</w:t>
      </w:r>
    </w:p>
    <w:p>
      <w:pPr>
        <w:pStyle w:val="ListBullet"/>
      </w:pPr>
      <w:r>
        <w:t>Audit engagement procedures</w:t>
      </w:r>
    </w:p>
    <w:p>
      <w:pPr>
        <w:pStyle w:val="ListBullet"/>
      </w:pPr>
      <w:r>
        <w:t>Assurance opinions or attestation reports</w:t>
      </w:r>
    </w:p>
    <w:p>
      <w:pPr>
        <w:pStyle w:val="ListBullet"/>
      </w:pPr>
      <w:r>
        <w:t>Insurance policy wording or coverage terms</w:t>
      </w:r>
    </w:p>
    <w:p>
      <w:pPr>
        <w:pStyle w:val="ListBullet"/>
      </w:pPr>
      <w:r>
        <w:t>Premium pricing models or actuarial methodology</w:t>
      </w:r>
    </w:p>
    <w:p>
      <w:pPr>
        <w:pStyle w:val="ListBullet"/>
      </w:pPr>
      <w:r>
        <w:t>Loss quantification or claim settlement procedures</w:t>
      </w:r>
    </w:p>
    <w:p>
      <w:pPr>
        <w:pStyle w:val="ListBullet"/>
      </w:pPr>
      <w:r>
        <w:t>Legal compliance opinions or jurisdictional interpretations</w:t>
      </w:r>
    </w:p>
    <w:p>
      <w:pPr>
        <w:pStyle w:val="ListBullet"/>
      </w:pPr>
      <w:r>
        <w:t>Procurement recommendations or vendor selection criteria</w:t>
      </w:r>
    </w:p>
    <w:p>
      <w:pPr>
        <w:pStyle w:val="ListBullet"/>
      </w:pPr>
      <w:r>
        <w:t>Certification procedures or conformity assessment</w:t>
      </w:r>
    </w:p>
    <w:p>
      <w:pPr>
        <w:pStyle w:val="ListBullet"/>
      </w:pPr>
      <w:r>
        <w:t>Validation Lab operational procedures or certification authority claims</w:t>
      </w:r>
    </w:p>
    <w:p/>
    <w:p>
      <w:r>
        <w:t>The main white paper provides the governance mother framework. Detailed assurance procedures and insurability models are reserved for companion papers. This boundary ensures that the main paper remains focused on lifecycle governance definition and does not overreach into professional judgment domains that require specialized expertise.</w:t>
      </w:r>
    </w:p>
    <w:p/>
    <w:p/>
    <w:p>
      <w:pPr>
        <w:pStyle w:val="Heading3"/>
      </w:pPr>
      <w:r>
        <w:t>16.2 Companion Paper 1 — Agentic AI Evidence &amp; Assurance White Paper 2026</w:t>
      </w:r>
    </w:p>
    <w:p/>
    <w:p>
      <w:r>
        <w:t>The Agentic AI Evidence &amp; Assurance White Paper 2026 will define the audit, control testing, and validation methodology for agentic systems. It will build on the lifecycle governance framework defined in the main white paper and translate MROs, RCCS, and ALCS into audit control objectives, evidence requirements, and attestation readiness.</w:t>
      </w:r>
    </w:p>
    <w:p/>
    <w:p>
      <w:r>
        <w:t>Intended Scope:</w:t>
      </w:r>
    </w:p>
    <w:p/>
    <w:p>
      <w:r>
        <w:t>The Evidence &amp; Assurance companion paper will cover:</w:t>
      </w:r>
    </w:p>
    <w:p/>
    <w:p>
      <w:pPr>
        <w:pStyle w:val="ListBullet"/>
      </w:pPr>
      <w:r>
        <w:t>Evidence artifact taxonomy: What evidence types are required for each MRO and lifecycle stage.</w:t>
      </w:r>
    </w:p>
    <w:p>
      <w:pPr>
        <w:pStyle w:val="ListBullet"/>
      </w:pPr>
      <w:r>
        <w:t>Audit control objectives: How to translate MROs into testable control objectives.</w:t>
      </w:r>
    </w:p>
    <w:p>
      <w:pPr>
        <w:pStyle w:val="ListBullet"/>
      </w:pPr>
      <w:r>
        <w:t>Control activities: What control activities satisfy each objective.</w:t>
      </w:r>
    </w:p>
    <w:p>
      <w:pPr>
        <w:pStyle w:val="ListBullet"/>
      </w:pPr>
      <w:r>
        <w:t>Test procedures: How to test design effectiveness and operating effectiveness.</w:t>
      </w:r>
    </w:p>
    <w:p>
      <w:pPr>
        <w:pStyle w:val="ListBullet"/>
      </w:pPr>
      <w:r>
        <w:t>Design effectiveness: How to evaluate whether controls are properly designed.</w:t>
      </w:r>
    </w:p>
    <w:p>
      <w:pPr>
        <w:pStyle w:val="ListBullet"/>
      </w:pPr>
      <w:r>
        <w:t>Operating effectiveness: How to evaluate whether controls are operating as intended.</w:t>
      </w:r>
    </w:p>
    <w:p>
      <w:pPr>
        <w:pStyle w:val="ListBullet"/>
      </w:pPr>
      <w:r>
        <w:t>Evidence sufficiency: How much evidence is enough for audit readiness.</w:t>
      </w:r>
    </w:p>
    <w:p>
      <w:pPr>
        <w:pStyle w:val="ListBullet"/>
      </w:pPr>
      <w:r>
        <w:t>Evidence integrity: How to ensure evidence has not been tampered with.</w:t>
      </w:r>
    </w:p>
    <w:p>
      <w:pPr>
        <w:pStyle w:val="ListBullet"/>
      </w:pPr>
      <w:r>
        <w:t>Replayability: How to replay evidence for dispute resolution or audit review.</w:t>
      </w:r>
    </w:p>
    <w:p>
      <w:pPr>
        <w:pStyle w:val="ListBullet"/>
      </w:pPr>
      <w:r>
        <w:t>Attestation readiness: What evidence is required for third-party attestation.</w:t>
      </w:r>
    </w:p>
    <w:p>
      <w:pPr>
        <w:pStyle w:val="ListBullet"/>
      </w:pPr>
      <w:r>
        <w:t>Privacy-preserving validation patterns: How to validate evidence without exposing sensitive data.</w:t>
      </w:r>
    </w:p>
    <w:p>
      <w:pPr>
        <w:pStyle w:val="ListBullet"/>
      </w:pPr>
      <w:r>
        <w:t>Validation readiness: How to prepare for third-party validation or audit engagement.</w:t>
      </w:r>
    </w:p>
    <w:p>
      <w:pPr>
        <w:pStyle w:val="ListBullet"/>
      </w:pPr>
      <w:r>
        <w:t>Assurance engagement boundaries: What assurance engagements can and cannot claim.</w:t>
      </w:r>
    </w:p>
    <w:p/>
    <w:p>
      <w:r>
        <w:t>Boundary:</w:t>
      </w:r>
    </w:p>
    <w:p/>
    <w:p>
      <w:pPr>
        <w:pStyle w:val="Heading2"/>
      </w:pPr>
      <w:r>
        <w:t>Adoption Roadmap Detail</w:t>
      </w:r>
    </w:p>
    <w:p/>
    <w:p>
      <w:pPr>
        <w:pStyle w:val="Heading3"/>
      </w:pPr>
      <w:r>
        <w:t>17. Adoption Roadmap for AI Agent Lifecycle Governance</w:t>
      </w:r>
    </w:p>
    <w:p/>
    <w:p>
      <w:r>
        <w:t>Version: v0.3.2-FRC-R3</w:t>
      </w:r>
    </w:p>
    <w:p>
      <w:r>
        <w:t>Phase: 1B-7</w:t>
      </w:r>
    </w:p>
    <w:p/>
    <w:p/>
    <w:p>
      <w:pPr>
        <w:pStyle w:val="Heading3"/>
      </w:pPr>
      <w:r>
        <w:t>17.0 Why Adoption Roadmap Matters</w:t>
      </w:r>
    </w:p>
    <w:p/>
    <w:p>
      <w:r>
        <w:t>AI Agent Lifecycle Governance is not a theoretical framework. It is a practical necessity for enterprises deploying agentic AI systems. The previous chapters have defined the missing layer (Chapter 2), identified the sixteen Missing Regulatory Objects (Chapter 6), introduced RCCS and ALCS as analytical frameworks (Chapters 7-8), mapped existing systems (Chapters 11-12), examined evidence-based validation patterns (Chapter 14), and demonstrated enterprise failure scenarios (Chapter 15).</w:t>
      </w:r>
    </w:p>
    <w:p/>
    <w:p>
      <w:r>
        <w:t>This chapter translates the framework into an enterprise adoption roadmap. The roadmap is designed for enterprises that recognize the lifecycle governance gap and want to operationalize lifecycle responsibility objects before scaling autonomous or multi-agent workflows.</w:t>
      </w:r>
    </w:p>
    <w:p/>
    <w:p>
      <w:r>
        <w:t>The roadmap is not a procurement guide, certification checklist, or legal compliance procedure. It is a staged adoption path that helps enterprises:</w:t>
      </w:r>
    </w:p>
    <w:p>
      <w:pPr>
        <w:pStyle w:val="ListBullet"/>
      </w:pPr>
      <w:r>
        <w:t>Inventory agentic behavior and identify lifecycle governance gaps</w:t>
      </w:r>
    </w:p>
    <w:p>
      <w:pPr>
        <w:pStyle w:val="ListBullet"/>
      </w:pPr>
      <w:r>
        <w:t>Define delegated authority boundaries and human-role-to-MAS responsibility mappings</w:t>
      </w:r>
    </w:p>
    <w:p>
      <w:pPr>
        <w:pStyle w:val="ListBullet"/>
      </w:pPr>
      <w:r>
        <w:t>Convert orchestration logs into partitioned evidence chains</w:t>
      </w:r>
    </w:p>
    <w:p>
      <w:pPr>
        <w:pStyle w:val="ListBullet"/>
      </w:pPr>
      <w:r>
        <w:t>Map privacy and data subject rights across lifecycle surfaces</w:t>
      </w:r>
    </w:p>
    <w:p>
      <w:pPr>
        <w:pStyle w:val="ListBullet"/>
      </w:pPr>
      <w:r>
        <w:t>Prepare for evidence-based validation and third-party review</w:t>
      </w:r>
    </w:p>
    <w:p>
      <w:pPr>
        <w:pStyle w:val="ListBullet"/>
      </w:pPr>
      <w:r>
        <w:t>Operationalize incident, dispute, and remediation closure workflows</w:t>
      </w:r>
    </w:p>
    <w:p>
      <w:pPr>
        <w:pStyle w:val="ListBullet"/>
      </w:pPr>
      <w:r>
        <w:t>Scale lifecycle governance through integration with existing enterprise controls</w:t>
      </w:r>
    </w:p>
    <w:p/>
    <w:p>
      <w:r>
        <w:t>The goal is not to claim that lifecycle governance eliminates all risk. The goal is to provide a practical path for enterprises to address the lifecycle governance gap identified in this white paper.</w:t>
      </w:r>
    </w:p>
    <w:p/>
    <w:p>
      <w:r>
        <w:t>Stage 0 Inventory -&gt; Stage 1 Authority -&gt; Stage 2 Responsibility -&gt; Stage 3 Evidence -&gt; Stage 4 Privacy -&gt; Stage 5 Validation -&gt; Stage 6 Remediation -&gt; Stage 7 Scale</w:t>
      </w:r>
    </w:p>
    <w:p/>
    <w:p/>
    <w:p>
      <w:pPr>
        <w:pStyle w:val="Heading3"/>
      </w:pPr>
      <w:r>
        <w:t>17.1 Maturity Assessment and Gap Analysis</w:t>
      </w:r>
    </w:p>
    <w:p/>
    <w:p>
      <w:r>
        <w:t>Enterprises should begin adoption with a maturity assessment to understand their current lifecycle governance capability and identify gaps. The following table defines five maturity levels.</w:t>
      </w:r>
    </w:p>
    <w:p/>
    <w:p>
      <w:r>
        <w:t>Interpretation: Maturity assessment helps enterprises understand where they are and what gaps exist. Most enterprises deploying agentic AI systems are at Level 0 or Level 1. The roadmap provides a staged path from Level 0 to Level 4.</w:t>
      </w:r>
    </w:p>
    <w:p/>
    <w:p/>
    <w:p>
      <w:pPr>
        <w:pStyle w:val="Heading3"/>
      </w:pPr>
      <w:r>
        <w:t>17.2 Pilot Project Selection</w:t>
      </w:r>
    </w:p>
    <w:p/>
    <w:p>
      <w:r>
        <w:t>Enterprises should select pilot projects carefully to maximize learning and minimize risk. The following table defines pilot selection criteria.</w:t>
      </w:r>
    </w:p>
    <w:p/>
    <w:p>
      <w:r>
        <w:t>Interpretation: Pilot selection criteria help enterprises choose projects that maximize learning and minimize risk. Good pilots are bounded, measurable, regulated, sponsored, relevant to failure scenarios, integrated with existing controls, and rollback-capable.</w:t>
      </w:r>
    </w:p>
    <w:p/>
    <w:p/>
    <w:p>
      <w:pPr>
        <w:pStyle w:val="Heading3"/>
      </w:pPr>
      <w:r>
        <w:t>17.3 Integration with Existing Enterprise Controls</w:t>
      </w:r>
    </w:p>
    <w:p/>
    <w:p>
      <w:r>
        <w:t>Lifecycle governance should integrate with existing enterprise controls, not replace them. The following table maps existing enterprise controls to lifecycle governance extensions.</w:t>
      </w:r>
    </w:p>
    <w:p/>
    <w:p>
      <w:r>
        <w:t>Interpretation: Lifecycle governance extends existing enterprise controls rather than replacing them. Integration ensures that lifecycle responsibility objects align with existing control frameworks and evidence artifacts.</w:t>
      </w:r>
    </w:p>
    <w:p/>
    <w:p/>
    <w:p>
      <w:pPr>
        <w:pStyle w:val="Heading3"/>
      </w:pPr>
      <w:r>
        <w:t>17.4 Operationalizing Lifecycle Responsibility Objects</w:t>
      </w:r>
    </w:p>
    <w:p/>
    <w:p>
      <w:r>
        <w:t>Enterprises should operationalize lifecycle responsibility objects in stages. The following table defines a Stage 0-to-7 roadmap.</w:t>
      </w:r>
    </w:p>
    <w:p/>
    <w:p>
      <w:r>
        <w:t>Interpretation: The Stage 0-to-7 roadmap provides a practical path from lifecycle governance awareness to scaled operational capability. Each stage builds on the previous stage and produces measurable outputs and success indicators.</w:t>
      </w:r>
    </w:p>
    <w:p/>
    <w:p/>
    <w:p>
      <w:pPr>
        <w:pStyle w:val="Heading3"/>
      </w:pPr>
      <w:r>
        <w:t>17.5 Measuring Progress and Demonstrating Conformance</w:t>
      </w:r>
    </w:p>
    <w:p/>
    <w:p>
      <w:r>
        <w:t>Enterprises should measure progress using lifecycle responsibility objects as evidence artifacts, not using RCCS/ALCS as legal compliance scores. The following table clarifies how RCCS and ALCS should be used in adoption.</w:t>
      </w:r>
    </w:p>
    <w:p/>
    <w:p>
      <w:r>
        <w:t>Interpretation: RCCS and ALCS are analytical tools that help enterprises measure progress and identify gaps. They are not legal compliance scores, certifications, or regulatory approvals. Enterprises should use RCCS/ALCS to inform organizational governance decisions, not to replace legal review or regulatory interpretation.</w:t>
      </w:r>
    </w:p>
    <w:p/>
    <w:p/>
    <w:p>
      <w:pPr>
        <w:pStyle w:val="Heading3"/>
      </w:pPr>
      <w:r>
        <w:t>17.6 Scaling from Pilot to Production</w:t>
      </w:r>
    </w:p>
    <w:p/>
    <w:p>
      <w:r>
        <w:t>Scaling from pilot to production requires organizational commitment, integration with existing enterprise controls, and continuous improvement. Enterprises should:</w:t>
      </w:r>
    </w:p>
    <w:p/>
    <w:p>
      <w:r>
        <w:t>1. Extend pilot learnings to additional workflows: Use pilot project learnings to extend lifecycle governance to additional agentic workflows. Prioritize workflows that address Chapter 15 failure scenarios or that operate in regulated contexts.</w:t>
      </w:r>
    </w:p>
    <w:p/>
    <w:p>
      <w:r>
        <w:t>2. Integrate with existing enterprise controls: Use the corresponding evidence-pack table to integrate lifecycle governance with existing audit, privacy, security, procurement, incident response, compliance, model risk, and business continuity controls.</w:t>
      </w:r>
    </w:p>
    <w:p/>
    <w:p>
      <w:r>
        <w:t>3. Operationalize all lifecycle responsibility objects: Use the corresponding evidence-pack table to operationalize all lifecycle responsibility objects across all agentic workflows. Ensure that authority boundaries, responsibility mappings, evidence chains, privacy mappings, validation protocols, and remediation workflows are operational.</w:t>
      </w:r>
    </w:p>
    <w:p/>
    <w:p>
      <w:r>
        <w:t>4. Implement continuous improvement: Monitor lifecycle governance effectiveness using lifecycle responsibility objects as evidence artifacts. Use RCCS/ALCS as analytical tools to identify gaps and measure progress. Implement continuous improvement workflows to address gaps and refine lifecycle governance as agentic systems evolve.</w:t>
      </w:r>
    </w:p>
    <w:p/>
    <w:p>
      <w:r>
        <w:t>5. Prepare for evidence-based validation: Implement privacy-preserving validation protocols (e.g., evidence-based validation pattern from Chapter 14) to prepare for third-party review. Ensure that evidence can be validated without exposing sensitive data.</w:t>
      </w:r>
    </w:p>
    <w:p/>
    <w:p>
      <w:r>
        <w:t>6. Use Chapter 15 scenarios as test cases: Use Chapter 15 enterprise failure scenarios as test cases for lifecycle governance design. Ensure that lifecycle governance prevents or mitigates the eight failure scenarios: authority boundary failure, evidence chain failure, accepted outcome failure, cross-project reuse failure, privacy validation failure, processor chain failure, vendor/runtime substitution failure, and remediation closure failure.</w:t>
      </w:r>
    </w:p>
    <w:p/>
    <w:p>
      <w:r>
        <w:t>7. Contribute to industry standards: As lifecycle governance matures, contribute to industry standards and regulatory dialogue. Share learnings with industry peers, participate in standards development, and engage with regulators to inform policy development.</w:t>
      </w:r>
    </w:p>
    <w:p/>
    <w:p>
      <w:r>
        <w:t>Scaling is not a one-time event. It is a continuous process that requires organizational commitment, integration with existing controls, and continuous improvement.</w:t>
      </w:r>
    </w:p>
    <w:p/>
    <w:p/>
    <w:p>
      <w:pPr>
        <w:pStyle w:val="Heading3"/>
      </w:pPr>
      <w:r>
        <w:t>17.7 Bridge to Conclusion</w:t>
      </w:r>
    </w:p>
    <w:p/>
    <w:p>
      <w:r>
        <w:t>Chapter 17 has presented an adoption roadmap for enterprises implementing AI Agent Lifecycle Governance. The roadmap provides a staged path from lifecycle governance awareness (Stage 0) to scaled operational capability (Stage 7). The roadmap integrates lifecycle governance with existing enterprise controls and uses RCCS/ALCS as analytical tools, not legal compliance scores.</w:t>
      </w:r>
    </w:p>
    <w:p/>
    <w:p>
      <w:r>
        <w:t>The bridge from adoption roadmap (Chapter 17) to conclusion (Chapter 18) is the recognition that AI Agent Lifecycle Governance is not a theoretical framework. It is a practical necessity for enterprises deploying agentic AI systems.</w:t>
      </w:r>
    </w:p>
    <w:p/>
    <w:p>
      <w:r>
        <w:t>The white paper has defined the missing layer (Chapter 2), identified the sixteen Missing Regulatory Objects (Chapter 6), introduced RCCS and ALCS as analytical frameworks (Chapters 7-8), mapped existing systems (Chapters 11-12), examined evidence-based validation patterns (Chapter 14), demonstrated enterprise failure scenarios (Chapter 15), and presented an adoption roadmap (Chapter 17).</w:t>
      </w:r>
    </w:p>
    <w:p/>
    <w:p>
      <w:r>
        <w:t>Chapter 18 will conclude the white paper with a restatement of the core thesis, a summary of contributions, a statement of boundaries, and a call to action.</w:t>
      </w:r>
    </w:p>
    <w:p/>
    <w:p/>
    <w:p>
      <w:r>
        <w:t>End of Chapter 17</w:t>
      </w:r>
    </w:p>
    <w:p/>
    <w:p>
      <w:pPr>
        <w:pStyle w:val="Heading2"/>
      </w:pPr>
      <w:r>
        <w:t>Conclusion and Contribution</w:t>
      </w:r>
    </w:p>
    <w:p/>
    <w:p>
      <w:pPr>
        <w:pStyle w:val="Heading3"/>
      </w:pPr>
      <w:r>
        <w:t>18. Conclusion</w:t>
      </w:r>
    </w:p>
    <w:p/>
    <w:p>
      <w:r>
        <w:t>Version: v0.3.2-FRC-R3</w:t>
      </w:r>
    </w:p>
    <w:p>
      <w:r>
        <w:t>Phase: 1B-7</w:t>
      </w:r>
    </w:p>
    <w:p/>
    <w:p/>
    <w:p>
      <w:pPr>
        <w:pStyle w:val="Heading3"/>
      </w:pPr>
      <w:r>
        <w:t>18.0 Core Thesis Restatement</w:t>
      </w:r>
    </w:p>
    <w:p/>
    <w:p>
      <w:r>
        <w:t>AI Agent / MAS compliance is not only model compliance. It is lifecycle responsibility compliance.</w:t>
      </w:r>
    </w:p>
    <w:p/>
    <w:p>
      <w:r>
        <w:t>This white paper has argued that a missing layer exists between model governance and enterprise trust. Model-centric governance addresses model accuracy, fairness, safety, and explainability. Enterprise trust requires audit readiness, regulatory compliance coverage, privacy protection, accountability, and dispute resolution. The missing layer is AI Agent Lifecycle Governance.</w:t>
      </w:r>
    </w:p>
    <w:p/>
    <w:p>
      <w:r>
        <w:t>AI Agent Lifecycle Governance addresses the lifecycle responsibility objects that emerge when AI systems move from inference to action, from single-model execution to multi-agent collaboration, from human-supervised workflows to autonomous delegation. These lifecycle responsibility objects include:</w:t>
      </w:r>
    </w:p>
    <w:p/>
    <w:p>
      <w:pPr>
        <w:pStyle w:val="ListBullet"/>
      </w:pPr>
      <w:r>
        <w:t>Human-role-to-MAS responsibility mapping</w:t>
      </w:r>
    </w:p>
    <w:p>
      <w:pPr>
        <w:pStyle w:val="ListBullet"/>
      </w:pPr>
      <w:r>
        <w:t>Delegated authority boundaries</w:t>
      </w:r>
    </w:p>
    <w:p>
      <w:pPr>
        <w:pStyle w:val="ListBullet"/>
      </w:pPr>
      <w:r>
        <w:t>Accepted outcome compliance</w:t>
      </w:r>
    </w:p>
    <w:p>
      <w:pPr>
        <w:pStyle w:val="ListBullet"/>
      </w:pPr>
      <w:r>
        <w:t>Tool-action liability boundaries</w:t>
      </w:r>
    </w:p>
    <w:p>
      <w:pPr>
        <w:pStyle w:val="ListBullet"/>
      </w:pPr>
      <w:r>
        <w:t>Responsibility transfer across agents</w:t>
      </w:r>
    </w:p>
    <w:p>
      <w:pPr>
        <w:pStyle w:val="ListBullet"/>
      </w:pPr>
      <w:r>
        <w:t>Authority drift detection</w:t>
      </w:r>
    </w:p>
    <w:p>
      <w:pPr>
        <w:pStyle w:val="ListBullet"/>
      </w:pPr>
      <w:r>
        <w:t>MAS evidence partitioning</w:t>
      </w:r>
    </w:p>
    <w:p>
      <w:pPr>
        <w:pStyle w:val="ListBullet"/>
      </w:pPr>
      <w:r>
        <w:t>Cross-project reuse compliance</w:t>
      </w:r>
    </w:p>
    <w:p>
      <w:pPr>
        <w:pStyle w:val="ListBullet"/>
      </w:pPr>
      <w:r>
        <w:t>Privacy/GDPR lifecycle mapping</w:t>
      </w:r>
    </w:p>
    <w:p>
      <w:pPr>
        <w:pStyle w:val="ListBullet"/>
      </w:pPr>
      <w:r>
        <w:t>Privacy-preserving third-party validation</w:t>
      </w:r>
    </w:p>
    <w:p>
      <w:pPr>
        <w:pStyle w:val="ListBullet"/>
      </w:pPr>
      <w:r>
        <w:t>Evidence minimization and selective disclosure</w:t>
      </w:r>
    </w:p>
    <w:p>
      <w:pPr>
        <w:pStyle w:val="ListBullet"/>
      </w:pPr>
      <w:r>
        <w:t>Data subject rights vs evidence retention reconciliation</w:t>
      </w:r>
    </w:p>
    <w:p>
      <w:pPr>
        <w:pStyle w:val="ListBullet"/>
      </w:pPr>
      <w:r>
        <w:t>Third-party processor/subprocessor chain mapping</w:t>
      </w:r>
    </w:p>
    <w:p>
      <w:pPr>
        <w:pStyle w:val="ListBullet"/>
      </w:pPr>
      <w:r>
        <w:t>Vendor/model/runtime substitution conformance</w:t>
      </w:r>
    </w:p>
    <w:p>
      <w:pPr>
        <w:pStyle w:val="ListBullet"/>
      </w:pPr>
      <w:r>
        <w:t>Incident, dispute, and remediation closure</w:t>
      </w:r>
    </w:p>
    <w:p/>
    <w:p>
      <w:r>
        <w:t>Execution is not delivery, and execution is not compliance. Orchestration logs record execution. Evidence chains record lifecycle responsibility. Model governance addresses model behavior. Lifecycle governance addresses responsibility for outcomes.</w:t>
      </w:r>
    </w:p>
    <w:p/>
    <w:p>
      <w:r>
        <w:t>The transition from model governance to agentic lifecycle conformance is not a theoretical exercise. It is a practical necessity for enterprises deploying agentic AI systems in regulated contexts.</w:t>
      </w:r>
    </w:p>
    <w:p/>
    <w:p/>
    <w:p>
      <w:pPr>
        <w:pStyle w:val="Heading3"/>
      </w:pPr>
      <w:r>
        <w:t>18.1 What This White Paper Provides</w:t>
      </w:r>
    </w:p>
    <w:p/>
    <w:p>
      <w:r>
        <w:t>This white paper provides a framework for AI Agent Lifecycle Governance. The framework consists of eight core contributions.</w:t>
      </w:r>
    </w:p>
    <w:p/>
    <w:p>
      <w:r>
        <w:t>Interpretation: These eight contributions provide a framework for AI Agent Lifecycle Governance. The framework is designed to help enterprises identify lifecycle governance gaps, operationalize lifecycle responsibility objects, and integrate lifecycle governance with existing enterprise controls.</w:t>
      </w:r>
    </w:p>
    <w:p/>
    <w:p/>
    <w:p>
      <w:pPr>
        <w:pStyle w:val="Heading3"/>
      </w:pPr>
      <w:r>
        <w:t>18.2 What This White Paper Does Not Provide</w:t>
      </w:r>
    </w:p>
    <w:p/>
    <w:p>
      <w:r>
        <w:t>This white paper is a governance framework, not a legal compliance procedure, certification program, or regulatory approval process. The following table clarifies what this paper says and what it does not say.</w:t>
      </w:r>
    </w:p>
    <w:p/>
    <w:p>
      <w:r>
        <w:t>Interpretation: This white paper provides a governance framework, not legal advice, certification, regulatory approval, product ranking, or risk elimination. Enterprises must interpret the framework within their legal, regulatory, and operational context.</w:t>
      </w:r>
    </w:p>
    <w:p/>
    <w:p/>
    <w:p>
      <w:pPr>
        <w:pStyle w:val="Heading3"/>
      </w:pPr>
      <w:r>
        <w:t>18.3 Call to Action</w:t>
      </w:r>
    </w:p>
    <w:p/>
    <w:p>
      <w:r>
        <w:t>Enterprises deploying agentic AI systems should begin mapping lifecycle responsibility objects before scaling autonomous or multi-agent workflows. The adoption roadmap (Chapter 17) provides a staged path from lifecycle governance awareness to scaled operational capability.</w:t>
      </w:r>
    </w:p>
    <w:p/>
    <w:p>
      <w:r>
        <w:t>Recommended first steps:</w:t>
      </w:r>
    </w:p>
    <w:p/>
    <w:p>
      <w:r>
        <w:t>1. Inventory agentic behavior: Identify where agents make decisions, use tools, or hand off work. Assess whether model governance covers lifecycle responsibility.</w:t>
      </w:r>
    </w:p>
    <w:p/>
    <w:p>
      <w:r>
        <w:t>2. Assess lifecycle governance gaps: Use the sixteen Missing Regulatory Objects (Chapter 6) as a checklist. Use RCCS/ALCS (Chapters 7-8) as analytical tools to identify gaps.</w:t>
      </w:r>
    </w:p>
    <w:p/>
    <w:p>
      <w:r>
        <w:t>3. Select a pilot project: Use pilot selection criteria the corresponding evidence-pack table to choose a bounded, measurable, regulated, sponsored, and rollback-capable pilot project.</w:t>
      </w:r>
    </w:p>
    <w:p/>
    <w:p>
      <w:r>
        <w:t>4. Define authority boundaries: Start with delegated authority boundaries (MRO-02). Define authority grant records, implement tool-action authorization, and add boundary violation alerts.</w:t>
      </w:r>
    </w:p>
    <w:p/>
    <w:p>
      <w:r>
        <w:t>5. Map human roles to MAS responsibilities: Implement human-role-to-MAS responsibility mapping (MRO-01). Define role assignment records, implement acceptance records, and add review and escalation workflows.</w:t>
      </w:r>
    </w:p>
    <w:p/>
    <w:p>
      <w:r>
        <w:t>6. Convert logs into evidence chains: Implement MAS evidence partitioning (MRO-08). Add evidence export capability with selective disclosure. Implement evidence chain integrity validation.</w:t>
      </w:r>
    </w:p>
    <w:p/>
    <w:p>
      <w:r>
        <w:t>7. Integrate with existing enterprise controls: Use the corresponding evidence-pack table to integrate lifecycle governance with existing audit, privacy, security, procurement, incident response, compliance, model risk, and business continuity controls.</w:t>
      </w:r>
    </w:p>
    <w:p/>
    <w:p>
      <w:r>
        <w:t>8. Use Chapter 15 scenarios as test cases: Use the eight enterprise failure scenarios as test cases for lifecycle governance design. Ensure that lifecycle governance prevents or mitigates authority boundary failure, evidence chain failure, accepted outcome failure, cross-project reuse failure, privacy validation failure, processor chain failure, vendor/runtime substitution failure, and remediation closure failure.</w:t>
      </w:r>
    </w:p>
    <w:p/>
    <w:p>
      <w:r>
        <w:t>Lifecycle governance is not a one-time project. It is a continuous process that requires organizational commitment, integration with existing controls, and continuous improvement.</w:t>
      </w:r>
    </w:p>
    <w:p/>
    <w:p/>
    <w:p>
      <w:pPr>
        <w:pStyle w:val="Heading3"/>
      </w:pPr>
      <w:r>
        <w:t>18.4 Closing Statement</w:t>
      </w:r>
    </w:p>
    <w:p/>
    <w:p>
      <w:r>
        <w:t>AI Agent Lifecycle Governance is the missing layer between model governance and enterprise trust. Model-centric governance addresses model behavior. Lifecycle governance addresses responsibility for outcomes.</w:t>
      </w:r>
    </w:p>
    <w:p/>
    <w:p>
      <w:pPr>
        <w:pStyle w:val="Heading1"/>
      </w:pPr>
      <w:r>
        <w:t>14. Conclusion</w:t>
      </w:r>
    </w:p>
    <w:p/>
    <w:p>
      <w:r>
        <w:t>The central contribution of this paper is to name and structure the missing layer between model governance and enterprise agent deployment. That layer is AI Agent Lifecycle Governance.</w:t>
      </w:r>
    </w:p>
    <w:p/>
    <w:p>
      <w:r>
        <w:t>The public white paper makes the argument. The technical evidence pack preserves the detail. Together, they support a publication model that is readable for enterprise leaders while retaining audit-grade traceability for technical reviewers.</w:t>
      </w:r>
    </w:p>
    <w:p/>
    <w:p>
      <w:r>
        <w:t>The conclusion is deliberately bounded:</w:t>
      </w:r>
    </w:p>
    <w:p/>
    <w:p>
      <w:pPr>
        <w:pStyle w:val="ListBullet"/>
      </w:pPr>
      <w:r>
        <w:t>This paper does not provide legal advice.</w:t>
      </w:r>
    </w:p>
    <w:p>
      <w:pPr>
        <w:pStyle w:val="ListBullet"/>
      </w:pPr>
      <w:r>
        <w:t>It does not certify systems.</w:t>
      </w:r>
    </w:p>
    <w:p>
      <w:pPr>
        <w:pStyle w:val="ListBullet"/>
      </w:pPr>
      <w:r>
        <w:t>It does not recommend vendors.</w:t>
      </w:r>
    </w:p>
    <w:p>
      <w:pPr>
        <w:pStyle w:val="ListBullet"/>
      </w:pPr>
      <w:r>
        <w:t>It does not rank products.</w:t>
      </w:r>
    </w:p>
    <w:p>
      <w:pPr>
        <w:pStyle w:val="ListBullet"/>
      </w:pPr>
      <w:r>
        <w:t>It does not claim that MPLP is required.</w:t>
      </w:r>
    </w:p>
    <w:p>
      <w:pPr>
        <w:pStyle w:val="ListBullet"/>
      </w:pPr>
      <w:r>
        <w:t>It does not claim that Validation Lab certifies compliance.</w:t>
      </w:r>
    </w:p>
    <w:p>
      <w:pPr>
        <w:pStyle w:val="ListBullet"/>
      </w:pPr>
      <w:r>
        <w:t>It does claim that agentic AI governance requires lifecycle responsibility objects.</w:t>
      </w:r>
    </w:p>
    <w:p/>
    <w:p>
      <w:pPr>
        <w:pStyle w:val="Heading1"/>
      </w:pPr>
      <w:r>
        <w:t>Public Appendix A: Methodology Summary</w:t>
      </w:r>
    </w:p>
    <w:p/>
    <w:p>
      <w:r>
        <w:t>The methodology translates regulatory language into engineering objects, maps those objects to system primitives, and applies evidence-level discipline to prevent overclaiming.</w:t>
      </w:r>
    </w:p>
    <w:p/>
    <w:p>
      <w:r>
        <w:t>The public white paper includes methodology summaries only. Full rubrics and scoring worksheets are in the technical evidence pack.</w:t>
      </w:r>
    </w:p>
    <w:p/>
    <w:p>
      <w:pPr>
        <w:pStyle w:val="Heading1"/>
      </w:pPr>
      <w:r>
        <w:t>Public Appendix B: Source and Evidence Note</w:t>
      </w:r>
    </w:p>
    <w:p/>
    <w:p>
      <w:r>
        <w:t>Evidence levels are preserved as L1 through L5. L1 legal and standards sources establish baseline obligations but do not prove implementation. L2 official documentation supports public capability mapping but does not prove deployment practice. L5 author inference is marked as analytical interpretation.</w:t>
      </w:r>
    </w:p>
    <w:p/>
    <w:p>
      <w:r>
        <w:t>The OpenAI platform guide HTTP 403 access note remains tracked. OpenAI SDK-surface claims are narrowed to accessible Agents SDK documentation unless final access succeeds.</w:t>
      </w:r>
    </w:p>
    <w:p/>
    <w:p>
      <w:pPr>
        <w:pStyle w:val="Heading1"/>
      </w:pPr>
      <w:r>
        <w:t>Public Appendix C: Non-Claim Boundary</w:t>
      </w:r>
    </w:p>
    <w:p/>
    <w:p>
      <w:r>
        <w:t>The public white paper must not be read as legal advice, certification, regulatory approval, conformity assessment, procurement recommendation, market endorsement, vendor ranking, or final vendor score.</w:t>
      </w:r>
    </w:p>
    <w:p/>
    <w:p>
      <w:r>
        <w:t>Appendix G remains revalidated provisional. It is qualitative, non-ranking, non-score-based, and non-procurement-oriented.</w:t>
      </w:r>
    </w:p>
    <w:p/>
    <w:p>
      <w:pPr>
        <w:pStyle w:val="Heading1"/>
      </w:pPr>
      <w:r>
        <w:t>Public Appendix D: Technical Evidence Pack Access Guide</w:t>
      </w:r>
    </w:p>
    <w:p/>
    <w:p>
      <w:r>
        <w:t>The technical evidence pack contains the full materials omitted from this public edition:</w:t>
      </w:r>
    </w:p>
    <w:p/>
    <w:p>
      <w:pPr>
        <w:pStyle w:val="ListBullet"/>
      </w:pPr>
      <w:r>
        <w:t>Appendices A-K</w:t>
      </w:r>
    </w:p>
    <w:p>
      <w:pPr>
        <w:pStyle w:val="ListBullet"/>
      </w:pPr>
      <w:r>
        <w:t>full RCCS and ALCS rubrics</w:t>
      </w:r>
    </w:p>
    <w:p>
      <w:pPr>
        <w:pStyle w:val="ListBullet"/>
      </w:pPr>
      <w:r>
        <w:t>full system mappings and Appendix G assessments</w:t>
      </w:r>
    </w:p>
    <w:p>
      <w:pPr>
        <w:pStyle w:val="ListBullet"/>
      </w:pPr>
      <w:r>
        <w:t>source audit register</w:t>
      </w:r>
    </w:p>
    <w:p>
      <w:pPr>
        <w:pStyle w:val="ListBullet"/>
      </w:pPr>
      <w:r>
        <w:t>claim evidence register</w:t>
      </w:r>
    </w:p>
    <w:p>
      <w:pPr>
        <w:pStyle w:val="ListBullet"/>
      </w:pPr>
      <w:r>
        <w:t>table, figure, citation, and source coverage inventories</w:t>
      </w:r>
    </w:p>
    <w:p>
      <w:pPr>
        <w:pStyle w:val="ListBullet"/>
      </w:pPr>
      <w:r>
        <w:t>QA and phase reports</w:t>
      </w:r>
    </w:p>
    <w:p/>
    <w:p>
      <w:r>
        <w:t>This split is intentional. The public white paper is for narrative understanding. The technical evidence pack is for audit traceability and detailed review.</w:t>
      </w:r>
    </w:p>
    <w:sectPr w:rsidR="00FC693F" w:rsidRPr="0006063C" w:rsidSect="00034616">
      <w:pgSz w:w="12240" w:h="15840"/>
      <w:pgMar w:top="792" w:right="648" w:bottom="792"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3C4858"/>
        <w:sz w:val="14"/>
      </w:rPr>
      <w:t>GAIC-2026 v0.3.2-FRC-R3 | Public White Paper Draft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0" w:line="259" w:lineRule="auto"/>
    </w:pPr>
    <w:rPr>
      <w:rFonts w:ascii="Arial" w:hAnsi="Arial"/>
      <w:color w:val="111318"/>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320" w:after="100"/>
      <w:outlineLvl w:val="0"/>
    </w:pPr>
    <w:rPr>
      <w:rFonts w:asciiTheme="majorHAnsi" w:eastAsiaTheme="majorEastAsia" w:hAnsiTheme="majorHAnsi" w:cstheme="majorBidi" w:ascii="Arial" w:hAnsi="Arial"/>
      <w:b/>
      <w:bCs/>
      <w:color w:val="111318"/>
      <w:sz w:val="34"/>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rial" w:hAnsi="Arial"/>
      <w:b/>
      <w:bCs/>
      <w:color w:val="1F4E79"/>
      <w:sz w:val="27"/>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rial" w:hAnsi="Arial"/>
      <w:b/>
      <w:bCs/>
      <w:color w:val="3C4858"/>
      <w:sz w:val="23"/>
    </w:rPr>
  </w:style>
  <w:style w:type="paragraph" w:styleId="Heading4">
    <w:name w:val="heading 4"/>
    <w:basedOn w:val="Normal"/>
    <w:next w:val="Normal"/>
    <w:link w:val="Heading4Char"/>
    <w:uiPriority w:val="9"/>
    <w:semiHidden/>
    <w:unhideWhenUsed/>
    <w:qFormat/>
    <w:rsid w:val="00FC693F"/>
    <w:pPr>
      <w:keepNext/>
      <w:keepLines/>
      <w:spacing w:before="120" w:after="100"/>
      <w:outlineLvl w:val="3"/>
    </w:pPr>
    <w:rPr>
      <w:rFonts w:asciiTheme="majorHAnsi" w:eastAsiaTheme="majorEastAsia" w:hAnsiTheme="majorHAnsi" w:cstheme="majorBidi" w:ascii="Arial" w:hAnsi="Arial"/>
      <w:b/>
      <w:bCs/>
      <w:i/>
      <w:iCs/>
      <w:color w:val="3C4858"/>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80"/>
      <w:contextualSpacing/>
    </w:pPr>
    <w:rPr>
      <w:rFonts w:asciiTheme="majorHAnsi" w:eastAsiaTheme="majorEastAsia" w:hAnsiTheme="majorHAnsi" w:cstheme="majorBidi" w:ascii="Arial" w:hAnsi="Arial"/>
      <w:b/>
      <w:color w:val="111318"/>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