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Arial" w:hAnsi="Arial"/>
          <w:b/>
          <w:color w:val="111111"/>
          <w:sz w:val="50"/>
        </w:rPr>
        <w:t>Global AI Compliance White Paper 2026</w:t>
      </w:r>
    </w:p>
    <w:p>
      <w:r>
        <w:rPr>
          <w:rFonts w:ascii="Arial" w:hAnsi="Arial"/>
          <w:color w:val="3B82F6"/>
          <w:sz w:val="24"/>
        </w:rPr>
      </w:r>
      <w:r>
        <w:t>Methodological position and protocol boundary publication candidate - DOCX editable derivative</w:t>
      </w:r>
    </w:p>
    <w:p>
      <w:r>
        <w:rPr>
          <w:i/>
          <w:sz w:val="17"/>
        </w:rPr>
        <w:t>This DOCX is an editable derivative generated from the same active source used by the HTML renderer. HTML/PDF remain the visual source of truth.</w:t>
      </w:r>
    </w:p>
    <w:p>
      <w:r>
        <w:br w:type="page"/>
      </w:r>
    </w:p>
    <w:p>
      <w:pPr>
        <w:spacing w:after="56"/>
      </w:pPr>
      <w:r>
        <w:t>From Model Governance to Agentic Lifecycle Conformance</w:t>
      </w:r>
    </w:p>
    <w:p>
      <w:pPr>
        <w:spacing w:after="56"/>
      </w:pPr>
      <w:r>
        <w:t>Document ID: GACWP-2026-v0.3.2-FRC-R3</w:t>
      </w:r>
    </w:p>
    <w:p>
      <w:pPr>
        <w:spacing w:after="56"/>
      </w:pPr>
      <w:r>
        <w:t>Version: v0.3.2 Final Release Candidate R3</w:t>
      </w:r>
    </w:p>
    <w:p>
      <w:pPr>
        <w:spacing w:after="56"/>
      </w:pPr>
      <w:r>
        <w:t>Trace Tag: GACWP-2026-v0.3.2-FRC-R3</w:t>
      </w:r>
    </w:p>
    <w:p>
      <w:pPr>
        <w:spacing w:after="56"/>
      </w:pPr>
      <w:r>
        <w:t>Publication Note: Publication Candidate — non-legal technical governance analysis prepared for review; not legal advice</w:t>
      </w:r>
    </w:p>
    <w:p>
      <w:pPr>
        <w:spacing w:after="56"/>
      </w:pPr>
      <w:r>
        <w:t>Compiled: May 2026</w:t>
      </w:r>
    </w:p>
    <w:p>
      <w:pPr>
        <w:spacing w:after="56"/>
      </w:pPr>
      <w:r>
        <w:t>Source Snapshot: Sources available and checked as of May 2026</w:t>
      </w:r>
    </w:p>
    <w:p>
      <w:pPr>
        <w:spacing w:after="56"/>
      </w:pPr>
      <w:r>
        <w:t>Scope Snapshot: Public-source technical governance analysis based on sources available and checked as of May 2026</w:t>
      </w:r>
    </w:p>
    <w:p>
      <w:pPr>
        <w:spacing w:after="56"/>
      </w:pPr>
      <w:r>
        <w:t>Author: Jearon Wong</w:t>
      </w:r>
    </w:p>
    <w:p>
      <w:pPr>
        <w:spacing w:after="56"/>
      </w:pPr>
      <w:r>
        <w:t>Role: Protocol Architect for the Agent Era</w:t>
      </w:r>
    </w:p>
    <w:p>
      <w:pPr>
        <w:spacing w:after="56"/>
      </w:pPr>
      <w:r>
        <w:t>Protocol Disclosure: Creator of MPLP — Multi-Agent Lifecycle Protocol</w:t>
      </w:r>
    </w:p>
    <w:p>
      <w:pPr>
        <w:spacing w:after="56"/>
      </w:pPr>
      <w:r>
        <w:t>Site: JearonWong.com</w:t>
      </w:r>
    </w:p>
    <w:p>
      <w:pPr>
        <w:pStyle w:val="Heading2"/>
      </w:pPr>
      <w:r>
        <w:t>Core Thesis</w:t>
      </w:r>
    </w:p>
    <w:p>
      <w:pPr>
        <w:spacing w:after="56"/>
      </w:pPr>
      <w:r>
        <w:t>AI Agent / MAS compliance is not only model compliance. It is lifecycle responsibility compliance.</w:t>
      </w:r>
    </w:p>
    <w:p>
      <w:pPr>
        <w:pStyle w:val="Heading2"/>
      </w:pPr>
      <w:r>
        <w:t>Document Control and Positioning</w:t>
      </w:r>
    </w:p>
    <w:p>
      <w:pPr>
        <w:keepNext/>
      </w:pPr>
      <w:r>
        <w:rPr>
          <w:b/>
          <w:sz w:val="16"/>
        </w:rPr>
        <w:t>Table T-FM-01: Document Control and Positioning</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Value</w:t>
            </w:r>
          </w:p>
        </w:tc>
      </w:tr>
      <w:tr>
        <w:tc>
          <w:tcPr>
            <w:tcW w:type="dxa" w:w="5112"/>
          </w:tcPr>
          <w:p>
            <w:pPr>
              <w:spacing w:after="0"/>
            </w:pPr>
            <w:r>
              <w:rPr>
                <w:rFonts w:ascii="Arial" w:hAnsi="Arial"/>
                <w:b w:val="0"/>
                <w:sz w:val="14"/>
              </w:rPr>
              <w:t>Document ID</w:t>
            </w:r>
          </w:p>
        </w:tc>
        <w:tc>
          <w:tcPr>
            <w:tcW w:type="dxa" w:w="5112"/>
          </w:tcPr>
          <w:p>
            <w:pPr>
              <w:spacing w:after="0"/>
            </w:pPr>
            <w:r>
              <w:rPr>
                <w:rFonts w:ascii="Arial" w:hAnsi="Arial"/>
                <w:b w:val="0"/>
                <w:sz w:val="14"/>
              </w:rPr>
              <w:t>GACWP-2026-v0.3.2-FRC-R3</w:t>
            </w:r>
          </w:p>
        </w:tc>
      </w:tr>
      <w:tr>
        <w:tc>
          <w:tcPr>
            <w:tcW w:type="dxa" w:w="5112"/>
          </w:tcPr>
          <w:p>
            <w:pPr>
              <w:spacing w:after="0"/>
            </w:pPr>
            <w:r>
              <w:rPr>
                <w:rFonts w:ascii="Arial" w:hAnsi="Arial"/>
                <w:b w:val="0"/>
                <w:sz w:val="14"/>
              </w:rPr>
              <w:t>Version</w:t>
            </w:r>
          </w:p>
        </w:tc>
        <w:tc>
          <w:tcPr>
            <w:tcW w:type="dxa" w:w="5112"/>
          </w:tcPr>
          <w:p>
            <w:pPr>
              <w:spacing w:after="0"/>
            </w:pPr>
            <w:r>
              <w:rPr>
                <w:rFonts w:ascii="Arial" w:hAnsi="Arial"/>
                <w:b w:val="0"/>
                <w:sz w:val="14"/>
              </w:rPr>
              <w:t>v0.3.2 Final Release Candidate R3</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Publication Draft — agenda-setting technical governance white paper; not legal advice</w:t>
            </w:r>
          </w:p>
        </w:tc>
      </w:tr>
      <w:tr>
        <w:tc>
          <w:tcPr>
            <w:tcW w:type="dxa" w:w="5112"/>
          </w:tcPr>
          <w:p>
            <w:pPr>
              <w:spacing w:after="0"/>
            </w:pPr>
            <w:r>
              <w:rPr>
                <w:rFonts w:ascii="Arial" w:hAnsi="Arial"/>
                <w:b w:val="0"/>
                <w:sz w:val="14"/>
              </w:rPr>
              <w:t>Author</w:t>
            </w:r>
          </w:p>
        </w:tc>
        <w:tc>
          <w:tcPr>
            <w:tcW w:type="dxa" w:w="5112"/>
          </w:tcPr>
          <w:p>
            <w:pPr>
              <w:spacing w:after="0"/>
            </w:pPr>
            <w:r>
              <w:rPr>
                <w:rFonts w:ascii="Arial" w:hAnsi="Arial"/>
                <w:b w:val="0"/>
                <w:sz w:val="14"/>
              </w:rPr>
              <w:t>Jearon Wong</w:t>
            </w:r>
          </w:p>
        </w:tc>
      </w:tr>
      <w:tr>
        <w:tc>
          <w:tcPr>
            <w:tcW w:type="dxa" w:w="5112"/>
          </w:tcPr>
          <w:p>
            <w:pPr>
              <w:spacing w:after="0"/>
            </w:pPr>
            <w:r>
              <w:rPr>
                <w:rFonts w:ascii="Arial" w:hAnsi="Arial"/>
                <w:b w:val="0"/>
                <w:sz w:val="14"/>
              </w:rPr>
              <w:t>Author role</w:t>
            </w:r>
          </w:p>
        </w:tc>
        <w:tc>
          <w:tcPr>
            <w:tcW w:type="dxa" w:w="5112"/>
          </w:tcPr>
          <w:p>
            <w:pPr>
              <w:spacing w:after="0"/>
            </w:pPr>
            <w:r>
              <w:rPr>
                <w:rFonts w:ascii="Arial" w:hAnsi="Arial"/>
                <w:b w:val="0"/>
                <w:sz w:val="14"/>
              </w:rPr>
              <w:t>Protocol Architect for the Agent Era</w:t>
            </w:r>
          </w:p>
        </w:tc>
      </w:tr>
      <w:tr>
        <w:tc>
          <w:tcPr>
            <w:tcW w:type="dxa" w:w="5112"/>
          </w:tcPr>
          <w:p>
            <w:pPr>
              <w:spacing w:after="0"/>
            </w:pPr>
            <w:r>
              <w:rPr>
                <w:rFonts w:ascii="Arial" w:hAnsi="Arial"/>
                <w:b w:val="0"/>
                <w:sz w:val="14"/>
              </w:rPr>
              <w:t>Author disclosure</w:t>
            </w:r>
          </w:p>
        </w:tc>
        <w:tc>
          <w:tcPr>
            <w:tcW w:type="dxa" w:w="5112"/>
          </w:tcPr>
          <w:p>
            <w:pPr>
              <w:spacing w:after="0"/>
            </w:pPr>
            <w:r>
              <w:rPr>
                <w:rFonts w:ascii="Arial" w:hAnsi="Arial"/>
                <w:b w:val="0"/>
                <w:sz w:val="14"/>
              </w:rPr>
              <w:t>Creator of MPLP — Multi-Agent Lifecycle Protocol</w:t>
            </w:r>
          </w:p>
        </w:tc>
      </w:tr>
      <w:tr>
        <w:tc>
          <w:tcPr>
            <w:tcW w:type="dxa" w:w="5112"/>
          </w:tcPr>
          <w:p>
            <w:pPr>
              <w:spacing w:after="0"/>
            </w:pPr>
            <w:r>
              <w:rPr>
                <w:rFonts w:ascii="Arial" w:hAnsi="Arial"/>
                <w:b w:val="0"/>
                <w:sz w:val="14"/>
              </w:rPr>
              <w:t>Site</w:t>
            </w:r>
          </w:p>
        </w:tc>
        <w:tc>
          <w:tcPr>
            <w:tcW w:type="dxa" w:w="5112"/>
          </w:tcPr>
          <w:p>
            <w:pPr>
              <w:spacing w:after="0"/>
            </w:pPr>
            <w:r>
              <w:rPr>
                <w:rFonts w:ascii="Arial" w:hAnsi="Arial"/>
                <w:b w:val="0"/>
                <w:sz w:val="14"/>
              </w:rPr>
              <w:t>JearonWong.com</w:t>
            </w:r>
          </w:p>
        </w:tc>
      </w:tr>
      <w:tr>
        <w:tc>
          <w:tcPr>
            <w:tcW w:type="dxa" w:w="5112"/>
          </w:tcPr>
          <w:p>
            <w:pPr>
              <w:spacing w:after="0"/>
            </w:pPr>
            <w:r>
              <w:rPr>
                <w:rFonts w:ascii="Arial" w:hAnsi="Arial"/>
                <w:b w:val="0"/>
                <w:sz w:val="14"/>
              </w:rPr>
              <w:t>Primary concept</w:t>
            </w:r>
          </w:p>
        </w:tc>
        <w:tc>
          <w:tcPr>
            <w:tcW w:type="dxa" w:w="5112"/>
          </w:tcPr>
          <w:p>
            <w:pPr>
              <w:spacing w:after="0"/>
            </w:pPr>
            <w:r>
              <w:rPr>
                <w:rFonts w:ascii="Arial" w:hAnsi="Arial"/>
                <w:b w:val="0"/>
                <w:sz w:val="14"/>
              </w:rPr>
              <w:t>AI Agent Lifecycle Governance</w:t>
            </w:r>
          </w:p>
        </w:tc>
      </w:tr>
      <w:tr>
        <w:tc>
          <w:tcPr>
            <w:tcW w:type="dxa" w:w="5112"/>
          </w:tcPr>
          <w:p>
            <w:pPr>
              <w:spacing w:after="0"/>
            </w:pPr>
            <w:r>
              <w:rPr>
                <w:rFonts w:ascii="Arial" w:hAnsi="Arial"/>
                <w:b w:val="0"/>
                <w:sz w:val="14"/>
              </w:rPr>
              <w:t>Primary transition</w:t>
            </w:r>
          </w:p>
        </w:tc>
        <w:tc>
          <w:tcPr>
            <w:tcW w:type="dxa" w:w="5112"/>
          </w:tcPr>
          <w:p>
            <w:pPr>
              <w:spacing w:after="0"/>
            </w:pPr>
            <w:r>
              <w:rPr>
                <w:rFonts w:ascii="Arial" w:hAnsi="Arial"/>
                <w:b w:val="0"/>
                <w:sz w:val="14"/>
              </w:rPr>
              <w:t>From model governance to agentic lifecycle conformance</w:t>
            </w:r>
          </w:p>
        </w:tc>
      </w:tr>
      <w:tr>
        <w:tc>
          <w:tcPr>
            <w:tcW w:type="dxa" w:w="5112"/>
          </w:tcPr>
          <w:p>
            <w:pPr>
              <w:spacing w:after="0"/>
            </w:pPr>
            <w:r>
              <w:rPr>
                <w:rFonts w:ascii="Arial" w:hAnsi="Arial"/>
                <w:b w:val="0"/>
                <w:sz w:val="14"/>
              </w:rPr>
              <w:t>Primary thesis</w:t>
            </w:r>
          </w:p>
        </w:tc>
        <w:tc>
          <w:tcPr>
            <w:tcW w:type="dxa" w:w="5112"/>
          </w:tcPr>
          <w:p>
            <w:pPr>
              <w:spacing w:after="0"/>
            </w:pPr>
            <w:r>
              <w:rPr>
                <w:rFonts w:ascii="Arial" w:hAnsi="Arial"/>
                <w:b w:val="0"/>
                <w:sz w:val="14"/>
              </w:rPr>
              <w:t>AI Agent / MAS compliance is not only model compliance. It is lifecycle responsibility compliance.</w:t>
            </w:r>
          </w:p>
        </w:tc>
      </w:tr>
      <w:tr>
        <w:tc>
          <w:tcPr>
            <w:tcW w:type="dxa" w:w="5112"/>
          </w:tcPr>
          <w:p>
            <w:pPr>
              <w:spacing w:after="0"/>
            </w:pPr>
            <w:r>
              <w:rPr>
                <w:rFonts w:ascii="Arial" w:hAnsi="Arial"/>
                <w:b w:val="0"/>
                <w:sz w:val="14"/>
              </w:rPr>
              <w:t>Protocol boundary</w:t>
            </w:r>
          </w:p>
        </w:tc>
        <w:tc>
          <w:tcPr>
            <w:tcW w:type="dxa" w:w="5112"/>
          </w:tcPr>
          <w:p>
            <w:pPr>
              <w:spacing w:after="0"/>
            </w:pPr>
            <w:r>
              <w:rPr>
                <w:rFonts w:ascii="Arial" w:hAnsi="Arial"/>
                <w:b w:val="0"/>
                <w:sz w:val="14"/>
              </w:rPr>
              <w:t>MPLP is discussed as a lifecycle protocol path, not as a certification program, legal authority, cloud platform, or exclusive compliance method.</w:t>
            </w:r>
          </w:p>
        </w:tc>
      </w:tr>
      <w:tr>
        <w:tc>
          <w:tcPr>
            <w:tcW w:type="dxa" w:w="5112"/>
          </w:tcPr>
          <w:p>
            <w:pPr>
              <w:spacing w:after="0"/>
            </w:pPr>
            <w:r>
              <w:rPr>
                <w:rFonts w:ascii="Arial" w:hAnsi="Arial"/>
                <w:b w:val="0"/>
                <w:sz w:val="14"/>
              </w:rPr>
              <w:t>Validation boundary</w:t>
            </w:r>
          </w:p>
        </w:tc>
        <w:tc>
          <w:tcPr>
            <w:tcW w:type="dxa" w:w="5112"/>
          </w:tcPr>
          <w:p>
            <w:pPr>
              <w:spacing w:after="0"/>
            </w:pPr>
            <w:r>
              <w:rPr>
                <w:rFonts w:ascii="Arial" w:hAnsi="Arial"/>
                <w:b w:val="0"/>
                <w:sz w:val="14"/>
              </w:rPr>
              <w:t>Validation Lab is referenced as a non-certifying evidence adjudication example, not as a regulator, conformity assessment body, certification authority, market endorsement program, or legal compliance certification mechanism.</w:t>
            </w:r>
          </w:p>
        </w:tc>
      </w:tr>
      <w:tr>
        <w:tc>
          <w:tcPr>
            <w:tcW w:type="dxa" w:w="5112"/>
          </w:tcPr>
          <w:p>
            <w:pPr>
              <w:spacing w:after="0"/>
            </w:pPr>
            <w:r>
              <w:rPr>
                <w:rFonts w:ascii="Arial" w:hAnsi="Arial"/>
                <w:b w:val="0"/>
                <w:sz w:val="14"/>
              </w:rPr>
              <w:t>Scoring boundary</w:t>
            </w:r>
          </w:p>
        </w:tc>
        <w:tc>
          <w:tcPr>
            <w:tcW w:type="dxa" w:w="5112"/>
          </w:tcPr>
          <w:p>
            <w:pPr>
              <w:spacing w:after="0"/>
            </w:pPr>
            <w:r>
              <w:rPr>
                <w:rFonts w:ascii="Arial" w:hAnsi="Arial"/>
                <w:b w:val="0"/>
                <w:sz w:val="14"/>
              </w:rPr>
              <w:t>RCCS-T / RCCS-M / ALCS is a three-profile analytical model, not legal compliance proof, certification, a regulator-approved benchmark, a vendor ranking, or procurement advice.</w:t>
            </w:r>
          </w:p>
        </w:tc>
      </w:tr>
      <w:tr>
        <w:tc>
          <w:tcPr>
            <w:tcW w:type="dxa" w:w="5112"/>
          </w:tcPr>
          <w:p>
            <w:pPr>
              <w:spacing w:after="0"/>
            </w:pPr>
            <w:r>
              <w:rPr>
                <w:rFonts w:ascii="Arial" w:hAnsi="Arial"/>
                <w:b w:val="0"/>
                <w:sz w:val="14"/>
              </w:rPr>
              <w:t>System mapping boundary</w:t>
            </w:r>
          </w:p>
        </w:tc>
        <w:tc>
          <w:tcPr>
            <w:tcW w:type="dxa" w:w="5112"/>
          </w:tcPr>
          <w:p>
            <w:pPr>
              <w:spacing w:after="0"/>
            </w:pPr>
            <w:r>
              <w:rPr>
                <w:rFonts w:ascii="Arial" w:hAnsi="Arial"/>
                <w:b w:val="0"/>
                <w:sz w:val="14"/>
              </w:rPr>
              <w:t>System mappings are responsibility-semantics comparisons, not product endorsements or procurement recommendations.</w:t>
            </w:r>
          </w:p>
        </w:tc>
      </w:tr>
    </w:tbl>
    <w:p>
      <w:pPr>
        <w:pStyle w:val="Heading2"/>
      </w:pPr>
      <w:r>
        <w:t>Publication Scope and Boundary Statement</w:t>
      </w:r>
    </w:p>
    <w:p>
      <w:pPr>
        <w:spacing w:after="56"/>
      </w:pPr>
      <w:r>
        <w:t>This white paper is a non-legal technical governance analysis, not legal advice. It translates regulatory and standards language into engineering requirements for agentic and multi-agent systems.</w:t>
      </w:r>
    </w:p>
    <w:p>
      <w:pPr>
        <w:pStyle w:val="Heading3"/>
      </w:pPr>
      <w:r>
        <w:t>Purpose</w:t>
      </w:r>
    </w:p>
    <w:p>
      <w:pPr>
        <w:spacing w:after="56"/>
      </w:pPr>
      <w:r>
        <w:t>This research edition defines a missing semantic and engineering layer for AI agent and multi-agent system compliance. It is deliberately more detailed than an executive brief: the paper introduces a terminology layer, an object model, a three-profile analytical model, system-specific mappings, comparative matrices, and implementation templates.</w:t>
      </w:r>
    </w:p>
    <w:p>
      <w:pPr>
        <w:pStyle w:val="Heading3"/>
      </w:pPr>
      <w:r>
        <w:t>What This Paper Does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The report therefore separates three questions that are often confused:</w:t>
      </w:r>
    </w:p>
    <w:p>
      <w:pPr>
        <w:pStyle w:val="ListNumber"/>
        <w:spacing w:after="56"/>
      </w:pPr>
      <w:r>
        <w:t>What does existing regulation or governance guidance already require?</w:t>
      </w:r>
    </w:p>
    <w:p>
      <w:pPr>
        <w:pStyle w:val="ListNumber"/>
        <w:spacing w:after="56"/>
      </w:pPr>
      <w:r>
        <w:t>What must engineering systems represent to make those requirements testable in agentic workflows?</w:t>
      </w:r>
    </w:p>
    <w:p>
      <w:pPr>
        <w:pStyle w:val="ListNumber"/>
        <w:spacing w:after="56"/>
      </w:pPr>
      <w:r>
        <w:t>Which current frameworks, platforms, and protocols have primitives that can be mapped to those requirements, and where do their mappings stop?</w:t>
      </w:r>
    </w:p>
    <w:p>
      <w:pPr>
        <w:pStyle w:val="Heading3"/>
      </w:pPr>
      <w:r>
        <w:t>Scope Boundaries</w:t>
      </w:r>
    </w:p>
    <w:p>
      <w:pPr>
        <w:keepNext/>
      </w:pPr>
      <w:r>
        <w:rPr>
          <w:b/>
          <w:sz w:val="16"/>
        </w:rPr>
        <w:t>Table T-FM-02: Publication Scope Boundaries</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Conflict of Interest and Boundary Disclosure</w:t>
      </w:r>
    </w:p>
    <w:p>
      <w:pPr>
        <w:pStyle w:val="Heading3"/>
      </w:pPr>
      <w:r>
        <w:t>Conflict of Interest</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pStyle w:val="Heading3"/>
      </w:pPr>
      <w:r>
        <w:t>Boundary Controls</w:t>
      </w:r>
    </w:p>
    <w:p>
      <w:pPr>
        <w:spacing w:after="56"/>
      </w:pPr>
      <w:r>
        <w:t>The controls used to limit over-claiming are as follows:</w:t>
      </w:r>
    </w:p>
    <w:p>
      <w:pPr>
        <w:keepNext/>
      </w:pPr>
      <w:r>
        <w:rPr>
          <w:b/>
          <w:sz w:val="16"/>
        </w:rPr>
        <w:t>Table T-FM-03: Conflict of Interest Boundary Controls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RCCS-T / RCCS-M / ALCS</w:t>
            </w:r>
          </w:p>
        </w:tc>
        <w:tc>
          <w:tcPr>
            <w:tcW w:type="dxa" w:w="3408"/>
          </w:tcPr>
          <w:p>
            <w:pPr>
              <w:spacing w:after="0"/>
            </w:pPr>
            <w:r>
              <w:rPr>
                <w:rFonts w:ascii="Arial" w:hAnsi="Arial"/>
                <w:b w:val="0"/>
                <w:sz w:val="14"/>
              </w:rPr>
              <w:t>A proposed three-profile analytical model</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2"/>
      </w:pPr>
      <w:r>
        <w:t>Authorial Position and Evaluation Boundary</w:t>
      </w:r>
    </w:p>
    <w:p>
      <w:pPr>
        <w:spacing w:after="56"/>
      </w:pPr>
      <w:r>
        <w:t>RCCS-M and ALCS are proposed analytical adequacy models for agentic lifecycle governance. They are not existing law, certification, regulator-approved standards, procurement benchmarks, final vendor scores, independent third-party ratings, or legal compliance proof.</w:t>
      </w:r>
    </w:p>
    <w:p>
      <w:pPr>
        <w:spacing w:after="56"/>
      </w:pPr>
      <w:r>
        <w:t>These models intentionally measure lifecycle-native governance capacity: responsibility objects, authority boundaries, evidence partitioning, accepted outcome, substitution conformance, privacy-aware validation, and remediation closure. They are not neutral legacy benchmarks for conventional model governance dashboards. They ask whether future Agent/MAS governance can represent the objects needed to make delegated work inspectable, replayable, reviewable, and accountable.</w:t>
      </w:r>
    </w:p>
    <w:p>
      <w:pPr>
        <w:spacing w:after="56"/>
      </w:pPr>
      <w:r>
        <w:t>MPLP is expected to score strongly under RCCS-M and ALCS because it was designed around lifecycle responsibility semantics. That result should be read as design alignment with the proposed object layer, not as independent market validation, certification, deployment proof, or procurement superiority.</w:t>
      </w:r>
    </w:p>
    <w:p>
      <w:pPr>
        <w:spacing w:after="56"/>
      </w:pPr>
      <w:r>
        <w:t>The central claim is not that "MPLP wins." The central claim is that future agentic and multi-agent compliance requires lifecycle responsibility objects. If a reader rejects the scoring model, the substantive dispute should be whether these lifecycle objects are necessary for governing agentic work, not whether the paper should hide the alignment between the proposed model and a protocol designed around that model.</w:t>
      </w:r>
    </w:p>
    <w:p>
      <w:pPr>
        <w:pStyle w:val="Heading2"/>
      </w:pPr>
      <w:r>
        <w:t>Citation and Evidence Basis</w:t>
      </w:r>
    </w:p>
    <w:p>
      <w:pPr>
        <w:spacing w:after="56"/>
      </w:pPr>
      <w:r>
        <w:t>This paper uses a five-level evidence hierarchy to ensure that claims are grounded in verifiable sources rather than marketing language or conceptual speculation.</w:t>
      </w:r>
    </w:p>
    <w:p>
      <w:pPr>
        <w:pStyle w:val="Heading3"/>
      </w:pPr>
      <w:r>
        <w:t>Evidence Levels</w:t>
      </w:r>
    </w:p>
    <w:p>
      <w:pPr>
        <w:keepNext/>
      </w:pPr>
      <w:r>
        <w:rPr>
          <w:b/>
          <w:sz w:val="16"/>
        </w:rPr>
        <w:t>Table T-FM-04: Evidence Levels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3"/>
      </w:pPr>
      <w:r>
        <w:t>Evidence Hierarchy Rationale</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pStyle w:val="Heading2"/>
      </w:pPr>
      <w:r>
        <w:t>How to Cite This White Paper</w:t>
      </w:r>
    </w:p>
    <w:p>
      <w:pPr>
        <w:pStyle w:val="Heading3"/>
      </w:pPr>
      <w:r>
        <w:t>Recommended Citation</w:t>
      </w:r>
    </w:p>
    <w:p>
      <w:pPr>
        <w:spacing w:after="56"/>
      </w:pPr>
      <w:r>
        <w:t>Global AI Compliance White Paper 2026: From Model Governance to Agentic Lifecycle Conformance. Version v0.3.2 Final Release Candidate R3 (GACWP-2026-v0.3.2-FRC-R3). May 2026. Publication Candidate review edition.</w:t>
      </w:r>
    </w:p>
    <w:p>
      <w:pPr>
        <w:pStyle w:val="Heading3"/>
      </w:pPr>
      <w:r>
        <w:t>Short Citation</w:t>
      </w:r>
    </w:p>
    <w:p>
      <w:pPr>
        <w:spacing w:after="56"/>
      </w:pPr>
      <w:r>
        <w:t>GAIC White Paper v0.3.2-FRC-R3 (May 2026)</w:t>
      </w:r>
    </w:p>
    <w:p>
      <w:pPr>
        <w:pStyle w:val="Heading3"/>
      </w:pPr>
      <w:r>
        <w:t>Trace Tag for Technical References</w:t>
      </w:r>
    </w:p>
    <w:p>
      <w:pPr>
        <w:spacing w:after="56"/>
      </w:pPr>
      <w:r>
        <w:t>GACWP-2026-v0.3.2-FRC-R3</w:t>
      </w:r>
    </w:p>
    <w:p>
      <w:pPr>
        <w:pStyle w:val="Heading2"/>
      </w:pPr>
      <w:r>
        <w:t>Version History</w:t>
      </w:r>
    </w:p>
    <w:p>
      <w:pPr>
        <w:keepNext/>
      </w:pPr>
      <w:r>
        <w:rPr>
          <w:b/>
          <w:sz w:val="16"/>
        </w:rPr>
        <w:t>Table T-FM-05: Version History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Version</w:t>
            </w:r>
          </w:p>
        </w:tc>
        <w:tc>
          <w:tcPr>
            <w:tcW w:type="dxa" w:w="2556"/>
          </w:tcPr>
          <w:p>
            <w:pPr>
              <w:spacing w:after="0"/>
            </w:pPr>
            <w:r>
              <w:rPr>
                <w:rFonts w:ascii="Arial" w:hAnsi="Arial"/>
                <w:b/>
                <w:sz w:val="14"/>
              </w:rPr>
              <w:t>Date</w:t>
            </w:r>
          </w:p>
        </w:tc>
        <w:tc>
          <w:tcPr>
            <w:tcW w:type="dxa" w:w="2556"/>
          </w:tcPr>
          <w:p>
            <w:pPr>
              <w:spacing w:after="0"/>
            </w:pPr>
            <w:r>
              <w:rPr>
                <w:rFonts w:ascii="Arial" w:hAnsi="Arial"/>
                <w:b/>
                <w:sz w:val="14"/>
              </w:rPr>
              <w:t>Trace Tag</w:t>
            </w:r>
          </w:p>
        </w:tc>
        <w:tc>
          <w:tcPr>
            <w:tcW w:type="dxa" w:w="2556"/>
          </w:tcPr>
          <w:p>
            <w:pPr>
              <w:spacing w:after="0"/>
            </w:pPr>
            <w:r>
              <w:rPr>
                <w:rFonts w:ascii="Arial" w:hAnsi="Arial"/>
                <w:b/>
                <w:sz w:val="14"/>
              </w:rPr>
              <w:t>Summary</w:t>
            </w:r>
          </w:p>
        </w:tc>
      </w:tr>
      <w:tr>
        <w:tc>
          <w:tcPr>
            <w:tcW w:type="dxa" w:w="2556"/>
          </w:tcPr>
          <w:p>
            <w:pPr>
              <w:spacing w:after="0"/>
            </w:pPr>
            <w:r>
              <w:rPr>
                <w:rFonts w:ascii="Arial" w:hAnsi="Arial"/>
                <w:b w:val="0"/>
                <w:sz w:val="14"/>
              </w:rPr>
              <w:t>v0.3.2-FRC-R3</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GACWP-2026-v0.3.2-FRC-R3</w:t>
            </w:r>
          </w:p>
        </w:tc>
        <w:tc>
          <w:tcPr>
            <w:tcW w:type="dxa" w:w="2556"/>
          </w:tcPr>
          <w:p>
            <w:pPr>
              <w:spacing w:after="0"/>
            </w:pPr>
            <w:r>
              <w:rPr>
                <w:rFonts w:ascii="Arial" w:hAnsi="Arial"/>
                <w:b w:val="0"/>
                <w:sz w:val="14"/>
              </w:rPr>
              <w:t>Publication-candidate review edition integrating lifecycle governance, MROs, RCCS-T / RCCS-M / ALCS scoring, evidence validation, enterprise failure scenarios, adoption roadmap, and technical appendices.</w:t>
            </w:r>
          </w:p>
        </w:tc>
      </w:tr>
      <w:tr>
        <w:tc>
          <w:tcPr>
            <w:tcW w:type="dxa" w:w="2556"/>
          </w:tcPr>
          <w:p>
            <w:pPr>
              <w:spacing w:after="0"/>
            </w:pPr>
            <w:r>
              <w:rPr>
                <w:rFonts w:ascii="Arial" w:hAnsi="Arial"/>
                <w:b w:val="0"/>
                <w:sz w:val="14"/>
              </w:rPr>
              <w:t>v0.3.1-PC</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GACWP-2026-v0.3.1-PC</w:t>
            </w:r>
          </w:p>
        </w:tc>
        <w:tc>
          <w:tcPr>
            <w:tcW w:type="dxa" w:w="2556"/>
          </w:tcPr>
          <w:p>
            <w:pPr>
              <w:spacing w:after="0"/>
            </w:pPr>
            <w:r>
              <w:rPr>
                <w:rFonts w:ascii="Arial" w:hAnsi="Arial"/>
                <w:b w:val="0"/>
                <w:sz w:val="14"/>
              </w:rPr>
              <w:t>Publication candidate. Adds ALCS-to-MRO mapping, clarifies RCCS weighting and calculation reproducibility, updates Colorado AI Act status note as of 2026-05-07, aligns Singapore MGF wording with official four-part framing.</w:t>
            </w:r>
          </w:p>
        </w:tc>
      </w:tr>
      <w:tr>
        <w:tc>
          <w:tcPr>
            <w:tcW w:type="dxa" w:w="2556"/>
          </w:tcPr>
          <w:p>
            <w:pPr>
              <w:spacing w:after="0"/>
            </w:pPr>
            <w:r>
              <w:rPr>
                <w:rFonts w:ascii="Arial" w:hAnsi="Arial"/>
                <w:b w:val="0"/>
                <w:sz w:val="14"/>
              </w:rPr>
              <w:t>v0.3-FULL</w:t>
            </w:r>
          </w:p>
        </w:tc>
        <w:tc>
          <w:tcPr>
            <w:tcW w:type="dxa" w:w="2556"/>
          </w:tcPr>
          <w:p>
            <w:pPr>
              <w:spacing w:after="0"/>
            </w:pPr>
            <w:r>
              <w:rPr>
                <w:rFonts w:ascii="Arial" w:hAnsi="Arial"/>
                <w:b w:val="0"/>
                <w:sz w:val="14"/>
              </w:rPr>
              <w:t>April 2026</w:t>
            </w:r>
          </w:p>
        </w:tc>
        <w:tc>
          <w:tcPr>
            <w:tcW w:type="dxa" w:w="2556"/>
          </w:tcPr>
          <w:p>
            <w:pPr>
              <w:spacing w:after="0"/>
            </w:pPr>
            <w:r>
              <w:rPr>
                <w:rFonts w:ascii="Arial" w:hAnsi="Arial"/>
                <w:b w:val="0"/>
                <w:sz w:val="14"/>
              </w:rPr>
              <w:t>GACWP-2026-v0.3-FULL</w:t>
            </w:r>
          </w:p>
        </w:tc>
        <w:tc>
          <w:tcPr>
            <w:tcW w:type="dxa" w:w="2556"/>
          </w:tcPr>
          <w:p>
            <w:pPr>
              <w:spacing w:after="0"/>
            </w:pPr>
            <w:r>
              <w:rPr>
                <w:rFonts w:ascii="Arial" w:hAnsi="Arial"/>
                <w:b w:val="0"/>
                <w:sz w:val="14"/>
              </w:rPr>
              <w:t>Full research edition baseline (historical reference only)</w:t>
            </w:r>
          </w:p>
        </w:tc>
      </w:tr>
    </w:tbl>
    <w:p>
      <w:pPr>
        <w:pStyle w:val="Heading3"/>
      </w:pPr>
      <w:r>
        <w:t>Revision Note for v0.3.2-FRC-R3</w:t>
      </w:r>
    </w:p>
    <w:p>
      <w:pPr>
        <w:spacing w:after="56"/>
      </w:pPr>
      <w:r>
        <w:t>v0.3.2-FRC-R3 expands the white paper into a full publication-candidate review edition with enterprise control mapping, lifecycle scoring, evidence validation, system assessment boundaries, adoption guidance, and technical appendices.</w:t>
      </w:r>
    </w:p>
    <w:p>
      <w:pPr>
        <w:spacing w:after="56"/>
      </w:pPr>
      <w:r>
        <w:t>Key improvements in R3:</w:t>
      </w:r>
    </w:p>
    <w:p>
      <w:pPr>
        <w:pStyle w:val="ListBullet"/>
        <w:spacing w:after="56"/>
      </w:pPr>
      <w:r>
        <w:t>Full lifecycle governance framing for agentic and multi-agent systems</w:t>
      </w:r>
    </w:p>
    <w:p>
      <w:pPr>
        <w:pStyle w:val="ListBullet"/>
        <w:spacing w:after="56"/>
      </w:pPr>
      <w:r>
        <w:t>Missing Regulatory Objects connected to RCCS-T, RCCS-M, and ALCS analysis</w:t>
      </w:r>
    </w:p>
    <w:p>
      <w:pPr>
        <w:pStyle w:val="ListBullet"/>
        <w:spacing w:after="56"/>
      </w:pPr>
      <w:r>
        <w:t>Evidence validation and enterprise failure scenario coverage</w:t>
      </w:r>
    </w:p>
    <w:p>
      <w:pPr>
        <w:pStyle w:val="ListBullet"/>
        <w:spacing w:after="56"/>
      </w:pPr>
      <w:r>
        <w:t>Adoption roadmap and enterprise control crosswalks</w:t>
      </w:r>
    </w:p>
    <w:p>
      <w:pPr>
        <w:pStyle w:val="ListBullet"/>
        <w:spacing w:after="56"/>
      </w:pPr>
      <w:r>
        <w:t>Strengthened boundary disclosure, conflict-of-interest discipline, and non-claim language</w:t>
      </w:r>
    </w:p>
    <w:p>
      <w:pPr>
        <w:pStyle w:val="Heading2"/>
      </w:pPr>
      <w:r>
        <w:t>Table of Contents</w:t>
      </w:r>
    </w:p>
    <w:p>
      <w:pPr>
        <w:pStyle w:val="Heading3"/>
      </w:pPr>
      <w:r>
        <w:t>Part I — Problem and Method</w:t>
      </w:r>
    </w:p>
    <w:p>
      <w:pPr>
        <w:pStyle w:val="ListNumber"/>
        <w:spacing w:after="56"/>
      </w:pPr>
      <w:r>
        <w:t>Scope, Methodology, and Non-Legal Boundary</w:t>
      </w:r>
    </w:p>
    <w:p>
      <w:pPr>
        <w:pStyle w:val="ListNumber"/>
        <w:spacing w:after="56"/>
      </w:pPr>
      <w:r>
        <w:t>The Missing Layer: AI Agent Lifecycle Governance</w:t>
      </w:r>
    </w:p>
    <w:p>
      <w:pPr>
        <w:pStyle w:val="ListNumber"/>
        <w:spacing w:after="56"/>
      </w:pPr>
      <w:r>
        <w:t>Why Agentic AI Breaks Model-Centric Compliance</w:t>
      </w:r>
    </w:p>
    <w:p>
      <w:pPr>
        <w:pStyle w:val="ListNumber"/>
        <w:spacing w:after="56"/>
      </w:pPr>
      <w:r>
        <w:t>Regulatory and Standards Baseline</w:t>
      </w:r>
    </w:p>
    <w:p>
      <w:pPr>
        <w:pStyle w:val="ListNumber"/>
        <w:spacing w:after="56"/>
      </w:pPr>
      <w:r>
        <w:t>From Regulatory Language to Engineering Objects</w:t>
      </w:r>
    </w:p>
    <w:p>
      <w:pPr>
        <w:pStyle w:val="Heading3"/>
      </w:pPr>
      <w:r>
        <w:t>Part II — Missing Regulatory Objects and Scoring</w:t>
      </w:r>
    </w:p>
    <w:p>
      <w:pPr>
        <w:pStyle w:val="ListNumber"/>
        <w:spacing w:after="56"/>
      </w:pPr>
      <w:r>
        <w:t>Missing Regulatory Objects for Agentic and MAS Compliance</w:t>
      </w:r>
    </w:p>
    <w:p>
      <w:pPr>
        <w:pStyle w:val="ListNumber"/>
        <w:spacing w:after="56"/>
      </w:pPr>
      <w:r>
        <w:t>RCCS-T / RCCS-M - Regulatory Compliance Coverage Scores</w:t>
      </w:r>
    </w:p>
    <w:p>
      <w:pPr>
        <w:pStyle w:val="ListNumber"/>
        <w:spacing w:after="56"/>
      </w:pPr>
      <w:r>
        <w:t>ALCS - Agentic Lifecycle Conformance Score</w:t>
      </w:r>
    </w:p>
    <w:p>
      <w:pPr>
        <w:pStyle w:val="ListNumber"/>
        <w:spacing w:after="56"/>
      </w:pPr>
      <w:r>
        <w:t>Composite Scoring Method</w:t>
      </w:r>
    </w:p>
    <w:p>
      <w:pPr>
        <w:pStyle w:val="Heading3"/>
      </w:pPr>
      <w:r>
        <w:t>Part III — System Mapping and Lifecycle Validation</w:t>
      </w:r>
    </w:p>
    <w:p>
      <w:pPr>
        <w:pStyle w:val="ListNumber"/>
        <w:spacing w:after="56"/>
      </w:pPr>
      <w:r>
        <w:t>Enterprise Adoption, Procurement, and Control Crosswalk</w:t>
      </w:r>
    </w:p>
    <w:p>
      <w:pPr>
        <w:pStyle w:val="ListNumber"/>
        <w:spacing w:after="56"/>
      </w:pPr>
      <w:r>
        <w:t>Comparative Field and System Positioning</w:t>
      </w:r>
    </w:p>
    <w:p>
      <w:pPr>
        <w:pStyle w:val="ListNumber"/>
        <w:spacing w:after="56"/>
      </w:pPr>
      <w:r>
        <w:t>Detailed System Mappings</w:t>
      </w:r>
    </w:p>
    <w:p>
      <w:pPr>
        <w:pStyle w:val="ListNumber"/>
        <w:spacing w:after="56"/>
      </w:pPr>
      <w:r>
        <w:t>MPLP Deep Mapping, Boundary, and Non-Claim Discipline</w:t>
      </w:r>
    </w:p>
    <w:p>
      <w:pPr>
        <w:pStyle w:val="ListNumber"/>
        <w:spacing w:after="56"/>
      </w:pPr>
      <w:r>
        <w:t>Evidence-Based Validation Pattern</w:t>
      </w:r>
    </w:p>
    <w:p>
      <w:pPr>
        <w:pStyle w:val="ListNumber"/>
        <w:spacing w:after="56"/>
      </w:pPr>
      <w:r>
        <w:t>Enterprise Failure Scenarios</w:t>
      </w:r>
    </w:p>
    <w:p>
      <w:pPr>
        <w:pStyle w:val="ListNumber"/>
        <w:spacing w:after="56"/>
      </w:pPr>
      <w:r>
        <w:t>Boundary to Companion Papers</w:t>
      </w:r>
    </w:p>
    <w:p>
      <w:pPr>
        <w:pStyle w:val="Heading3"/>
      </w:pPr>
      <w:r>
        <w:t>Part IV — Enterprise Adoption</w:t>
      </w:r>
    </w:p>
    <w:p>
      <w:pPr>
        <w:pStyle w:val="ListNumber"/>
        <w:spacing w:after="56"/>
      </w:pPr>
      <w:r>
        <w:t>Adoption Roadmap</w:t>
      </w:r>
    </w:p>
    <w:p>
      <w:pPr>
        <w:pStyle w:val="ListNumber"/>
        <w:spacing w:after="56"/>
      </w:pPr>
      <w:r>
        <w:t>Conclusion</w:t>
      </w:r>
    </w:p>
    <w:p>
      <w:pPr>
        <w:pStyle w:val="Heading3"/>
      </w:pPr>
      <w:r>
        <w:t>Part V — Technical Appendices</w:t>
      </w:r>
    </w:p>
    <w:p>
      <w:pPr>
        <w:pStyle w:val="ListNumber"/>
        <w:spacing w:after="56"/>
      </w:pPr>
      <w:r>
        <w:t>Appendices A-K</w:t>
      </w:r>
    </w:p>
    <w:p>
      <w:pPr>
        <w:pStyle w:val="Heading2"/>
      </w:pPr>
      <w:r>
        <w:t>List of Figures</w:t>
      </w:r>
    </w:p>
    <w:p>
      <w:pPr>
        <w:pStyle w:val="ListBullet"/>
        <w:spacing w:after="56"/>
      </w:pPr>
      <w:r>
        <w:t>Figure F-01 — AI Agent Lifecycle Governance Stack</w:t>
      </w:r>
    </w:p>
    <w:p>
      <w:pPr>
        <w:pStyle w:val="ListBullet"/>
        <w:spacing w:after="56"/>
      </w:pPr>
      <w:r>
        <w:t>Figure F-02 — Governance Stack / Missing Layer</w:t>
      </w:r>
    </w:p>
    <w:p>
      <w:pPr>
        <w:pStyle w:val="ListBullet"/>
        <w:spacing w:after="56"/>
      </w:pPr>
      <w:r>
        <w:t>Figure F-03 — MRO Topology</w:t>
      </w:r>
    </w:p>
    <w:p>
      <w:pPr>
        <w:pStyle w:val="ListBullet"/>
        <w:spacing w:after="56"/>
      </w:pPr>
      <w:r>
        <w:t>Figure F-04 — RCCS-T / RCCS-M / ALCS Three-Profile Scoring Model</w:t>
      </w:r>
    </w:p>
    <w:p>
      <w:pPr>
        <w:pStyle w:val="ListBullet"/>
        <w:spacing w:after="56"/>
      </w:pPr>
      <w:r>
        <w:t>Figure F-05 — Lifecycle Conformance Mapping Strength Heatmap</w:t>
      </w:r>
    </w:p>
    <w:p>
      <w:pPr>
        <w:pStyle w:val="ListBullet"/>
        <w:spacing w:after="56"/>
      </w:pPr>
      <w:r>
        <w:t>Figure F-06 — Enterprise Control Overlay for AI Agent Lifecycle Governance</w:t>
      </w:r>
    </w:p>
    <w:p>
      <w:pPr>
        <w:pStyle w:val="ListBullet"/>
        <w:spacing w:after="56"/>
      </w:pPr>
      <w:r>
        <w:t>Figure F-07 — Model Risk in Agentic Lifecycle</w:t>
      </w:r>
    </w:p>
    <w:p>
      <w:pPr>
        <w:pStyle w:val="ListBullet"/>
        <w:spacing w:after="56"/>
      </w:pPr>
      <w:r>
        <w:t>Figure F-08 — Evidence-Based Validation Pattern Flow</w:t>
      </w:r>
    </w:p>
    <w:p>
      <w:pPr>
        <w:pStyle w:val="ListBullet"/>
        <w:spacing w:after="56"/>
      </w:pPr>
      <w:r>
        <w:t>Figure F-09 — Enterprise Failure Scenario Chain</w:t>
      </w:r>
    </w:p>
    <w:p>
      <w:pPr>
        <w:pStyle w:val="ListBullet"/>
        <w:spacing w:after="56"/>
      </w:pPr>
      <w:r>
        <w:t>Figure F-10 — Companion Paper Boundary Map</w:t>
      </w:r>
    </w:p>
    <w:p>
      <w:pPr>
        <w:pStyle w:val="ListBullet"/>
        <w:spacing w:after="56"/>
      </w:pPr>
      <w:r>
        <w:t>Figure F-11 — Stage 0-to-7 Adoption Roadmap</w:t>
      </w:r>
    </w:p>
    <w:p>
      <w:pPr>
        <w:pStyle w:val="Heading2"/>
      </w:pPr>
      <w:r>
        <w:t>List of Tables</w:t>
      </w:r>
    </w:p>
    <w:p>
      <w:pPr>
        <w:spacing w:after="56"/>
      </w:pPr>
      <w:r>
        <w:t>The paper contains detailed body and appendix tables. The most important table groups are:</w:t>
      </w:r>
    </w:p>
    <w:p>
      <w:pPr>
        <w:spacing w:after="56"/>
      </w:pPr>
      <w:r>
        <w:t>A complete table inventory is maintained in the technical source ledger; this publication lists major table groups for reader navigation.</w:t>
      </w:r>
    </w:p>
    <w:p>
      <w:pPr>
        <w:pStyle w:val="ListBullet"/>
        <w:spacing w:after="56"/>
      </w:pPr>
      <w:r>
        <w:t>Scope, boundary, document-control, and evidence-basis tables in the front matter and Chapter 1</w:t>
      </w:r>
    </w:p>
    <w:p>
      <w:pPr>
        <w:pStyle w:val="ListBullet"/>
        <w:spacing w:after="56"/>
      </w:pPr>
      <w:r>
        <w:t>Regulatory and standards baseline tables in Chapter 4</w:t>
      </w:r>
    </w:p>
    <w:p>
      <w:pPr>
        <w:pStyle w:val="ListBullet"/>
        <w:spacing w:after="56"/>
      </w:pPr>
      <w:r>
        <w:t>Missing Regulatory Object tables in Chapter 6</w:t>
      </w:r>
    </w:p>
    <w:p>
      <w:pPr>
        <w:pStyle w:val="ListBullet"/>
        <w:spacing w:after="56"/>
      </w:pPr>
      <w:r>
        <w:t>RCCS-T, RCCS-M, ALCS, and optional composite scoring tables in Chapters 7-9</w:t>
      </w:r>
    </w:p>
    <w:p>
      <w:pPr>
        <w:pStyle w:val="ListBullet"/>
        <w:spacing w:after="56"/>
      </w:pPr>
      <w:r>
        <w:t>Enterprise control, procurement, board reporting, model risk, and cybersecurity crosswalk tables in Chapter 10</w:t>
      </w:r>
    </w:p>
    <w:p>
      <w:pPr>
        <w:pStyle w:val="ListBullet"/>
        <w:spacing w:after="56"/>
      </w:pPr>
      <w:r>
        <w:t>System mapping and comparative posture tables in Chapters 11-13 and Appendix D</w:t>
      </w:r>
    </w:p>
    <w:p>
      <w:pPr>
        <w:pStyle w:val="ListBullet"/>
        <w:spacing w:after="56"/>
      </w:pPr>
      <w:r>
        <w:t>Evidence validation and failure scenario tables in Chapters 14-15</w:t>
      </w:r>
    </w:p>
    <w:p>
      <w:pPr>
        <w:pStyle w:val="ListBullet"/>
        <w:spacing w:after="56"/>
      </w:pPr>
      <w:r>
        <w:t>Adoption roadmap and contribution-summary tables in Chapters 17-18</w:t>
      </w:r>
    </w:p>
    <w:p>
      <w:pPr>
        <w:pStyle w:val="ListBullet"/>
        <w:spacing w:after="56"/>
      </w:pPr>
      <w:r>
        <w:t>Technical appendices A-K, including scorecard templates, source ledgers, detailed rubrics, Appendix G provisional system assessments, procurement scorecards, source audit registers, gap closure matrices, and editorial remediation records</w:t>
      </w:r>
    </w:p>
    <w:p>
      <w:pPr>
        <w:pStyle w:val="Heading2"/>
      </w:pPr>
      <w:r>
        <w:t>Executive Summary</w:t>
      </w:r>
    </w:p>
    <w:p>
      <w:pPr>
        <w:spacing w:after="56"/>
      </w:pPr>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Pr>
        <w:pStyle w:val="Heading3"/>
      </w:pPr>
      <w:r>
        <w:t>The Missing Layer</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Pr>
        <w:spacing w:after="56"/>
      </w:pPr>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Pr>
        <w:pStyle w:val="Heading3"/>
      </w:pPr>
      <w:r>
        <w:t>Key Findings</w:t>
      </w:r>
    </w:p>
    <w:p>
      <w:pPr>
        <w:pStyle w:val="ListBullet"/>
        <w:spacing w:after="56"/>
      </w:pPr>
      <w:r>
        <w:t>Model governance remains necessary, but it is not sufficient for agentic and multi-agent workflows that act through tools, memory, APIs, and delegation.</w:t>
      </w:r>
    </w:p>
    <w:p>
      <w:pPr>
        <w:pStyle w:val="ListBullet"/>
        <w:spacing w:after="56"/>
      </w:pPr>
      <w:r>
        <w:t>Lifecycle responsibility objects are needed to connect intent, authority, evidence, review, accepted outcome, dispute, remediation, and reuse.</w:t>
      </w:r>
    </w:p>
    <w:p>
      <w:pPr>
        <w:pStyle w:val="ListBullet"/>
        <w:spacing w:after="56"/>
      </w:pPr>
      <w:r>
        <w:t>The sixteen Missing Regulatory Objects define engineering objects that help make existing governance expectations testable in agentic execution.</w:t>
      </w:r>
    </w:p>
    <w:p>
      <w:pPr>
        <w:pStyle w:val="ListBullet"/>
        <w:spacing w:after="56"/>
      </w:pPr>
      <w:r>
        <w:t>RCCS-T, RCCS-M, and ALCS measure different but connected layers: traditional regulatory coverage, MRO-adjusted regulatory coverage, and agentic lifecycle conformance. A system can be strong in one layer and weaker in another.</w:t>
      </w:r>
    </w:p>
    <w:p>
      <w:pPr>
        <w:pStyle w:val="ListBullet"/>
        <w:spacing w:after="56"/>
      </w:pPr>
      <w:r>
        <w:t>Logs, traces, dashboards, and guardrails are useful, but they are not evidence chains by themselves unless tied to authority, responsibility, privacy, acceptance, and remediation semantics.</w:t>
      </w:r>
    </w:p>
    <w:p>
      <w:pPr>
        <w:pStyle w:val="ListBullet"/>
        <w:spacing w:after="56"/>
      </w:pPr>
      <w:r>
        <w:t>Validation verdicts can support evidence review, but they do not prove legal compliance, regulatory approval, certification, or procurement suitability.</w:t>
      </w:r>
    </w:p>
    <w:p>
      <w:pPr>
        <w:pStyle w:val="Heading3"/>
      </w:pPr>
      <w:r>
        <w:t>Core Thesis</w:t>
      </w:r>
    </w:p>
    <w:p>
      <w:pPr>
        <w:spacing w:after="56"/>
      </w:pPr>
      <w:r>
        <w:t>The paper argues that AI Agent / MAS compliance is not only model compliance. It is lifecycle responsibility compliance.</w:t>
      </w:r>
    </w:p>
    <w:p>
      <w:pPr>
        <w:spacing w:after="56"/>
      </w:pPr>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Figure F-01 - AI Agent Lifecycle Governance Stack</w:t>
      </w:r>
    </w:p>
    <w:p>
      <w:pPr>
        <w:spacing w:after="56"/>
      </w:pPr>
      <w:r>
        <w:t>Intent -&gt; Context -&gt; Plan -&gt; Authority -&gt; Agent Work -&gt; Tool Actions -&gt; Evidence -&gt; Review -&gt; Accepted Outcome -&gt; Dispute / Remediation</w:t>
      </w:r>
    </w:p>
    <w:p>
      <w:pPr>
        <w:spacing w:after="56"/>
      </w:pPr>
      <w:r>
        <w:t>Figure F-01 summarizes the lifecycle responsibility chain used throughout the paper. The chain is a governance model, not a certification path or legal compliance proof.</w:t>
      </w:r>
    </w:p>
    <w:p>
      <w:pPr>
        <w:pStyle w:val="Heading3"/>
      </w:pPr>
      <w:r>
        <w:t>Three-Profile Analytical Model</w:t>
      </w:r>
    </w:p>
    <w:p>
      <w:pPr>
        <w:spacing w:after="56"/>
      </w:pPr>
      <w:r>
        <w:t>The report introduces three profile signals:</w:t>
      </w:r>
    </w:p>
    <w:p>
      <w:pPr>
        <w:pStyle w:val="ListNumber"/>
        <w:spacing w:after="56"/>
      </w:pPr>
      <w:r>
        <w:t>RCCS-T - Traditional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Pr>
        <w:pStyle w:val="ListNumber"/>
        <w:spacing w:after="56"/>
      </w:pPr>
      <w:r>
        <w:t>RCCS-M - MRO-Adjusted Regulatory Compliance Coverage Score - measures whether those regulatory obligations can be expressed through Missing Regulatory Objects required for agentic lifecycle responsibility compliance.</w:t>
      </w:r>
    </w:p>
    <w:p>
      <w:pPr>
        <w:pStyle w:val="ListNumber"/>
        <w:spacing w:after="56"/>
      </w:pPr>
      <w:r>
        <w:t>ALCS - Agentic Lifecycle Conformance Score - measures whether lifecycle responsibility conformance is mature across responsibility, authority, evidence, privacy, substitution, and remediation. A system can have strong RCCS-T and weaker RCCS-M or ALCS. That is not a contradiction. It means the system may be strong in existing model governance or platform controls while lacking deeper lifecycle responsibility semantics for multi-agent work.</w:t>
      </w:r>
    </w:p>
    <w:p>
      <w:pPr>
        <w:spacing w:after="56"/>
      </w:pPr>
      <w:r>
        <w:t>Conceptual flow:</w:t>
      </w:r>
    </w:p>
    <w:p>
      <w:pPr>
        <w:spacing w:after="56"/>
      </w:pPr>
      <w:r>
        <w:t>RCCS-T -&gt; MRO Adjustment Layer -&gt; RCCS-M -&gt; ALCS</w:t>
      </w:r>
    </w:p>
    <w:p>
      <w:pPr>
        <w:spacing w:after="56"/>
      </w:pPr>
      <w:r>
        <w:t>RCCS-M is an author analytical, forward-looking, MRO-adjusted model. It is not current law, legal compliance proof, certification, a regulator-approved benchmark, vendor ranking, or procurement recommendation.</w:t>
      </w:r>
    </w:p>
    <w:p>
      <w:pPr>
        <w:pStyle w:val="Heading3"/>
      </w:pPr>
      <w:r>
        <w:t>Missing Regulatory Objects</w:t>
      </w:r>
    </w:p>
    <w:p>
      <w:pPr>
        <w:spacing w:after="56"/>
      </w:pPr>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The sixteen MROs are:</w:t>
      </w:r>
    </w:p>
    <w:p>
      <w:pPr>
        <w:pStyle w:val="ListBullet"/>
        <w:spacing w:after="56"/>
      </w:pPr>
      <w:r>
        <w:t>MRO-01: Human Role to MAS Responsibility Mapping</w:t>
      </w:r>
    </w:p>
    <w:p>
      <w:pPr>
        <w:pStyle w:val="ListBullet"/>
        <w:spacing w:after="56"/>
      </w:pPr>
      <w:r>
        <w:t>MRO-02: Delegated Authority Boundary</w:t>
      </w:r>
    </w:p>
    <w:p>
      <w:pPr>
        <w:pStyle w:val="ListBullet"/>
        <w:spacing w:after="56"/>
      </w:pPr>
      <w:r>
        <w:t>MRO-03: Agent Role is not Human Role</w:t>
      </w:r>
    </w:p>
    <w:p>
      <w:pPr>
        <w:pStyle w:val="ListBullet"/>
        <w:spacing w:after="56"/>
      </w:pPr>
      <w:r>
        <w:t>MRO-04: Accepted Outcome Compliance</w:t>
      </w:r>
    </w:p>
    <w:p>
      <w:pPr>
        <w:pStyle w:val="ListBullet"/>
        <w:spacing w:after="56"/>
      </w:pPr>
      <w:r>
        <w:t>MRO-05: Tool-Action Liability Boundary</w:t>
      </w:r>
    </w:p>
    <w:p>
      <w:pPr>
        <w:pStyle w:val="ListBullet"/>
        <w:spacing w:after="56"/>
      </w:pPr>
      <w:r>
        <w:t>MRO-06: Responsibility Transfer Across Agents</w:t>
      </w:r>
    </w:p>
    <w:p>
      <w:pPr>
        <w:pStyle w:val="ListBullet"/>
        <w:spacing w:after="56"/>
      </w:pPr>
      <w:r>
        <w:t>MRO-07: Authority Drift</w:t>
      </w:r>
    </w:p>
    <w:p>
      <w:pPr>
        <w:pStyle w:val="ListBullet"/>
        <w:spacing w:after="56"/>
      </w:pPr>
      <w:r>
        <w:t>MRO-08: MAS Evidence Partitioning</w:t>
      </w:r>
    </w:p>
    <w:p>
      <w:pPr>
        <w:pStyle w:val="ListBullet"/>
        <w:spacing w:after="56"/>
      </w:pPr>
      <w:r>
        <w:t>MRO-09: Cross-Project Reuse Compliance</w:t>
      </w:r>
    </w:p>
    <w:p>
      <w:pPr>
        <w:pStyle w:val="ListBullet"/>
        <w:spacing w:after="56"/>
      </w:pPr>
      <w:r>
        <w:t>MRO-10: Privacy / GDPR Lifecycle Mapping</w:t>
      </w:r>
    </w:p>
    <w:p>
      <w:pPr>
        <w:pStyle w:val="ListBullet"/>
        <w:spacing w:after="56"/>
      </w:pPr>
      <w:r>
        <w:t>MRO-11: Privacy-Preserving Third-Party Validation</w:t>
      </w:r>
    </w:p>
    <w:p>
      <w:pPr>
        <w:pStyle w:val="ListBullet"/>
        <w:spacing w:after="56"/>
      </w:pPr>
      <w:r>
        <w:t>MRO-12: Evidence Minimization and Selective Disclosure</w:t>
      </w:r>
    </w:p>
    <w:p>
      <w:pPr>
        <w:pStyle w:val="ListBullet"/>
        <w:spacing w:after="56"/>
      </w:pPr>
      <w:r>
        <w:t>MRO-13: Data Subject Rights vs Evidence Retention</w:t>
      </w:r>
    </w:p>
    <w:p>
      <w:pPr>
        <w:pStyle w:val="ListBullet"/>
        <w:spacing w:after="56"/>
      </w:pPr>
      <w:r>
        <w:t>MRO-14: Third-Party Processor / Subprocessor Chain</w:t>
      </w:r>
    </w:p>
    <w:p>
      <w:pPr>
        <w:pStyle w:val="ListBullet"/>
        <w:spacing w:after="56"/>
      </w:pPr>
      <w:r>
        <w:t>MRO-15: Vendor / Model / Runtime Substitution Conformance</w:t>
      </w:r>
    </w:p>
    <w:p>
      <w:pPr>
        <w:pStyle w:val="ListBullet"/>
        <w:spacing w:after="56"/>
      </w:pPr>
      <w:r>
        <w:t>MRO-16: Incident, Dispute, and Remediation Closure</w:t>
      </w:r>
    </w:p>
    <w:p>
      <w:pPr>
        <w:pStyle w:val="Heading3"/>
      </w:pPr>
      <w:r>
        <w:t>Comparative System Analysis</w:t>
      </w:r>
    </w:p>
    <w:p>
      <w:pPr>
        <w:spacing w:after="56"/>
      </w:pPr>
      <w:r>
        <w:t>Finally, the report compares the major system categories now shaping the enterprise agentic stack:</w:t>
      </w:r>
    </w:p>
    <w:p>
      <w:pPr>
        <w:pStyle w:val="ListBullet"/>
        <w:spacing w:after="56"/>
      </w:pPr>
      <w:r>
        <w:t>MPLP as a lifecycle protocol path</w:t>
      </w:r>
    </w:p>
    <w:p>
      <w:pPr>
        <w:pStyle w:val="ListBullet"/>
        <w:spacing w:after="56"/>
      </w:pPr>
      <w:r>
        <w:t>IBM watsonx.governance as an enterprise AI governance platform</w:t>
      </w:r>
    </w:p>
    <w:p>
      <w:pPr>
        <w:pStyle w:val="ListBullet"/>
        <w:spacing w:after="56"/>
      </w:pPr>
      <w:r>
        <w:t>Microsoft Azure AI Foundry as an enterprise AI platform and observability/control plane</w:t>
      </w:r>
    </w:p>
    <w:p>
      <w:pPr>
        <w:pStyle w:val="ListBullet"/>
        <w:spacing w:after="56"/>
      </w:pPr>
      <w:r>
        <w:t>AWS Bedrock and AgentCore as managed agent runtime and guardrail infrastructure</w:t>
      </w:r>
    </w:p>
    <w:p>
      <w:pPr>
        <w:pStyle w:val="ListBullet"/>
        <w:spacing w:after="56"/>
      </w:pPr>
      <w:r>
        <w:t>Google Vertex AI/ADK/Model Armor as managed AI and agent safety infrastructure</w:t>
      </w:r>
    </w:p>
    <w:p>
      <w:pPr>
        <w:pStyle w:val="ListBullet"/>
        <w:spacing w:after="56"/>
      </w:pPr>
      <w:r>
        <w:t>LangGraph/LangSmith as stateful orchestration and observability/evaluation tooling</w:t>
      </w:r>
    </w:p>
    <w:p>
      <w:pPr>
        <w:pStyle w:val="ListBullet"/>
        <w:spacing w:after="56"/>
      </w:pPr>
      <w:r>
        <w:t>OpenAI Agents SDK as a developer agent SDK</w:t>
      </w:r>
    </w:p>
    <w:p>
      <w:pPr>
        <w:pStyle w:val="ListBullet"/>
        <w:spacing w:after="56"/>
      </w:pPr>
      <w:r>
        <w:t>CrewAI as a multi-agent orchestration framework</w:t>
      </w:r>
    </w:p>
    <w:p>
      <w:pPr>
        <w:spacing w:after="56"/>
      </w:pPr>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Pr>
        <w:pStyle w:val="Heading3"/>
      </w:pPr>
      <w:r>
        <w:t>Enterprise Action Implications</w:t>
      </w:r>
    </w:p>
    <w:p>
      <w:pPr>
        <w:pStyle w:val="ListBullet"/>
        <w:spacing w:after="56"/>
      </w:pPr>
      <w:r>
        <w:t>Start with an authority, responsibility, and evidence inventory before selecting or extending agentic platforms.</w:t>
      </w:r>
    </w:p>
    <w:p>
      <w:pPr>
        <w:pStyle w:val="ListBullet"/>
        <w:spacing w:after="56"/>
      </w:pPr>
      <w:r>
        <w:t>Separate model governance controls from lifecycle responsibility controls so that logs, traces, guardrails, and reviews are not over-read as proof of accepted outcomes.</w:t>
      </w:r>
    </w:p>
    <w:p>
      <w:pPr>
        <w:pStyle w:val="ListBullet"/>
        <w:spacing w:after="56"/>
      </w:pPr>
      <w:r>
        <w:t>Map current systems against MRO, RCCS-T, RCCS-M, and ALCS dimensions to identify which controls are documented, which are implementation-dependent, and which remain analytical assumptions.</w:t>
      </w:r>
    </w:p>
    <w:p>
      <w:pPr>
        <w:pStyle w:val="ListBullet"/>
        <w:spacing w:after="56"/>
      </w:pPr>
      <w:r>
        <w:t>Treat MPLP, Validation Lab, and comparable lifecycle protocols or evidence tools as possible implementation patterns, not required paths or certification mechanisms.</w:t>
      </w:r>
    </w:p>
    <w:p>
      <w:pPr>
        <w:pStyle w:val="ListBullet"/>
        <w:spacing w:after="56"/>
      </w:pPr>
      <w:r>
        <w:t>Preserve source and evidence levels near high-risk product, protocol, validation, and system-mapping claims before publication or procurement use.</w:t>
      </w:r>
    </w:p>
    <w:p>
      <w:pPr>
        <w:pStyle w:val="Heading3"/>
      </w:pPr>
      <w:r>
        <w:t>Audience and Use</w:t>
      </w:r>
    </w:p>
    <w:p>
      <w:pPr>
        <w:spacing w:after="56"/>
      </w:pPr>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Pr>
        <w:pStyle w:val="Heading3"/>
      </w:pPr>
      <w:r>
        <w:t>Document Status</w:t>
      </w:r>
    </w:p>
    <w:p>
      <w:pPr>
        <w:spacing w:after="56"/>
      </w:pPr>
      <w:r>
        <w:t>This is v0.3.2 Final Release Candidate R3 (GACWP-2026-v0.3.2-FRC-R3) in Publication Candidate review status. It remains subject to editorial review, citation review, visual proofing, and final release approval.</w:t>
      </w:r>
    </w:p>
    <w:p>
      <w:pPr>
        <w:spacing w:after="56"/>
      </w:pPr>
      <w:r>
        <w:t>Author: Jearon Wong</w:t>
      </w:r>
    </w:p>
    <w:p>
      <w:pPr>
        <w:spacing w:after="56"/>
      </w:pPr>
      <w:r>
        <w:t>Author Position: Protocol Architect for the Agent Era</w:t>
      </w:r>
    </w:p>
    <w:p>
      <w:pPr>
        <w:spacing w:after="56"/>
      </w:pPr>
      <w:r>
        <w:t>Protocol Disclosure: Creator of MPLP — Multi-Agent Lifecycle Protocol</w:t>
      </w:r>
    </w:p>
    <w:p>
      <w:pPr>
        <w:spacing w:after="56"/>
      </w:pPr>
      <w:r>
        <w:t>Site: JearonWong.com</w:t>
      </w:r>
    </w:p>
    <w:p>
      <w:pPr>
        <w:spacing w:after="56"/>
      </w:pPr>
      <w:r>
        <w:t>Non-legal technical governance analysis. Not legal advice. MPLP is discussed with explicit conflict-of-interest disclosure.</w:t>
      </w:r>
    </w:p>
    <w:p>
      <w:pPr>
        <w:pStyle w:val="Heading1"/>
      </w:pPr>
      <w:r>
        <w:t>Chapter 1: Scope, Methodology, and Non-Legal Boundary</w:t>
      </w:r>
    </w:p>
    <w:p>
      <w:pPr>
        <w:spacing w:after="56"/>
      </w:pPr>
      <w:r>
        <w:t>Version: v0.3.2-FRC-R3</w:t>
      </w:r>
    </w:p>
    <w:p>
      <w:pPr>
        <w:pStyle w:val="Heading2"/>
      </w:pPr>
      <w:r>
        <w:t>1.1 Purpose and Positioning</w:t>
      </w:r>
    </w:p>
    <w:p>
      <w:pPr>
        <w:spacing w:after="56"/>
      </w:pPr>
      <w:r>
        <w:t>The front matter states the document boundary; this chapter explains how that boundary is operationalized as a technical governance method.</w:t>
      </w:r>
    </w:p>
    <w:p>
      <w:pPr>
        <w:spacing w:after="56"/>
      </w:pPr>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three-profile analytical model, system-specific mappings, comparative matrices, and implementation templates.</w:t>
      </w:r>
    </w:p>
    <w:p>
      <w:pPr>
        <w:pStyle w:val="Heading2"/>
      </w:pPr>
      <w:r>
        <w:t>1.2 Intended Audience</w:t>
      </w:r>
    </w:p>
    <w:p>
      <w:pPr>
        <w:spacing w:after="56"/>
      </w:pPr>
      <w:r>
        <w:t>This paper is designed for professionals who must translate regulatory obligations into operational systems:</w:t>
      </w:r>
    </w:p>
    <w:p>
      <w:pPr>
        <w:pStyle w:val="ListBullet"/>
        <w:spacing w:after="56"/>
      </w:pPr>
      <w:r>
        <w:t>AI Governance Leaders who must define enterprise AI governance frameworks that extend beyond model risk management</w:t>
      </w:r>
    </w:p>
    <w:p>
      <w:pPr>
        <w:pStyle w:val="ListBullet"/>
        <w:spacing w:after="56"/>
      </w:pPr>
      <w:r>
        <w:t>Enterprise Architects who must design agentic systems that can demonstrate lifecycle responsibility</w:t>
      </w:r>
    </w:p>
    <w:p>
      <w:pPr>
        <w:pStyle w:val="ListBullet"/>
        <w:spacing w:after="56"/>
      </w:pPr>
      <w:r>
        <w:t>AI Risk Teams who must assess whether agentic workflows meet regulatory and internal control requirements</w:t>
      </w:r>
    </w:p>
    <w:p>
      <w:pPr>
        <w:pStyle w:val="ListBullet"/>
        <w:spacing w:after="56"/>
      </w:pPr>
      <w:r>
        <w:t>Compliance Teams who must map regulatory language to technical controls</w:t>
      </w:r>
    </w:p>
    <w:p>
      <w:pPr>
        <w:pStyle w:val="ListBullet"/>
        <w:spacing w:after="56"/>
      </w:pPr>
      <w:r>
        <w:t>Cybersecurity Leaders who must secure agentic workflows across tool actions, memory, and delegation</w:t>
      </w:r>
    </w:p>
    <w:p>
      <w:pPr>
        <w:pStyle w:val="ListBullet"/>
        <w:spacing w:after="56"/>
      </w:pPr>
      <w:r>
        <w:t>Agent Platform Builders who must design platforms that support lifecycle governance primitives</w:t>
      </w:r>
    </w:p>
    <w:p>
      <w:pPr>
        <w:pStyle w:val="ListBullet"/>
        <w:spacing w:after="56"/>
      </w:pPr>
      <w:r>
        <w:t>Insurance and Assurance Professionals who must evaluate whether agentic systems are auditable and insurable</w:t>
      </w:r>
    </w:p>
    <w:p>
      <w:pPr>
        <w:pStyle w:val="ListBullet"/>
        <w:spacing w:after="56"/>
      </w:pPr>
      <w:r>
        <w:t>Protocol Designers who must create standards for agentic lifecycle responsibility</w:t>
      </w:r>
    </w:p>
    <w:p>
      <w:pPr>
        <w:pStyle w:val="Heading2"/>
      </w:pPr>
      <w:r>
        <w:t>1.3 Scope Boundary</w:t>
      </w:r>
    </w:p>
    <w:p>
      <w:pPr>
        <w:spacing w:after="56"/>
      </w:pPr>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Pr>
        <w:keepNext/>
      </w:pPr>
      <w:r>
        <w:rPr>
          <w:b/>
          <w:sz w:val="16"/>
        </w:rPr>
        <w:t>Table T-01-01: In Scope / Out of Scope</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1.4 Methodology</w:t>
      </w:r>
    </w:p>
    <w:p>
      <w:pPr>
        <w:spacing w:after="56"/>
      </w:pPr>
      <w:r>
        <w:t>The methodology uses a layered approach:</w:t>
      </w:r>
    </w:p>
    <w:p>
      <w:pPr>
        <w:pStyle w:val="ListNumber"/>
        <w:spacing w:after="56"/>
      </w:pPr>
      <w:r>
        <w:t>Extract recurring regulatory concepts from the baseline frameworks: risk management, documentation, logs, transparency, oversight, accountability, security, monitoring, privacy, and redress.</w:t>
      </w:r>
    </w:p>
    <w:p>
      <w:pPr>
        <w:pStyle w:val="ListNumber"/>
        <w:spacing w:after="56"/>
      </w:pPr>
      <w:r>
        <w:t>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Pr>
        <w:pStyle w:val="ListNumber"/>
        <w:spacing w:after="56"/>
      </w:pPr>
      <w:r>
        <w:t>Define Missing Regulatory Objects that make those obligations testable. These are not proposed legal mandates. They are engineering objects that appear necessary if existing regulatory ideals are to become auditable in multi-agent execution.</w:t>
      </w:r>
    </w:p>
    <w:p>
      <w:pPr>
        <w:pStyle w:val="ListNumber"/>
        <w:spacing w:after="56"/>
      </w:pPr>
      <w:r>
        <w:t>Introduce RCCS-T, RCCS-M, and ALCS scoring to separate ordinary governance coverage, MRO-adjusted regulatory coverage, and lifecycle conformance. RCCS-T measures how strongly a system covers existing regulatory and governance requirements. RCCS-M measures whether that coverage can be expressed through Missing Regulatory Objects. ALCS measures whether a system defines the agentic lifecycle objects required for lifecycle responsibility compliance.</w:t>
      </w:r>
    </w:p>
    <w:p>
      <w:pPr>
        <w:pStyle w:val="ListNumber"/>
        <w:spacing w:after="56"/>
      </w:pPr>
      <w:r>
        <w:t>Map representative systems against those objects based on publicly available evidence. The comparison is not a ranking of product quality. It is a map of responsibility semantics.</w:t>
      </w:r>
    </w:p>
    <w:p>
      <w:pPr>
        <w:spacing w:after="56"/>
      </w:pPr>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Pr>
        <w:pStyle w:val="Heading2"/>
      </w:pPr>
      <w:r>
        <w:t>1.5 Evidence Basis</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keepNext/>
      </w:pPr>
      <w:r>
        <w:rPr>
          <w:b/>
          <w:sz w:val="16"/>
        </w:rPr>
        <w:t>Table T-01-02: Evidence Basis Levels (detailed)</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2"/>
      </w:pPr>
      <w:r>
        <w:t>1.6 Non-Legal Boundary and Conflict of Interest Disclosure</w:t>
      </w:r>
    </w:p>
    <w:p>
      <w:pPr>
        <w:spacing w:after="56"/>
      </w:pPr>
      <w:r>
        <w:t>Author position: Protocol Architect for the Agent Era</w:t>
      </w:r>
    </w:p>
    <w:p>
      <w:pPr>
        <w:spacing w:after="56"/>
      </w:pPr>
      <w:r>
        <w:t>Non-legal technical governance analysis. Not legal advice. MPLP is discussed with explicit conflict-of-interest disclosure.</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spacing w:after="56"/>
      </w:pPr>
      <w:r>
        <w:t>The controls used to limit over-claiming are as follows:</w:t>
      </w:r>
    </w:p>
    <w:p>
      <w:pPr>
        <w:pStyle w:val="ListBullet"/>
        <w:spacing w:after="56"/>
      </w:pPr>
      <w:r>
        <w:t>MPLP is treated as a protocol path, not a regulator</w:t>
      </w:r>
    </w:p>
    <w:p>
      <w:pPr>
        <w:pStyle w:val="ListBullet"/>
        <w:spacing w:after="56"/>
      </w:pPr>
      <w:r>
        <w:t>Validation Lab is treated as non-certifying evidence adjudication, not legal certification</w:t>
      </w:r>
    </w:p>
    <w:p>
      <w:pPr>
        <w:pStyle w:val="ListBullet"/>
        <w:spacing w:after="56"/>
      </w:pPr>
      <w:r>
        <w:t>Other platforms are evaluated for their own strengths rather than dismissed</w:t>
      </w:r>
    </w:p>
    <w:p>
      <w:pPr>
        <w:pStyle w:val="ListBullet"/>
        <w:spacing w:after="56"/>
      </w:pPr>
      <w:r>
        <w:t>Scoring claims are separated into traditional regulatory coverage, MRO-adjusted regulatory coverage, and lifecycle conformance evidence levels</w:t>
      </w:r>
    </w:p>
    <w:p>
      <w:pPr>
        <w:pStyle w:val="ListBullet"/>
        <w:spacing w:after="56"/>
      </w:pPr>
      <w:r>
        <w:t>The paper distinguishes a conceptual object model from real-world legal compliance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RCCS-T/RCCS-M/ALCS</w:t>
            </w:r>
          </w:p>
        </w:tc>
        <w:tc>
          <w:tcPr>
            <w:tcW w:type="dxa" w:w="3408"/>
          </w:tcPr>
          <w:p>
            <w:pPr>
              <w:spacing w:after="0"/>
            </w:pPr>
            <w:r>
              <w:rPr>
                <w:rFonts w:ascii="Arial" w:hAnsi="Arial"/>
                <w:b w:val="0"/>
                <w:sz w:val="14"/>
              </w:rPr>
              <w:t>A proposed analytical scoring framework; RCCS-M is author analytical and forward-looking</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1"/>
      </w:pPr>
      <w:r>
        <w:t>Chapter 2: The Missing Layer: AI Agent Lifecycle Governance</w:t>
      </w:r>
    </w:p>
    <w:p>
      <w:pPr>
        <w:spacing w:after="56"/>
      </w:pPr>
      <w:r>
        <w:t>Version: v0.3.2-FRC-R3</w:t>
      </w:r>
    </w:p>
    <w:p>
      <w:pPr>
        <w:pStyle w:val="Heading2"/>
      </w:pPr>
      <w:r>
        <w:t>2.1 Defining AI Agent Lifecycle Governance</w:t>
      </w:r>
    </w:p>
    <w:p>
      <w:pPr>
        <w:spacing w:after="56"/>
      </w:pPr>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Pr>
        <w:spacing w:after="56"/>
      </w:pPr>
      <w:r>
        <w:t>The phrase matters because existing language is fragmented:</w:t>
      </w:r>
    </w:p>
    <w:p>
      <w:pPr>
        <w:pStyle w:val="ListBullet"/>
        <w:spacing w:after="56"/>
      </w:pPr>
      <w:r>
        <w:t>Model governance focuses on models</w:t>
      </w:r>
    </w:p>
    <w:p>
      <w:pPr>
        <w:pStyle w:val="ListBullet"/>
        <w:spacing w:after="56"/>
      </w:pPr>
      <w:r>
        <w:t>AI risk management focuses on organizational risk processes</w:t>
      </w:r>
    </w:p>
    <w:p>
      <w:pPr>
        <w:pStyle w:val="ListBullet"/>
        <w:spacing w:after="56"/>
      </w:pPr>
      <w:r>
        <w:t>Agent orchestration focuses on execution flow</w:t>
      </w:r>
    </w:p>
    <w:p>
      <w:pPr>
        <w:pStyle w:val="ListBullet"/>
        <w:spacing w:after="56"/>
      </w:pPr>
      <w:r>
        <w:t>Observability focuses on traces, metrics, and debugging</w:t>
      </w:r>
    </w:p>
    <w:p>
      <w:pPr>
        <w:pStyle w:val="ListBullet"/>
        <w:spacing w:after="56"/>
      </w:pPr>
      <w:r>
        <w:t>Human-in-the-loop focuses on review or approval moments</w:t>
      </w:r>
    </w:p>
    <w:p>
      <w:pPr>
        <w:spacing w:after="56"/>
      </w:pPr>
      <w:r>
        <w:t>None of these terms alone names the full lifecycle responsibility problem.</w:t>
      </w:r>
    </w:p>
    <w:p>
      <w:pPr>
        <w:spacing w:after="56"/>
      </w:pPr>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Pr>
        <w:spacing w:after="56"/>
      </w:pPr>
      <w:r>
        <w:t>Figure F-02 - Governance Stack / Missing Layer</w:t>
      </w:r>
    </w:p>
    <w:p>
      <w:pPr>
        <w:spacing w:after="56"/>
      </w:pPr>
      <w:r>
        <w:t>Model Governance -&gt; Agent Orchestration -&gt; AI Agent Lifecycle Governance -&gt; Enterprise Trust</w:t>
      </w:r>
    </w:p>
    <w:p>
      <w:pPr>
        <w:spacing w:after="56"/>
      </w:pPr>
      <w:r>
        <w:t>Figure F-02 shows the missing lifecycle governance layer between execution orchestration and enterprise trust. The figure is a conceptual governance model, not a certification path or legal compliance proof.</w:t>
      </w:r>
    </w:p>
    <w:p>
      <w:pPr>
        <w:pStyle w:val="Heading2"/>
      </w:pPr>
      <w:r>
        <w:t>2.2 Why Existing Terms Are Insufficient</w:t>
      </w:r>
    </w:p>
    <w:p>
      <w:pPr>
        <w:spacing w:after="56"/>
      </w:pPr>
      <w:r>
        <w:t>The table below shows how existing governance layers answer different questions and produce different artifacts. Each layer is necessary, but none alone addresses lifecycle responsibility for agentic work.</w:t>
      </w:r>
    </w:p>
    <w:p>
      <w:pPr>
        <w:keepNext/>
      </w:pPr>
      <w:r>
        <w:rPr>
          <w:b/>
          <w:sz w:val="16"/>
        </w:rPr>
        <w:t>Table T-02-01: Governance Layer Comparison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Question It Answers</w:t>
            </w:r>
          </w:p>
        </w:tc>
        <w:tc>
          <w:tcPr>
            <w:tcW w:type="dxa" w:w="2556"/>
          </w:tcPr>
          <w:p>
            <w:pPr>
              <w:spacing w:after="0"/>
            </w:pPr>
            <w:r>
              <w:rPr>
                <w:rFonts w:ascii="Arial" w:hAnsi="Arial"/>
                <w:b/>
                <w:sz w:val="14"/>
              </w:rPr>
              <w:t>Typical Artifact</w:t>
            </w:r>
          </w:p>
        </w:tc>
        <w:tc>
          <w:tcPr>
            <w:tcW w:type="dxa" w:w="2556"/>
          </w:tcPr>
          <w:p>
            <w:pPr>
              <w:spacing w:after="0"/>
            </w:pPr>
            <w:r>
              <w:rPr>
                <w:rFonts w:ascii="Arial" w:hAnsi="Arial"/>
                <w:b/>
                <w:sz w:val="14"/>
              </w:rPr>
              <w:t>Limitation if Used Alone</w:t>
            </w:r>
          </w:p>
        </w:tc>
      </w:tr>
      <w:tr>
        <w:tc>
          <w:tcPr>
            <w:tcW w:type="dxa" w:w="2556"/>
          </w:tcPr>
          <w:p>
            <w:pPr>
              <w:spacing w:after="0"/>
            </w:pPr>
            <w:r>
              <w:rPr>
                <w:rFonts w:ascii="Arial" w:hAnsi="Arial"/>
                <w:b w:val="0"/>
                <w:sz w:val="14"/>
              </w:rPr>
              <w:t>Model Governance</w:t>
            </w:r>
          </w:p>
        </w:tc>
        <w:tc>
          <w:tcPr>
            <w:tcW w:type="dxa" w:w="2556"/>
          </w:tcPr>
          <w:p>
            <w:pPr>
              <w:spacing w:after="0"/>
            </w:pPr>
            <w:r>
              <w:rPr>
                <w:rFonts w:ascii="Arial" w:hAnsi="Arial"/>
                <w:b w:val="0"/>
                <w:sz w:val="14"/>
              </w:rPr>
              <w:t>Is the model robust, documented, monitored, and aligned with policy?</w:t>
            </w:r>
          </w:p>
        </w:tc>
        <w:tc>
          <w:tcPr>
            <w:tcW w:type="dxa" w:w="2556"/>
          </w:tcPr>
          <w:p>
            <w:pPr>
              <w:spacing w:after="0"/>
            </w:pPr>
            <w:r>
              <w:rPr>
                <w:rFonts w:ascii="Arial" w:hAnsi="Arial"/>
                <w:b w:val="0"/>
                <w:sz w:val="14"/>
              </w:rPr>
              <w:t>Model cards, evaluations, risk assessments, monitoring reports</w:t>
            </w:r>
          </w:p>
        </w:tc>
        <w:tc>
          <w:tcPr>
            <w:tcW w:type="dxa" w:w="2556"/>
          </w:tcPr>
          <w:p>
            <w:pPr>
              <w:spacing w:after="0"/>
            </w:pPr>
            <w:r>
              <w:rPr>
                <w:rFonts w:ascii="Arial" w:hAnsi="Arial"/>
                <w:b w:val="0"/>
                <w:sz w:val="14"/>
              </w:rPr>
              <w:t>Does not prove lifecycle responsibility for agentic work</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How do agents, tools, state, and workflows execute?</w:t>
            </w:r>
          </w:p>
        </w:tc>
        <w:tc>
          <w:tcPr>
            <w:tcW w:type="dxa" w:w="2556"/>
          </w:tcPr>
          <w:p>
            <w:pPr>
              <w:spacing w:after="0"/>
            </w:pPr>
            <w:r>
              <w:rPr>
                <w:rFonts w:ascii="Arial" w:hAnsi="Arial"/>
                <w:b w:val="0"/>
                <w:sz w:val="14"/>
              </w:rPr>
              <w:t>Graphs, tasks, tools, handoffs, checkpoints</w:t>
            </w:r>
          </w:p>
        </w:tc>
        <w:tc>
          <w:tcPr>
            <w:tcW w:type="dxa" w:w="2556"/>
          </w:tcPr>
          <w:p>
            <w:pPr>
              <w:spacing w:after="0"/>
            </w:pPr>
            <w:r>
              <w:rPr>
                <w:rFonts w:ascii="Arial" w:hAnsi="Arial"/>
                <w:b w:val="0"/>
                <w:sz w:val="14"/>
              </w:rPr>
              <w:t>Does not by itself define legal or governance responsibility</w:t>
            </w:r>
          </w:p>
        </w:tc>
      </w:tr>
      <w:tr>
        <w:tc>
          <w:tcPr>
            <w:tcW w:type="dxa" w:w="2556"/>
          </w:tcPr>
          <w:p>
            <w:pPr>
              <w:spacing w:after="0"/>
            </w:pPr>
            <w:r>
              <w:rPr>
                <w:rFonts w:ascii="Arial" w:hAnsi="Arial"/>
                <w:b w:val="0"/>
                <w:sz w:val="14"/>
              </w:rPr>
              <w:t>Observability</w:t>
            </w:r>
          </w:p>
        </w:tc>
        <w:tc>
          <w:tcPr>
            <w:tcW w:type="dxa" w:w="2556"/>
          </w:tcPr>
          <w:p>
            <w:pPr>
              <w:spacing w:after="0"/>
            </w:pPr>
            <w:r>
              <w:rPr>
                <w:rFonts w:ascii="Arial" w:hAnsi="Arial"/>
                <w:b w:val="0"/>
                <w:sz w:val="14"/>
              </w:rPr>
              <w:t>What happened during execution?</w:t>
            </w:r>
          </w:p>
        </w:tc>
        <w:tc>
          <w:tcPr>
            <w:tcW w:type="dxa" w:w="2556"/>
          </w:tcPr>
          <w:p>
            <w:pPr>
              <w:spacing w:after="0"/>
            </w:pPr>
            <w:r>
              <w:rPr>
                <w:rFonts w:ascii="Arial" w:hAnsi="Arial"/>
                <w:b w:val="0"/>
                <w:sz w:val="14"/>
              </w:rPr>
              <w:t>Traces, logs, metrics, dashboards</w:t>
            </w:r>
          </w:p>
        </w:tc>
        <w:tc>
          <w:tcPr>
            <w:tcW w:type="dxa" w:w="2556"/>
          </w:tcPr>
          <w:p>
            <w:pPr>
              <w:spacing w:after="0"/>
            </w:pPr>
            <w:r>
              <w:rPr>
                <w:rFonts w:ascii="Arial" w:hAnsi="Arial"/>
                <w:b w:val="0"/>
                <w:sz w:val="14"/>
              </w:rPr>
              <w:t>Does not by itself prove authorization, acceptance, or dispute readiness</w:t>
            </w:r>
          </w:p>
        </w:tc>
      </w:tr>
      <w:tr>
        <w:tc>
          <w:tcPr>
            <w:tcW w:type="dxa" w:w="2556"/>
          </w:tcPr>
          <w:p>
            <w:pPr>
              <w:spacing w:after="0"/>
            </w:pPr>
            <w:r>
              <w:rPr>
                <w:rFonts w:ascii="Arial" w:hAnsi="Arial"/>
                <w:b w:val="0"/>
                <w:sz w:val="14"/>
              </w:rPr>
              <w:t>Human Review</w:t>
            </w:r>
          </w:p>
        </w:tc>
        <w:tc>
          <w:tcPr>
            <w:tcW w:type="dxa" w:w="2556"/>
          </w:tcPr>
          <w:p>
            <w:pPr>
              <w:spacing w:after="0"/>
            </w:pPr>
            <w:r>
              <w:rPr>
                <w:rFonts w:ascii="Arial" w:hAnsi="Arial"/>
                <w:b w:val="0"/>
                <w:sz w:val="14"/>
              </w:rPr>
              <w:t>Did a person approve, reject, or modify a step?</w:t>
            </w:r>
          </w:p>
        </w:tc>
        <w:tc>
          <w:tcPr>
            <w:tcW w:type="dxa" w:w="2556"/>
          </w:tcPr>
          <w:p>
            <w:pPr>
              <w:spacing w:after="0"/>
            </w:pPr>
            <w:r>
              <w:rPr>
                <w:rFonts w:ascii="Arial" w:hAnsi="Arial"/>
                <w:b w:val="0"/>
                <w:sz w:val="14"/>
              </w:rPr>
              <w:t>Approval UI, review event, interrupt</w:t>
            </w:r>
          </w:p>
        </w:tc>
        <w:tc>
          <w:tcPr>
            <w:tcW w:type="dxa" w:w="2556"/>
          </w:tcPr>
          <w:p>
            <w:pPr>
              <w:spacing w:after="0"/>
            </w:pPr>
            <w:r>
              <w:rPr>
                <w:rFonts w:ascii="Arial" w:hAnsi="Arial"/>
                <w:b w:val="0"/>
                <w:sz w:val="14"/>
              </w:rPr>
              <w:t>Does not by itself map human role to MAS responsibility</w:t>
            </w:r>
          </w:p>
        </w:tc>
      </w:tr>
      <w:tr>
        <w:tc>
          <w:tcPr>
            <w:tcW w:type="dxa" w:w="2556"/>
          </w:tcPr>
          <w:p>
            <w:pPr>
              <w:spacing w:after="0"/>
            </w:pPr>
            <w:r>
              <w:rPr>
                <w:rFonts w:ascii="Arial" w:hAnsi="Arial"/>
                <w:b w:val="0"/>
                <w:sz w:val="14"/>
              </w:rPr>
              <w:t>AI Agent Lifecycle Governance</w:t>
            </w:r>
          </w:p>
        </w:tc>
        <w:tc>
          <w:tcPr>
            <w:tcW w:type="dxa" w:w="2556"/>
          </w:tcPr>
          <w:p>
            <w:pPr>
              <w:spacing w:after="0"/>
            </w:pPr>
            <w:r>
              <w:rPr>
                <w:rFonts w:ascii="Arial" w:hAnsi="Arial"/>
                <w:b w:val="0"/>
                <w:sz w:val="14"/>
              </w:rPr>
              <w:t>How did intent become accepted outcome under responsibility, authority, privacy, evidence, and remediation controls?</w:t>
            </w:r>
          </w:p>
        </w:tc>
        <w:tc>
          <w:tcPr>
            <w:tcW w:type="dxa" w:w="2556"/>
          </w:tcPr>
          <w:p>
            <w:pPr>
              <w:spacing w:after="0"/>
            </w:pPr>
            <w:r>
              <w:rPr>
                <w:rFonts w:ascii="Arial" w:hAnsi="Arial"/>
                <w:b w:val="0"/>
                <w:sz w:val="14"/>
              </w:rPr>
              <w:t>Lifecycle responsibility objects, evidence packs, acceptance records, rulesets</w:t>
            </w:r>
          </w:p>
        </w:tc>
        <w:tc>
          <w:tcPr>
            <w:tcW w:type="dxa" w:w="2556"/>
          </w:tcPr>
          <w:p>
            <w:pPr>
              <w:spacing w:after="0"/>
            </w:pPr>
            <w:r>
              <w:rPr>
                <w:rFonts w:ascii="Arial" w:hAnsi="Arial"/>
                <w:b w:val="0"/>
                <w:sz w:val="14"/>
              </w:rPr>
              <w:t>Requires adoption across architecture and governance, not only tooling</w:t>
            </w:r>
          </w:p>
        </w:tc>
      </w:tr>
    </w:tbl>
    <w:p>
      <w:pPr>
        <w:pStyle w:val="Heading2"/>
      </w:pPr>
      <w:r>
        <w:t>2.3 The Core Move: Regulatory Abstractions to Lifecycle Objects</w:t>
      </w:r>
    </w:p>
    <w:p>
      <w:pPr>
        <w:spacing w:after="56"/>
      </w:pPr>
      <w:r>
        <w:t>The core move in this paper is to turn regulatory abstractions into lifecycle objects:</w:t>
      </w:r>
    </w:p>
    <w:p>
      <w:pPr>
        <w:pStyle w:val="ListBullet"/>
        <w:spacing w:after="56"/>
      </w:pPr>
      <w:r>
        <w:t>Human oversight becomes human-role-to-MAS responsibility mapping</w:t>
      </w:r>
    </w:p>
    <w:p>
      <w:pPr>
        <w:pStyle w:val="ListBullet"/>
        <w:spacing w:after="56"/>
      </w:pPr>
      <w:r>
        <w:t>Logging becomes partitioned evidence chain</w:t>
      </w:r>
    </w:p>
    <w:p>
      <w:pPr>
        <w:pStyle w:val="ListBullet"/>
        <w:spacing w:after="56"/>
      </w:pPr>
      <w:r>
        <w:t>Accountability becomes tool-action liability and responsibility transfer</w:t>
      </w:r>
    </w:p>
    <w:p>
      <w:pPr>
        <w:pStyle w:val="ListBullet"/>
        <w:spacing w:after="56"/>
      </w:pPr>
      <w:r>
        <w:t>Transparency becomes evidence-linked review and accepted outcome</w:t>
      </w:r>
    </w:p>
    <w:p>
      <w:pPr>
        <w:pStyle w:val="ListBullet"/>
        <w:spacing w:after="56"/>
      </w:pPr>
      <w:r>
        <w:t>Monitoring becomes authority drift detection, incident closure, and monitoring feedback</w:t>
      </w:r>
    </w:p>
    <w:p>
      <w:pPr>
        <w:pStyle w:val="ListBullet"/>
        <w:spacing w:after="56"/>
      </w:pPr>
      <w:r>
        <w:t>Privacy becomes lifecycle data-flow mapping, minimization, and selective disclosure</w:t>
      </w:r>
    </w:p>
    <w:p>
      <w:pPr>
        <w:spacing w:after="56"/>
      </w:pPr>
      <w:r>
        <w:t>This is not bureaucracy for its own sake. It is the recognition that agentic systems need explicit objects because the old system boundary has dissolved. The work unit is now distributed across agents, tools, memory, people, projects, and vendors.</w:t>
      </w:r>
    </w:p>
    <w:p>
      <w:pPr>
        <w:pStyle w:val="Heading2"/>
      </w:pPr>
      <w:r>
        <w:t>2.4 The Enterprise Implication</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1"/>
      </w:pPr>
      <w:r>
        <w:t>Chapter 3: Why Agentic AI Breaks Model-Centric Compliance</w:t>
      </w:r>
    </w:p>
    <w:p>
      <w:pPr>
        <w:spacing w:after="56"/>
      </w:pPr>
      <w:r>
        <w:t>Version: v0.3.2-FRC-R3</w:t>
      </w:r>
    </w:p>
    <w:p>
      <w:pPr>
        <w:pStyle w:val="Heading2"/>
      </w:pPr>
      <w:r>
        <w:t>3.1 The Unit of Risk Changes</w:t>
      </w:r>
    </w:p>
    <w:p>
      <w:pPr>
        <w:spacing w:after="56"/>
      </w:pPr>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Pr>
        <w:spacing w:after="56"/>
      </w:pPr>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Pr>
        <w:pStyle w:val="Heading2"/>
      </w:pPr>
      <w:r>
        <w:t>3.2 Model Governance Remains Necessary But Insufficient</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Pr>
        <w:spacing w:after="56"/>
      </w:pPr>
      <w:r>
        <w:t>This is why model governance must be treated as a foundation rather than the system boundary. Once a model is embedded inside a workflow, compliance must follow the work unit, not only the model artifact.</w:t>
      </w:r>
    </w:p>
    <w:p>
      <w:pPr>
        <w:pStyle w:val="Heading2"/>
      </w:pPr>
      <w:r>
        <w:t>3.3 Failure Mode Comparison</w:t>
      </w:r>
    </w:p>
    <w:p>
      <w:pPr>
        <w:spacing w:after="56"/>
      </w:pPr>
      <w:r>
        <w:t>The table below compares how failure modes manifest differently in model-centric systems versus agentic lifecycle systems.</w:t>
      </w:r>
    </w:p>
    <w:p>
      <w:pPr>
        <w:keepNext/>
      </w:pPr>
      <w:r>
        <w:rPr>
          <w:b/>
          <w:sz w:val="16"/>
        </w:rPr>
        <w:t>Table T-03-01: Failure Mode Comparison</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Failure Mode</w:t>
            </w:r>
          </w:p>
        </w:tc>
        <w:tc>
          <w:tcPr>
            <w:tcW w:type="dxa" w:w="3408"/>
          </w:tcPr>
          <w:p>
            <w:pPr>
              <w:spacing w:after="0"/>
            </w:pPr>
            <w:r>
              <w:rPr>
                <w:rFonts w:ascii="Arial" w:hAnsi="Arial"/>
                <w:b/>
                <w:sz w:val="14"/>
              </w:rPr>
              <w:t>Model-Centric View</w:t>
            </w:r>
          </w:p>
        </w:tc>
        <w:tc>
          <w:tcPr>
            <w:tcW w:type="dxa" w:w="3408"/>
          </w:tcPr>
          <w:p>
            <w:pPr>
              <w:spacing w:after="0"/>
            </w:pPr>
            <w:r>
              <w:rPr>
                <w:rFonts w:ascii="Arial" w:hAnsi="Arial"/>
                <w:b/>
                <w:sz w:val="14"/>
              </w:rPr>
              <w:t>Lifecycle Governance View</w:t>
            </w:r>
          </w:p>
        </w:tc>
      </w:tr>
      <w:tr>
        <w:tc>
          <w:tcPr>
            <w:tcW w:type="dxa" w:w="3408"/>
          </w:tcPr>
          <w:p>
            <w:pPr>
              <w:spacing w:after="0"/>
            </w:pPr>
            <w:r>
              <w:rPr>
                <w:rFonts w:ascii="Arial" w:hAnsi="Arial"/>
                <w:b w:val="0"/>
                <w:sz w:val="14"/>
              </w:rPr>
              <w:t>Wrong output</w:t>
            </w:r>
          </w:p>
        </w:tc>
        <w:tc>
          <w:tcPr>
            <w:tcW w:type="dxa" w:w="3408"/>
          </w:tcPr>
          <w:p>
            <w:pPr>
              <w:spacing w:after="0"/>
            </w:pPr>
            <w:r>
              <w:rPr>
                <w:rFonts w:ascii="Arial" w:hAnsi="Arial"/>
                <w:b w:val="0"/>
                <w:sz w:val="14"/>
              </w:rPr>
              <w:t>Model produced incorrect text</w:t>
            </w:r>
          </w:p>
        </w:tc>
        <w:tc>
          <w:tcPr>
            <w:tcW w:type="dxa" w:w="3408"/>
          </w:tcPr>
          <w:p>
            <w:pPr>
              <w:spacing w:after="0"/>
            </w:pPr>
            <w:r>
              <w:rPr>
                <w:rFonts w:ascii="Arial" w:hAnsi="Arial"/>
                <w:b w:val="0"/>
                <w:sz w:val="14"/>
              </w:rPr>
              <w:t>Was the output accepted, used, challenged, corrected, and evidenced?</w:t>
            </w:r>
          </w:p>
        </w:tc>
      </w:tr>
      <w:tr>
        <w:tc>
          <w:tcPr>
            <w:tcW w:type="dxa" w:w="3408"/>
          </w:tcPr>
          <w:p>
            <w:pPr>
              <w:spacing w:after="0"/>
            </w:pPr>
            <w:r>
              <w:rPr>
                <w:rFonts w:ascii="Arial" w:hAnsi="Arial"/>
                <w:b w:val="0"/>
                <w:sz w:val="14"/>
              </w:rPr>
              <w:t>Unauthorized tool action</w:t>
            </w:r>
          </w:p>
        </w:tc>
        <w:tc>
          <w:tcPr>
            <w:tcW w:type="dxa" w:w="3408"/>
          </w:tcPr>
          <w:p>
            <w:pPr>
              <w:spacing w:after="0"/>
            </w:pPr>
            <w:r>
              <w:rPr>
                <w:rFonts w:ascii="Arial" w:hAnsi="Arial"/>
                <w:b w:val="0"/>
                <w:sz w:val="14"/>
              </w:rPr>
              <w:t>Agent called an external API</w:t>
            </w:r>
          </w:p>
        </w:tc>
        <w:tc>
          <w:tcPr>
            <w:tcW w:type="dxa" w:w="3408"/>
          </w:tcPr>
          <w:p>
            <w:pPr>
              <w:spacing w:after="0"/>
            </w:pPr>
            <w:r>
              <w:rPr>
                <w:rFonts w:ascii="Arial" w:hAnsi="Arial"/>
                <w:b w:val="0"/>
                <w:sz w:val="14"/>
              </w:rPr>
              <w:t>Was the action inside delegated authority and tied to a responsible owner?</w:t>
            </w:r>
          </w:p>
        </w:tc>
      </w:tr>
      <w:tr>
        <w:tc>
          <w:tcPr>
            <w:tcW w:type="dxa" w:w="3408"/>
          </w:tcPr>
          <w:p>
            <w:pPr>
              <w:spacing w:after="0"/>
            </w:pPr>
            <w:r>
              <w:rPr>
                <w:rFonts w:ascii="Arial" w:hAnsi="Arial"/>
                <w:b w:val="0"/>
                <w:sz w:val="14"/>
              </w:rPr>
              <w:t>Agent handoff</w:t>
            </w:r>
          </w:p>
        </w:tc>
        <w:tc>
          <w:tcPr>
            <w:tcW w:type="dxa" w:w="3408"/>
          </w:tcPr>
          <w:p>
            <w:pPr>
              <w:spacing w:after="0"/>
            </w:pPr>
            <w:r>
              <w:rPr>
                <w:rFonts w:ascii="Arial" w:hAnsi="Arial"/>
                <w:b w:val="0"/>
                <w:sz w:val="14"/>
              </w:rPr>
              <w:t>A workflow routed work to another agent</w:t>
            </w:r>
          </w:p>
        </w:tc>
        <w:tc>
          <w:tcPr>
            <w:tcW w:type="dxa" w:w="3408"/>
          </w:tcPr>
          <w:p>
            <w:pPr>
              <w:spacing w:after="0"/>
            </w:pPr>
            <w:r>
              <w:rPr>
                <w:rFonts w:ascii="Arial" w:hAnsi="Arial"/>
                <w:b w:val="0"/>
                <w:sz w:val="14"/>
              </w:rPr>
              <w:t>Were constraints and responsibility explicitly transferred?</w:t>
            </w:r>
          </w:p>
        </w:tc>
      </w:tr>
      <w:tr>
        <w:tc>
          <w:tcPr>
            <w:tcW w:type="dxa" w:w="3408"/>
          </w:tcPr>
          <w:p>
            <w:pPr>
              <w:spacing w:after="0"/>
            </w:pPr>
            <w:r>
              <w:rPr>
                <w:rFonts w:ascii="Arial" w:hAnsi="Arial"/>
                <w:b w:val="0"/>
                <w:sz w:val="14"/>
              </w:rPr>
              <w:t>Human approval</w:t>
            </w:r>
          </w:p>
        </w:tc>
        <w:tc>
          <w:tcPr>
            <w:tcW w:type="dxa" w:w="3408"/>
          </w:tcPr>
          <w:p>
            <w:pPr>
              <w:spacing w:after="0"/>
            </w:pPr>
            <w:r>
              <w:rPr>
                <w:rFonts w:ascii="Arial" w:hAnsi="Arial"/>
                <w:b w:val="0"/>
                <w:sz w:val="14"/>
              </w:rPr>
              <w:t>A person clicked approve</w:t>
            </w:r>
          </w:p>
        </w:tc>
        <w:tc>
          <w:tcPr>
            <w:tcW w:type="dxa" w:w="3408"/>
          </w:tcPr>
          <w:p>
            <w:pPr>
              <w:spacing w:after="0"/>
            </w:pPr>
            <w:r>
              <w:rPr>
                <w:rFonts w:ascii="Arial" w:hAnsi="Arial"/>
                <w:b w:val="0"/>
                <w:sz w:val="14"/>
              </w:rPr>
              <w:t>Was that human role authorized for this outcome and did the evidence support acceptance?</w:t>
            </w:r>
          </w:p>
        </w:tc>
      </w:tr>
      <w:tr>
        <w:tc>
          <w:tcPr>
            <w:tcW w:type="dxa" w:w="3408"/>
          </w:tcPr>
          <w:p>
            <w:pPr>
              <w:spacing w:after="0"/>
            </w:pPr>
            <w:r>
              <w:rPr>
                <w:rFonts w:ascii="Arial" w:hAnsi="Arial"/>
                <w:b w:val="0"/>
                <w:sz w:val="14"/>
              </w:rPr>
              <w:t>Audit log</w:t>
            </w:r>
          </w:p>
        </w:tc>
        <w:tc>
          <w:tcPr>
            <w:tcW w:type="dxa" w:w="3408"/>
          </w:tcPr>
          <w:p>
            <w:pPr>
              <w:spacing w:after="0"/>
            </w:pPr>
            <w:r>
              <w:rPr>
                <w:rFonts w:ascii="Arial" w:hAnsi="Arial"/>
                <w:b w:val="0"/>
                <w:sz w:val="14"/>
              </w:rPr>
              <w:t>System stored events</w:t>
            </w:r>
          </w:p>
        </w:tc>
        <w:tc>
          <w:tcPr>
            <w:tcW w:type="dxa" w:w="3408"/>
          </w:tcPr>
          <w:p>
            <w:pPr>
              <w:spacing w:after="0"/>
            </w:pPr>
            <w:r>
              <w:rPr>
                <w:rFonts w:ascii="Arial" w:hAnsi="Arial"/>
                <w:b w:val="0"/>
                <w:sz w:val="14"/>
              </w:rPr>
              <w:t>Can evidence be reconstructed across agents, tools, privacy boundaries, and plan versions?</w:t>
            </w:r>
          </w:p>
        </w:tc>
      </w:tr>
      <w:tr>
        <w:tc>
          <w:tcPr>
            <w:tcW w:type="dxa" w:w="3408"/>
          </w:tcPr>
          <w:p>
            <w:pPr>
              <w:spacing w:after="0"/>
            </w:pPr>
            <w:r>
              <w:rPr>
                <w:rFonts w:ascii="Arial" w:hAnsi="Arial"/>
                <w:b w:val="0"/>
                <w:sz w:val="14"/>
              </w:rPr>
              <w:t>Privacy issue</w:t>
            </w:r>
          </w:p>
        </w:tc>
        <w:tc>
          <w:tcPr>
            <w:tcW w:type="dxa" w:w="3408"/>
          </w:tcPr>
          <w:p>
            <w:pPr>
              <w:spacing w:after="0"/>
            </w:pPr>
            <w:r>
              <w:rPr>
                <w:rFonts w:ascii="Arial" w:hAnsi="Arial"/>
                <w:b w:val="0"/>
                <w:sz w:val="14"/>
              </w:rPr>
              <w:t>Database contained personal data</w:t>
            </w:r>
          </w:p>
        </w:tc>
        <w:tc>
          <w:tcPr>
            <w:tcW w:type="dxa" w:w="3408"/>
          </w:tcPr>
          <w:p>
            <w:pPr>
              <w:spacing w:after="0"/>
            </w:pPr>
            <w:r>
              <w:rPr>
                <w:rFonts w:ascii="Arial" w:hAnsi="Arial"/>
                <w:b w:val="0"/>
                <w:sz w:val="14"/>
              </w:rPr>
              <w:t>Did personal data flow through prompts, memory, tools, traces, and evidence packs under purpose limitation?</w:t>
            </w:r>
          </w:p>
        </w:tc>
      </w:tr>
    </w:tbl>
    <w:p>
      <w:pPr>
        <w:pStyle w:val="Heading2"/>
      </w:pPr>
      <w:r>
        <w:t>3.4 Why Well-Evaluated Agents Can Still Fail Governance</w:t>
      </w:r>
    </w:p>
    <w:p>
      <w:pPr>
        <w:spacing w:after="56"/>
      </w:pPr>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3.5 The Compliance Question Changes</w:t>
      </w:r>
    </w:p>
    <w:p>
      <w:pPr>
        <w:spacing w:after="56"/>
      </w:pPr>
      <w:r>
        <w:t>The central compliance question is changing:</w:t>
      </w:r>
    </w:p>
    <w:p>
      <w:pPr>
        <w:pStyle w:val="ListBullet"/>
        <w:spacing w:after="56"/>
      </w:pPr>
      <w:r>
        <w:t>Model-centric question: Did the model produce a safe output?</w:t>
      </w:r>
    </w:p>
    <w:p>
      <w:pPr>
        <w:pStyle w:val="ListBullet"/>
        <w:spacing w:after="56"/>
      </w:pPr>
      <w:r>
        <w:t>Agentic lifecycle question: Was an agentic unit of work authorized, executed, evidenced, reviewed, accepted, disputed, remediated, and improved under controlled authority, evidence, privacy, and remediation constraints?</w:t>
      </w:r>
    </w:p>
    <w:p>
      <w:pPr>
        <w:spacing w:after="56"/>
      </w:pPr>
      <w:r>
        <w:t>This shift changes the compliance question. The test is no longer only whether the model output was safe, but whether the unit of agentic work can be shown to have moved from intent to accepted outcome under controlled authority, evidence, privacy, and remediation constraints.</w:t>
      </w:r>
    </w:p>
    <w:p>
      <w:pPr>
        <w:spacing w:after="56"/>
      </w:pPr>
      <w:r>
        <w:t>The next chapter therefore turns to the regulatory and standards baseline: what existing frameworks already require, and where agentic lifecycle objects are still needed.</w:t>
      </w:r>
    </w:p>
    <w:p>
      <w:pPr>
        <w:pStyle w:val="Heading1"/>
      </w:pPr>
      <w:r>
        <w:t>Chapter 4: Regulatory and Standards Baseline</w:t>
      </w:r>
    </w:p>
    <w:p>
      <w:pPr>
        <w:spacing w:after="56"/>
      </w:pPr>
      <w:r>
        <w:t>Version: v0.3.2-FRC-R3</w:t>
      </w:r>
    </w:p>
    <w:p>
      <w:pPr>
        <w:pStyle w:val="Heading2"/>
      </w:pPr>
      <w:r>
        <w:t>4.1 Purpose of the Baseline</w:t>
      </w:r>
    </w:p>
    <w:p>
      <w:pPr>
        <w:spacing w:after="56"/>
      </w:pPr>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Pr>
        <w:spacing w:after="56"/>
      </w:pPr>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Pr>
        <w:spacing w:after="56"/>
      </w:pPr>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Pr>
        <w:spacing w:after="56"/>
      </w:pPr>
      <w:r>
        <w:t>This distinction is the bridge to the paper's scoring model. Existing regulation supplies risk, accountability, transparency, oversight, privacy, record-keeping, and monitoring language. It does not consistently define the lifecycle responsibility objects needed by agentic and multi-agent systems. RCCS-T therefore measures traditional regulatory coverage, while later chapters introduce MROs and RCCS-M to ask whether that coverage can be expressed through lifecycle responsibility objects.</w:t>
      </w:r>
    </w:p>
    <w:p>
      <w:pPr>
        <w:pStyle w:val="Heading2"/>
      </w:pPr>
      <w:r>
        <w:t>4.2 Regulatory Frameworks Baseline Table</w:t>
      </w:r>
    </w:p>
    <w:p>
      <w:pPr>
        <w:spacing w:after="56"/>
      </w:pPr>
      <w:r>
        <w:t>The table below summarizes the frameworks analyzed in this chapter, their type, relevant requirements, and the agentic gap that remains.</w:t>
      </w:r>
    </w:p>
    <w:p>
      <w:pPr>
        <w:keepNext/>
      </w:pPr>
      <w:r>
        <w:rPr>
          <w:b/>
          <w:sz w:val="16"/>
        </w:rPr>
        <w:t>Table T-04-01: Regulatory Frameworks Baseline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Framework</w:t>
            </w:r>
          </w:p>
        </w:tc>
        <w:tc>
          <w:tcPr>
            <w:tcW w:type="dxa" w:w="2556"/>
          </w:tcPr>
          <w:p>
            <w:pPr>
              <w:spacing w:after="0"/>
            </w:pPr>
            <w:r>
              <w:rPr>
                <w:rFonts w:ascii="Arial" w:hAnsi="Arial"/>
                <w:b/>
                <w:sz w:val="14"/>
              </w:rPr>
              <w:t>Type</w:t>
            </w:r>
          </w:p>
        </w:tc>
        <w:tc>
          <w:tcPr>
            <w:tcW w:type="dxa" w:w="2556"/>
          </w:tcPr>
          <w:p>
            <w:pPr>
              <w:spacing w:after="0"/>
            </w:pPr>
            <w:r>
              <w:rPr>
                <w:rFonts w:ascii="Arial" w:hAnsi="Arial"/>
                <w:b/>
                <w:sz w:val="14"/>
              </w:rPr>
              <w:t>Relevant Requirements</w:t>
            </w:r>
          </w:p>
        </w:tc>
        <w:tc>
          <w:tcPr>
            <w:tcW w:type="dxa" w:w="2556"/>
          </w:tcPr>
          <w:p>
            <w:pPr>
              <w:spacing w:after="0"/>
            </w:pPr>
            <w:r>
              <w:rPr>
                <w:rFonts w:ascii="Arial" w:hAnsi="Arial"/>
                <w:b/>
                <w:sz w:val="14"/>
              </w:rPr>
              <w:t>Agentic Gap</w:t>
            </w:r>
          </w:p>
        </w:tc>
      </w:tr>
      <w:tr>
        <w:tc>
          <w:tcPr>
            <w:tcW w:type="dxa" w:w="2556"/>
          </w:tcPr>
          <w:p>
            <w:pPr>
              <w:spacing w:after="0"/>
            </w:pPr>
            <w:r>
              <w:rPr>
                <w:rFonts w:ascii="Arial" w:hAnsi="Arial"/>
                <w:b w:val="0"/>
                <w:sz w:val="14"/>
              </w:rPr>
              <w:t>EU AI Act</w:t>
            </w:r>
          </w:p>
        </w:tc>
        <w:tc>
          <w:tcPr>
            <w:tcW w:type="dxa" w:w="2556"/>
          </w:tcPr>
          <w:p>
            <w:pPr>
              <w:spacing w:after="0"/>
            </w:pPr>
            <w:r>
              <w:rPr>
                <w:rFonts w:ascii="Arial" w:hAnsi="Arial"/>
                <w:b w:val="0"/>
                <w:sz w:val="14"/>
              </w:rPr>
              <w:t>Binding regulation</w:t>
            </w:r>
          </w:p>
        </w:tc>
        <w:tc>
          <w:tcPr>
            <w:tcW w:type="dxa" w:w="2556"/>
          </w:tcPr>
          <w:p>
            <w:pPr>
              <w:spacing w:after="0"/>
            </w:pPr>
            <w:r>
              <w:rPr>
                <w:rFonts w:ascii="Arial" w:hAnsi="Arial"/>
                <w:b w:val="0"/>
                <w:sz w:val="14"/>
              </w:rPr>
              <w:t>Technical documentation, record-keeping, transparency, human oversight, accuracy/robustness/cybersecurity, post-market monitoring</w:t>
            </w:r>
          </w:p>
        </w:tc>
        <w:tc>
          <w:tcPr>
            <w:tcW w:type="dxa" w:w="2556"/>
          </w:tcPr>
          <w:p>
            <w:pPr>
              <w:spacing w:after="0"/>
            </w:pPr>
            <w:r>
              <w:rPr>
                <w:rFonts w:ascii="Arial" w:hAnsi="Arial"/>
                <w:b w:val="0"/>
                <w:sz w:val="14"/>
              </w:rPr>
              <w:t>Strong legal baseline for high-risk systems; does not itself define MAS responsibility-transfer object models</w:t>
            </w:r>
          </w:p>
        </w:tc>
      </w:tr>
      <w:tr>
        <w:tc>
          <w:tcPr>
            <w:tcW w:type="dxa" w:w="2556"/>
          </w:tcPr>
          <w:p>
            <w:pPr>
              <w:spacing w:after="0"/>
            </w:pPr>
            <w:r>
              <w:rPr>
                <w:rFonts w:ascii="Arial" w:hAnsi="Arial"/>
                <w:b w:val="0"/>
                <w:sz w:val="14"/>
              </w:rPr>
              <w:t>GDPR</w:t>
            </w:r>
          </w:p>
        </w:tc>
        <w:tc>
          <w:tcPr>
            <w:tcW w:type="dxa" w:w="2556"/>
          </w:tcPr>
          <w:p>
            <w:pPr>
              <w:spacing w:after="0"/>
            </w:pPr>
            <w:r>
              <w:rPr>
                <w:rFonts w:ascii="Arial" w:hAnsi="Arial"/>
                <w:b w:val="0"/>
                <w:sz w:val="14"/>
              </w:rPr>
              <w:t>Binding privacy regulation</w:t>
            </w:r>
          </w:p>
        </w:tc>
        <w:tc>
          <w:tcPr>
            <w:tcW w:type="dxa" w:w="2556"/>
          </w:tcPr>
          <w:p>
            <w:pPr>
              <w:spacing w:after="0"/>
            </w:pPr>
            <w:r>
              <w:rPr>
                <w:rFonts w:ascii="Arial" w:hAnsi="Arial"/>
                <w:b w:val="0"/>
                <w:sz w:val="14"/>
              </w:rPr>
              <w:t>Lawfulness, fairness, transparency, purpose limitation, minimization, storage limitation, integrity/confidentiality, accountability</w:t>
            </w:r>
          </w:p>
        </w:tc>
        <w:tc>
          <w:tcPr>
            <w:tcW w:type="dxa" w:w="2556"/>
          </w:tcPr>
          <w:p>
            <w:pPr>
              <w:spacing w:after="0"/>
            </w:pPr>
            <w:r>
              <w:rPr>
                <w:rFonts w:ascii="Arial" w:hAnsi="Arial"/>
                <w:b w:val="0"/>
                <w:sz w:val="14"/>
              </w:rPr>
              <w:t>Applies strongly to agentic memory, prompt payloads, traces, evidence packs, and cross-project reuse; lifecycle mapping remains an engineering task</w:t>
            </w:r>
          </w:p>
        </w:tc>
      </w:tr>
      <w:tr>
        <w:tc>
          <w:tcPr>
            <w:tcW w:type="dxa" w:w="2556"/>
          </w:tcPr>
          <w:p>
            <w:pPr>
              <w:spacing w:after="0"/>
            </w:pPr>
            <w:r>
              <w:rPr>
                <w:rFonts w:ascii="Arial" w:hAnsi="Arial"/>
                <w:b w:val="0"/>
                <w:sz w:val="14"/>
              </w:rPr>
              <w:t>NIST AI RMF 1.0</w:t>
            </w:r>
          </w:p>
        </w:tc>
        <w:tc>
          <w:tcPr>
            <w:tcW w:type="dxa" w:w="2556"/>
          </w:tcPr>
          <w:p>
            <w:pPr>
              <w:spacing w:after="0"/>
            </w:pPr>
            <w:r>
              <w:rPr>
                <w:rFonts w:ascii="Arial" w:hAnsi="Arial"/>
                <w:b w:val="0"/>
                <w:sz w:val="14"/>
              </w:rPr>
              <w:t>Voluntary risk framework</w:t>
            </w:r>
          </w:p>
        </w:tc>
        <w:tc>
          <w:tcPr>
            <w:tcW w:type="dxa" w:w="2556"/>
          </w:tcPr>
          <w:p>
            <w:pPr>
              <w:spacing w:after="0"/>
            </w:pPr>
            <w:r>
              <w:rPr>
                <w:rFonts w:ascii="Arial" w:hAnsi="Arial"/>
                <w:b w:val="0"/>
                <w:sz w:val="14"/>
              </w:rPr>
              <w:t>Govern, Map, Measure, Manage functions across the AI lifecycle</w:t>
            </w:r>
          </w:p>
        </w:tc>
        <w:tc>
          <w:tcPr>
            <w:tcW w:type="dxa" w:w="2556"/>
          </w:tcPr>
          <w:p>
            <w:pPr>
              <w:spacing w:after="0"/>
            </w:pPr>
            <w:r>
              <w:rPr>
                <w:rFonts w:ascii="Arial" w:hAnsi="Arial"/>
                <w:b w:val="0"/>
                <w:sz w:val="14"/>
              </w:rPr>
              <w:t>Excellent risk-management umbrella; intentionally not a MAS protocol or delegated-authority object model</w:t>
            </w:r>
          </w:p>
        </w:tc>
      </w:tr>
      <w:tr>
        <w:tc>
          <w:tcPr>
            <w:tcW w:type="dxa" w:w="2556"/>
          </w:tcPr>
          <w:p>
            <w:pPr>
              <w:spacing w:after="0"/>
            </w:pPr>
            <w:r>
              <w:rPr>
                <w:rFonts w:ascii="Arial" w:hAnsi="Arial"/>
                <w:b w:val="0"/>
                <w:sz w:val="14"/>
              </w:rPr>
              <w:t>ISO/IEC 42001</w:t>
            </w:r>
          </w:p>
        </w:tc>
        <w:tc>
          <w:tcPr>
            <w:tcW w:type="dxa" w:w="2556"/>
          </w:tcPr>
          <w:p>
            <w:pPr>
              <w:spacing w:after="0"/>
            </w:pPr>
            <w:r>
              <w:rPr>
                <w:rFonts w:ascii="Arial" w:hAnsi="Arial"/>
                <w:b w:val="0"/>
                <w:sz w:val="14"/>
              </w:rPr>
              <w:t>Management system standard</w:t>
            </w:r>
          </w:p>
        </w:tc>
        <w:tc>
          <w:tcPr>
            <w:tcW w:type="dxa" w:w="2556"/>
          </w:tcPr>
          <w:p>
            <w:pPr>
              <w:spacing w:after="0"/>
            </w:pPr>
            <w:r>
              <w:rPr>
                <w:rFonts w:ascii="Arial" w:hAnsi="Arial"/>
                <w:b w:val="0"/>
                <w:sz w:val="14"/>
              </w:rPr>
              <w:t>AIMS requirements for establishing, implementing, maintaining, and improving AI management systems</w:t>
            </w:r>
          </w:p>
        </w:tc>
        <w:tc>
          <w:tcPr>
            <w:tcW w:type="dxa" w:w="2556"/>
          </w:tcPr>
          <w:p>
            <w:pPr>
              <w:spacing w:after="0"/>
            </w:pPr>
            <w:r>
              <w:rPr>
                <w:rFonts w:ascii="Arial" w:hAnsi="Arial"/>
                <w:b w:val="0"/>
                <w:sz w:val="14"/>
              </w:rPr>
              <w:t>Supports organizational governance; needs technical lifecycle evidence objects for agentic execution</w:t>
            </w:r>
          </w:p>
        </w:tc>
      </w:tr>
      <w:tr>
        <w:tc>
          <w:tcPr>
            <w:tcW w:type="dxa" w:w="2556"/>
          </w:tcPr>
          <w:p>
            <w:pPr>
              <w:spacing w:after="0"/>
            </w:pPr>
            <w:r>
              <w:rPr>
                <w:rFonts w:ascii="Arial" w:hAnsi="Arial"/>
                <w:b w:val="0"/>
                <w:sz w:val="14"/>
              </w:rPr>
              <w:t>Singapore IMDA Model AI Governance Framework for Agentic AI</w:t>
            </w:r>
          </w:p>
        </w:tc>
        <w:tc>
          <w:tcPr>
            <w:tcW w:type="dxa" w:w="2556"/>
          </w:tcPr>
          <w:p>
            <w:pPr>
              <w:spacing w:after="0"/>
            </w:pPr>
            <w:r>
              <w:rPr>
                <w:rFonts w:ascii="Arial" w:hAnsi="Arial"/>
                <w:b w:val="0"/>
                <w:sz w:val="14"/>
              </w:rPr>
              <w:t>Voluntary governance framework</w:t>
            </w:r>
          </w:p>
        </w:tc>
        <w:tc>
          <w:tcPr>
            <w:tcW w:type="dxa" w:w="2556"/>
          </w:tcPr>
          <w:p>
            <w:pPr>
              <w:spacing w:after="0"/>
            </w:pPr>
            <w:r>
              <w:rPr>
                <w:rFonts w:ascii="Arial" w:hAnsi="Arial"/>
                <w:b w:val="0"/>
                <w:sz w:val="14"/>
              </w:rPr>
              <w:t>Assessing and bounding risks upfront; making humans meaningfully accountable; implementing technical controls and processes; enabling end-user responsibility</w:t>
            </w:r>
          </w:p>
        </w:tc>
        <w:tc>
          <w:tcPr>
            <w:tcW w:type="dxa" w:w="2556"/>
          </w:tcPr>
          <w:p>
            <w:pPr>
              <w:spacing w:after="0"/>
            </w:pPr>
            <w:r>
              <w:rPr>
                <w:rFonts w:ascii="Arial" w:hAnsi="Arial"/>
                <w:b w:val="0"/>
                <w:sz w:val="14"/>
              </w:rPr>
              <w:t>Strong agentic governance signal; voluntary framework rather than protocol schema, certification, or binding law</w:t>
            </w:r>
          </w:p>
        </w:tc>
      </w:tr>
      <w:tr>
        <w:tc>
          <w:tcPr>
            <w:tcW w:type="dxa" w:w="2556"/>
          </w:tcPr>
          <w:p>
            <w:pPr>
              <w:spacing w:after="0"/>
            </w:pPr>
            <w:r>
              <w:rPr>
                <w:rFonts w:ascii="Arial" w:hAnsi="Arial"/>
                <w:b w:val="0"/>
                <w:sz w:val="14"/>
              </w:rPr>
              <w:t>W3C PROV / Verifiable Credentials</w:t>
            </w:r>
          </w:p>
        </w:tc>
        <w:tc>
          <w:tcPr>
            <w:tcW w:type="dxa" w:w="2556"/>
          </w:tcPr>
          <w:p>
            <w:pPr>
              <w:spacing w:after="0"/>
            </w:pPr>
            <w:r>
              <w:rPr>
                <w:rFonts w:ascii="Arial" w:hAnsi="Arial"/>
                <w:b w:val="0"/>
                <w:sz w:val="14"/>
              </w:rPr>
              <w:t>Web provenance and credential standards</w:t>
            </w:r>
          </w:p>
        </w:tc>
        <w:tc>
          <w:tcPr>
            <w:tcW w:type="dxa" w:w="2556"/>
          </w:tcPr>
          <w:p>
            <w:pPr>
              <w:spacing w:after="0"/>
            </w:pPr>
            <w:r>
              <w:rPr>
                <w:rFonts w:ascii="Arial" w:hAnsi="Arial"/>
                <w:b w:val="0"/>
                <w:sz w:val="14"/>
              </w:rPr>
              <w:t>Provenance of entities, activities, agents; tamper-evident machine-verifiable claims</w:t>
            </w:r>
          </w:p>
        </w:tc>
        <w:tc>
          <w:tcPr>
            <w:tcW w:type="dxa" w:w="2556"/>
          </w:tcPr>
          <w:p>
            <w:pPr>
              <w:spacing w:after="0"/>
            </w:pPr>
            <w:r>
              <w:rPr>
                <w:rFonts w:ascii="Arial" w:hAnsi="Arial"/>
                <w:b w:val="0"/>
                <w:sz w:val="14"/>
              </w:rPr>
              <w:t>Useful foundation for evidence chain, selective disclosure, and third-party validation; not agent governance by itself</w:t>
            </w:r>
          </w:p>
        </w:tc>
      </w:tr>
      <w:tr>
        <w:tc>
          <w:tcPr>
            <w:tcW w:type="dxa" w:w="2556"/>
          </w:tcPr>
          <w:p>
            <w:pPr>
              <w:spacing w:after="0"/>
            </w:pPr>
            <w:r>
              <w:rPr>
                <w:rFonts w:ascii="Arial" w:hAnsi="Arial"/>
                <w:b w:val="0"/>
                <w:sz w:val="14"/>
              </w:rPr>
              <w:t>Colorado AI Act (SB24-205 / SB25B-004)</w:t>
            </w:r>
          </w:p>
        </w:tc>
        <w:tc>
          <w:tcPr>
            <w:tcW w:type="dxa" w:w="2556"/>
          </w:tcPr>
          <w:p>
            <w:pPr>
              <w:spacing w:after="0"/>
            </w:pPr>
            <w:r>
              <w:rPr>
                <w:rFonts w:ascii="Arial" w:hAnsi="Arial"/>
                <w:b w:val="0"/>
                <w:sz w:val="14"/>
              </w:rPr>
              <w:t>U.S. state law sample; not yet effective at 2026-05-07 snapshot</w:t>
            </w:r>
          </w:p>
        </w:tc>
        <w:tc>
          <w:tcPr>
            <w:tcW w:type="dxa" w:w="2556"/>
          </w:tcPr>
          <w:p>
            <w:pPr>
              <w:spacing w:after="0"/>
            </w:pPr>
            <w:r>
              <w:rPr>
                <w:rFonts w:ascii="Arial" w:hAnsi="Arial"/>
                <w:b w:val="0"/>
                <w:sz w:val="14"/>
              </w:rPr>
              <w:t>Consumer protections for high-risk AI systems; effective date extended to 2026-06-30 by SB25B-004</w:t>
            </w:r>
          </w:p>
        </w:tc>
        <w:tc>
          <w:tcPr>
            <w:tcW w:type="dxa" w:w="2556"/>
          </w:tcPr>
          <w:p>
            <w:pPr>
              <w:spacing w:after="0"/>
            </w:pPr>
            <w:r>
              <w:rPr>
                <w:rFonts w:ascii="Arial" w:hAnsi="Arial"/>
                <w:b w:val="0"/>
                <w:sz w:val="14"/>
              </w:rPr>
              <w:t>Useful state-level signal for algorithmic accountability; should be treated as forward-looking in this paper, not as an active effective-law baseline at the snapshot date</w:t>
            </w:r>
          </w:p>
        </w:tc>
      </w:tr>
    </w:tbl>
    <w:p>
      <w:pPr>
        <w:pStyle w:val="Heading2"/>
      </w:pPr>
      <w:r>
        <w:t>4.3 EU AI Act</w:t>
      </w:r>
    </w:p>
    <w:p>
      <w:pPr>
        <w:spacing w:after="56"/>
      </w:pPr>
      <w:r>
        <w:t>[EU-AI-ACT-ART-11] [EU-AI-ACT-ART-12] [EU-AI-ACT-ART-14] [EU-AI-ACT-ART-15] [EU-AI-ACT-ART-72]</w:t>
      </w:r>
    </w:p>
    <w:p>
      <w:pPr>
        <w:spacing w:after="56"/>
      </w:pPr>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Pr>
        <w:spacing w:after="56"/>
      </w:pPr>
      <w:r>
        <w:t>What it contributes: Strong legal baseline for high-risk systems; binding direction around technical documentation, record-keeping, human oversight, and post-market monitoring.</w:t>
      </w:r>
    </w:p>
    <w:p>
      <w:pPr>
        <w:spacing w:after="56"/>
      </w:pPr>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Pr>
        <w:spacing w:after="56"/>
      </w:pPr>
      <w:r>
        <w:t>What it does not define (the agentic gap): The framework does not itself define MAS responsibility-transfer object models.</w:t>
      </w:r>
    </w:p>
    <w:p>
      <w:pPr>
        <w:spacing w:after="56"/>
      </w:pPr>
      <w:r>
        <w:t>How it connects to lifecycle objects: The EU AI Act establishes binding direction around technical documentation, record-keeping, human oversight, and post-market monitoring. In agentic workflows, those obligations need lifecycle evidence boundaries: which agent or human role acted, which authority applied, which logs support the action, how oversight occurred, and how post-market monitoring reaches the workflow state rather than only the model artifact.</w:t>
      </w:r>
    </w:p>
    <w:p>
      <w:pPr>
        <w:pStyle w:val="Heading2"/>
      </w:pPr>
      <w:r>
        <w:t>4.4 GDPR</w:t>
      </w:r>
    </w:p>
    <w:p>
      <w:pPr>
        <w:spacing w:after="56"/>
      </w:pPr>
      <w:r>
        <w:t>[GDPR-ART-5]</w:t>
      </w:r>
    </w:p>
    <w:p>
      <w:pPr>
        <w:spacing w:after="56"/>
      </w:pPr>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Pr>
        <w:spacing w:after="56"/>
      </w:pPr>
      <w:r>
        <w:t>What it contributes: Binding privacy regulation with strong requirements for lawfulness, fairness, transparency, purpose limitation, minimization, storage limitation, integrity, confidentiality, and accountability.</w:t>
      </w:r>
    </w:p>
    <w:p>
      <w:pPr>
        <w:spacing w:after="56"/>
      </w:pPr>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Pr>
        <w:spacing w:after="56"/>
      </w:pPr>
      <w:r>
        <w:t>What it does not define (the agentic gap): Lifecycle mapping remains an engineering task.</w:t>
      </w:r>
    </w:p>
    <w:p>
      <w:pPr>
        <w:spacing w:after="56"/>
      </w:pPr>
      <w:r>
        <w:t>How it connects to lifecycle objects: GDPR pushes the lifecycle question into data flow. Privacy controls must follow prompts, memory, retrieval context, tool payloads, traces, evidence packs, redaction profiles, and validation artifacts. A lifecycle object model makes those flows reviewable without treating a database policy or privacy notice as the whole control surface.</w:t>
      </w:r>
    </w:p>
    <w:p>
      <w:pPr>
        <w:pStyle w:val="Heading2"/>
      </w:pPr>
      <w:r>
        <w:t>4.5 NIST AI RMF 1.0</w:t>
      </w:r>
    </w:p>
    <w:p>
      <w:pPr>
        <w:spacing w:after="56"/>
      </w:pPr>
      <w:r>
        <w:t>[NIST-AI-RMF-1.0]</w:t>
      </w:r>
    </w:p>
    <w:p>
      <w:pPr>
        <w:spacing w:after="56"/>
      </w:pPr>
      <w:r>
        <w:t>NIST AI RMF 1.0 functions in this paper as voluntary risk framework. Its relevance to agentic lifecycle conformance comes from the following requirement cluster: Govern, Map, Measure, Manage functions across the AI lifecycle.</w:t>
      </w:r>
    </w:p>
    <w:p>
      <w:pPr>
        <w:spacing w:after="56"/>
      </w:pPr>
      <w:r>
        <w:t>What it contributes: Excellent risk-management umbrella covering Govern, Map, Measure, and Manage functions across the AI lifecycle.</w:t>
      </w:r>
    </w:p>
    <w:p>
      <w:pPr>
        <w:spacing w:after="56"/>
      </w:pPr>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Pr>
        <w:spacing w:after="56"/>
      </w:pPr>
      <w:r>
        <w:t>What it does not define (the agentic gap): Intentionally not a MAS protocol or delegated-authority object model.</w:t>
      </w:r>
    </w:p>
    <w:p>
      <w:pPr>
        <w:spacing w:after="56"/>
      </w:pPr>
      <w:r>
        <w:t>How it connects to lifecycle objects: NIST AI RMF supplies the risk-management frame; agentic execution needs the frame to bind to action classes, delegated authority, evidence sufficiency, monitoring triggers, remediation records, and accepted-outcome review. Lifecycle objects make the Govern, Map, Measure, and Manage functions concrete inside multi-step workflows.</w:t>
      </w:r>
    </w:p>
    <w:p>
      <w:pPr>
        <w:pStyle w:val="Heading2"/>
      </w:pPr>
      <w:r>
        <w:t>4.6 ISO/IEC 42001</w:t>
      </w:r>
    </w:p>
    <w:p>
      <w:pPr>
        <w:spacing w:after="56"/>
      </w:pPr>
      <w:r>
        <w:t>[ISO-IEC-42001]</w:t>
      </w:r>
    </w:p>
    <w:p>
      <w:pPr>
        <w:spacing w:after="56"/>
      </w:pPr>
      <w:r>
        <w:t>ISO/IEC 42001 functions in this paper as management system standard. Its relevance to agentic lifecycle conformance comes from the following requirement cluster: AIMS requirements for establishing, implementing, maintaining, and improving AI management systems.</w:t>
      </w:r>
    </w:p>
    <w:p>
      <w:pPr>
        <w:spacing w:after="56"/>
      </w:pPr>
      <w:r>
        <w:t>What it contributes: Management system standard for AI governance; provides organizational structure for AI governance programs.</w:t>
      </w:r>
    </w:p>
    <w:p>
      <w:pPr>
        <w:spacing w:after="56"/>
      </w:pPr>
      <w:r>
        <w:t>Why it matters for agentic AI: Establishes organizational governance requirements that apply to agentic systems. Organizational governance must be supported by technical lifecycle objects that prove governance was enforced at execution boundaries.</w:t>
      </w:r>
    </w:p>
    <w:p>
      <w:pPr>
        <w:spacing w:after="56"/>
      </w:pPr>
      <w:r>
        <w:t>What it does not define (the agentic gap): Needs technical lifecycle evidence objects for agentic execution.</w:t>
      </w:r>
    </w:p>
    <w:p>
      <w:pPr>
        <w:spacing w:after="56"/>
      </w:pPr>
      <w:r>
        <w:t>How it connects to lifecycle objects: ISO/IEC 42001 can organize the management system around AI governance, but agentic systems still need execution-level evidence objects. The management system needs records that show where policy, responsibility, authorization, monitoring, correction, and improvement were enforced in the actual agentic lifecycle.</w:t>
      </w:r>
    </w:p>
    <w:p>
      <w:pPr>
        <w:pStyle w:val="Heading2"/>
      </w:pPr>
      <w:r>
        <w:t>4.7 Singapore IMDA Model AI Governance Framework for Agentic AI</w:t>
      </w:r>
    </w:p>
    <w:p>
      <w:pPr>
        <w:spacing w:after="56"/>
      </w:pPr>
      <w:r>
        <w:t>[SINGAPORE-MGF-AGENTIC-AI]</w:t>
      </w:r>
    </w:p>
    <w:p>
      <w:pPr>
        <w:spacing w:after="56"/>
      </w:pPr>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Pr>
        <w:spacing w:after="56"/>
      </w:pPr>
      <w:r>
        <w:t>What it contributes: Most directly aligned with agentic-specific risk language; provides clear guidance on human accountability, technical controls, and end-user responsibility in agentic contexts.</w:t>
      </w:r>
    </w:p>
    <w:p>
      <w:pPr>
        <w:spacing w:after="56"/>
      </w:pPr>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Pr>
        <w:spacing w:after="56"/>
      </w:pPr>
      <w:r>
        <w:t>What it does not define (the agentic gap): Still a governance framework rather than a protocol schema. It should not be overstated as a protocol, law, or certification regime; it is a voluntary framework that helps name the agentic lifecycle control problem.</w:t>
      </w:r>
    </w:p>
    <w:p>
      <w:pPr>
        <w:spacing w:after="56"/>
      </w:pPr>
      <w:r>
        <w:t>How it connects to lifecycle objects: The Singapore framework names the agentic governance problem more directly than many general AI frameworks. The implementation step is to translate that framing into protocol or schema-level controls for authority, human accountability, testing, monitoring, tool use, and lifecycle evidence.</w:t>
      </w:r>
    </w:p>
    <w:p>
      <w:pPr>
        <w:pStyle w:val="Heading2"/>
      </w:pPr>
      <w:r>
        <w:t>4.8 W3C PROV / Verifiable Credentials</w:t>
      </w:r>
    </w:p>
    <w:p>
      <w:pPr>
        <w:spacing w:after="56"/>
      </w:pPr>
      <w:r>
        <w:t>[W3C-PROV] [W3C-VC-DM-2.0]</w:t>
      </w:r>
    </w:p>
    <w:p>
      <w:pPr>
        <w:spacing w:after="56"/>
      </w:pPr>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Pr>
        <w:spacing w:after="56"/>
      </w:pPr>
      <w:r>
        <w:t>What it contributes: Useful foundation for evidence chain, selective disclosure, and third-party validation.</w:t>
      </w:r>
    </w:p>
    <w:p>
      <w:pPr>
        <w:spacing w:after="56"/>
      </w:pPr>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Pr>
        <w:spacing w:after="56"/>
      </w:pPr>
      <w:r>
        <w:t>What it does not define (the agentic gap): Not agent governance by itself.</w:t>
      </w:r>
    </w:p>
    <w:p>
      <w:pPr>
        <w:spacing w:after="56"/>
      </w:pPr>
      <w:r>
        <w:t>How it connects to lifecycle objects: W3C PROV and Verifiable Credentials can represent provenance and machine-verifiable claims, but they do not decide which agentic governance facts must exist. Lifecycle objects define the semantics that provenance and credential structures may carry: authority, responsibility, evidence partition, selective disclosure, validation verdict, dispute, and remediation state.</w:t>
      </w:r>
    </w:p>
    <w:p>
      <w:pPr>
        <w:pStyle w:val="Heading2"/>
      </w:pPr>
      <w:r>
        <w:t>4.9 Colorado AI Act (SB24-205 / SB25B-004)</w:t>
      </w:r>
    </w:p>
    <w:p>
      <w:pPr>
        <w:spacing w:after="56"/>
      </w:pPr>
      <w:r>
        <w:t>[COLORADO-SB25B-004]</w:t>
      </w:r>
    </w:p>
    <w:p>
      <w:pPr>
        <w:spacing w:after="56"/>
      </w:pPr>
      <w:r>
        <w:t>Colorado AI Act (SB24-205 / SB25B-004) functions in this paper as U.S. state law sample; not yet effective at 2026-05-07 snapshot. Consumer protections for high-risk AI systems; effective date extended to 2026-06-30 by SB25B-004.</w:t>
      </w:r>
    </w:p>
    <w:p>
      <w:pPr>
        <w:spacing w:after="56"/>
      </w:pPr>
      <w:r>
        <w:t>What it contributes: Useful state-level signal for algorithmic accountability.</w:t>
      </w:r>
    </w:p>
    <w:p>
      <w:pPr>
        <w:spacing w:after="56"/>
      </w:pPr>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Pr>
        <w:spacing w:after="56"/>
      </w:pPr>
      <w:r>
        <w:t>What it does not define (the agentic gap): Should be treated as forward-looking in this paper, not as an active effective-law baseline at the snapshot date.</w:t>
      </w:r>
    </w:p>
    <w:p>
      <w:pPr>
        <w:spacing w:after="56"/>
      </w:pPr>
      <w:r>
        <w:t>How it connects to lifecycle objects: State-level accountability requirements point toward a need for lifecycle evidence that can connect risk management, notice, review, impact, and accountability to actual system behavior. This paper keeps the Colorado discussion snapshot-bound and treats final legal-status verification as a publication QA item.</w:t>
      </w:r>
    </w:p>
    <w:p>
      <w:pPr>
        <w:pStyle w:val="Heading1"/>
      </w:pPr>
      <w:r>
        <w:t>Chapter 5: From Regulatory Language to Engineering Objects</w:t>
      </w:r>
    </w:p>
    <w:p>
      <w:pPr>
        <w:spacing w:after="56"/>
      </w:pPr>
      <w:r>
        <w:t>Version: v0.3.2-FRC-R3</w:t>
      </w:r>
    </w:p>
    <w:p>
      <w:pPr>
        <w:pStyle w:val="Heading2"/>
      </w:pPr>
      <w:r>
        <w:t>5.1 The Gap Between Regulation and Engineering</w:t>
      </w:r>
    </w:p>
    <w:p>
      <w:pPr>
        <w:spacing w:after="56"/>
      </w:pPr>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Pr>
        <w:spacing w:after="56"/>
      </w:pPr>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Pr>
        <w:spacing w:after="56"/>
      </w:pPr>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Pr>
        <w:spacing w:after="56"/>
      </w:pPr>
      <w:r>
        <w:t>A standard may mandate accountability, but a multi-agent workflow must determine who owns a tool action, how liability transfers across agents, how responsibility is recorded, and how ownership is proven when disputes arise.</w:t>
      </w:r>
    </w:p>
    <w:p>
      <w:pPr>
        <w:spacing w:after="56"/>
      </w:pPr>
      <w:r>
        <w:t>Familiar regulatory words establish direction. Engineering objects make that direction testable, auditable, and enforceable in distributed agentic execution.</w:t>
      </w:r>
    </w:p>
    <w:p>
      <w:pPr>
        <w:spacing w:after="56"/>
      </w:pPr>
      <w:r>
        <w:t>This chapter provides the bridge from regulatory language to the Missing Regulatory Objects that will be defined in Chapter 6.</w:t>
      </w:r>
    </w:p>
    <w:p>
      <w:pPr>
        <w:pStyle w:val="Heading2"/>
      </w:pPr>
      <w:r>
        <w:t>5.2 Regulatory Language to Engineering Objects Mapping</w:t>
      </w:r>
    </w:p>
    <w:p>
      <w:pPr>
        <w:spacing w:after="56"/>
      </w:pPr>
      <w:r>
        <w:t>The table below maps recurring regulatory language to the agentic engineering questions that must be answered, and the required lifecycle objects that make those answers testable.</w:t>
      </w:r>
    </w:p>
    <w:p>
      <w:pPr>
        <w:keepNext/>
      </w:pPr>
      <w:r>
        <w:rPr>
          <w:b/>
          <w:sz w:val="16"/>
        </w:rPr>
        <w:t>Table T-05-01: Regulatory Language to Engineering Objects Mapping</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Regulatory Language</w:t>
            </w:r>
          </w:p>
        </w:tc>
        <w:tc>
          <w:tcPr>
            <w:tcW w:type="dxa" w:w="3408"/>
          </w:tcPr>
          <w:p>
            <w:pPr>
              <w:spacing w:after="0"/>
            </w:pPr>
            <w:r>
              <w:rPr>
                <w:rFonts w:ascii="Arial" w:hAnsi="Arial"/>
                <w:b/>
                <w:sz w:val="14"/>
              </w:rPr>
              <w:t>Agentic Engineering Question</w:t>
            </w:r>
          </w:p>
        </w:tc>
        <w:tc>
          <w:tcPr>
            <w:tcW w:type="dxa" w:w="3408"/>
          </w:tcPr>
          <w:p>
            <w:pPr>
              <w:spacing w:after="0"/>
            </w:pPr>
            <w:r>
              <w:rPr>
                <w:rFonts w:ascii="Arial" w:hAnsi="Arial"/>
                <w:b/>
                <w:sz w:val="14"/>
              </w:rPr>
              <w:t>Required Lifecycle Object</w:t>
            </w:r>
          </w:p>
        </w:tc>
      </w:tr>
      <w:tr>
        <w:tc>
          <w:tcPr>
            <w:tcW w:type="dxa" w:w="3408"/>
          </w:tcPr>
          <w:p>
            <w:pPr>
              <w:spacing w:after="0"/>
            </w:pPr>
            <w:r>
              <w:rPr>
                <w:rFonts w:ascii="Arial" w:hAnsi="Arial"/>
                <w:b w:val="0"/>
                <w:sz w:val="14"/>
              </w:rPr>
              <w:t>Risk management</w:t>
            </w:r>
          </w:p>
        </w:tc>
        <w:tc>
          <w:tcPr>
            <w:tcW w:type="dxa" w:w="3408"/>
          </w:tcPr>
          <w:p>
            <w:pPr>
              <w:spacing w:after="0"/>
            </w:pPr>
            <w:r>
              <w:rPr>
                <w:rFonts w:ascii="Arial" w:hAnsi="Arial"/>
                <w:b w:val="0"/>
                <w:sz w:val="14"/>
              </w:rPr>
              <w:t>What can go wrong as agents plan, delegate, call tools, and modify state?</w:t>
            </w:r>
          </w:p>
        </w:tc>
        <w:tc>
          <w:tcPr>
            <w:tcW w:type="dxa" w:w="3408"/>
          </w:tcPr>
          <w:p>
            <w:pPr>
              <w:spacing w:after="0"/>
            </w:pPr>
            <w:r>
              <w:rPr>
                <w:rFonts w:ascii="Arial" w:hAnsi="Arial"/>
                <w:b w:val="0"/>
                <w:sz w:val="14"/>
              </w:rPr>
              <w:t>Risk register linked to lifecycle phases and action classes</w:t>
            </w:r>
          </w:p>
        </w:tc>
      </w:tr>
      <w:tr>
        <w:tc>
          <w:tcPr>
            <w:tcW w:type="dxa" w:w="3408"/>
          </w:tcPr>
          <w:p>
            <w:pPr>
              <w:spacing w:after="0"/>
            </w:pPr>
            <w:r>
              <w:rPr>
                <w:rFonts w:ascii="Arial" w:hAnsi="Arial"/>
                <w:b w:val="0"/>
                <w:sz w:val="14"/>
              </w:rPr>
              <w:t>Technical documentation</w:t>
            </w:r>
          </w:p>
        </w:tc>
        <w:tc>
          <w:tcPr>
            <w:tcW w:type="dxa" w:w="3408"/>
          </w:tcPr>
          <w:p>
            <w:pPr>
              <w:spacing w:after="0"/>
            </w:pPr>
            <w:r>
              <w:rPr>
                <w:rFonts w:ascii="Arial" w:hAnsi="Arial"/>
                <w:b w:val="0"/>
                <w:sz w:val="14"/>
              </w:rPr>
              <w:t>Can the system describe its agent roles, authority boundaries, evidence schema, and limitations?</w:t>
            </w:r>
          </w:p>
        </w:tc>
        <w:tc>
          <w:tcPr>
            <w:tcW w:type="dxa" w:w="3408"/>
          </w:tcPr>
          <w:p>
            <w:pPr>
              <w:spacing w:after="0"/>
            </w:pPr>
            <w:r>
              <w:rPr>
                <w:rFonts w:ascii="Arial" w:hAnsi="Arial"/>
                <w:b w:val="0"/>
                <w:sz w:val="14"/>
              </w:rPr>
              <w:t>Versioned architecture and lifecycle object documentation</w:t>
            </w:r>
          </w:p>
        </w:tc>
      </w:tr>
      <w:tr>
        <w:tc>
          <w:tcPr>
            <w:tcW w:type="dxa" w:w="3408"/>
          </w:tcPr>
          <w:p>
            <w:pPr>
              <w:spacing w:after="0"/>
            </w:pPr>
            <w:r>
              <w:rPr>
                <w:rFonts w:ascii="Arial" w:hAnsi="Arial"/>
                <w:b w:val="0"/>
                <w:sz w:val="14"/>
              </w:rPr>
              <w:t>Record-keeping</w:t>
            </w:r>
          </w:p>
        </w:tc>
        <w:tc>
          <w:tcPr>
            <w:tcW w:type="dxa" w:w="3408"/>
          </w:tcPr>
          <w:p>
            <w:pPr>
              <w:spacing w:after="0"/>
            </w:pPr>
            <w:r>
              <w:rPr>
                <w:rFonts w:ascii="Arial" w:hAnsi="Arial"/>
                <w:b w:val="0"/>
                <w:sz w:val="14"/>
              </w:rPr>
              <w:t>Can the organization reconstruct what happened across agents and tools?</w:t>
            </w:r>
          </w:p>
        </w:tc>
        <w:tc>
          <w:tcPr>
            <w:tcW w:type="dxa" w:w="3408"/>
          </w:tcPr>
          <w:p>
            <w:pPr>
              <w:spacing w:after="0"/>
            </w:pPr>
            <w:r>
              <w:rPr>
                <w:rFonts w:ascii="Arial" w:hAnsi="Arial"/>
                <w:b w:val="0"/>
                <w:sz w:val="14"/>
              </w:rPr>
              <w:t>Partitioned evidence chain with plan, role, tool, and outcome links</w:t>
            </w:r>
          </w:p>
        </w:tc>
      </w:tr>
      <w:tr>
        <w:tc>
          <w:tcPr>
            <w:tcW w:type="dxa" w:w="3408"/>
          </w:tcPr>
          <w:p>
            <w:pPr>
              <w:spacing w:after="0"/>
            </w:pPr>
            <w:r>
              <w:rPr>
                <w:rFonts w:ascii="Arial" w:hAnsi="Arial"/>
                <w:b w:val="0"/>
                <w:sz w:val="14"/>
              </w:rPr>
              <w:t>Transparency</w:t>
            </w:r>
          </w:p>
        </w:tc>
        <w:tc>
          <w:tcPr>
            <w:tcW w:type="dxa" w:w="3408"/>
          </w:tcPr>
          <w:p>
            <w:pPr>
              <w:spacing w:after="0"/>
            </w:pPr>
            <w:r>
              <w:rPr>
                <w:rFonts w:ascii="Arial" w:hAnsi="Arial"/>
                <w:b w:val="0"/>
                <w:sz w:val="14"/>
              </w:rPr>
              <w:t>Can reviewers understand the evidence behind an outcome?</w:t>
            </w:r>
          </w:p>
        </w:tc>
        <w:tc>
          <w:tcPr>
            <w:tcW w:type="dxa" w:w="3408"/>
          </w:tcPr>
          <w:p>
            <w:pPr>
              <w:spacing w:after="0"/>
            </w:pPr>
            <w:r>
              <w:rPr>
                <w:rFonts w:ascii="Arial" w:hAnsi="Arial"/>
                <w:b w:val="0"/>
                <w:sz w:val="14"/>
              </w:rPr>
              <w:t>Evidence pointer graph and explanation packet</w:t>
            </w:r>
          </w:p>
        </w:tc>
      </w:tr>
      <w:tr>
        <w:tc>
          <w:tcPr>
            <w:tcW w:type="dxa" w:w="3408"/>
          </w:tcPr>
          <w:p>
            <w:pPr>
              <w:spacing w:after="0"/>
            </w:pPr>
            <w:r>
              <w:rPr>
                <w:rFonts w:ascii="Arial" w:hAnsi="Arial"/>
                <w:b w:val="0"/>
                <w:sz w:val="14"/>
              </w:rPr>
              <w:t>Human oversight</w:t>
            </w:r>
          </w:p>
        </w:tc>
        <w:tc>
          <w:tcPr>
            <w:tcW w:type="dxa" w:w="3408"/>
          </w:tcPr>
          <w:p>
            <w:pPr>
              <w:spacing w:after="0"/>
            </w:pPr>
            <w:r>
              <w:rPr>
                <w:rFonts w:ascii="Arial" w:hAnsi="Arial"/>
                <w:b w:val="0"/>
                <w:sz w:val="14"/>
              </w:rPr>
              <w:t>Which human can approve, reject, override, or accept which action?</w:t>
            </w:r>
          </w:p>
        </w:tc>
        <w:tc>
          <w:tcPr>
            <w:tcW w:type="dxa" w:w="3408"/>
          </w:tcPr>
          <w:p>
            <w:pPr>
              <w:spacing w:after="0"/>
            </w:pPr>
            <w:r>
              <w:rPr>
                <w:rFonts w:ascii="Arial" w:hAnsi="Arial"/>
                <w:b w:val="0"/>
                <w:sz w:val="14"/>
              </w:rPr>
              <w:t>Human-role-to-MAS responsibility map and confirmation boundary</w:t>
            </w:r>
          </w:p>
        </w:tc>
      </w:tr>
      <w:tr>
        <w:tc>
          <w:tcPr>
            <w:tcW w:type="dxa" w:w="3408"/>
          </w:tcPr>
          <w:p>
            <w:pPr>
              <w:spacing w:after="0"/>
            </w:pPr>
            <w:r>
              <w:rPr>
                <w:rFonts w:ascii="Arial" w:hAnsi="Arial"/>
                <w:b w:val="0"/>
                <w:sz w:val="14"/>
              </w:rPr>
              <w:t>Accountability</w:t>
            </w:r>
          </w:p>
        </w:tc>
        <w:tc>
          <w:tcPr>
            <w:tcW w:type="dxa" w:w="3408"/>
          </w:tcPr>
          <w:p>
            <w:pPr>
              <w:spacing w:after="0"/>
            </w:pPr>
            <w:r>
              <w:rPr>
                <w:rFonts w:ascii="Arial" w:hAnsi="Arial"/>
                <w:b w:val="0"/>
                <w:sz w:val="14"/>
              </w:rPr>
              <w:t>Who owns a decision, tool action, or outcome?</w:t>
            </w:r>
          </w:p>
        </w:tc>
        <w:tc>
          <w:tcPr>
            <w:tcW w:type="dxa" w:w="3408"/>
          </w:tcPr>
          <w:p>
            <w:pPr>
              <w:spacing w:after="0"/>
            </w:pPr>
            <w:r>
              <w:rPr>
                <w:rFonts w:ascii="Arial" w:hAnsi="Arial"/>
                <w:b w:val="0"/>
                <w:sz w:val="14"/>
              </w:rPr>
              <w:t>Responsibility boundary, transfer record, and accepted outcome owner</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Can an affected party challenge the result and trigger review?</w:t>
            </w:r>
          </w:p>
        </w:tc>
        <w:tc>
          <w:tcPr>
            <w:tcW w:type="dxa" w:w="3408"/>
          </w:tcPr>
          <w:p>
            <w:pPr>
              <w:spacing w:after="0"/>
            </w:pPr>
            <w:r>
              <w:rPr>
                <w:rFonts w:ascii="Arial" w:hAnsi="Arial"/>
                <w:b w:val="0"/>
                <w:sz w:val="14"/>
              </w:rPr>
              <w:t>Dispute-ready replay and remediation closure object</w:t>
            </w:r>
          </w:p>
        </w:tc>
      </w:tr>
      <w:tr>
        <w:tc>
          <w:tcPr>
            <w:tcW w:type="dxa" w:w="3408"/>
          </w:tcPr>
          <w:p>
            <w:pPr>
              <w:spacing w:after="0"/>
            </w:pPr>
            <w:r>
              <w:rPr>
                <w:rFonts w:ascii="Arial" w:hAnsi="Arial"/>
                <w:b w:val="0"/>
                <w:sz w:val="14"/>
              </w:rPr>
              <w:t>Privacy</w:t>
            </w:r>
          </w:p>
        </w:tc>
        <w:tc>
          <w:tcPr>
            <w:tcW w:type="dxa" w:w="3408"/>
          </w:tcPr>
          <w:p>
            <w:pPr>
              <w:spacing w:after="0"/>
            </w:pPr>
            <w:r>
              <w:rPr>
                <w:rFonts w:ascii="Arial" w:hAnsi="Arial"/>
                <w:b w:val="0"/>
                <w:sz w:val="14"/>
              </w:rPr>
              <w:t>How is personal data constrained across memory, tools, traces, and evidence?</w:t>
            </w:r>
          </w:p>
        </w:tc>
        <w:tc>
          <w:tcPr>
            <w:tcW w:type="dxa" w:w="3408"/>
          </w:tcPr>
          <w:p>
            <w:pPr>
              <w:spacing w:after="0"/>
            </w:pPr>
            <w:r>
              <w:rPr>
                <w:rFonts w:ascii="Arial" w:hAnsi="Arial"/>
                <w:b w:val="0"/>
                <w:sz w:val="14"/>
              </w:rPr>
              <w:t>Privacy lifecycle map and selective disclosure policy</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How are drift, incident, and lifecycle failures detected?</w:t>
            </w:r>
          </w:p>
        </w:tc>
        <w:tc>
          <w:tcPr>
            <w:tcW w:type="dxa" w:w="3408"/>
          </w:tcPr>
          <w:p>
            <w:pPr>
              <w:spacing w:after="0"/>
            </w:pPr>
            <w:r>
              <w:rPr>
                <w:rFonts w:ascii="Arial" w:hAnsi="Arial"/>
                <w:b w:val="0"/>
                <w:sz w:val="14"/>
              </w:rPr>
              <w:t>Continuous monitoring and incident closure records</w:t>
            </w:r>
          </w:p>
        </w:tc>
      </w:tr>
    </w:tbl>
    <w:p>
      <w:pPr>
        <w:spacing w:after="56"/>
      </w:pPr>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Pr>
        <w:pStyle w:val="Heading2"/>
      </w:pPr>
      <w:r>
        <w:t>5.3 Why Explicit Objects Are Necessary</w:t>
      </w:r>
    </w:p>
    <w:p>
      <w:pPr>
        <w:spacing w:after="56"/>
      </w:pPr>
      <w:r>
        <w:t>Without explicit lifecycle objects, regulatory language remains aspirational rather than enforceable:</w:t>
      </w:r>
    </w:p>
    <w:p>
      <w:pPr>
        <w:pStyle w:val="ListBullet"/>
        <w:spacing w:after="56"/>
      </w:pPr>
      <w:r>
        <w:t>Risk management becomes a policy document that cannot be tied to actual agent actions. A risk register must link to lifecycle phases, action classes, and delegated authority boundaries.</w:t>
      </w:r>
    </w:p>
    <w:p>
      <w:pPr>
        <w:pStyle w:val="ListBullet"/>
        <w:spacing w:after="56"/>
      </w:pPr>
      <w:r>
        <w:t>Technical documentation describes intent but not how authority, evidence, and privacy are enforced. Versioned architecture documentation must specify agent roles, authority boundaries, evidence schema, and limitations.</w:t>
      </w:r>
    </w:p>
    <w:p>
      <w:pPr>
        <w:pStyle w:val="ListBullet"/>
        <w:spacing w:after="56"/>
      </w:pPr>
      <w:r>
        <w:t>Record-keeping produces flat logs that cannot reconstruct cross-agent responsibility. Evidence must be partitioned by agent, tool, human confirmation, plan version, authority boundary, privacy boundary, and accepted outcome.</w:t>
      </w:r>
    </w:p>
    <w:p>
      <w:pPr>
        <w:pStyle w:val="ListBullet"/>
        <w:spacing w:after="56"/>
      </w:pPr>
      <w:r>
        <w:t>Transparency provides dashboards that show execution but not accepted outcome governance. Evidence pointer graphs must link outcomes to the authority, evidence, and review that made them accepted.</w:t>
      </w:r>
    </w:p>
    <w:p>
      <w:pPr>
        <w:pStyle w:val="ListBullet"/>
        <w:spacing w:after="56"/>
      </w:pPr>
      <w:r>
        <w:t>Human oversight becomes a button click without role-to-responsibility mapping. The system must map which human role can approve, reject, override, or accept which action, under which risk class, with what evidence, and with what escalation path.</w:t>
      </w:r>
    </w:p>
    <w:p>
      <w:pPr>
        <w:pStyle w:val="ListBullet"/>
        <w:spacing w:after="56"/>
      </w:pPr>
      <w:r>
        <w:t>Accountability becomes a narrative claim without evidence-backed ownership. Responsibility boundaries must record who owns a decision, tool action, or outcome, how liability transfers across agents, and how ownership is proven in disputes.</w:t>
      </w:r>
    </w:p>
    <w:p>
      <w:pPr>
        <w:pStyle w:val="ListBullet"/>
        <w:spacing w:after="56"/>
      </w:pPr>
      <w:r>
        <w:t>Contestability becomes impossible because evidence cannot be replayed under privacy constraints. Dispute-ready replay requires partitioned evidence, selective disclosure, and remediation closure objects.</w:t>
      </w:r>
    </w:p>
    <w:p>
      <w:pPr>
        <w:pStyle w:val="ListBullet"/>
        <w:spacing w:after="56"/>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Pr>
        <w:pStyle w:val="ListBullet"/>
        <w:spacing w:after="56"/>
      </w:pPr>
      <w:r>
        <w:t>Monitoring detects failures but cannot close incidents through evidence, responsibility, correction, and acceptance. Continuous monitoring must link drift detection, incident triggers, evidence packs, responsible roles, corrective actions, and closure states.</w:t>
      </w:r>
    </w:p>
    <w:p>
      <w:pPr>
        <w:pStyle w:val="Heading2"/>
      </w:pPr>
      <w:r>
        <w:t>5.4 The Engineering Object Requirement</w:t>
      </w:r>
    </w:p>
    <w:p>
      <w:pPr>
        <w:spacing w:after="56"/>
      </w:pPr>
      <w:r>
        <w:t>At this point in the argument, the thesis becomes operational: lifecycle responsibility compliance requires objects that can be represented, emitted, reviewed, and replayed.</w:t>
      </w:r>
    </w:p>
    <w:p>
      <w:pPr>
        <w:spacing w:after="56"/>
      </w:pPr>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Existing regulation establishes the direction of travel. Agentic systems require additional engineering object models to implement that direction faithfully.</w:t>
      </w:r>
    </w:p>
    <w:p>
      <w:pPr>
        <w:spacing w:after="56"/>
      </w:pPr>
      <w:r>
        <w:t>This translation is what makes RCCS-M possible. Without MROs, regulatory coverage remains RCCS-T: a traditional view of governance primitives such as documentation, oversight, record-keeping, transparency, security, accountability, contestability, and monitoring. With MROs, the same coverage can be tested against agentic lifecycle responsibility objects. RCCS-M is the author analytical profile for that MRO-adjusted coverage.</w:t>
      </w:r>
    </w:p>
    <w:p>
      <w:pPr>
        <w:pStyle w:val="Heading2"/>
      </w:pPr>
      <w:r>
        <w:t>5.5 Bridge to Chapter 6</w:t>
      </w:r>
    </w:p>
    <w:p>
      <w:pPr>
        <w:spacing w:after="56"/>
      </w:pPr>
      <w:r>
        <w:t>The following chapter defines sixteen Missing Regulatory Objects. These are not proposed legal mandates. They are engineering objects that appear necessary if existing regulatory ideals are to become auditable in multi-agent execution.</w:t>
      </w:r>
    </w:p>
    <w:p>
      <w:pPr>
        <w:spacing w:after="56"/>
      </w:pPr>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Pr>
        <w:pStyle w:val="ListBullet"/>
        <w:spacing w:after="56"/>
      </w:pPr>
      <w:r>
        <w:t>Human-to-agent responsibility mapping</w:t>
      </w:r>
    </w:p>
    <w:p>
      <w:pPr>
        <w:pStyle w:val="ListBullet"/>
        <w:spacing w:after="56"/>
      </w:pPr>
      <w:r>
        <w:t>Delegated authority boundaries</w:t>
      </w:r>
    </w:p>
    <w:p>
      <w:pPr>
        <w:pStyle w:val="ListBullet"/>
        <w:spacing w:after="56"/>
      </w:pPr>
      <w:r>
        <w:t>Agent role definitions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Evidence partitioning</w:t>
      </w:r>
    </w:p>
    <w:p>
      <w:pPr>
        <w:pStyle w:val="ListBullet"/>
        <w:spacing w:after="56"/>
      </w:pPr>
      <w:r>
        <w:t>Cross-project reuse compliance</w:t>
      </w:r>
    </w:p>
    <w:p>
      <w:pPr>
        <w:pStyle w:val="ListBullet"/>
        <w:spacing w:after="56"/>
      </w:pPr>
      <w:r>
        <w:t>Privacy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w:t>
      </w:r>
    </w:p>
    <w:p>
      <w:pPr>
        <w:pStyle w:val="ListBullet"/>
        <w:spacing w:after="56"/>
      </w:pPr>
      <w:r>
        <w:t>Third-party processor / subprocessor chains</w:t>
      </w:r>
    </w:p>
    <w:p>
      <w:pPr>
        <w:pStyle w:val="ListBullet"/>
        <w:spacing w:after="56"/>
      </w:pPr>
      <w:r>
        <w:t>Vendor / model / runtime substitution conformance</w:t>
      </w:r>
    </w:p>
    <w:p>
      <w:pPr>
        <w:pStyle w:val="ListBullet"/>
        <w:spacing w:after="56"/>
      </w:pPr>
      <w:r>
        <w:t>Incident, dispute, and remediation closure</w:t>
      </w:r>
    </w:p>
    <w:p>
      <w:pPr>
        <w:spacing w:after="56"/>
      </w:pPr>
      <w:r>
        <w:t>The bridge from this chapter to Chapter 6 is direct: regulatory language establishes what must be proven; Missing Regulatory Objects define how to prove it in agentic workflows. In scoring terms, this is the bridge from RCCS-T to RCCS-M.</w:t>
      </w:r>
    </w:p>
    <w:p>
      <w:pPr>
        <w:pStyle w:val="Heading1"/>
      </w:pPr>
      <w:r>
        <w:t>6. Missing Regulatory Objects for Agentic and MAS Compliance</w:t>
      </w:r>
    </w:p>
    <w:p>
      <w:pPr>
        <w:pStyle w:val="Heading2"/>
      </w:pPr>
      <w:r>
        <w:t>6.0 Why Missing Regulatory Objects Matter</w:t>
      </w:r>
    </w:p>
    <w:p>
      <w:pPr>
        <w:spacing w:after="56"/>
      </w:pPr>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Pr>
        <w:spacing w:after="56"/>
      </w:pPr>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Pr>
        <w:spacing w:after="56"/>
      </w:pPr>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Pr>
        <w:spacing w:after="56"/>
      </w:pPr>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6.1 Summary of the Sixteen Missing Regulatory Objects</w:t>
      </w:r>
    </w:p>
    <w:p>
      <w:pPr>
        <w:spacing w:after="56"/>
      </w:pPr>
      <w:r>
        <w:t>The following table summarizes all sixteen MROs. Full detail for MRO-01 through MRO-16 is provided in this chapter.</w:t>
      </w:r>
    </w:p>
    <w:p>
      <w:pPr>
        <w:spacing w:after="56"/>
      </w:pPr>
      <w:r>
        <w:t>Figure F-03 - MRO Topology</w:t>
      </w:r>
    </w:p>
    <w:p>
      <w:pPr>
        <w:spacing w:after="56"/>
      </w:pPr>
      <w:r>
        <w:t>Responsibility -&gt; Authority -&gt; Evidence -&gt; Privacy -&gt; Substitution -&gt; Closure</w:t>
      </w:r>
    </w:p>
    <w:p>
      <w:pPr>
        <w:spacing w:after="56"/>
      </w:pPr>
      <w:r>
        <w:t>Figure F-03 groups the Missing Regulatory Objects by lifecycle control surface. It is a topology for engineering interpretation, not a new legal taxonomy, certification path, or compliance proof.</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ID</w:t>
            </w:r>
          </w:p>
        </w:tc>
        <w:tc>
          <w:tcPr>
            <w:tcW w:type="dxa" w:w="2556"/>
          </w:tcPr>
          <w:p>
            <w:pPr>
              <w:spacing w:after="0"/>
            </w:pPr>
            <w:r>
              <w:rPr>
                <w:rFonts w:ascii="Arial" w:hAnsi="Arial"/>
                <w:b/>
                <w:sz w:val="14"/>
              </w:rPr>
              <w:t>Object</w:t>
            </w:r>
          </w:p>
        </w:tc>
        <w:tc>
          <w:tcPr>
            <w:tcW w:type="dxa" w:w="2556"/>
          </w:tcPr>
          <w:p>
            <w:pPr>
              <w:spacing w:after="0"/>
            </w:pPr>
            <w:r>
              <w:rPr>
                <w:rFonts w:ascii="Arial" w:hAnsi="Arial"/>
                <w:b/>
                <w:sz w:val="14"/>
              </w:rPr>
              <w:t>Core Judgment</w:t>
            </w:r>
          </w:p>
        </w:tc>
        <w:tc>
          <w:tcPr>
            <w:tcW w:type="dxa" w:w="2556"/>
          </w:tcPr>
          <w:p>
            <w:pPr>
              <w:spacing w:after="0"/>
            </w:pPr>
            <w:r>
              <w:rPr>
                <w:rFonts w:ascii="Arial" w:hAnsi="Arial"/>
                <w:b/>
                <w:sz w:val="14"/>
              </w:rPr>
              <w:t>Primary Lifecycle Concern</w:t>
            </w:r>
          </w:p>
        </w:tc>
      </w:tr>
      <w:tr>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Human Role to MAS Responsibility Mapping</w:t>
            </w:r>
          </w:p>
        </w:tc>
        <w:tc>
          <w:tcPr>
            <w:tcW w:type="dxa" w:w="2556"/>
          </w:tcPr>
          <w:p>
            <w:pPr>
              <w:spacing w:after="0"/>
            </w:pPr>
            <w:r>
              <w:rPr>
                <w:rFonts w:ascii="Arial" w:hAnsi="Arial"/>
                <w:b w:val="0"/>
                <w:sz w:val="14"/>
              </w:rPr>
              <w:t>Human oversight without human-to-agent responsibility mapping is supervision theater.</w:t>
            </w:r>
          </w:p>
        </w:tc>
        <w:tc>
          <w:tcPr>
            <w:tcW w:type="dxa" w:w="2556"/>
          </w:tcPr>
          <w:p>
            <w:pPr>
              <w:spacing w:after="0"/>
            </w:pPr>
            <w:r>
              <w:rPr>
                <w:rFonts w:ascii="Arial" w:hAnsi="Arial"/>
                <w:b w:val="0"/>
                <w:sz w:val="14"/>
              </w:rPr>
              <w:t>Accountability, human oversight, role mapping</w:t>
            </w:r>
          </w:p>
        </w:tc>
      </w:tr>
      <w:tr>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IAM permission decides access. Delegated authority decides responsibility.</w:t>
            </w:r>
          </w:p>
        </w:tc>
        <w:tc>
          <w:tcPr>
            <w:tcW w:type="dxa" w:w="2556"/>
          </w:tcPr>
          <w:p>
            <w:pPr>
              <w:spacing w:after="0"/>
            </w:pPr>
            <w:r>
              <w:rPr>
                <w:rFonts w:ascii="Arial" w:hAnsi="Arial"/>
                <w:b w:val="0"/>
                <w:sz w:val="14"/>
              </w:rPr>
              <w:t>Authority, delegation, scope control</w:t>
            </w:r>
          </w:p>
        </w:tc>
      </w:tr>
      <w:tr>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Agent Role is not Human Role</w:t>
            </w:r>
          </w:p>
        </w:tc>
        <w:tc>
          <w:tcPr>
            <w:tcW w:type="dxa" w:w="2556"/>
          </w:tcPr>
          <w:p>
            <w:pPr>
              <w:spacing w:after="0"/>
            </w:pPr>
            <w:r>
              <w:rPr>
                <w:rFonts w:ascii="Arial" w:hAnsi="Arial"/>
                <w:b w:val="0"/>
                <w:sz w:val="14"/>
              </w:rPr>
              <w:t>An agent role is a bounded responsibility surface, not a human job title.</w:t>
            </w:r>
          </w:p>
        </w:tc>
        <w:tc>
          <w:tcPr>
            <w:tcW w:type="dxa" w:w="2556"/>
          </w:tcPr>
          <w:p>
            <w:pPr>
              <w:spacing w:after="0"/>
            </w:pPr>
            <w:r>
              <w:rPr>
                <w:rFonts w:ascii="Arial" w:hAnsi="Arial"/>
                <w:b w:val="0"/>
                <w:sz w:val="14"/>
              </w:rPr>
              <w:t>Role semantics, capability boundaries</w:t>
            </w:r>
          </w:p>
        </w:tc>
      </w:tr>
      <w:tr>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Output is a system event. Accepted outcome is a governance state.</w:t>
            </w:r>
          </w:p>
        </w:tc>
        <w:tc>
          <w:tcPr>
            <w:tcW w:type="dxa" w:w="2556"/>
          </w:tcPr>
          <w:p>
            <w:pPr>
              <w:spacing w:after="0"/>
            </w:pPr>
            <w:r>
              <w:rPr>
                <w:rFonts w:ascii="Arial" w:hAnsi="Arial"/>
                <w:b w:val="0"/>
                <w:sz w:val="14"/>
              </w:rPr>
              <w:t>Outcome acceptance, review, evidence</w:t>
            </w:r>
          </w:p>
        </w:tc>
      </w:tr>
      <w:tr>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Tool use is where AI output becomes external consequence.</w:t>
            </w:r>
          </w:p>
        </w:tc>
        <w:tc>
          <w:tcPr>
            <w:tcW w:type="dxa" w:w="2556"/>
          </w:tcPr>
          <w:p>
            <w:pPr>
              <w:spacing w:after="0"/>
            </w:pPr>
            <w:r>
              <w:rPr>
                <w:rFonts w:ascii="Arial" w:hAnsi="Arial"/>
                <w:b w:val="0"/>
                <w:sz w:val="14"/>
              </w:rPr>
              <w:t>External actions, liability, reversibility</w:t>
            </w:r>
          </w:p>
        </w:tc>
      </w:tr>
      <w:tr>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Handoff without explicit responsibility transfer is just routing.</w:t>
            </w:r>
          </w:p>
        </w:tc>
        <w:tc>
          <w:tcPr>
            <w:tcW w:type="dxa" w:w="2556"/>
          </w:tcPr>
          <w:p>
            <w:pPr>
              <w:spacing w:after="0"/>
            </w:pPr>
            <w:r>
              <w:rPr>
                <w:rFonts w:ascii="Arial" w:hAnsi="Arial"/>
                <w:b w:val="0"/>
                <w:sz w:val="14"/>
              </w:rPr>
              <w:t>Multi-agent handoff, constraint inheritance</w:t>
            </w:r>
          </w:p>
        </w:tc>
      </w:tr>
      <w:tr>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The most dangerous agent failures are often unauthorized authority transitions.</w:t>
            </w:r>
          </w:p>
        </w:tc>
        <w:tc>
          <w:tcPr>
            <w:tcW w:type="dxa" w:w="2556"/>
          </w:tcPr>
          <w:p>
            <w:pPr>
              <w:spacing w:after="0"/>
            </w:pPr>
            <w:r>
              <w:rPr>
                <w:rFonts w:ascii="Arial" w:hAnsi="Arial"/>
                <w:b w:val="0"/>
                <w:sz w:val="14"/>
              </w:rPr>
              <w:t>Authority monitoring, drift detection</w:t>
            </w:r>
          </w:p>
        </w:tc>
      </w:tr>
      <w:tr>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In MAS, evidence must be partitioned, linked, and reconstructable.</w:t>
            </w:r>
          </w:p>
        </w:tc>
        <w:tc>
          <w:tcPr>
            <w:tcW w:type="dxa" w:w="2556"/>
          </w:tcPr>
          <w:p>
            <w:pPr>
              <w:spacing w:after="0"/>
            </w:pPr>
            <w:r>
              <w:rPr>
                <w:rFonts w:ascii="Arial" w:hAnsi="Arial"/>
                <w:b w:val="0"/>
                <w:sz w:val="14"/>
              </w:rPr>
              <w:t>Evidence chain, multi-agent traceability</w:t>
            </w:r>
          </w:p>
        </w:tc>
      </w:tr>
      <w:tr>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Cross-project reuse is not just efficiency. It is a compliance boundary.</w:t>
            </w:r>
          </w:p>
        </w:tc>
        <w:tc>
          <w:tcPr>
            <w:tcW w:type="dxa" w:w="2556"/>
          </w:tcPr>
          <w:p>
            <w:pPr>
              <w:spacing w:after="0"/>
            </w:pPr>
            <w:r>
              <w:rPr>
                <w:rFonts w:ascii="Arial" w:hAnsi="Arial"/>
                <w:b w:val="0"/>
                <w:sz w:val="14"/>
              </w:rPr>
              <w:t>Reuse, context reset, privacy review</w:t>
            </w:r>
          </w:p>
        </w:tc>
      </w:tr>
      <w:tr>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Privacy / GDPR Lifecycle Mapping</w:t>
            </w:r>
          </w:p>
        </w:tc>
        <w:tc>
          <w:tcPr>
            <w:tcW w:type="dxa" w:w="2556"/>
          </w:tcPr>
          <w:p>
            <w:pPr>
              <w:spacing w:after="0"/>
            </w:pPr>
            <w:r>
              <w:rPr>
                <w:rFonts w:ascii="Arial" w:hAnsi="Arial"/>
                <w:b w:val="0"/>
                <w:sz w:val="14"/>
              </w:rPr>
              <w:t>Privacy compliance in agentic systems must be mapped across the agent lifecycle.</w:t>
            </w:r>
          </w:p>
        </w:tc>
        <w:tc>
          <w:tcPr>
            <w:tcW w:type="dxa" w:w="2556"/>
          </w:tcPr>
          <w:p>
            <w:pPr>
              <w:spacing w:after="0"/>
            </w:pPr>
            <w:r>
              <w:rPr>
                <w:rFonts w:ascii="Arial" w:hAnsi="Arial"/>
                <w:b w:val="0"/>
                <w:sz w:val="14"/>
              </w:rPr>
              <w:t>Privacy, data flow, lifecycle stages</w:t>
            </w:r>
          </w:p>
        </w:tc>
      </w:tr>
      <w:tr>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External validation without raw sensitive data is a prerequisite for enterprise audit-readiness.</w:t>
            </w:r>
          </w:p>
        </w:tc>
        <w:tc>
          <w:tcPr>
            <w:tcW w:type="dxa" w:w="2556"/>
          </w:tcPr>
          <w:p>
            <w:pPr>
              <w:spacing w:after="0"/>
            </w:pPr>
            <w:r>
              <w:rPr>
                <w:rFonts w:ascii="Arial" w:hAnsi="Arial"/>
                <w:b w:val="0"/>
                <w:sz w:val="14"/>
              </w:rPr>
              <w:t>External validation, privacy preservation</w:t>
            </w:r>
          </w:p>
        </w:tc>
      </w:tr>
      <w:tr>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Evidence without minimization becomes a privacy risk. Privacy without evidence becomes an accountability gap.</w:t>
            </w:r>
          </w:p>
        </w:tc>
        <w:tc>
          <w:tcPr>
            <w:tcW w:type="dxa" w:w="2556"/>
          </w:tcPr>
          <w:p>
            <w:pPr>
              <w:spacing w:after="0"/>
            </w:pPr>
            <w:r>
              <w:rPr>
                <w:rFonts w:ascii="Arial" w:hAnsi="Arial"/>
                <w:b w:val="0"/>
                <w:sz w:val="14"/>
              </w:rPr>
              <w:t>Evidence minimization, selective disclosure</w:t>
            </w:r>
          </w:p>
        </w:tc>
      </w:tr>
      <w:tr>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Agentic audit systems must preserve accountability without hoarding personal data.</w:t>
            </w:r>
          </w:p>
        </w:tc>
        <w:tc>
          <w:tcPr>
            <w:tcW w:type="dxa" w:w="2556"/>
          </w:tcPr>
          <w:p>
            <w:pPr>
              <w:spacing w:after="0"/>
            </w:pPr>
            <w:r>
              <w:rPr>
                <w:rFonts w:ascii="Arial" w:hAnsi="Arial"/>
                <w:b w:val="0"/>
                <w:sz w:val="14"/>
              </w:rPr>
              <w:t>Data subject rights, retention, accountability</w:t>
            </w:r>
          </w:p>
        </w:tc>
      </w:tr>
      <w:tr>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Third-Party Processor / Subprocessor Chain</w:t>
            </w:r>
          </w:p>
        </w:tc>
        <w:tc>
          <w:tcPr>
            <w:tcW w:type="dxa" w:w="2556"/>
          </w:tcPr>
          <w:p>
            <w:pPr>
              <w:spacing w:after="0"/>
            </w:pPr>
            <w:r>
              <w:rPr>
                <w:rFonts w:ascii="Arial" w:hAnsi="Arial"/>
                <w:b w:val="0"/>
                <w:sz w:val="14"/>
              </w:rPr>
              <w:t>A multi-agent system is also a multi-party responsibility chain.</w:t>
            </w:r>
          </w:p>
        </w:tc>
        <w:tc>
          <w:tcPr>
            <w:tcW w:type="dxa" w:w="2556"/>
          </w:tcPr>
          <w:p>
            <w:pPr>
              <w:spacing w:after="0"/>
            </w:pPr>
            <w:r>
              <w:rPr>
                <w:rFonts w:ascii="Arial" w:hAnsi="Arial"/>
                <w:b w:val="0"/>
                <w:sz w:val="14"/>
              </w:rPr>
              <w:t>Processor chain, vendor responsibility</w:t>
            </w:r>
          </w:p>
        </w:tc>
      </w:tr>
      <w:tr>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 Model / Runtime Substitution Conformance</w:t>
            </w:r>
          </w:p>
        </w:tc>
        <w:tc>
          <w:tcPr>
            <w:tcW w:type="dxa" w:w="2556"/>
          </w:tcPr>
          <w:p>
            <w:pPr>
              <w:spacing w:after="0"/>
            </w:pPr>
            <w:r>
              <w:rPr>
                <w:rFonts w:ascii="Arial" w:hAnsi="Arial"/>
                <w:b w:val="0"/>
                <w:sz w:val="14"/>
              </w:rPr>
              <w:t>Vendor neutrality is not real unless compliance survives substitution.</w:t>
            </w:r>
          </w:p>
        </w:tc>
        <w:tc>
          <w:tcPr>
            <w:tcW w:type="dxa" w:w="2556"/>
          </w:tcPr>
          <w:p>
            <w:pPr>
              <w:spacing w:after="0"/>
            </w:pPr>
            <w:r>
              <w:rPr>
                <w:rFonts w:ascii="Arial" w:hAnsi="Arial"/>
                <w:b w:val="0"/>
                <w:sz w:val="14"/>
              </w:rPr>
              <w:t>Substitution, vendor changes, conformance continuity</w:t>
            </w:r>
          </w:p>
        </w:tc>
      </w:tr>
      <w:tr>
        <w:tc>
          <w:tcPr>
            <w:tcW w:type="dxa" w:w="2556"/>
          </w:tcPr>
          <w:p>
            <w:pPr>
              <w:spacing w:after="0"/>
            </w:pPr>
            <w:r>
              <w:rPr>
                <w:rFonts w:ascii="Arial" w:hAnsi="Arial"/>
                <w:b w:val="0"/>
                <w:sz w:val="14"/>
              </w:rPr>
              <w:t>MRO-16</w:t>
            </w:r>
          </w:p>
        </w:tc>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A compliance incident closes when evidence, responsibility, correction, and acceptance are resolved.</w:t>
            </w:r>
          </w:p>
        </w:tc>
        <w:tc>
          <w:tcPr>
            <w:tcW w:type="dxa" w:w="2556"/>
          </w:tcPr>
          <w:p>
            <w:pPr>
              <w:spacing w:after="0"/>
            </w:pPr>
            <w:r>
              <w:rPr>
                <w:rFonts w:ascii="Arial" w:hAnsi="Arial"/>
                <w:b w:val="0"/>
                <w:sz w:val="14"/>
              </w:rPr>
              <w:t>Incident closure, dispute resolution, remediation</w:t>
            </w:r>
          </w:p>
        </w:tc>
      </w:tr>
    </w:tbl>
    <w:p>
      <w:pPr>
        <w:spacing w:after="56"/>
      </w:pPr>
      <w:r>
        <w:t>Table T-06-01: Summary of the Sixteen Missing Regulatory Objects</w:t>
      </w:r>
    </w:p>
    <w:p>
      <w:pPr>
        <w:pStyle w:val="Heading2"/>
      </w:pPr>
      <w:r>
        <w:t>6.1.1 Common MRO Field Model</w:t>
      </w:r>
    </w:p>
    <w:p>
      <w:pPr>
        <w:spacing w:after="56"/>
      </w:pPr>
      <w:r>
        <w:t>All sixteen MRO object cards share a common set of identity and evidence fields. This common field model avoids repeating generic fields across every object card and establishes a consistent structure for lifecycle governance objects.</w:t>
      </w:r>
    </w:p>
    <w:p>
      <w:pPr>
        <w:spacing w:after="56"/>
      </w:pPr>
      <w:r>
        <w:t>The following table defines the common fields that apply to all MROs:</w:t>
      </w:r>
    </w:p>
    <w:p>
      <w:pPr>
        <w:spacing w:after="56"/>
      </w:pPr>
      <w:r>
        <w:t>Table T-06-01A: Common MRO Field Model</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Common Field</w:t>
            </w:r>
          </w:p>
        </w:tc>
        <w:tc>
          <w:tcPr>
            <w:tcW w:type="dxa" w:w="5112"/>
          </w:tcPr>
          <w:p>
            <w:pPr>
              <w:spacing w:after="0"/>
            </w:pPr>
            <w:r>
              <w:rPr>
                <w:rFonts w:ascii="Arial" w:hAnsi="Arial"/>
                <w:b/>
                <w:sz w:val="14"/>
              </w:rPr>
              <w:t>Purpose</w:t>
            </w:r>
          </w:p>
        </w:tc>
      </w:tr>
      <w:tr>
        <w:tc>
          <w:tcPr>
            <w:tcW w:type="dxa" w:w="5112"/>
          </w:tcPr>
          <w:p>
            <w:pPr>
              <w:spacing w:after="0"/>
            </w:pPr>
            <w:r>
              <w:rPr>
                <w:rFonts w:ascii="Arial" w:hAnsi="Arial"/>
                <w:b w:val="0"/>
                <w:sz w:val="14"/>
              </w:rPr>
              <w:t>object_id</w:t>
            </w:r>
          </w:p>
        </w:tc>
        <w:tc>
          <w:tcPr>
            <w:tcW w:type="dxa" w:w="5112"/>
          </w:tcPr>
          <w:p>
            <w:pPr>
              <w:spacing w:after="0"/>
            </w:pPr>
            <w:r>
              <w:rPr>
                <w:rFonts w:ascii="Arial" w:hAnsi="Arial"/>
                <w:b w:val="0"/>
                <w:sz w:val="14"/>
              </w:rPr>
              <w:t>Unique identifier for the object instance</w:t>
            </w:r>
          </w:p>
        </w:tc>
      </w:tr>
      <w:tr>
        <w:tc>
          <w:tcPr>
            <w:tcW w:type="dxa" w:w="5112"/>
          </w:tcPr>
          <w:p>
            <w:pPr>
              <w:spacing w:after="0"/>
            </w:pPr>
            <w:r>
              <w:rPr>
                <w:rFonts w:ascii="Arial" w:hAnsi="Arial"/>
                <w:b w:val="0"/>
                <w:sz w:val="14"/>
              </w:rPr>
              <w:t>object_type</w:t>
            </w:r>
          </w:p>
        </w:tc>
        <w:tc>
          <w:tcPr>
            <w:tcW w:type="dxa" w:w="5112"/>
          </w:tcPr>
          <w:p>
            <w:pPr>
              <w:spacing w:after="0"/>
            </w:pPr>
            <w:r>
              <w:rPr>
                <w:rFonts w:ascii="Arial" w:hAnsi="Arial"/>
                <w:b w:val="0"/>
                <w:sz w:val="14"/>
              </w:rPr>
              <w:t>MRO type identifier for the object instance</w:t>
            </w:r>
          </w:p>
        </w:tc>
      </w:tr>
      <w:tr>
        <w:tc>
          <w:tcPr>
            <w:tcW w:type="dxa" w:w="5112"/>
          </w:tcPr>
          <w:p>
            <w:pPr>
              <w:spacing w:after="0"/>
            </w:pPr>
            <w:r>
              <w:rPr>
                <w:rFonts w:ascii="Arial" w:hAnsi="Arial"/>
                <w:b w:val="0"/>
                <w:sz w:val="14"/>
              </w:rPr>
              <w:t>lifecycle_id</w:t>
            </w:r>
          </w:p>
        </w:tc>
        <w:tc>
          <w:tcPr>
            <w:tcW w:type="dxa" w:w="5112"/>
          </w:tcPr>
          <w:p>
            <w:pPr>
              <w:spacing w:after="0"/>
            </w:pPr>
            <w:r>
              <w:rPr>
                <w:rFonts w:ascii="Arial" w:hAnsi="Arial"/>
                <w:b w:val="0"/>
                <w:sz w:val="14"/>
              </w:rPr>
              <w:t>Identifier linking the object to a specific lifecycle execution</w:t>
            </w:r>
          </w:p>
        </w:tc>
      </w:tr>
      <w:tr>
        <w:tc>
          <w:tcPr>
            <w:tcW w:type="dxa" w:w="5112"/>
          </w:tcPr>
          <w:p>
            <w:pPr>
              <w:spacing w:after="0"/>
            </w:pPr>
            <w:r>
              <w:rPr>
                <w:rFonts w:ascii="Arial" w:hAnsi="Arial"/>
                <w:b w:val="0"/>
                <w:sz w:val="14"/>
              </w:rPr>
              <w:t>project_id</w:t>
            </w:r>
          </w:p>
        </w:tc>
        <w:tc>
          <w:tcPr>
            <w:tcW w:type="dxa" w:w="5112"/>
          </w:tcPr>
          <w:p>
            <w:pPr>
              <w:spacing w:after="0"/>
            </w:pPr>
            <w:r>
              <w:rPr>
                <w:rFonts w:ascii="Arial" w:hAnsi="Arial"/>
                <w:b w:val="0"/>
                <w:sz w:val="14"/>
              </w:rPr>
              <w:t>Project or regulated context in which the object applies</w:t>
            </w:r>
          </w:p>
        </w:tc>
      </w:tr>
      <w:tr>
        <w:tc>
          <w:tcPr>
            <w:tcW w:type="dxa" w:w="5112"/>
          </w:tcPr>
          <w:p>
            <w:pPr>
              <w:spacing w:after="0"/>
            </w:pPr>
            <w:r>
              <w:rPr>
                <w:rFonts w:ascii="Arial" w:hAnsi="Arial"/>
                <w:b w:val="0"/>
                <w:sz w:val="14"/>
              </w:rPr>
              <w:t>object_version</w:t>
            </w:r>
          </w:p>
        </w:tc>
        <w:tc>
          <w:tcPr>
            <w:tcW w:type="dxa" w:w="5112"/>
          </w:tcPr>
          <w:p>
            <w:pPr>
              <w:spacing w:after="0"/>
            </w:pPr>
            <w:r>
              <w:rPr>
                <w:rFonts w:ascii="Arial" w:hAnsi="Arial"/>
                <w:b w:val="0"/>
                <w:sz w:val="14"/>
              </w:rPr>
              <w:t>Version identifier for the object schema or instance</w:t>
            </w:r>
          </w:p>
        </w:tc>
      </w:tr>
      <w:tr>
        <w:tc>
          <w:tcPr>
            <w:tcW w:type="dxa" w:w="5112"/>
          </w:tcPr>
          <w:p>
            <w:pPr>
              <w:spacing w:after="0"/>
            </w:pPr>
            <w:r>
              <w:rPr>
                <w:rFonts w:ascii="Arial" w:hAnsi="Arial"/>
                <w:b w:val="0"/>
                <w:sz w:val="14"/>
              </w:rPr>
              <w:t>related_human_role_id</w:t>
            </w:r>
          </w:p>
        </w:tc>
        <w:tc>
          <w:tcPr>
            <w:tcW w:type="dxa" w:w="5112"/>
          </w:tcPr>
          <w:p>
            <w:pPr>
              <w:spacing w:after="0"/>
            </w:pPr>
            <w:r>
              <w:rPr>
                <w:rFonts w:ascii="Arial" w:hAnsi="Arial"/>
                <w:b w:val="0"/>
                <w:sz w:val="14"/>
              </w:rPr>
              <w:t>Human role identifier associated with the object</w:t>
            </w:r>
          </w:p>
        </w:tc>
      </w:tr>
      <w:tr>
        <w:tc>
          <w:tcPr>
            <w:tcW w:type="dxa" w:w="5112"/>
          </w:tcPr>
          <w:p>
            <w:pPr>
              <w:spacing w:after="0"/>
            </w:pPr>
            <w:r>
              <w:rPr>
                <w:rFonts w:ascii="Arial" w:hAnsi="Arial"/>
                <w:b w:val="0"/>
                <w:sz w:val="14"/>
              </w:rPr>
              <w:t>related_agent_role_id</w:t>
            </w:r>
          </w:p>
        </w:tc>
        <w:tc>
          <w:tcPr>
            <w:tcW w:type="dxa" w:w="5112"/>
          </w:tcPr>
          <w:p>
            <w:pPr>
              <w:spacing w:after="0"/>
            </w:pPr>
            <w:r>
              <w:rPr>
                <w:rFonts w:ascii="Arial" w:hAnsi="Arial"/>
                <w:b w:val="0"/>
                <w:sz w:val="14"/>
              </w:rPr>
              <w:t>Agent role identifier associated with the object, where applicable</w:t>
            </w:r>
          </w:p>
        </w:tc>
      </w:tr>
      <w:tr>
        <w:tc>
          <w:tcPr>
            <w:tcW w:type="dxa" w:w="5112"/>
          </w:tcPr>
          <w:p>
            <w:pPr>
              <w:spacing w:after="0"/>
            </w:pPr>
            <w:r>
              <w:rPr>
                <w:rFonts w:ascii="Arial" w:hAnsi="Arial"/>
                <w:b w:val="0"/>
                <w:sz w:val="14"/>
              </w:rPr>
              <w:t>authority_scope</w:t>
            </w:r>
          </w:p>
        </w:tc>
        <w:tc>
          <w:tcPr>
            <w:tcW w:type="dxa" w:w="5112"/>
          </w:tcPr>
          <w:p>
            <w:pPr>
              <w:spacing w:after="0"/>
            </w:pPr>
            <w:r>
              <w:rPr>
                <w:rFonts w:ascii="Arial" w:hAnsi="Arial"/>
                <w:b w:val="0"/>
                <w:sz w:val="14"/>
              </w:rPr>
              <w:t>Scope of authority for this object</w:t>
            </w:r>
          </w:p>
        </w:tc>
      </w:tr>
      <w:tr>
        <w:tc>
          <w:tcPr>
            <w:tcW w:type="dxa" w:w="5112"/>
          </w:tcPr>
          <w:p>
            <w:pPr>
              <w:spacing w:after="0"/>
            </w:pPr>
            <w:r>
              <w:rPr>
                <w:rFonts w:ascii="Arial" w:hAnsi="Arial"/>
                <w:b w:val="0"/>
                <w:sz w:val="14"/>
              </w:rPr>
              <w:t>risk_class</w:t>
            </w:r>
          </w:p>
        </w:tc>
        <w:tc>
          <w:tcPr>
            <w:tcW w:type="dxa" w:w="5112"/>
          </w:tcPr>
          <w:p>
            <w:pPr>
              <w:spacing w:after="0"/>
            </w:pPr>
            <w:r>
              <w:rPr>
                <w:rFonts w:ascii="Arial" w:hAnsi="Arial"/>
                <w:b w:val="0"/>
                <w:sz w:val="14"/>
              </w:rPr>
              <w:t>Risk classification for this object</w:t>
            </w:r>
          </w:p>
        </w:tc>
      </w:tr>
      <w:tr>
        <w:tc>
          <w:tcPr>
            <w:tcW w:type="dxa" w:w="5112"/>
          </w:tcPr>
          <w:p>
            <w:pPr>
              <w:spacing w:after="0"/>
            </w:pPr>
            <w:r>
              <w:rPr>
                <w:rFonts w:ascii="Arial" w:hAnsi="Arial"/>
                <w:b w:val="0"/>
                <w:sz w:val="14"/>
              </w:rPr>
              <w:t>evidence_pointer</w:t>
            </w:r>
          </w:p>
        </w:tc>
        <w:tc>
          <w:tcPr>
            <w:tcW w:type="dxa" w:w="5112"/>
          </w:tcPr>
          <w:p>
            <w:pPr>
              <w:spacing w:after="0"/>
            </w:pPr>
            <w:r>
              <w:rPr>
                <w:rFonts w:ascii="Arial" w:hAnsi="Arial"/>
                <w:b w:val="0"/>
                <w:sz w:val="14"/>
              </w:rPr>
              <w:t>Reference to evidence supporting the object's validity</w:t>
            </w:r>
          </w:p>
        </w:tc>
      </w:tr>
      <w:tr>
        <w:tc>
          <w:tcPr>
            <w:tcW w:type="dxa" w:w="5112"/>
          </w:tcPr>
          <w:p>
            <w:pPr>
              <w:spacing w:after="0"/>
            </w:pPr>
            <w:r>
              <w:rPr>
                <w:rFonts w:ascii="Arial" w:hAnsi="Arial"/>
                <w:b w:val="0"/>
                <w:sz w:val="14"/>
              </w:rPr>
              <w:t>privacy_treatment</w:t>
            </w:r>
          </w:p>
        </w:tc>
        <w:tc>
          <w:tcPr>
            <w:tcW w:type="dxa" w:w="5112"/>
          </w:tcPr>
          <w:p>
            <w:pPr>
              <w:spacing w:after="0"/>
            </w:pPr>
            <w:r>
              <w:rPr>
                <w:rFonts w:ascii="Arial" w:hAnsi="Arial"/>
                <w:b w:val="0"/>
                <w:sz w:val="14"/>
              </w:rPr>
              <w:t>Privacy treatment for this object</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Current lifecycle status of the object (active, closed, revoked, etc.)</w:t>
            </w:r>
          </w:p>
        </w:tc>
      </w:tr>
      <w:tr>
        <w:tc>
          <w:tcPr>
            <w:tcW w:type="dxa" w:w="5112"/>
          </w:tcPr>
          <w:p>
            <w:pPr>
              <w:spacing w:after="0"/>
            </w:pPr>
            <w:r>
              <w:rPr>
                <w:rFonts w:ascii="Arial" w:hAnsi="Arial"/>
                <w:b w:val="0"/>
                <w:sz w:val="14"/>
              </w:rPr>
              <w:t>created_at</w:t>
            </w:r>
          </w:p>
        </w:tc>
        <w:tc>
          <w:tcPr>
            <w:tcW w:type="dxa" w:w="5112"/>
          </w:tcPr>
          <w:p>
            <w:pPr>
              <w:spacing w:after="0"/>
            </w:pPr>
            <w:r>
              <w:rPr>
                <w:rFonts w:ascii="Arial" w:hAnsi="Arial"/>
                <w:b w:val="0"/>
                <w:sz w:val="14"/>
              </w:rPr>
              <w:t>Timestamp when this object was created</w:t>
            </w:r>
          </w:p>
        </w:tc>
      </w:tr>
      <w:tr>
        <w:tc>
          <w:tcPr>
            <w:tcW w:type="dxa" w:w="5112"/>
          </w:tcPr>
          <w:p>
            <w:pPr>
              <w:spacing w:after="0"/>
            </w:pPr>
            <w:r>
              <w:rPr>
                <w:rFonts w:ascii="Arial" w:hAnsi="Arial"/>
                <w:b w:val="0"/>
                <w:sz w:val="14"/>
              </w:rPr>
              <w:t>updated_at</w:t>
            </w:r>
          </w:p>
        </w:tc>
        <w:tc>
          <w:tcPr>
            <w:tcW w:type="dxa" w:w="5112"/>
          </w:tcPr>
          <w:p>
            <w:pPr>
              <w:spacing w:after="0"/>
            </w:pPr>
            <w:r>
              <w:rPr>
                <w:rFonts w:ascii="Arial" w:hAnsi="Arial"/>
                <w:b w:val="0"/>
                <w:sz w:val="14"/>
              </w:rPr>
              <w:t>Timestamp when this object was last updated</w:t>
            </w:r>
          </w:p>
        </w:tc>
      </w:tr>
      <w:tr>
        <w:tc>
          <w:tcPr>
            <w:tcW w:type="dxa" w:w="5112"/>
          </w:tcPr>
          <w:p>
            <w:pPr>
              <w:spacing w:after="0"/>
            </w:pPr>
            <w:r>
              <w:rPr>
                <w:rFonts w:ascii="Arial" w:hAnsi="Arial"/>
                <w:b w:val="0"/>
                <w:sz w:val="14"/>
              </w:rPr>
              <w:t>closure_reason</w:t>
            </w:r>
          </w:p>
        </w:tc>
        <w:tc>
          <w:tcPr>
            <w:tcW w:type="dxa" w:w="5112"/>
          </w:tcPr>
          <w:p>
            <w:pPr>
              <w:spacing w:after="0"/>
            </w:pPr>
            <w:r>
              <w:rPr>
                <w:rFonts w:ascii="Arial" w:hAnsi="Arial"/>
                <w:b w:val="0"/>
                <w:sz w:val="14"/>
              </w:rPr>
              <w:t>Reason for closure, if the object is closed</w:t>
            </w:r>
          </w:p>
        </w:tc>
      </w:tr>
    </w:tbl>
    <w:p>
      <w:pPr>
        <w:spacing w:after="56"/>
      </w:pPr>
      <w:r>
        <w:t>Implementation aliases may appear in specific systems. In this paper, actor_role_id is treated as an implementation alias for related_human_role_id, and timestamp is treated as implementation shorthand for created_at / updated_at, not as separate canonical fields.</w:t>
      </w:r>
    </w:p>
    <w:p>
      <w:pPr>
        <w:spacing w:after="56"/>
      </w:pPr>
      <w:r>
        <w:t>Individual MRO object cards below therefore emphasize MRO-specific purpose, controls, failure mode, and audit question rather than repeating the full common field model.</w:t>
      </w:r>
    </w:p>
    <w:p>
      <w:pPr>
        <w:pStyle w:val="Heading2"/>
      </w:pPr>
      <w:r>
        <w:t>6.2 MRO-01 — Human Role to MAS Responsibility Mapping</w:t>
      </w:r>
    </w:p>
    <w:p>
      <w:pPr>
        <w:pStyle w:val="Heading3"/>
      </w:pPr>
      <w:r>
        <w:t>Problem</w:t>
      </w:r>
    </w:p>
    <w:p>
      <w:pPr>
        <w:spacing w:after="56"/>
      </w:pPr>
      <w:r>
        <w:t>Regulation can require oversight, but agentic execution needs a precise map from human accountable roles to agent roles, tasks, tools, evidence, and accepted outcomes.</w:t>
      </w:r>
    </w:p>
    <w:p>
      <w:pPr>
        <w:pStyle w:val="Heading3"/>
      </w:pPr>
      <w:r>
        <w:t>Required Object</w:t>
      </w:r>
    </w:p>
    <w:p>
      <w:pPr>
        <w:spacing w:after="56"/>
      </w:pPr>
      <w:r>
        <w:t>A role-responsibility map binding human role IDs, agent role IDs, permitted delegated scopes, reserved human decisions, review duties, and evidence obligations.</w:t>
      </w:r>
    </w:p>
    <w:p>
      <w:pPr>
        <w:pStyle w:val="Heading3"/>
      </w:pPr>
      <w:r>
        <w:t>Judgment</w:t>
      </w:r>
    </w:p>
    <w:p>
      <w:pPr>
        <w:spacing w:after="56"/>
      </w:pPr>
      <w:r>
        <w:t>Human oversight without human-to-agent responsibility mapping is supervision theater.</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human role to MAS responsibility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human role to MAS responsibility mapping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human role to MAS responsibility mapping was properly established and preserved for the relevant lifecycle phase?</w:t>
            </w:r>
          </w:p>
        </w:tc>
      </w:tr>
    </w:tbl>
    <w:p>
      <w:pPr>
        <w:spacing w:after="56"/>
      </w:pPr>
      <w:r>
        <w:t>Table T-06-02: MRO-01 Object Card — Human Role to MAS Responsibility Mapping</w:t>
      </w:r>
    </w:p>
    <w:p>
      <w:pPr>
        <w:pStyle w:val="Heading3"/>
      </w:pPr>
      <w:r>
        <w:t>Detailed Discussion</w:t>
      </w:r>
    </w:p>
    <w:p>
      <w:pPr>
        <w:spacing w:after="56"/>
      </w:pPr>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Pr>
        <w:spacing w:after="56"/>
      </w:pPr>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Pr>
        <w:spacing w:after="56"/>
      </w:pPr>
      <w:r>
        <w:t>The difficulty is that a human may own business acceptance while an agent owns evidence collection, and another agent owns execution. A governance object must preserve those differences instead of flattening them into a single owner field.</w:t>
      </w:r>
    </w:p>
    <w:p>
      <w:pPr>
        <w:pStyle w:val="Heading3"/>
      </w:pPr>
      <w:r>
        <w:t>Enterprise Implication</w:t>
      </w:r>
    </w:p>
    <w:p>
      <w:pPr>
        <w:spacing w:after="56"/>
      </w:pPr>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Pr>
        <w:spacing w:after="56"/>
      </w:pPr>
      <w:r>
        <w:t>Adjacent identity, approval, or workflow controls may support this object, but lifecycle conformance requires explicit object semantics that preserve responsibility mapping across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Pr>
        <w:pStyle w:val="Heading3"/>
      </w:pPr>
      <w:r>
        <w:t>Design Implication</w:t>
      </w:r>
    </w:p>
    <w:p>
      <w:pPr>
        <w:spacing w:after="56"/>
      </w:pPr>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Pr>
        <w:spacing w:after="56"/>
      </w:pPr>
      <w:r>
        <w:t>The design should separate persona labels from capability boundaries, evidence duties, and human accountability so that collaboration structure does not substitute for responsibility semantics.</w:t>
      </w:r>
    </w:p>
    <w:p>
      <w:pPr>
        <w:pStyle w:val="Heading3"/>
      </w:pPr>
      <w:r>
        <w:t>Audit Question</w:t>
      </w:r>
    </w:p>
    <w:p>
      <w:pPr>
        <w:spacing w:after="56"/>
      </w:pPr>
      <w:r>
        <w:t>For any completed agentic workflow, can the system reconstruct which human role held which responsibility at each lifecycle phase, backed by evidence pointers and acceptance records?</w:t>
      </w:r>
    </w:p>
    <w:p>
      <w:pPr>
        <w:pStyle w:val="Heading2"/>
      </w:pPr>
      <w:r>
        <w:t>6.3 MRO-02 — Delegated Authority Boundary</w:t>
      </w:r>
    </w:p>
    <w:p>
      <w:pPr>
        <w:pStyle w:val="Heading3"/>
      </w:pPr>
      <w:r>
        <w:t>Problem</w:t>
      </w:r>
    </w:p>
    <w:p>
      <w:pPr>
        <w:spacing w:after="56"/>
      </w:pPr>
      <w:r>
        <w:t>API access and tool permission do not prove that a particular business action was authorized under the correct scope, condition, risk level, and escalation path.</w:t>
      </w:r>
    </w:p>
    <w:p>
      <w:pPr>
        <w:pStyle w:val="Heading3"/>
      </w:pPr>
      <w:r>
        <w:t>Required Object</w:t>
      </w:r>
    </w:p>
    <w:p>
      <w:pPr>
        <w:spacing w:after="56"/>
      </w:pPr>
      <w:r>
        <w:t>A delegated-authority object binding role, action, scope, condition, risk class, evidence requirement, expiry, revocation, and escalation path.</w:t>
      </w:r>
    </w:p>
    <w:p>
      <w:pPr>
        <w:pStyle w:val="Heading3"/>
      </w:pPr>
      <w:r>
        <w:t>Judgment</w:t>
      </w:r>
    </w:p>
    <w:p>
      <w:pPr>
        <w:spacing w:after="56"/>
      </w:pPr>
      <w:r>
        <w:t>IAM permission decides access. Delegated authority decides responsibility.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delegated authority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delegated authority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delegated authority boundary was properly established and preserved for the relevant lifecycle phase?</w:t>
            </w:r>
          </w:p>
        </w:tc>
      </w:tr>
    </w:tbl>
    <w:p>
      <w:pPr>
        <w:spacing w:after="56"/>
      </w:pPr>
      <w:r>
        <w:t>Table T-06-03: MRO-02 Object Card — Delegated Authority Boundary</w:t>
      </w:r>
    </w:p>
    <w:p>
      <w:pPr>
        <w:pStyle w:val="Heading3"/>
      </w:pPr>
      <w:r>
        <w:t>Detailed Discussion</w:t>
      </w:r>
    </w:p>
    <w:p>
      <w:pPr>
        <w:spacing w:after="56"/>
      </w:pPr>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Pr>
        <w:spacing w:after="56"/>
      </w:pPr>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Pr>
        <w:pStyle w:val="Heading3"/>
      </w:pPr>
      <w:r>
        <w:t>Enterprise Implication</w:t>
      </w:r>
    </w:p>
    <w:p>
      <w:pPr>
        <w:spacing w:after="56"/>
      </w:pPr>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Pr>
        <w:spacing w:after="56"/>
      </w:pPr>
      <w:r>
        <w:t>Adjacent controls such as IAM, guardrails, and workflow approvals may support this object, but lifecycle conformance requires explicit object semantics that bind a specific action to delegated authority, escalation rules, and evidence.</w:t>
      </w:r>
    </w:p>
    <w:p>
      <w:pPr>
        <w:pStyle w:val="Heading3"/>
      </w:pPr>
      <w:r>
        <w:t>Design Implication</w:t>
      </w:r>
    </w:p>
    <w:p>
      <w:pPr>
        <w:spacing w:after="56"/>
      </w:pPr>
      <w:r>
        <w:t>The boundary should be checked before high-impact tool calls and should include action class, permitted scope, expiration, revocation, escalation path, evidence pointer, and human override requirements. It should fail closed when authority cannot be reconstructed.</w:t>
      </w:r>
    </w:p>
    <w:p>
      <w:pPr>
        <w:spacing w:after="56"/>
      </w:pPr>
      <w:r>
        <w:t>Adjacent platform capabilities can support lifecycle governance, but they do not automatically define accepted outcome, human-role-to-MAS mapping, or cross-project responsibility continuity.</w:t>
      </w:r>
    </w:p>
    <w:p>
      <w:pPr>
        <w:pStyle w:val="Heading3"/>
      </w:pPr>
      <w:r>
        <w:t>Audit Question</w:t>
      </w:r>
    </w:p>
    <w:p>
      <w:pPr>
        <w:spacing w:after="56"/>
      </w:pPr>
      <w:r>
        <w:t>Before a high-impact tool call, can the system show the exact authority basis and escalation rule for that action? If not, permission is being mistaken for authority.</w:t>
      </w:r>
    </w:p>
    <w:p>
      <w:pPr>
        <w:pStyle w:val="Heading2"/>
      </w:pPr>
      <w:r>
        <w:t>6.4 MRO-03 — Agent Role is not Human Role</w:t>
      </w:r>
    </w:p>
    <w:p>
      <w:pPr>
        <w:pStyle w:val="Heading3"/>
      </w:pPr>
      <w:r>
        <w:t>Problem</w:t>
      </w:r>
    </w:p>
    <w:p>
      <w:pPr>
        <w:spacing w:after="56"/>
      </w:pPr>
      <w:r>
        <w:t>Agent names such as researcher, writer, reviewer, or manager are useful UI metaphors but are not adequate compliance identities.</w:t>
      </w:r>
    </w:p>
    <w:p>
      <w:pPr>
        <w:pStyle w:val="Heading3"/>
      </w:pPr>
      <w:r>
        <w:t>Required Object</w:t>
      </w:r>
    </w:p>
    <w:p>
      <w:pPr>
        <w:spacing w:after="56"/>
      </w:pPr>
      <w:r>
        <w:t>An agent responsibility boundary declaring duties, non-duties, allowed tools, inherited constraints, verification expectations, and human accountability linkage.</w:t>
      </w:r>
    </w:p>
    <w:p>
      <w:pPr>
        <w:pStyle w:val="Heading3"/>
      </w:pPr>
      <w:r>
        <w:t>Judgment</w:t>
      </w:r>
    </w:p>
    <w:p>
      <w:pPr>
        <w:spacing w:after="56"/>
      </w:pPr>
      <w:r>
        <w:t>An agent role is a bounded responsibility surface, not a human job title.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agent role boundaries explicit, inspectable, and replayable within an agentic lifecycle, separating persona labels from responsibility semantics.</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agent role responsibility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agent role boundaries were properly established and preserved for the relevant lifecycle phase?</w:t>
            </w:r>
          </w:p>
        </w:tc>
      </w:tr>
    </w:tbl>
    <w:p>
      <w:pPr>
        <w:spacing w:after="56"/>
      </w:pPr>
      <w:r>
        <w:t>Table T-06-04: MRO-03 Object Card — Agent Role is not Human Role</w:t>
      </w:r>
    </w:p>
    <w:p>
      <w:pPr>
        <w:pStyle w:val="Heading3"/>
      </w:pPr>
      <w:r>
        <w:t>Detailed Discussion</w:t>
      </w:r>
    </w:p>
    <w:p>
      <w:pPr>
        <w:spacing w:after="56"/>
      </w:pPr>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Pr>
        <w:spacing w:after="56"/>
      </w:pPr>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Pr>
        <w:pStyle w:val="Heading3"/>
      </w:pPr>
      <w:r>
        <w:t>Enterprise Implication</w:t>
      </w:r>
    </w:p>
    <w:p>
      <w:pPr>
        <w:spacing w:after="56"/>
      </w:pPr>
      <w:r>
        <w:t>Treating an agent persona as a human job role creates false accountability. The company may believe that a reviewer agent has performed review while no accountable human or approved review boundary exists.</w:t>
      </w:r>
    </w:p>
    <w:p>
      <w:pPr>
        <w:spacing w:after="56"/>
      </w:pPr>
      <w:r>
        <w:t>Adjacent controls may support this object, but lifecycle conformance requires explicit object semantics for responsibility, evidence, escalation duties, and human accountability linkage.</w:t>
      </w:r>
    </w:p>
    <w:p>
      <w:pPr>
        <w:pStyle w:val="Heading3"/>
      </w:pPr>
      <w:r>
        <w:t>Design Implication</w:t>
      </w:r>
    </w:p>
    <w:p>
      <w:pPr>
        <w:spacing w:after="56"/>
      </w:pPr>
      <w:r>
        <w:t>Separate UX persona, runtime capability, and governance role. The role object should identify what the agent can do, what it must prove, what it must escalate, and which human role remains accountable for acceptance or rejection.</w:t>
      </w:r>
    </w:p>
    <w:p>
      <w:pPr>
        <w:spacing w:after="56"/>
      </w:pPr>
      <w:r>
        <w:t>The implementation test is to replace the agent name with a neutral identifier. If the governance meaning disappears, the system is relying on persona language rather than responsibility structure.</w:t>
      </w:r>
    </w:p>
    <w:p>
      <w:pPr>
        <w:pStyle w:val="Heading3"/>
      </w:pPr>
      <w:r>
        <w:t>Audit Question</w:t>
      </w:r>
    </w:p>
    <w:p>
      <w:pPr>
        <w:spacing w:after="56"/>
      </w:pPr>
      <w:r>
        <w:t>If the agent name is replaced with a neutral identifier, does the governance meaning remain intact, or was the system relying on persona language rather than responsibility structure?</w:t>
      </w:r>
    </w:p>
    <w:p>
      <w:pPr>
        <w:pStyle w:val="Heading2"/>
      </w:pPr>
      <w:r>
        <w:t>6.5 MRO-04 — Accepted Outcome Compliance</w:t>
      </w:r>
    </w:p>
    <w:p>
      <w:pPr>
        <w:pStyle w:val="Heading3"/>
      </w:pPr>
      <w:r>
        <w:t>Problem</w:t>
      </w:r>
    </w:p>
    <w:p>
      <w:pPr>
        <w:spacing w:after="56"/>
      </w:pPr>
      <w:r>
        <w:t>A model output or orchestrator completion event does not become enterprise work until the right role has reviewed, accepted, or rejected it under evidence.</w:t>
      </w:r>
    </w:p>
    <w:p>
      <w:pPr>
        <w:pStyle w:val="Heading3"/>
      </w:pPr>
      <w:r>
        <w:t>Required Object</w:t>
      </w:r>
    </w:p>
    <w:p>
      <w:pPr>
        <w:spacing w:after="56"/>
      </w:pPr>
      <w:r>
        <w:t>An accepted_outcome state linking source intent, plan, trace, reviewer, acceptance status, dispute window, remediation route, and evidence pointers.</w:t>
      </w:r>
    </w:p>
    <w:p>
      <w:pPr>
        <w:pStyle w:val="Heading3"/>
      </w:pPr>
      <w:r>
        <w:t>Judgment</w:t>
      </w:r>
    </w:p>
    <w:p>
      <w:pPr>
        <w:spacing w:after="56"/>
      </w:pPr>
      <w:r>
        <w:t>Output is a system event. Accepted outcome is a governance state.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accepted outcome compliance explicit, inspectable, and replayable within an agentic lifecycle, separating execution completion from governance acceptance.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accepted outcome compliance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accepted outcome compliance was properly established and preserved for the relevant lifecycle phase?</w:t>
            </w:r>
          </w:p>
        </w:tc>
      </w:tr>
    </w:tbl>
    <w:p>
      <w:pPr>
        <w:spacing w:after="56"/>
      </w:pPr>
      <w:r>
        <w:t>Table T-06-05: MRO-04 Object Card — Accepted Outcome Compliance</w:t>
      </w:r>
    </w:p>
    <w:p>
      <w:pPr>
        <w:pStyle w:val="Heading3"/>
      </w:pPr>
      <w:r>
        <w:t>Detailed Discussion</w:t>
      </w:r>
    </w:p>
    <w:p>
      <w:pPr>
        <w:spacing w:after="56"/>
      </w:pPr>
      <w:r>
        <w:t>Agentic systems often mark work as complete when execution reaches a terminal state. Compliance requires a stronger state: the output must be reviewed against intent, evidence, risk, and acceptance criteria before it becomes an accepted outcome.</w:t>
      </w:r>
    </w:p>
    <w:p>
      <w:pPr>
        <w:spacing w:after="56"/>
      </w:pPr>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Pr>
        <w:pStyle w:val="Heading3"/>
      </w:pPr>
      <w:r>
        <w:t>Enterprise Implication</w:t>
      </w:r>
    </w:p>
    <w:p>
      <w:pPr>
        <w:spacing w:after="56"/>
      </w:pPr>
      <w:r>
        <w:t>Without accepted-outcome semantics, completed tasks may enter business processes without accountable review. This creates disputes when customers, regulators, or internal stakeholders ask who accepted the work and on what evidence.</w:t>
      </w:r>
    </w:p>
    <w:p>
      <w:pPr>
        <w:spacing w:after="56"/>
      </w:pPr>
      <w:r>
        <w:t>Adjacent execution controls may complete work reliably, but lifecycle conformance requires explicit object semantics for accepted delivery rather than executed task closure. In a dispute, the enterprise must be able to distinguish execution quality, review failure, and missing acceptance policy.</w:t>
      </w:r>
    </w:p>
    <w:p>
      <w:pPr>
        <w:pStyle w:val="Heading3"/>
      </w:pPr>
      <w:r>
        <w:t>Design Implication</w:t>
      </w:r>
    </w:p>
    <w:p>
      <w:pPr>
        <w:spacing w:after="56"/>
      </w:pPr>
      <w:r>
        <w:t>The accepted_outcome object should bind deliverable ID, plan version, trace reference, reviewer role, acceptance criteria, acceptance decision, dispute window, and remediation path. Completion and acceptance should remain separate states.</w:t>
      </w:r>
    </w:p>
    <w:p>
      <w:pPr>
        <w:spacing w:after="56"/>
      </w:pPr>
      <w:r>
        <w:t>The implementation test is to identify a completed task and ask: who accepted it, against what criteria, with what evidence, and what is the dispute window? If the answer is that completion equals acceptance, the system has collapsed execution into governance.</w:t>
      </w:r>
    </w:p>
    <w:p>
      <w:pPr>
        <w:pStyle w:val="Heading3"/>
      </w:pPr>
      <w:r>
        <w:t>Audit Question</w:t>
      </w:r>
    </w:p>
    <w:p>
      <w:pPr>
        <w:spacing w:after="56"/>
      </w:pPr>
      <w:r>
        <w:t>For any completed task, can the system identify the acceptance criteria, evidence reviewed, reviewer role, decision timestamp, and dispute window?</w:t>
      </w:r>
    </w:p>
    <w:p>
      <w:pPr>
        <w:pStyle w:val="Heading2"/>
      </w:pPr>
      <w:r>
        <w:t>6.6 MRO-05 — Tool-Action Liability Boundary</w:t>
      </w:r>
    </w:p>
    <w:p>
      <w:pPr>
        <w:pStyle w:val="Heading3"/>
      </w:pPr>
      <w:r>
        <w:t>Problem</w:t>
      </w:r>
    </w:p>
    <w:p>
      <w:pPr>
        <w:spacing w:after="56"/>
      </w:pPr>
      <w:r>
        <w:t>Agentic AI becomes operationally consequential when it sends, modifies, deploys, purchases, transfers, deletes, or triggers external actions.</w:t>
      </w:r>
    </w:p>
    <w:p>
      <w:pPr>
        <w:pStyle w:val="Heading3"/>
      </w:pPr>
      <w:r>
        <w:t>Required Object</w:t>
      </w:r>
    </w:p>
    <w:p>
      <w:pPr>
        <w:spacing w:after="56"/>
      </w:pPr>
      <w:r>
        <w:t>A tool-action liability object recording initiator, tool identity, external system, authority credential, reversibility, rollback plan, affected data, and owner.</w:t>
      </w:r>
    </w:p>
    <w:p>
      <w:pPr>
        <w:pStyle w:val="Heading3"/>
      </w:pPr>
      <w:r>
        <w:t>Judgment</w:t>
      </w:r>
    </w:p>
    <w:p>
      <w:pPr>
        <w:spacing w:after="56"/>
      </w:pPr>
      <w:r>
        <w:t>Tool use is where AI output becomes external consequence.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tool-action liability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tool-action liability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tool-action liability boundary was properly established and preserved for the relevant lifecycle phase?</w:t>
            </w:r>
          </w:p>
        </w:tc>
      </w:tr>
    </w:tbl>
    <w:p>
      <w:pPr>
        <w:spacing w:after="56"/>
      </w:pPr>
      <w:r>
        <w:t>Table T-06-06: MRO-05 Object Card — Tool-Action Liability Boundary</w:t>
      </w:r>
    </w:p>
    <w:p>
      <w:pPr>
        <w:pStyle w:val="Heading3"/>
      </w:pPr>
      <w:r>
        <w:t>Detailed Discussion</w:t>
      </w:r>
    </w:p>
    <w:p>
      <w:pPr>
        <w:spacing w:after="56"/>
      </w:pPr>
      <w:r>
        <w:t>Tool use is the moment where AI output becomes external consequence. Sending email, changing records, deploying code, querying regulated data, or triggering payment workflows each carries different liability and reversibility properties.</w:t>
      </w:r>
    </w:p>
    <w:p>
      <w:pPr>
        <w:spacing w:after="56"/>
      </w:pPr>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Pr>
        <w:spacing w:after="56"/>
      </w:pPr>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Pr>
        <w:spacing w:after="56"/>
      </w:pPr>
      <w:r>
        <w:t>The difficulty is that a tool log alone may show that an action happened, but not whether the agent had authority, whether the action was reversible, which system was affected, or who owns the resulting consequence.</w:t>
      </w:r>
    </w:p>
    <w:p>
      <w:pPr>
        <w:pStyle w:val="Heading3"/>
      </w:pPr>
      <w:r>
        <w:t>Enterprise Implication</w:t>
      </w:r>
    </w:p>
    <w:p>
      <w:pPr>
        <w:spacing w:after="56"/>
      </w:pPr>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Pr>
        <w:spacing w:after="56"/>
      </w:pPr>
      <w:r>
        <w:t>Adjacent controls such as IAM and API permissions may support this object, but lifecycle conformance requires explicit object semantics that bind the specific tool action to authority, reversibility, affected systems, and accountable ownership.</w:t>
      </w:r>
    </w:p>
    <w:p>
      <w:pPr>
        <w:pStyle w:val="Heading3"/>
      </w:pPr>
      <w:r>
        <w:t>Design Implication</w:t>
      </w:r>
    </w:p>
    <w:p>
      <w:pPr>
        <w:spacing w:after="56"/>
      </w:pPr>
      <w:r>
        <w:t>Every consequential tool action should produce a liability boundary record: initiator, authority source, target system, action type, reversibility, rollback path, data sensitivity, evidence pointer, and accountable owner.</w:t>
      </w:r>
    </w:p>
    <w:p>
      <w:pPr>
        <w:spacing w:after="56"/>
      </w:pPr>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Pr>
        <w:pStyle w:val="Heading3"/>
      </w:pPr>
      <w:r>
        <w:t>Audit Question</w:t>
      </w:r>
    </w:p>
    <w:p>
      <w:pPr>
        <w:spacing w:after="56"/>
      </w:pPr>
      <w:r>
        <w:t>For any consequential tool action, can the system reconstruct the initiator, authority source, affected system, reversibility status, rollback path, and accountable owner?</w:t>
      </w:r>
    </w:p>
    <w:p>
      <w:pPr>
        <w:pStyle w:val="Heading2"/>
      </w:pPr>
      <w:r>
        <w:t>6.7 MRO-06 — Responsibility Transfer Across Agents</w:t>
      </w:r>
    </w:p>
    <w:p>
      <w:pPr>
        <w:pStyle w:val="Heading3"/>
      </w:pPr>
      <w:r>
        <w:t>Problem</w:t>
      </w:r>
    </w:p>
    <w:p>
      <w:pPr>
        <w:spacing w:after="56"/>
      </w:pPr>
      <w:r>
        <w:t>Handoff in a workflow engine does not automatically transfer responsibility, inherited constraints, retained obligations, or evidence duties.</w:t>
      </w:r>
    </w:p>
    <w:p>
      <w:pPr>
        <w:pStyle w:val="Heading3"/>
      </w:pPr>
      <w:r>
        <w:t>Required Object</w:t>
      </w:r>
    </w:p>
    <w:p>
      <w:pPr>
        <w:spacing w:after="56"/>
      </w:pPr>
      <w:r>
        <w:t>A transfer object declaring transferred scope, source role, receiving role, retained responsibilities, inherited constraints, and receiving-role acceptance.</w:t>
      </w:r>
    </w:p>
    <w:p>
      <w:pPr>
        <w:pStyle w:val="Heading3"/>
      </w:pPr>
      <w:r>
        <w:t>Judgment</w:t>
      </w:r>
    </w:p>
    <w:p>
      <w:pPr>
        <w:spacing w:after="56"/>
      </w:pPr>
      <w:r>
        <w:t>Handoff without explicit responsibility transfer is just routing.</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responsibility transfer across agents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responsibility transfer across agents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responsibility transfer across agents was properly established and preserved for the relevant lifecycle phase?</w:t>
            </w:r>
          </w:p>
        </w:tc>
      </w:tr>
    </w:tbl>
    <w:p>
      <w:pPr>
        <w:spacing w:after="56"/>
      </w:pPr>
      <w:r>
        <w:t>Table T-06-07: MRO-06 Object Card — Responsibility Transfer Across Agents</w:t>
      </w:r>
    </w:p>
    <w:p>
      <w:pPr>
        <w:pStyle w:val="Heading3"/>
      </w:pPr>
      <w:r>
        <w:t>Detailed Discussion</w:t>
      </w:r>
    </w:p>
    <w:p>
      <w:pPr>
        <w:spacing w:after="56"/>
      </w:pPr>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Pr>
        <w:spacing w:after="56"/>
      </w:pPr>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Pr>
        <w:spacing w:after="56"/>
      </w:pPr>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Pr>
        <w:pStyle w:val="Heading3"/>
      </w:pPr>
      <w:r>
        <w:t>Enterprise Implication</w:t>
      </w:r>
    </w:p>
    <w:p>
      <w:pPr>
        <w:spacing w:after="56"/>
      </w:pPr>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Pr>
        <w:spacing w:after="56"/>
      </w:pPr>
      <w:r>
        <w:t>Adjacent orchestration controls may support this object, but lifecycle conformance requires explicit object semantics for transferred responsibility, retained responsibility, inherited constraints, evidence duties, and escalation.</w:t>
      </w:r>
    </w:p>
    <w:p>
      <w:pPr>
        <w:pStyle w:val="Heading3"/>
      </w:pPr>
      <w:r>
        <w:t>Design Implication</w:t>
      </w:r>
    </w:p>
    <w:p>
      <w:pPr>
        <w:spacing w:after="56"/>
      </w:pPr>
      <w:r>
        <w:t>Responsibility transfer should be explicit: transferred scope, retained scope, inherited constraints, evidence obligations, receiving-role acceptance, and rejection/escalation behavior must be recorded.</w:t>
      </w:r>
    </w:p>
    <w:p>
      <w:pPr>
        <w:spacing w:after="56"/>
      </w:pPr>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Pr>
        <w:pStyle w:val="Heading3"/>
      </w:pPr>
      <w:r>
        <w:t>Audit Question</w:t>
      </w:r>
    </w:p>
    <w:p>
      <w:pPr>
        <w:spacing w:after="56"/>
      </w:pPr>
      <w:r>
        <w:t>For any multi-agent workflow, can the system reconstruct which agent held which responsibility at each handoff, including transferred scope, retained scope, and inherited constraints?</w:t>
      </w:r>
    </w:p>
    <w:p>
      <w:pPr>
        <w:pStyle w:val="Heading2"/>
      </w:pPr>
      <w:r>
        <w:t>6.8 MRO-07 — Authority Drift</w:t>
      </w:r>
    </w:p>
    <w:p>
      <w:pPr>
        <w:pStyle w:val="Heading3"/>
      </w:pPr>
      <w:r>
        <w:t>Problem</w:t>
      </w:r>
    </w:p>
    <w:p>
      <w:pPr>
        <w:spacing w:after="56"/>
      </w:pPr>
      <w:r>
        <w:t>Agents can drift from advising to executing, drafting to sending, reading to modifying, or summarizing to committing changes.</w:t>
      </w:r>
    </w:p>
    <w:p>
      <w:pPr>
        <w:pStyle w:val="Heading3"/>
      </w:pPr>
      <w:r>
        <w:t>Required Object</w:t>
      </w:r>
    </w:p>
    <w:p>
      <w:pPr>
        <w:spacing w:after="56"/>
      </w:pPr>
      <w:r>
        <w:t>A drift event model comparing observed behavior against original delegated authority, risk class, tool scope, and required confirmation boundary.</w:t>
      </w:r>
    </w:p>
    <w:p>
      <w:pPr>
        <w:pStyle w:val="Heading3"/>
      </w:pPr>
      <w:r>
        <w:t>Judgment</w:t>
      </w:r>
    </w:p>
    <w:p>
      <w:pPr>
        <w:spacing w:after="56"/>
      </w:pPr>
      <w:r>
        <w:t>The most dangerous agent failures are often unauthorized authority transitions.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authority drift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authority drift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authority drift was properly established and preserved for the relevant lifecycle phase?</w:t>
            </w:r>
          </w:p>
        </w:tc>
      </w:tr>
    </w:tbl>
    <w:p>
      <w:pPr>
        <w:spacing w:after="56"/>
      </w:pPr>
      <w:r>
        <w:t>Table T-06-08: MRO-07 Object Card — Authority Drift</w:t>
      </w:r>
    </w:p>
    <w:p>
      <w:pPr>
        <w:pStyle w:val="Heading3"/>
      </w:pPr>
      <w:r>
        <w:t>Detailed Discussion</w:t>
      </w:r>
    </w:p>
    <w:p>
      <w:pPr>
        <w:spacing w:after="56"/>
      </w:pPr>
      <w:r>
        <w:t>Authority drift occurs when an agent gradually moves from advice to execution, from draft to send, from read-only to write, or from internal recommendation to external commitment. It is often a transition problem rather than a single bad output.</w:t>
      </w:r>
    </w:p>
    <w:p>
      <w:pPr>
        <w:spacing w:after="56"/>
      </w:pPr>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Pr>
        <w:spacing w:after="56"/>
      </w:pPr>
      <w:r>
        <w:t>The difficulty is that drift is dangerous because each local step may appear reasonable while the cumulative lifecycle state exceeds the original delegation. This is especially acute in long-running workflows, autonomous retries, or agent loops.</w:t>
      </w:r>
    </w:p>
    <w:p>
      <w:pPr>
        <w:pStyle w:val="Heading3"/>
      </w:pPr>
      <w:r>
        <w:t>Enterprise Implication</w:t>
      </w:r>
    </w:p>
    <w:p>
      <w:pPr>
        <w:spacing w:after="56"/>
      </w:pPr>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Pr>
        <w:spacing w:after="56"/>
      </w:pPr>
      <w:r>
        <w:t>Adjacent guardrails and content filters may support this object, but lifecycle conformance requires explicit object semantics that monitor authority boundaries across the full execution timeline.</w:t>
      </w:r>
    </w:p>
    <w:p>
      <w:pPr>
        <w:pStyle w:val="Heading3"/>
      </w:pPr>
      <w:r>
        <w:t>Design Implication</w:t>
      </w:r>
    </w:p>
    <w:p>
      <w:pPr>
        <w:spacing w:after="56"/>
      </w:pPr>
      <w:r>
        <w:t>The system should compare observed behavior against original authority boundaries and plan state. Unauthorized transitions should trigger stop, downgrade, or human confirmation rather than being treated as ordinary execution variance.</w:t>
      </w:r>
    </w:p>
    <w:p>
      <w:pPr>
        <w:spacing w:after="56"/>
      </w:pPr>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Pr>
        <w:pStyle w:val="Heading3"/>
      </w:pPr>
      <w:r>
        <w:t>Audit Question</w:t>
      </w:r>
    </w:p>
    <w:p>
      <w:pPr>
        <w:spacing w:after="56"/>
      </w:pPr>
      <w:r>
        <w:t>For any long-running workflow, can the system detect when an agent's observed behavior exceeds its original authority boundary, and does it halt or escalate before external consequence?</w:t>
      </w:r>
    </w:p>
    <w:p>
      <w:pPr>
        <w:pStyle w:val="Heading2"/>
      </w:pPr>
      <w:r>
        <w:t>6.9 MRO-08 — MAS Evidence Partitioning</w:t>
      </w:r>
    </w:p>
    <w:p>
      <w:pPr>
        <w:pStyle w:val="Heading3"/>
      </w:pPr>
      <w:r>
        <w:t>Problem</w:t>
      </w:r>
    </w:p>
    <w:p>
      <w:pPr>
        <w:spacing w:after="56"/>
      </w:pPr>
      <w:r>
        <w:t>A flat chronological log cannot show how different agents, tools, humans, plans, privacy constraints, and evidence fragments relate.</w:t>
      </w:r>
    </w:p>
    <w:p>
      <w:pPr>
        <w:pStyle w:val="Heading3"/>
      </w:pPr>
      <w:r>
        <w:t>Required Object</w:t>
      </w:r>
    </w:p>
    <w:p>
      <w:pPr>
        <w:spacing w:after="56"/>
      </w:pPr>
      <w:r>
        <w:t>Partitioned evidence by agent, tool, human confirmation, plan version, authority boundary, privacy boundary, and accepted outcome.</w:t>
      </w:r>
    </w:p>
    <w:p>
      <w:pPr>
        <w:pStyle w:val="Heading3"/>
      </w:pPr>
      <w:r>
        <w:t>Judgment</w:t>
      </w:r>
    </w:p>
    <w:p>
      <w:pPr>
        <w:spacing w:after="56"/>
      </w:pPr>
      <w:r>
        <w:t>In MAS, evidence must be partitioned, linked, and reconstructable.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MAS evidence partitioning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MAS evidence partitioning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MAS evidence partitioning was properly established and preserved for the relevant lifecycle phase?</w:t>
            </w:r>
          </w:p>
        </w:tc>
      </w:tr>
    </w:tbl>
    <w:p>
      <w:pPr>
        <w:spacing w:after="56"/>
      </w:pPr>
      <w:r>
        <w:t>Table T-06-09: MRO-08 Object Card — MAS Evidence Partitioning</w:t>
      </w:r>
    </w:p>
    <w:p>
      <w:pPr>
        <w:pStyle w:val="Heading3"/>
      </w:pPr>
      <w:r>
        <w:t>Detailed Discussion</w:t>
      </w:r>
    </w:p>
    <w:p>
      <w:pPr>
        <w:spacing w:after="56"/>
      </w:pPr>
      <w:r>
        <w:t>Multi-agent evidence is not a single log stream. It includes plan versions, agent messages, tool calls, human confirmations, data accesses, privacy decisions, model outputs, evidence hashes, and outcome states. Different auditors may need different partitions.</w:t>
      </w:r>
    </w:p>
    <w:p>
      <w:pPr>
        <w:spacing w:after="56"/>
      </w:pPr>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Pr>
        <w:spacing w:after="56"/>
      </w:pPr>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Pr>
        <w:pStyle w:val="Heading3"/>
      </w:pPr>
      <w:r>
        <w:t>Enterprise Implication</w:t>
      </w:r>
    </w:p>
    <w:p>
      <w:pPr>
        <w:spacing w:after="56"/>
      </w:pPr>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Pr>
        <w:spacing w:after="56"/>
      </w:pPr>
      <w:r>
        <w:t>Adjacent observability and trace systems may support this object, but lifecycle conformance requires explicit object semantics that partition evidence by governance boundaries rather than only by execution timeline.</w:t>
      </w:r>
    </w:p>
    <w:p>
      <w:pPr>
        <w:pStyle w:val="Heading3"/>
      </w:pPr>
      <w:r>
        <w:t>Design Implication</w:t>
      </w:r>
    </w:p>
    <w:p>
      <w:pPr>
        <w:spacing w:after="56"/>
      </w:pPr>
      <w:r>
        <w:t>Evidence should be partitioned by agent, tool, authority boundary, privacy class, confirmation event, plan version, and accepted outcome. Partitions should be linked by stable identifiers and integrity hashes.</w:t>
      </w:r>
    </w:p>
    <w:p>
      <w:pPr>
        <w:spacing w:after="56"/>
      </w:pPr>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Pr>
        <w:pStyle w:val="Heading3"/>
      </w:pPr>
      <w:r>
        <w:t>Audit Question</w:t>
      </w:r>
    </w:p>
    <w:p>
      <w:pPr>
        <w:spacing w:after="56"/>
      </w:pPr>
      <w:r>
        <w:t>For any completed multi-agent workflow, can the system reconstruct evidence partitions for specific agents, tools, privacy classes, and accepted outcomes without exposing unnecessary raw data?</w:t>
      </w:r>
    </w:p>
    <w:p>
      <w:pPr>
        <w:pStyle w:val="Heading2"/>
      </w:pPr>
      <w:r>
        <w:t>6.10 MRO-09 — Cross-Project Reuse Compliance</w:t>
      </w:r>
    </w:p>
    <w:p>
      <w:pPr>
        <w:pStyle w:val="Heading3"/>
      </w:pPr>
      <w:r>
        <w:t>Problem</w:t>
      </w:r>
    </w:p>
    <w:p>
      <w:pPr>
        <w:spacing w:after="56"/>
      </w:pPr>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Pr>
        <w:pStyle w:val="Heading3"/>
      </w:pPr>
      <w:r>
        <w:t>Required Object</w:t>
      </w:r>
    </w:p>
    <w:p>
      <w:pPr>
        <w:spacing w:after="56"/>
      </w:pPr>
      <w:r>
        <w:t>A cross-project reuse compliance record linking original validation context to new deployment context, including authority reset, privacy review, evidence revalidation, and acceptance criteria adjustment.</w:t>
      </w:r>
    </w:p>
    <w:p>
      <w:pPr>
        <w:pStyle w:val="Heading3"/>
      </w:pPr>
      <w:r>
        <w:t>Judgment</w:t>
      </w:r>
    </w:p>
    <w:p>
      <w:pPr>
        <w:spacing w:after="56"/>
      </w:pPr>
      <w:r>
        <w:t>Reuse without revalidation is the most common lifecycle governance failure.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cross-project reuse compliance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receiving project context, reuse authorization, context delta, privacy review, evidence revalidation, acceptance criteria adjustment</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A workflow may be reused in a new project, risk class, or privacy context without authority reset, evidence revalidation, or privacy reassessment.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cross-project reuse was authorized, revalidated, and privacy-reviewed for the new deployment context?</w:t>
            </w:r>
          </w:p>
        </w:tc>
      </w:tr>
    </w:tbl>
    <w:p>
      <w:pPr>
        <w:spacing w:after="56"/>
      </w:pPr>
      <w:r>
        <w:t>Table T-06-10: MRO-09 Object Card — Cross-Project Reuse Compliance</w:t>
      </w:r>
    </w:p>
    <w:p>
      <w:pPr>
        <w:pStyle w:val="Heading3"/>
      </w:pPr>
      <w:r>
        <w:t>Detailed Discussion</w:t>
      </w:r>
    </w:p>
    <w:p>
      <w:pPr>
        <w:spacing w:after="56"/>
      </w:pPr>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Pr>
        <w:spacing w:after="56"/>
      </w:pPr>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Pr>
        <w:spacing w:after="56"/>
      </w:pPr>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Pr>
        <w:spacing w:after="56"/>
      </w:pPr>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Pr>
        <w:pStyle w:val="Heading3"/>
      </w:pPr>
      <w:r>
        <w:t>Enterprise Implication</w:t>
      </w:r>
    </w:p>
    <w:p>
      <w:pPr>
        <w:spacing w:after="56"/>
      </w:pPr>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Pr>
        <w:spacing w:after="56"/>
      </w:pPr>
      <w:r>
        <w:t>Adjacent template libraries and shared agent definitions may support this object, but lifecycle conformance requires explicit object semantics for context reset, privacy review, and evidence revalidation when deployment context changes.</w:t>
      </w:r>
    </w:p>
    <w:p>
      <w:pPr>
        <w:pStyle w:val="Heading3"/>
      </w:pPr>
      <w:r>
        <w:t>Design Implication</w:t>
      </w:r>
    </w:p>
    <w:p>
      <w:pPr>
        <w:spacing w:after="56"/>
      </w:pPr>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Pr>
        <w:spacing w:after="56"/>
      </w:pPr>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Pr>
        <w:pStyle w:val="Heading3"/>
      </w:pPr>
      <w:r>
        <w:t>Audit Question</w:t>
      </w:r>
    </w:p>
    <w:p>
      <w:pPr>
        <w:spacing w:after="56"/>
      </w:pPr>
      <w:r>
        <w:t>For any reused workflow, can the system prove that it was revalidated for the new deployment context, including authority reset, privacy review, and evidence revalidation?</w:t>
      </w:r>
    </w:p>
    <w:p>
      <w:pPr>
        <w:pStyle w:val="Heading2"/>
      </w:pPr>
      <w:r>
        <w:t>6.11 MRO-10 — Privacy / GDPR Lifecycle Mapping</w:t>
      </w:r>
    </w:p>
    <w:p>
      <w:pPr>
        <w:pStyle w:val="Heading3"/>
      </w:pPr>
      <w:r>
        <w:t>Problem</w:t>
      </w:r>
    </w:p>
    <w:p>
      <w:pPr>
        <w:spacing w:after="56"/>
      </w:pPr>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Pr>
        <w:pStyle w:val="Heading3"/>
      </w:pPr>
      <w:r>
        <w:t>Required Object</w:t>
      </w:r>
    </w:p>
    <w:p>
      <w:pPr>
        <w:spacing w:after="56"/>
      </w:pPr>
      <w:r>
        <w:t>A lifecycle data-flow map showing what personal data enters, flows through, and exits each agent, tool, memory, and handoff, including legal basis, purpose limitation, retention period, and data subject rights.</w:t>
      </w:r>
    </w:p>
    <w:p>
      <w:pPr>
        <w:pStyle w:val="Heading3"/>
      </w:pPr>
      <w:r>
        <w:t>Judgment</w:t>
      </w:r>
    </w:p>
    <w:p>
      <w:pPr>
        <w:spacing w:after="56"/>
      </w:pPr>
      <w:r>
        <w:t>Privacy compliance in MAS requires lifecycle data-flow mapping, not only model-level controls.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 / GDPR lifecycle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data-flow map, legal-basis reference, purpose-limitation record, retention policy, data subject rights workflow, privacy impact assessment reference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Personal data may move through agents, tools, memory, and handoffs without lifecycle-level evidence of purpose, retention, rights handling, or privacy treatment.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what personal data entered, flowed through, and exited each agent, tool, and memory system, and verify that legal basis, purpose limitation, and retention policies were enforced?</w:t>
            </w:r>
          </w:p>
        </w:tc>
      </w:tr>
    </w:tbl>
    <w:p>
      <w:pPr>
        <w:spacing w:after="56"/>
      </w:pPr>
      <w:r>
        <w:t>Table T-06-11: MRO-10 Object Card — Privacy / GDPR Lifecycle Mapping</w:t>
      </w:r>
    </w:p>
    <w:p>
      <w:pPr>
        <w:pStyle w:val="Heading3"/>
      </w:pPr>
      <w:r>
        <w:t>Detailed Discussion</w:t>
      </w:r>
    </w:p>
    <w:p>
      <w:pPr>
        <w:spacing w:after="56"/>
      </w:pPr>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Pr>
        <w:spacing w:after="56"/>
      </w:pPr>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Pr>
        <w:spacing w:after="56"/>
      </w:pPr>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Pr>
        <w:spacing w:after="56"/>
      </w:pPr>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Pr>
        <w:pStyle w:val="Heading3"/>
      </w:pPr>
      <w:r>
        <w:t>Enterprise Implication</w:t>
      </w:r>
    </w:p>
    <w:p>
      <w:pPr>
        <w:spacing w:after="56"/>
      </w:pPr>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Pr>
        <w:spacing w:after="56"/>
      </w:pPr>
      <w:r>
        <w:t>Adjacent privacy dashboards and data governance systems may support this object, but lifecycle conformance requires explicit object semantics that track personal data through the full agent lifecycle, not only model training or database layers.</w:t>
      </w:r>
    </w:p>
    <w:p>
      <w:pPr>
        <w:pStyle w:val="Heading3"/>
      </w:pPr>
      <w:r>
        <w:t>Design Implication</w:t>
      </w:r>
    </w:p>
    <w:p>
      <w:pPr>
        <w:spacing w:after="56"/>
      </w:pPr>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Pr>
        <w:spacing w:after="56"/>
      </w:pPr>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Pr>
        <w:pStyle w:val="Heading3"/>
      </w:pPr>
      <w:r>
        <w:t>Audit Question</w:t>
      </w:r>
    </w:p>
    <w:p>
      <w:pPr>
        <w:spacing w:after="56"/>
      </w:pPr>
      <w:r>
        <w:t>For any completed workflow involving personal data, can the system reconstruct what personal data entered, flowed through, and exited each agent, tool, and memory system, and verify that legal basis, purpose limitation, and retention policies were enforced?</w:t>
      </w:r>
    </w:p>
    <w:p>
      <w:pPr>
        <w:pStyle w:val="Heading2"/>
      </w:pPr>
      <w:r>
        <w:t>6.12 MRO-11 — Privacy-Preserving Third-Party Validation</w:t>
      </w:r>
    </w:p>
    <w:p>
      <w:pPr>
        <w:pStyle w:val="Heading3"/>
      </w:pPr>
      <w:r>
        <w:t>Problem</w:t>
      </w:r>
    </w:p>
    <w:p>
      <w:pPr>
        <w:spacing w:after="56"/>
      </w:pPr>
      <w:r>
        <w:t>Enterprise buyers want independent validation, but full evidence disclosure violates privacy and trade secrets. Third-party validators need to verify compliance without accessing raw sensitive data, model weights, or proprietary workflows.</w:t>
      </w:r>
    </w:p>
    <w:p>
      <w:pPr>
        <w:pStyle w:val="Heading3"/>
      </w:pPr>
      <w:r>
        <w:t>Required Object</w:t>
      </w:r>
    </w:p>
    <w:p>
      <w:pPr>
        <w:spacing w:after="56"/>
      </w:pPr>
      <w:r>
        <w:t>A privacy-preserving validation protocol allowing selective disclosure and zero-knowledge proofs, enabling validators to verify compliance properties without accessing raw evidence.</w:t>
      </w:r>
    </w:p>
    <w:p>
      <w:pPr>
        <w:pStyle w:val="Heading3"/>
      </w:pPr>
      <w:r>
        <w:t>Judgment</w:t>
      </w:r>
    </w:p>
    <w:p>
      <w:pPr>
        <w:spacing w:after="56"/>
      </w:pPr>
      <w:r>
        <w:t>Third-party validation must not require full evidence disclosure.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privacy-preserving third-party validation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validation scope definition, selective disclosure policy, redaction profile, proof or hash manifest, evidence-owner authorization, validator access boundary</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External validation may require raw sensitive evidence access, creating privacy, trade-secret, and over-disclosure risk.</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validator verify compliance properties without accessing raw sensitive data, and can the evidence owner prove that only authorized evidence was disclosed?</w:t>
            </w:r>
          </w:p>
        </w:tc>
      </w:tr>
    </w:tbl>
    <w:p>
      <w:pPr>
        <w:spacing w:after="56"/>
      </w:pPr>
      <w:r>
        <w:t>Table T-06-12: MRO-11 Object Card — Privacy-Preserving Third-Party Validation</w:t>
      </w:r>
    </w:p>
    <w:p>
      <w:pPr>
        <w:pStyle w:val="Heading3"/>
      </w:pPr>
      <w:r>
        <w:t>Detailed Discussion</w:t>
      </w:r>
    </w:p>
    <w:p>
      <w:pPr>
        <w:spacing w:after="56"/>
      </w:pPr>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Pr>
        <w:spacing w:after="56"/>
      </w:pPr>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Pr>
        <w:spacing w:after="56"/>
      </w:pPr>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Pr>
        <w:spacing w:after="56"/>
      </w:pPr>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Pr>
        <w:pStyle w:val="Heading3"/>
      </w:pPr>
      <w:r>
        <w:t>Enterprise Implication</w:t>
      </w:r>
    </w:p>
    <w:p>
      <w:pPr>
        <w:spacing w:after="56"/>
      </w:pPr>
      <w:r>
        <w:t>Without privacy-preserving validation, enterprises face a dilemma: accept unvalidated systems or disclose sensitive data to validators. This slows adoption, increases risk, and creates vendor lock-in because switching vendors requires re-disclosing evidence.</w:t>
      </w:r>
    </w:p>
    <w:p>
      <w:pPr>
        <w:spacing w:after="56"/>
      </w:pPr>
      <w:r>
        <w:t>Adjacent validation programs may support this object, but lifecycle conformance requires explicit object semantics for selective disclosure and independent verification without unnecessary raw data access.</w:t>
      </w:r>
    </w:p>
    <w:p>
      <w:pPr>
        <w:pStyle w:val="Heading3"/>
      </w:pPr>
      <w:r>
        <w:t>Design Implication</w:t>
      </w:r>
    </w:p>
    <w:p>
      <w:pPr>
        <w:spacing w:after="56"/>
      </w:pPr>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Pr>
        <w:spacing w:after="56"/>
      </w:pPr>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Pr>
        <w:pStyle w:val="Heading3"/>
      </w:pPr>
      <w:r>
        <w:t>Audit Question</w:t>
      </w:r>
    </w:p>
    <w:p>
      <w:pPr>
        <w:spacing w:after="56"/>
      </w:pPr>
      <w:r>
        <w:t>Can an independent validator verify compliance properties without accessing raw sensitive data, and can the evidence owner prove that only authorized evidence was disclosed?</w:t>
      </w:r>
    </w:p>
    <w:p>
      <w:pPr>
        <w:pStyle w:val="Heading2"/>
      </w:pPr>
      <w:r>
        <w:t>6.13 MRO-12 — Evidence Minimization and Selective Disclosure</w:t>
      </w:r>
    </w:p>
    <w:p>
      <w:pPr>
        <w:pStyle w:val="Heading3"/>
      </w:pPr>
      <w:r>
        <w:t>Problem</w:t>
      </w:r>
    </w:p>
    <w:p>
      <w:pPr>
        <w:spacing w:after="56"/>
      </w:pPr>
      <w:r>
        <w:t>Lifecycle governance requires evidence retention, but GDPR requires data minimization. Retaining full execution logs, conversation history, and tool payloads creates privacy risk. Deleting evidence creates accountability gaps.</w:t>
      </w:r>
    </w:p>
    <w:p>
      <w:pPr>
        <w:pStyle w:val="Heading3"/>
      </w:pPr>
      <w:r>
        <w:t>Required Object</w:t>
      </w:r>
    </w:p>
    <w:p>
      <w:pPr>
        <w:spacing w:after="56"/>
      </w:pPr>
      <w:r>
        <w:t>An evidence minimization and selective disclosure policy defining retention periods, redaction rules, and disclosure boundaries for different evidence classes.</w:t>
      </w:r>
    </w:p>
    <w:p>
      <w:pPr>
        <w:pStyle w:val="Heading3"/>
      </w:pPr>
      <w:r>
        <w:t>Judgment</w:t>
      </w:r>
    </w:p>
    <w:p>
      <w:pPr>
        <w:spacing w:after="56"/>
      </w:pPr>
      <w:r>
        <w:t>Evidence retention must balance auditability with privacy minimization.</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evidence minimization and selective disclosure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redaction rules, disclosure boundaries, deletion schedule, audit trail, evidence class handling</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Evidence retention may become a privacy risk, while evidence deletion may create accountability gaps.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minimized to what is necessary for accountability, and that disclosure was limited to authorized parties and purposes?</w:t>
            </w:r>
          </w:p>
        </w:tc>
      </w:tr>
    </w:tbl>
    <w:p>
      <w:pPr>
        <w:spacing w:after="56"/>
      </w:pPr>
      <w:r>
        <w:t>Table T-06-13: MRO-12 Object Card — Evidence Minimization and Selective Disclosure</w:t>
      </w:r>
    </w:p>
    <w:p>
      <w:pPr>
        <w:pStyle w:val="Heading3"/>
      </w:pPr>
      <w:r>
        <w:t>Detailed Discussion</w:t>
      </w:r>
    </w:p>
    <w:p>
      <w:pPr>
        <w:spacing w:after="56"/>
      </w:pPr>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Pr>
        <w:spacing w:after="56"/>
      </w:pPr>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Pr>
        <w:spacing w:after="56"/>
      </w:pPr>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Pr>
        <w:spacing w:after="56"/>
      </w:pPr>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Pr>
        <w:pStyle w:val="Heading3"/>
      </w:pPr>
      <w:r>
        <w:t>Enterprise Implication</w:t>
      </w:r>
    </w:p>
    <w:p>
      <w:pPr>
        <w:spacing w:after="56"/>
      </w:pPr>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Pr>
        <w:spacing w:after="56"/>
      </w:pPr>
      <w:r>
        <w:t>Adjacent observability and evidence management systems may support this object, but lifecycle conformance requires explicit object semantics that balance auditability with privacy minimization and selective disclosure.</w:t>
      </w:r>
    </w:p>
    <w:p>
      <w:pPr>
        <w:pStyle w:val="Heading3"/>
      </w:pPr>
      <w:r>
        <w:t>Design Implication</w:t>
      </w:r>
    </w:p>
    <w:p>
      <w:pPr>
        <w:spacing w:after="56"/>
      </w:pPr>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Pr>
        <w:spacing w:after="56"/>
      </w:pPr>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Pr>
        <w:pStyle w:val="Heading3"/>
      </w:pPr>
      <w:r>
        <w:t>Audit Question</w:t>
      </w:r>
    </w:p>
    <w:p>
      <w:pPr>
        <w:spacing w:after="56"/>
      </w:pPr>
      <w:r>
        <w:t>For any evidence retention decision, can the system prove that evidence was minimized to what is necessary for accountability, and that disclosure was limited to authorized parties and purposes?</w:t>
      </w:r>
    </w:p>
    <w:p>
      <w:pPr>
        <w:pStyle w:val="Heading2"/>
      </w:pPr>
      <w:r>
        <w:t>6.14 MRO-13 — Data Subject Rights vs Evidence Retention</w:t>
      </w:r>
    </w:p>
    <w:p>
      <w:pPr>
        <w:pStyle w:val="Heading3"/>
      </w:pPr>
      <w:r>
        <w:t>Problem</w:t>
      </w:r>
    </w:p>
    <w:p>
      <w:pPr>
        <w:spacing w:after="56"/>
      </w:pPr>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Pr>
        <w:pStyle w:val="Heading3"/>
      </w:pPr>
      <w:r>
        <w:t>Required Object</w:t>
      </w:r>
    </w:p>
    <w:p>
      <w:pPr>
        <w:spacing w:after="56"/>
      </w:pPr>
      <w:r>
        <w:t>A data subject rights vs evidence retention policy defining retention periods, anonymization rules, legal basis for retention, and reconciliation procedures when erasure requests conflict with evidence obligations.</w:t>
      </w:r>
    </w:p>
    <w:p>
      <w:pPr>
        <w:pStyle w:val="Heading3"/>
      </w:pPr>
      <w:r>
        <w:t>Judgment</w:t>
      </w:r>
    </w:p>
    <w:p>
      <w:pPr>
        <w:spacing w:after="56"/>
      </w:pPr>
      <w:r>
        <w:t>Data subject rights and evidence retention are in structural tension in agentic systems.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data subject rights versus evidence retention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legal-basis documentation, anonymization procedures, erasure request log, retention override justification, escalation path</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organization may either lose accountability evidence or over-retain personal data without a documented reconciliation process.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limited to what is legally necessary for accountability, and that data subject rights were honored except where legal retention obligations apply?</w:t>
            </w:r>
          </w:p>
        </w:tc>
      </w:tr>
    </w:tbl>
    <w:p>
      <w:pPr>
        <w:spacing w:after="56"/>
      </w:pPr>
      <w:r>
        <w:t>Table T-06-14: MRO-13 Object Card — Data Subject Rights vs Evidence Retention</w:t>
      </w:r>
    </w:p>
    <w:p>
      <w:pPr>
        <w:pStyle w:val="Heading3"/>
      </w:pPr>
      <w:r>
        <w:t>Detailed Discussion</w:t>
      </w:r>
    </w:p>
    <w:p>
      <w:pPr>
        <w:spacing w:after="56"/>
      </w:pPr>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Pr>
        <w:spacing w:after="56"/>
      </w:pPr>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Pr>
        <w:spacing w:after="56"/>
      </w:pPr>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Pr>
        <w:spacing w:after="56"/>
      </w:pPr>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Pr>
        <w:pStyle w:val="Heading3"/>
      </w:pPr>
      <w:r>
        <w:t>Enterprise Implication</w:t>
      </w:r>
    </w:p>
    <w:p>
      <w:pPr>
        <w:spacing w:after="56"/>
      </w:pPr>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Pr>
        <w:spacing w:after="56"/>
      </w:pPr>
      <w:r>
        <w:t>Adjacent evidence retention controls may support this object, but lifecycle conformance requires explicit object semantics that distinguish governance metadata from raw payloads and reconcile data subject requests with accountability needs.</w:t>
      </w:r>
    </w:p>
    <w:p>
      <w:pPr>
        <w:pStyle w:val="Heading3"/>
      </w:pPr>
      <w:r>
        <w:t>Design Implication</w:t>
      </w:r>
    </w:p>
    <w:p>
      <w:pPr>
        <w:spacing w:after="56"/>
      </w:pPr>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Pr>
        <w:spacing w:after="56"/>
      </w:pPr>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Pr>
        <w:pStyle w:val="Heading3"/>
      </w:pPr>
      <w:r>
        <w:t>Audit Question</w:t>
      </w:r>
    </w:p>
    <w:p>
      <w:pPr>
        <w:spacing w:after="56"/>
      </w:pPr>
      <w:r>
        <w:t>For any data subject erasure request, can the system prove that personal data was deleted except where legal retention obligations apply, and that retained evidence was minimized and anonymized where possible?</w:t>
      </w:r>
    </w:p>
    <w:p>
      <w:pPr>
        <w:pStyle w:val="Heading2"/>
      </w:pPr>
      <w:r>
        <w:t>6.15 MRO-14 — Third-Party Processor / Subprocessor Chain</w:t>
      </w:r>
    </w:p>
    <w:p>
      <w:pPr>
        <w:pStyle w:val="Heading3"/>
      </w:pPr>
      <w:r>
        <w:t>Problem</w:t>
      </w:r>
    </w:p>
    <w:p>
      <w:pPr>
        <w:spacing w:after="56"/>
      </w:pPr>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Pr>
        <w:pStyle w:val="Heading3"/>
      </w:pPr>
      <w:r>
        <w:t>Required Object</w:t>
      </w:r>
    </w:p>
    <w:p>
      <w:pPr>
        <w:spacing w:after="56"/>
      </w:pPr>
      <w:r>
        <w:t>A dynamic processor chain record tracking which processors and subprocessors handled which personal data at which lifecycle phase, including processor identity, data categories, processing purpose, legal basis, and data flow timestamps.</w:t>
      </w:r>
    </w:p>
    <w:p>
      <w:pPr>
        <w:pStyle w:val="Heading3"/>
      </w:pPr>
      <w:r>
        <w:t>Judgment</w:t>
      </w:r>
    </w:p>
    <w:p>
      <w:pPr>
        <w:spacing w:after="56"/>
      </w:pPr>
      <w:r>
        <w:t>In MAS, the processor chain is dynamic and must be tracked at lifecycle granularity.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third-party processor / subprocessor chain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processor identity, subprocessor identity, data categories, processing purpose, legal-basis reference, processor agreement reference, data-flow timestamps</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Static vendor or processor lists may fail to show which third parties processed which personal data during actual agentic execution.</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which processors and subprocessors handled which personal data at which lifecycle phase, and verify that processor agreements and legal basis were in place?</w:t>
            </w:r>
          </w:p>
        </w:tc>
      </w:tr>
    </w:tbl>
    <w:p>
      <w:pPr>
        <w:spacing w:after="56"/>
      </w:pPr>
      <w:r>
        <w:t>Table T-06-15: MRO-14 Object Card — Third-Party Processor / Subprocessor Chain</w:t>
      </w:r>
    </w:p>
    <w:p>
      <w:pPr>
        <w:pStyle w:val="Heading3"/>
      </w:pPr>
      <w:r>
        <w:t>Detailed Discussion</w:t>
      </w:r>
    </w:p>
    <w:p>
      <w:pPr>
        <w:spacing w:after="56"/>
      </w:pPr>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Pr>
        <w:spacing w:after="56"/>
      </w:pPr>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Pr>
        <w:spacing w:after="56"/>
      </w:pPr>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Pr>
        <w:spacing w:after="56"/>
      </w:pPr>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Pr>
        <w:pStyle w:val="Heading3"/>
      </w:pPr>
      <w:r>
        <w:t>Enterprise Implication</w:t>
      </w:r>
    </w:p>
    <w:p>
      <w:pPr>
        <w:spacing w:after="56"/>
      </w:pPr>
      <w:r>
        <w:t>Without dynamic processor chain tracking, organizations cannot answer data subject access requests, cannot verify processor compliance, and cannot detect unauthorized subprocessor usage. This creates GDPR violation risk and weakens vendor management.</w:t>
      </w:r>
    </w:p>
    <w:p>
      <w:pPr>
        <w:spacing w:after="56"/>
      </w:pPr>
      <w:r>
        <w:t>Adjacent vendor management systems may support this object, but lifecycle conformance requires explicit object semantics that track processor and subprocessor usage at lifecycle granularity, not only at configuration time.</w:t>
      </w:r>
    </w:p>
    <w:p>
      <w:pPr>
        <w:pStyle w:val="Heading3"/>
      </w:pPr>
      <w:r>
        <w:t>Design Implication</w:t>
      </w:r>
    </w:p>
    <w:p>
      <w:pPr>
        <w:spacing w:after="56"/>
      </w:pPr>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Pr>
        <w:spacing w:after="56"/>
      </w:pPr>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Pr>
        <w:pStyle w:val="Heading3"/>
      </w:pPr>
      <w:r>
        <w:t>Audit Question</w:t>
      </w:r>
    </w:p>
    <w:p>
      <w:pPr>
        <w:spacing w:after="56"/>
      </w:pPr>
      <w:r>
        <w:t>For any completed workflow involving personal data, can the system reconstruct which processors and subprocessors handled which data categories at which lifecycle phase, and verify that processor agreements and legal basis were in place?</w:t>
      </w:r>
    </w:p>
    <w:p>
      <w:pPr>
        <w:pStyle w:val="Heading2"/>
      </w:pPr>
      <w:r>
        <w:t>6.16 MRO-15 — Vendor / Model / Runtime Substitution Conformance</w:t>
      </w:r>
    </w:p>
    <w:p>
      <w:pPr>
        <w:pStyle w:val="Heading3"/>
      </w:pPr>
      <w:r>
        <w:t>Problem</w:t>
      </w:r>
    </w:p>
    <w:p>
      <w:pPr>
        <w:spacing w:after="56"/>
      </w:pPr>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Pr>
        <w:pStyle w:val="Heading3"/>
      </w:pPr>
      <w:r>
        <w:t>Required Object</w:t>
      </w:r>
    </w:p>
    <w:p>
      <w:pPr>
        <w:spacing w:after="56"/>
      </w:pPr>
      <w:r>
        <w:t>A vendor substitution conformance record proving that substitution preserved lifecycle responsibility properties, including authority boundaries, evidence requirements, privacy constraints, and acceptance criteria.</w:t>
      </w:r>
    </w:p>
    <w:p>
      <w:pPr>
        <w:pStyle w:val="Heading3"/>
      </w:pPr>
      <w:r>
        <w:t>Judgment</w:t>
      </w:r>
    </w:p>
    <w:p>
      <w:pPr>
        <w:spacing w:after="56"/>
      </w:pPr>
      <w:r>
        <w:t>Vendor substitution without revalidation breaks lifecycle conformance.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vendor / model / runtime substitution conformance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substitution authorization, delta analysis, conformance check record, privacy boundary review, revalidation decision</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Vendor, model, or runtime substitution may create compliance drift while appearing to be only a configuration change.</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vendor substitution preserved lifecycle responsibility properties, and that conformance was revalidated before deployment?</w:t>
            </w:r>
          </w:p>
        </w:tc>
      </w:tr>
    </w:tbl>
    <w:p>
      <w:pPr>
        <w:spacing w:after="56"/>
      </w:pPr>
      <w:r>
        <w:t>Table T-06-16: MRO-15 Object Card — Vendor / Model / Runtime Substitution Conformance</w:t>
      </w:r>
    </w:p>
    <w:p>
      <w:pPr>
        <w:pStyle w:val="Heading3"/>
      </w:pPr>
      <w:r>
        <w:t>Detailed Discussion</w:t>
      </w:r>
    </w:p>
    <w:p>
      <w:pPr>
        <w:spacing w:after="56"/>
      </w:pPr>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Pr>
        <w:spacing w:after="56"/>
      </w:pPr>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Pr>
        <w:spacing w:after="56"/>
      </w:pPr>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Pr>
        <w:spacing w:after="56"/>
      </w:pPr>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Pr>
        <w:pStyle w:val="Heading3"/>
      </w:pPr>
      <w:r>
        <w:t>Enterprise Implication</w:t>
      </w:r>
    </w:p>
    <w:p>
      <w:pPr>
        <w:spacing w:after="56"/>
      </w:pPr>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Pr>
        <w:spacing w:after="56"/>
      </w:pPr>
      <w:r>
        <w:t>Adjacent vendor-neutral architectures may support this object, but lifecycle conformance requires explicit object semantics proving that substitution preserved responsibility properties rather than merely preserving technical capability.</w:t>
      </w:r>
    </w:p>
    <w:p>
      <w:pPr>
        <w:pStyle w:val="Heading3"/>
      </w:pPr>
      <w:r>
        <w:t>Design Implication</w:t>
      </w:r>
    </w:p>
    <w:p>
      <w:pPr>
        <w:spacing w:after="56"/>
      </w:pPr>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Pr>
        <w:spacing w:after="56"/>
      </w:pPr>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Pr>
        <w:pStyle w:val="Heading3"/>
      </w:pPr>
      <w:r>
        <w:t>Audit Question</w:t>
      </w:r>
    </w:p>
    <w:p>
      <w:pPr>
        <w:spacing w:after="56"/>
      </w:pPr>
      <w:r>
        <w:t>For any vendor substitution, can the system prove that lifecycle responsibility properties were preserved, and that conformance was revalidated before deployment?</w:t>
      </w:r>
    </w:p>
    <w:p>
      <w:pPr>
        <w:pStyle w:val="Heading2"/>
      </w:pPr>
      <w:r>
        <w:t>6.17 MRO-16 — Incident, Dispute, and Remediation Closure</w:t>
      </w:r>
    </w:p>
    <w:p>
      <w:pPr>
        <w:pStyle w:val="Heading3"/>
      </w:pPr>
      <w:r>
        <w:t>Problem</w:t>
      </w:r>
    </w:p>
    <w:p>
      <w:pPr>
        <w:spacing w:after="56"/>
      </w:pPr>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Pr>
        <w:pStyle w:val="Heading3"/>
      </w:pPr>
      <w:r>
        <w:t>Required Object</w:t>
      </w:r>
    </w:p>
    <w:p>
      <w:pPr>
        <w:spacing w:after="56"/>
      </w:pPr>
      <w:r>
        <w:t>An incident, dispute, and remediation closure record linking incident detection to root cause analysis, remediation action, dispute resolution, acceptance of closure, and continuous improvement measures.</w:t>
      </w:r>
    </w:p>
    <w:p>
      <w:pPr>
        <w:pStyle w:val="Heading3"/>
      </w:pPr>
      <w:r>
        <w:t>Judgment</w:t>
      </w:r>
    </w:p>
    <w:p>
      <w:pPr>
        <w:spacing w:after="56"/>
      </w:pPr>
      <w:r>
        <w:t>Lifecycle governance is incomplete without incident closure and continuous improvement.</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incident, dispute, and remediation 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incident detection record, root cause analysis, remediation action, dispute resolution decision, closure acceptance, continuous improvement plan, privacy-limited evidence disclosure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Incidents may be detected or handled manually without evidence-linked remediation, dispute closure, or continuous improvement.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incidents were detected, investigated, remediated, and closed with documented root cause and continuous improvement measures?</w:t>
            </w:r>
          </w:p>
        </w:tc>
      </w:tr>
    </w:tbl>
    <w:p>
      <w:pPr>
        <w:spacing w:after="56"/>
      </w:pPr>
      <w:r>
        <w:t>Table T-06-17: MRO-16 Object Card — Incident, Dispute, and Remediation Closure</w:t>
      </w:r>
    </w:p>
    <w:p>
      <w:pPr>
        <w:pStyle w:val="Heading3"/>
      </w:pPr>
      <w:r>
        <w:t>Detailed Discussion</w:t>
      </w:r>
    </w:p>
    <w:p>
      <w:pPr>
        <w:spacing w:after="56"/>
      </w:pPr>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Pr>
        <w:spacing w:after="56"/>
      </w:pPr>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Pr>
        <w:spacing w:after="56"/>
      </w:pPr>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Pr>
        <w:spacing w:after="56"/>
      </w:pPr>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Pr>
        <w:pStyle w:val="Heading3"/>
      </w:pPr>
      <w:r>
        <w:t>Enterprise Implication</w:t>
      </w:r>
    </w:p>
    <w:p>
      <w:pPr>
        <w:spacing w:after="56"/>
      </w:pPr>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Pr>
        <w:spacing w:after="56"/>
      </w:pPr>
      <w:r>
        <w:t>Adjacent monitoring systems may support this object, but lifecycle conformance requires explicit object semantics that link incidents to remediation, dispute closure, and continuous improvement.</w:t>
      </w:r>
    </w:p>
    <w:p>
      <w:pPr>
        <w:pStyle w:val="Heading3"/>
      </w:pPr>
      <w:r>
        <w:t>Design Implication</w:t>
      </w:r>
    </w:p>
    <w:p>
      <w:pPr>
        <w:spacing w:after="56"/>
      </w:pPr>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Pr>
        <w:spacing w:after="56"/>
      </w:pPr>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Pr>
        <w:pStyle w:val="Heading3"/>
      </w:pPr>
      <w:r>
        <w:t>Audit Question</w:t>
      </w:r>
    </w:p>
    <w:p>
      <w:pPr>
        <w:spacing w:after="56"/>
      </w:pPr>
      <w:r>
        <w:t>For any incident, can the system verify that it was detected, investigated, remediated, and closed with documented root cause and continuous improvement measures?</w:t>
      </w:r>
    </w:p>
    <w:p>
      <w:pPr>
        <w:pStyle w:val="Heading2"/>
      </w:pPr>
      <w:r>
        <w:t>6.18 Chapter Summary</w:t>
      </w:r>
    </w:p>
    <w:p>
      <w:pPr>
        <w:spacing w:after="56"/>
      </w:pPr>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Pr>
        <w:spacing w:after="56"/>
      </w:pPr>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Pr>
        <w:spacing w:after="56"/>
      </w:pPr>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Pr>
        <w:spacing w:after="56"/>
      </w:pPr>
      <w:r>
        <w:t>The next chapters introduce the three-profile analytical model that measures how systems map to these objects. RCCS-T measures traditional regulatory compliance coverage. MROs provide the adjustment layer that asks whether that coverage can be represented as lifecycle responsibility objects. RCCS-M measures MRO-adjusted regulatory coverage. ALCS measures lifecycle conformance maturity.</w:t>
      </w:r>
    </w:p>
    <w:p>
      <w:pPr>
        <w:spacing w:after="56"/>
      </w:pPr>
      <w:r>
        <w:t>Conceptually:</w:t>
      </w:r>
    </w:p>
    <w:p>
      <w:pPr>
        <w:spacing w:after="56"/>
      </w:pPr>
      <w:r>
        <w:t>RCCS-T + MRO Coverage = RCCS-M</w:t>
      </w:r>
    </w:p>
    <w:p>
      <w:pPr>
        <w:spacing w:after="56"/>
      </w:pPr>
      <w:r>
        <w:t>This is an analytical model, not a legal formula, certification, regulator-approved scoring method, vendor ranking, or procurement recommendation. Its purpose is to make the transition visible: regulatory language names the governance expectation; MROs define the lifecycle responsibility object; RCCS-M evaluates whether the traditional regulatory surface can be expressed through that object layer.</w:t>
      </w:r>
    </w:p>
    <w:p>
      <w:pPr>
        <w:pStyle w:val="Heading1"/>
      </w:pPr>
      <w:r>
        <w:t>Chapter 7: Regulatory Compliance Coverage Score (RCCS)</w:t>
      </w:r>
    </w:p>
    <w:p>
      <w:pPr>
        <w:spacing w:after="56"/>
      </w:pPr>
      <w:r>
        <w:t>Version: v0.3.2-FRC-R3</w:t>
      </w:r>
    </w:p>
    <w:p>
      <w:pPr>
        <w:pStyle w:val="Heading2"/>
      </w:pPr>
      <w:r>
        <w:t>7.0 Chapter Overview</w:t>
      </w:r>
    </w:p>
    <w:p>
      <w:pPr>
        <w:spacing w:after="56"/>
      </w:pPr>
      <w:r>
        <w:t>This chapter defines the two RCCS scoring lenses used in this white paper:</w:t>
      </w:r>
    </w:p>
    <w:p>
      <w:pPr>
        <w:pStyle w:val="ListBullet"/>
        <w:spacing w:after="56"/>
      </w:pPr>
      <w:r>
        <w:t>RCCS-T — Traditional Regulatory Compliance Coverage Score measures how strongly a system covers existing regulatory and governance requirements such as risk management, data governance, documentation, record-keeping, transparency, human oversight, security, accountability, contestability, and monitoring.</w:t>
      </w:r>
    </w:p>
    <w:p>
      <w:pPr>
        <w:pStyle w:val="ListBullet"/>
        <w:spacing w:after="56"/>
      </w:pPr>
      <w:r>
        <w:t>RCCS-M — MRO-Adjusted Regulatory Compliance Coverage Score measures whether those same regulatory obligations can be represented as Missing Regulatory Objects and lifecycle responsibility semantics.</w:t>
      </w:r>
    </w:p>
    <w:p>
      <w:pPr>
        <w:spacing w:after="56"/>
      </w:pPr>
      <w:r>
        <w:t>RCCS-T and RCCS-M use the same 10 dimension names and weights. They differ in scoring lens. RCCS-T asks whether the system provides traditional governance and control coverage. RCCS-M asks whether the same regulatory obligation is expressed as inspectable, replayable, evidence-linked lifecycle responsibility objects.</w:t>
      </w:r>
    </w:p>
    <w:p>
      <w:pPr>
        <w:spacing w:after="56"/>
      </w:pPr>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evidence mechanisms, and lifecycle objects that existing regulation and agentic/MAS governance increasingly require.</w:t>
      </w:r>
    </w:p>
    <w:p>
      <w:pPr>
        <w:spacing w:after="56"/>
      </w:pPr>
      <w:r>
        <w:t>This chapter defines the ten RCCS dimensions, the RCCS-M adjustment test, the separate 0-5 scoring lens for RCCS-T and RCCS-M, evidence requirements for each lens, and the shared calculation method. Compact dimension rubrics begin in section 7.11; Appendix E provides the detailed RCCS-T baseline rubrics and RCCS-M adjustment matrix.</w:t>
      </w:r>
    </w:p>
    <w:p>
      <w:pPr>
        <w:pStyle w:val="Heading2"/>
      </w:pPr>
      <w:r>
        <w:t>7.1 Why Traditional RCCS Is Necessary but Insufficient</w:t>
      </w:r>
    </w:p>
    <w:p>
      <w:pPr>
        <w:spacing w:after="56"/>
      </w:pPr>
      <w:r>
        <w:t>RCCS-T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Pr>
        <w:spacing w:after="56"/>
      </w:pPr>
      <w:r>
        <w:t>RCCS-T and RCCS-M are not legal compliance scores. A high RCCS-T or RCCS-M score does not mean a system is legally compliant. A low score does not mean a system is non-compliant. Legal compliance depends on organizational practice, deployment context, jurisdiction, risk class, and how the system is used. RCCS measures system capability, not organizational conformance.</w:t>
      </w:r>
    </w:p>
    <w:p>
      <w:pPr>
        <w:spacing w:after="56"/>
      </w:pPr>
      <w:r>
        <w:t>The purpose of RCCS-T is to translate regulatory abstractions into measurable system capabilities. Regulation requires risk management, but what does that mean in a system? RCCS-T defines ten dimensions that operationalize regulatory requirements into system features that can be evaluated, compared, and improved. It is a bridge between regulatory language and engineering implementation.</w:t>
      </w:r>
    </w:p>
    <w:p>
      <w:pPr>
        <w:spacing w:after="56"/>
      </w:pPr>
      <w:r>
        <w:t>Traditional coverage is necessary but insufficient for agentic and multi-agent systems. A governance dashboard, audit log, or approval workflow can support RCCS-T while still failing to express who held responsibility, what authority was delegated, which agent or tool acted, what evidence was partitioned, whether the outcome was accepted, and how incident or substitution closure was proven. High RCCS-T does not automatically imply high RCCS-M.</w:t>
      </w:r>
    </w:p>
    <w:p>
      <w:pPr>
        <w:spacing w:after="56"/>
      </w:pPr>
      <w:r>
        <w:t>RCCS-M adds the MRO adjustment. It asks a second question: can the regulatory coverage captured by RCCS-T be expressed through lifecycle responsibility objects that agentic systems can emit, inspect, replay, and validate? A governance dashboard may support RCCS-T. An authority boundary object, accepted outcome record, partitioned evidence chain, and substitution conformance record support RCCS-M.</w:t>
      </w:r>
    </w:p>
    <w:p>
      <w:pPr>
        <w:spacing w:after="56"/>
      </w:pPr>
      <w:r>
        <w:t>The distinction matters because enterprise governance platforms may show strong RCCS-T coverage through conventional dashboards, policies, documentation, controls, and monitoring. Lifecycle protocol systems may show stronger RCCS-M where they define explicit responsibility, authority, evidence, acceptance, privacy, substitution, and closure objects. This is a score-delta interpretation, not a product ranking.</w:t>
      </w:r>
    </w:p>
    <w:p>
      <w:pPr>
        <w:pStyle w:val="Heading2"/>
      </w:pPr>
      <w:r>
        <w:t>7.2 RCCS-T Dimensions</w:t>
      </w:r>
    </w:p>
    <w:p>
      <w:pPr>
        <w:spacing w:after="56"/>
      </w:pPr>
      <w:r>
        <w:t>RCCS-T and RCCS-M share the same 10 dimension names and weights. The dimensions correspond to recurring regulatory and governance requirements. The scoring lenses differ: RCCS-T evaluates traditional governance/control coverage, while RCCS-M evaluates whether that coverage is expressible through lifecycle responsibility objects.</w:t>
      </w:r>
    </w:p>
    <w:p>
      <w:pPr>
        <w:spacing w:after="56"/>
      </w:pPr>
      <w:r>
        <w:t>The ten shared RCCS dimensions are:</w:t>
      </w:r>
    </w:p>
    <w:p>
      <w:pPr>
        <w:pStyle w:val="ListNumber"/>
        <w:spacing w:after="56"/>
      </w:pPr>
      <w:r>
        <w:t>Risk Management (20%) - Does the system support risk identification, assessment, and mitigation across the AI lifecycle?</w:t>
      </w:r>
    </w:p>
    <w:p>
      <w:pPr>
        <w:pStyle w:val="ListNumber"/>
        <w:spacing w:after="56"/>
      </w:pPr>
      <w:r>
        <w:t>Data Governance (10%) - Does the system track data lineage, quality, and lifecycle management?</w:t>
      </w:r>
    </w:p>
    <w:p>
      <w:pPr>
        <w:pStyle w:val="ListNumber"/>
        <w:spacing w:after="56"/>
      </w:pPr>
      <w:r>
        <w:t>Documentation (10%) - Does the system produce and maintain required technical documentation?</w:t>
      </w:r>
    </w:p>
    <w:p>
      <w:pPr>
        <w:pStyle w:val="ListNumber"/>
        <w:spacing w:after="56"/>
      </w:pPr>
      <w:r>
        <w:t>Record-Keeping (10%) - Does the system maintain audit trails and evidence records?</w:t>
      </w:r>
    </w:p>
    <w:p>
      <w:pPr>
        <w:pStyle w:val="ListNumber"/>
        <w:spacing w:after="56"/>
      </w:pPr>
      <w:r>
        <w:t>Transparency (10%) - Does the system provide explainability and disclosure mechanisms?</w:t>
      </w:r>
    </w:p>
    <w:p>
      <w:pPr>
        <w:pStyle w:val="ListNumber"/>
        <w:spacing w:after="56"/>
      </w:pPr>
      <w:r>
        <w:t>Human Oversight (15%) - Does the system support human review, approval, and intervention?</w:t>
      </w:r>
    </w:p>
    <w:p>
      <w:pPr>
        <w:pStyle w:val="ListNumber"/>
        <w:spacing w:after="56"/>
      </w:pPr>
      <w:r>
        <w:t>Security (5%) - Does the system implement security controls and access management?</w:t>
      </w:r>
    </w:p>
    <w:p>
      <w:pPr>
        <w:pStyle w:val="ListNumber"/>
        <w:spacing w:after="56"/>
      </w:pPr>
      <w:r>
        <w:t>Accountability (5%) - Does the system assign responsibility and track decisions?</w:t>
      </w:r>
    </w:p>
    <w:p>
      <w:pPr>
        <w:pStyle w:val="ListNumber"/>
        <w:spacing w:after="56"/>
      </w:pPr>
      <w:r>
        <w:t>Contestability (5%) - Does the system support dispute and appeal mechanisms?</w:t>
      </w:r>
    </w:p>
    <w:p>
      <w:pPr>
        <w:pStyle w:val="ListNumber"/>
        <w:spacing w:after="56"/>
      </w:pPr>
      <w:r>
        <w:t>Monitoring (10%) - Does the system support continuous monitoring and incident detection?</w:t>
      </w:r>
    </w:p>
    <w:p>
      <w:pPr>
        <w:spacing w:after="56"/>
      </w:pPr>
      <w:r>
        <w:t>The following table summarizes the ten dimensions, their regulatory sources, core questions, and weights. The table is the baseline for both RCCS-T and RCCS-M; section 7.4 explains the MRO adjustment test that changes the RCCS-M raw score.</w:t>
      </w:r>
    </w:p>
    <w:p>
      <w:pPr>
        <w:keepNext/>
      </w:pPr>
      <w:r>
        <w:rPr>
          <w:b/>
          <w:sz w:val="16"/>
        </w:rPr>
        <w:t>Table T-07-01: RCCS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Regulatory Source</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EU AI Act Art. 9, NIST AI RMF Govern/Map/Measure/Manage, ISO/IEC 42001</w:t>
            </w:r>
          </w:p>
        </w:tc>
        <w:tc>
          <w:tcPr>
            <w:tcW w:type="dxa" w:w="2556"/>
          </w:tcPr>
          <w:p>
            <w:pPr>
              <w:spacing w:after="0"/>
            </w:pPr>
            <w:r>
              <w:rPr>
                <w:rFonts w:ascii="Arial" w:hAnsi="Arial"/>
                <w:b w:val="0"/>
                <w:sz w:val="14"/>
              </w:rPr>
              <w:t>Does the system support risk identification, assessment, and mitigation across the AI lifecycle?</w:t>
            </w:r>
          </w:p>
        </w:tc>
        <w:tc>
          <w:tcPr>
            <w:tcW w:type="dxa" w:w="2556"/>
          </w:tcPr>
          <w:p>
            <w:pPr>
              <w:spacing w:after="0"/>
            </w:pPr>
            <w:r>
              <w:rPr>
                <w:rFonts w:ascii="Arial" w:hAnsi="Arial"/>
                <w:b w:val="0"/>
                <w:sz w:val="14"/>
              </w:rPr>
              <w:t>20%</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GDPR Art. 5, ISO/IEC 42001, NIST AI RMF Map</w:t>
            </w:r>
          </w:p>
        </w:tc>
        <w:tc>
          <w:tcPr>
            <w:tcW w:type="dxa" w:w="2556"/>
          </w:tcPr>
          <w:p>
            <w:pPr>
              <w:spacing w:after="0"/>
            </w:pPr>
            <w:r>
              <w:rPr>
                <w:rFonts w:ascii="Arial" w:hAnsi="Arial"/>
                <w:b w:val="0"/>
                <w:sz w:val="14"/>
              </w:rPr>
              <w:t>Does the system track data lineage, quality, and lifecycle management?</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EU AI Act Art. 11, ISO/IEC 42001, NIST AI RMF Govern</w:t>
            </w:r>
          </w:p>
        </w:tc>
        <w:tc>
          <w:tcPr>
            <w:tcW w:type="dxa" w:w="2556"/>
          </w:tcPr>
          <w:p>
            <w:pPr>
              <w:spacing w:after="0"/>
            </w:pPr>
            <w:r>
              <w:rPr>
                <w:rFonts w:ascii="Arial" w:hAnsi="Arial"/>
                <w:b w:val="0"/>
                <w:sz w:val="14"/>
              </w:rPr>
              <w:t>Does the system produce and maintain required technical documentation?</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EU AI Act Art. 12, GDPR Art. 30, ISO/IEC 42001</w:t>
            </w:r>
          </w:p>
        </w:tc>
        <w:tc>
          <w:tcPr>
            <w:tcW w:type="dxa" w:w="2556"/>
          </w:tcPr>
          <w:p>
            <w:pPr>
              <w:spacing w:after="0"/>
            </w:pPr>
            <w:r>
              <w:rPr>
                <w:rFonts w:ascii="Arial" w:hAnsi="Arial"/>
                <w:b w:val="0"/>
                <w:sz w:val="14"/>
              </w:rPr>
              <w:t>Does the system maintain audit trails and evidence records?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EU AI Act Art. 13, GDPR Art. 5, NIST AI RMF Govern</w:t>
            </w:r>
          </w:p>
        </w:tc>
        <w:tc>
          <w:tcPr>
            <w:tcW w:type="dxa" w:w="2556"/>
          </w:tcPr>
          <w:p>
            <w:pPr>
              <w:spacing w:after="0"/>
            </w:pPr>
            <w:r>
              <w:rPr>
                <w:rFonts w:ascii="Arial" w:hAnsi="Arial"/>
                <w:b w:val="0"/>
                <w:sz w:val="14"/>
              </w:rPr>
              <w:t>Does the system provide explainability and disclosure mechanisms?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EU AI Act Art. 14, Singapore MGF Agentic AI, NIST AI RMF Manage</w:t>
            </w:r>
          </w:p>
        </w:tc>
        <w:tc>
          <w:tcPr>
            <w:tcW w:type="dxa" w:w="2556"/>
          </w:tcPr>
          <w:p>
            <w:pPr>
              <w:spacing w:after="0"/>
            </w:pPr>
            <w:r>
              <w:rPr>
                <w:rFonts w:ascii="Arial" w:hAnsi="Arial"/>
                <w:b w:val="0"/>
                <w:sz w:val="14"/>
              </w:rPr>
              <w:t>Does the system support human review, approval, and intervention?</w:t>
            </w:r>
          </w:p>
        </w:tc>
        <w:tc>
          <w:tcPr>
            <w:tcW w:type="dxa" w:w="2556"/>
          </w:tcPr>
          <w:p>
            <w:pPr>
              <w:spacing w:after="0"/>
            </w:pPr>
            <w:r>
              <w:rPr>
                <w:rFonts w:ascii="Arial" w:hAnsi="Arial"/>
                <w:b w:val="0"/>
                <w:sz w:val="14"/>
              </w:rPr>
              <w:t>15%</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EU AI Act Art. 15, ISO/IEC 42001, NIST AI RMF Manage</w:t>
            </w:r>
          </w:p>
        </w:tc>
        <w:tc>
          <w:tcPr>
            <w:tcW w:type="dxa" w:w="2556"/>
          </w:tcPr>
          <w:p>
            <w:pPr>
              <w:spacing w:after="0"/>
            </w:pPr>
            <w:r>
              <w:rPr>
                <w:rFonts w:ascii="Arial" w:hAnsi="Arial"/>
                <w:b w:val="0"/>
                <w:sz w:val="14"/>
              </w:rPr>
              <w:t>Does the system implement security controls and access management?</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GDPR Art. 5, ISO/IEC 42001, Singapore MGF Agentic AI</w:t>
            </w:r>
          </w:p>
        </w:tc>
        <w:tc>
          <w:tcPr>
            <w:tcW w:type="dxa" w:w="2556"/>
          </w:tcPr>
          <w:p>
            <w:pPr>
              <w:spacing w:after="0"/>
            </w:pPr>
            <w:r>
              <w:rPr>
                <w:rFonts w:ascii="Arial" w:hAnsi="Arial"/>
                <w:b w:val="0"/>
                <w:sz w:val="14"/>
              </w:rPr>
              <w:t>Does the system assign responsibility and track decisions?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EU AI Act recitals, GDPR Art. 22, Singapore MGF Agentic AI</w:t>
            </w:r>
          </w:p>
        </w:tc>
        <w:tc>
          <w:tcPr>
            <w:tcW w:type="dxa" w:w="2556"/>
          </w:tcPr>
          <w:p>
            <w:pPr>
              <w:spacing w:after="0"/>
            </w:pPr>
            <w:r>
              <w:rPr>
                <w:rFonts w:ascii="Arial" w:hAnsi="Arial"/>
                <w:b w:val="0"/>
                <w:sz w:val="14"/>
              </w:rPr>
              <w:t>Does the system support dispute and appeal mechanisms?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EU AI Act Art. 72, NIST AI RMF Manage, ISO/IEC 42001</w:t>
            </w:r>
          </w:p>
        </w:tc>
        <w:tc>
          <w:tcPr>
            <w:tcW w:type="dxa" w:w="2556"/>
          </w:tcPr>
          <w:p>
            <w:pPr>
              <w:spacing w:after="0"/>
            </w:pPr>
            <w:r>
              <w:rPr>
                <w:rFonts w:ascii="Arial" w:hAnsi="Arial"/>
                <w:b w:val="0"/>
                <w:sz w:val="14"/>
              </w:rPr>
              <w:t>Does the system support continuous monitoring and incident detection?</w:t>
            </w:r>
          </w:p>
        </w:tc>
        <w:tc>
          <w:tcPr>
            <w:tcW w:type="dxa" w:w="2556"/>
          </w:tcPr>
          <w:p>
            <w:pPr>
              <w:spacing w:after="0"/>
            </w:pPr>
            <w:r>
              <w:rPr>
                <w:rFonts w:ascii="Arial" w:hAnsi="Arial"/>
                <w:b w:val="0"/>
                <w:sz w:val="14"/>
              </w:rPr>
              <w:t>10%</w:t>
            </w:r>
          </w:p>
        </w:tc>
      </w:tr>
    </w:tbl>
    <w:p>
      <w:pPr>
        <w:pStyle w:val="Heading2"/>
      </w:pPr>
      <w:r>
        <w:t>7.3 RCCS-M: MRO-Adjusted Interpretation of RCCS</w:t>
      </w:r>
    </w:p>
    <w:p>
      <w:pPr>
        <w:spacing w:after="56"/>
      </w:pPr>
      <w:r>
        <w:t>RCCS-M measures whether traditional regulatory obligations can be represented as Missing Regulatory Objects and lifecycle responsibility semantics. Operationally, RCCS-M asks whether a regulatory obligation is represented as inspectable, replayable, evidence-linked lifecycle responsibility objects.</w:t>
      </w:r>
    </w:p>
    <w:p>
      <w:pPr>
        <w:spacing w:after="56"/>
      </w:pPr>
      <w:r>
        <w:t>The MRO adjustment changes what counts as strong support. For example:</w:t>
      </w:r>
    </w:p>
    <w:p>
      <w:pPr>
        <w:pStyle w:val="ListBullet"/>
        <w:spacing w:after="56"/>
      </w:pPr>
      <w:r>
        <w:t>Risk management becomes stronger when risks are linked to lifecycle risk objects, authority boundaries, mitigations, monitoring evidence, and incident closure.</w:t>
      </w:r>
    </w:p>
    <w:p>
      <w:pPr>
        <w:pStyle w:val="ListBullet"/>
        <w:spacing w:after="56"/>
      </w:pPr>
      <w:r>
        <w:t>Human oversight becomes stronger when approval is bound to human-role responsibility, delegated authority, escalation, and accepted outcome authority.</w:t>
      </w:r>
    </w:p>
    <w:p>
      <w:pPr>
        <w:pStyle w:val="ListBullet"/>
        <w:spacing w:after="56"/>
      </w:pPr>
      <w:r>
        <w:t>Record-keeping becomes stronger when logs become partitioned evidence chains tied to role, agent/tool action, authority boundary, privacy boundary, and accepted outcome.</w:t>
      </w:r>
    </w:p>
    <w:p>
      <w:pPr>
        <w:pStyle w:val="ListBullet"/>
        <w:spacing w:after="56"/>
      </w:pPr>
      <w:r>
        <w:t>Monitoring becomes stronger when runtime observation includes authority drift, substitution conformance, privacy lifecycle events, and incident/dispute/remediation closure.</w:t>
      </w:r>
    </w:p>
    <w:p>
      <w:pPr>
        <w:spacing w:after="56"/>
      </w:pPr>
      <w:r>
        <w:t>RCCS-M is an author analytical, forward-looking model. It is not current law, legal compliance proof, certification, a regulator-approved benchmark, vendor ranking, or procurement recommendation.</w:t>
      </w:r>
    </w:p>
    <w:p>
      <w:pPr>
        <w:pStyle w:val="Heading2"/>
      </w:pPr>
      <w:r>
        <w:t>7.4 Dimension Mapping: RCCS-T Dimension to MRO Adjustment Test</w:t>
      </w:r>
    </w:p>
    <w:p>
      <w:pPr>
        <w:keepNext/>
      </w:pPr>
      <w:r>
        <w:rPr>
          <w:b/>
          <w:sz w:val="16"/>
        </w:rPr>
        <w:t>Table T-07-01A: RCCS-T Dimension to RCCS-M MRO Adjustment Test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RCCS-T Dimension</w:t>
            </w:r>
          </w:p>
        </w:tc>
        <w:tc>
          <w:tcPr>
            <w:tcW w:type="dxa" w:w="1704"/>
          </w:tcPr>
          <w:p>
            <w:pPr>
              <w:spacing w:after="0"/>
            </w:pPr>
            <w:r>
              <w:rPr>
                <w:rFonts w:ascii="Arial" w:hAnsi="Arial"/>
                <w:b/>
                <w:sz w:val="12"/>
              </w:rPr>
              <w:t>Traditional RCCS-T Test</w:t>
            </w:r>
          </w:p>
        </w:tc>
        <w:tc>
          <w:tcPr>
            <w:tcW w:type="dxa" w:w="1704"/>
          </w:tcPr>
          <w:p>
            <w:pPr>
              <w:spacing w:after="0"/>
            </w:pPr>
            <w:r>
              <w:rPr>
                <w:rFonts w:ascii="Arial" w:hAnsi="Arial"/>
                <w:b/>
                <w:sz w:val="12"/>
              </w:rPr>
              <w:t>RCCS-M Adjustment Question</w:t>
            </w:r>
          </w:p>
        </w:tc>
        <w:tc>
          <w:tcPr>
            <w:tcW w:type="dxa" w:w="1704"/>
          </w:tcPr>
          <w:p>
            <w:pPr>
              <w:spacing w:after="0"/>
            </w:pPr>
            <w:r>
              <w:rPr>
                <w:rFonts w:ascii="Arial" w:hAnsi="Arial"/>
                <w:b/>
                <w:sz w:val="12"/>
              </w:rPr>
              <w:t>Related MROs</w:t>
            </w:r>
          </w:p>
        </w:tc>
        <w:tc>
          <w:tcPr>
            <w:tcW w:type="dxa" w:w="1704"/>
          </w:tcPr>
          <w:p>
            <w:pPr>
              <w:spacing w:after="0"/>
            </w:pPr>
            <w:r>
              <w:rPr>
                <w:rFonts w:ascii="Arial" w:hAnsi="Arial"/>
                <w:b/>
                <w:sz w:val="12"/>
              </w:rPr>
              <w:t>Required MRO Evidence</w:t>
            </w:r>
          </w:p>
        </w:tc>
        <w:tc>
          <w:tcPr>
            <w:tcW w:type="dxa" w:w="1704"/>
          </w:tcPr>
          <w:p>
            <w:pPr>
              <w:spacing w:after="0"/>
            </w:pPr>
            <w:r>
              <w:rPr>
                <w:rFonts w:ascii="Arial" w:hAnsi="Arial"/>
                <w:b/>
                <w:sz w:val="12"/>
              </w:rPr>
              <w:t>Negative Control</w:t>
            </w:r>
          </w:p>
        </w:tc>
      </w:tr>
      <w:tr>
        <w:tc>
          <w:tcPr>
            <w:tcW w:type="dxa" w:w="1704"/>
          </w:tcPr>
          <w:p>
            <w:pPr>
              <w:spacing w:after="0"/>
            </w:pPr>
            <w:r>
              <w:rPr>
                <w:rFonts w:ascii="Arial" w:hAnsi="Arial"/>
                <w:b w:val="0"/>
                <w:sz w:val="12"/>
              </w:rPr>
              <w:t>RCCS-01 Risk Management</w:t>
            </w:r>
          </w:p>
        </w:tc>
        <w:tc>
          <w:tcPr>
            <w:tcW w:type="dxa" w:w="1704"/>
          </w:tcPr>
          <w:p>
            <w:pPr>
              <w:spacing w:after="0"/>
            </w:pPr>
            <w:r>
              <w:rPr>
                <w:rFonts w:ascii="Arial" w:hAnsi="Arial"/>
                <w:b w:val="0"/>
                <w:sz w:val="12"/>
              </w:rPr>
              <w:t>Does the system identify, assess, mitigate, and monitor AI risks?</w:t>
            </w:r>
          </w:p>
        </w:tc>
        <w:tc>
          <w:tcPr>
            <w:tcW w:type="dxa" w:w="1704"/>
          </w:tcPr>
          <w:p>
            <w:pPr>
              <w:spacing w:after="0"/>
            </w:pPr>
            <w:r>
              <w:rPr>
                <w:rFonts w:ascii="Arial" w:hAnsi="Arial"/>
                <w:b w:val="0"/>
                <w:sz w:val="12"/>
              </w:rPr>
              <w:t>Are risks linked to lifecycle authority, evidence, mitigation, monitoring, and closure objects?</w:t>
            </w:r>
          </w:p>
        </w:tc>
        <w:tc>
          <w:tcPr>
            <w:tcW w:type="dxa" w:w="1704"/>
          </w:tcPr>
          <w:p>
            <w:pPr>
              <w:spacing w:after="0"/>
            </w:pPr>
            <w:r>
              <w:rPr>
                <w:rFonts w:ascii="Arial" w:hAnsi="Arial"/>
                <w:b w:val="0"/>
                <w:sz w:val="12"/>
              </w:rPr>
              <w:t>MRO-02, MRO-07, MRO-08, MRO-16</w:t>
            </w:r>
          </w:p>
        </w:tc>
        <w:tc>
          <w:tcPr>
            <w:tcW w:type="dxa" w:w="1704"/>
          </w:tcPr>
          <w:p>
            <w:pPr>
              <w:spacing w:after="0"/>
            </w:pPr>
            <w:r>
              <w:rPr>
                <w:rFonts w:ascii="Arial" w:hAnsi="Arial"/>
                <w:b w:val="0"/>
                <w:sz w:val="12"/>
              </w:rPr>
              <w:t>Risk object, authority boundary, mitigation record, evidence pointer, monitoring/closure record</w:t>
            </w:r>
          </w:p>
        </w:tc>
        <w:tc>
          <w:tcPr>
            <w:tcW w:type="dxa" w:w="1704"/>
          </w:tcPr>
          <w:p>
            <w:pPr>
              <w:spacing w:after="0"/>
            </w:pPr>
            <w:r>
              <w:rPr>
                <w:rFonts w:ascii="Arial" w:hAnsi="Arial"/>
                <w:b w:val="0"/>
                <w:sz w:val="12"/>
              </w:rPr>
              <w:t>Risk register without lifecycle linkage</w:t>
            </w:r>
          </w:p>
        </w:tc>
      </w:tr>
      <w:tr>
        <w:tc>
          <w:tcPr>
            <w:tcW w:type="dxa" w:w="1704"/>
          </w:tcPr>
          <w:p>
            <w:pPr>
              <w:spacing w:after="0"/>
            </w:pPr>
            <w:r>
              <w:rPr>
                <w:rFonts w:ascii="Arial" w:hAnsi="Arial"/>
                <w:b w:val="0"/>
                <w:sz w:val="12"/>
              </w:rPr>
              <w:t>RCCS-02 Data Governance</w:t>
            </w:r>
          </w:p>
        </w:tc>
        <w:tc>
          <w:tcPr>
            <w:tcW w:type="dxa" w:w="1704"/>
          </w:tcPr>
          <w:p>
            <w:pPr>
              <w:spacing w:after="0"/>
            </w:pPr>
            <w:r>
              <w:rPr>
                <w:rFonts w:ascii="Arial" w:hAnsi="Arial"/>
                <w:b w:val="0"/>
                <w:sz w:val="12"/>
              </w:rPr>
              <w:t>Does the system govern data quality, lineage, access, retention, and lifecycle handling?</w:t>
            </w:r>
          </w:p>
        </w:tc>
        <w:tc>
          <w:tcPr>
            <w:tcW w:type="dxa" w:w="1704"/>
          </w:tcPr>
          <w:p>
            <w:pPr>
              <w:spacing w:after="0"/>
            </w:pPr>
            <w:r>
              <w:rPr>
                <w:rFonts w:ascii="Arial" w:hAnsi="Arial"/>
                <w:b w:val="0"/>
                <w:sz w:val="12"/>
              </w:rPr>
              <w:t>Are data flows mapped across agents, tools, memory, evidence stores, privacy boundaries, and reuse contexts?</w:t>
            </w:r>
          </w:p>
        </w:tc>
        <w:tc>
          <w:tcPr>
            <w:tcW w:type="dxa" w:w="1704"/>
          </w:tcPr>
          <w:p>
            <w:pPr>
              <w:spacing w:after="0"/>
            </w:pPr>
            <w:r>
              <w:rPr>
                <w:rFonts w:ascii="Arial" w:hAnsi="Arial"/>
                <w:b w:val="0"/>
                <w:sz w:val="12"/>
              </w:rPr>
              <w:t>MRO-08, MRO-10, MRO-12, MRO-13, MRO-14</w:t>
            </w:r>
          </w:p>
        </w:tc>
        <w:tc>
          <w:tcPr>
            <w:tcW w:type="dxa" w:w="1704"/>
          </w:tcPr>
          <w:p>
            <w:pPr>
              <w:spacing w:after="0"/>
            </w:pPr>
            <w:r>
              <w:rPr>
                <w:rFonts w:ascii="Arial" w:hAnsi="Arial"/>
                <w:b w:val="0"/>
                <w:sz w:val="12"/>
              </w:rPr>
              <w:t>Lifecycle data-flow map, selective disclosure profile, retention/erasure policy, processor chain record</w:t>
            </w:r>
          </w:p>
        </w:tc>
        <w:tc>
          <w:tcPr>
            <w:tcW w:type="dxa" w:w="1704"/>
          </w:tcPr>
          <w:p>
            <w:pPr>
              <w:spacing w:after="0"/>
            </w:pPr>
            <w:r>
              <w:rPr>
                <w:rFonts w:ascii="Arial" w:hAnsi="Arial"/>
                <w:b w:val="0"/>
                <w:sz w:val="12"/>
              </w:rPr>
              <w:t>Dataset lineage without agent/runtime lifecycle mapping</w:t>
            </w:r>
          </w:p>
        </w:tc>
      </w:tr>
      <w:tr>
        <w:tc>
          <w:tcPr>
            <w:tcW w:type="dxa" w:w="1704"/>
          </w:tcPr>
          <w:p>
            <w:pPr>
              <w:spacing w:after="0"/>
            </w:pPr>
            <w:r>
              <w:rPr>
                <w:rFonts w:ascii="Arial" w:hAnsi="Arial"/>
                <w:b w:val="0"/>
                <w:sz w:val="12"/>
              </w:rPr>
              <w:t>RCCS-03 Documentation</w:t>
            </w:r>
          </w:p>
        </w:tc>
        <w:tc>
          <w:tcPr>
            <w:tcW w:type="dxa" w:w="1704"/>
          </w:tcPr>
          <w:p>
            <w:pPr>
              <w:spacing w:after="0"/>
            </w:pPr>
            <w:r>
              <w:rPr>
                <w:rFonts w:ascii="Arial" w:hAnsi="Arial"/>
                <w:b w:val="0"/>
                <w:sz w:val="12"/>
              </w:rPr>
              <w:t>Does the system produce and maintain technical and governance documentation?</w:t>
            </w:r>
          </w:p>
        </w:tc>
        <w:tc>
          <w:tcPr>
            <w:tcW w:type="dxa" w:w="1704"/>
          </w:tcPr>
          <w:p>
            <w:pPr>
              <w:spacing w:after="0"/>
            </w:pPr>
            <w:r>
              <w:rPr>
                <w:rFonts w:ascii="Arial" w:hAnsi="Arial"/>
                <w:b w:val="0"/>
                <w:sz w:val="12"/>
              </w:rPr>
              <w:t>Does documentation bind intent, plan, authority, role, evidence, accepted outcome, and substitution context?</w:t>
            </w:r>
          </w:p>
        </w:tc>
        <w:tc>
          <w:tcPr>
            <w:tcW w:type="dxa" w:w="1704"/>
          </w:tcPr>
          <w:p>
            <w:pPr>
              <w:spacing w:after="0"/>
            </w:pPr>
            <w:r>
              <w:rPr>
                <w:rFonts w:ascii="Arial" w:hAnsi="Arial"/>
                <w:b w:val="0"/>
                <w:sz w:val="12"/>
              </w:rPr>
              <w:t>MRO-01, MRO-02, MRO-04, MRO-08, MRO-15</w:t>
            </w:r>
          </w:p>
        </w:tc>
        <w:tc>
          <w:tcPr>
            <w:tcW w:type="dxa" w:w="1704"/>
          </w:tcPr>
          <w:p>
            <w:pPr>
              <w:spacing w:after="0"/>
            </w:pPr>
            <w:r>
              <w:rPr>
                <w:rFonts w:ascii="Arial" w:hAnsi="Arial"/>
                <w:b w:val="0"/>
                <w:sz w:val="12"/>
              </w:rPr>
              <w:t>Versioned lifecycle documentation, object schema, trace manifest, substitution record</w:t>
            </w:r>
          </w:p>
        </w:tc>
        <w:tc>
          <w:tcPr>
            <w:tcW w:type="dxa" w:w="1704"/>
          </w:tcPr>
          <w:p>
            <w:pPr>
              <w:spacing w:after="0"/>
            </w:pPr>
            <w:r>
              <w:rPr>
                <w:rFonts w:ascii="Arial" w:hAnsi="Arial"/>
                <w:b w:val="0"/>
                <w:sz w:val="12"/>
              </w:rPr>
              <w:t>Static model card without lifecycle responsibility objects</w:t>
            </w:r>
          </w:p>
        </w:tc>
      </w:tr>
      <w:tr>
        <w:tc>
          <w:tcPr>
            <w:tcW w:type="dxa" w:w="1704"/>
          </w:tcPr>
          <w:p>
            <w:pPr>
              <w:spacing w:after="0"/>
            </w:pPr>
            <w:r>
              <w:rPr>
                <w:rFonts w:ascii="Arial" w:hAnsi="Arial"/>
                <w:b w:val="0"/>
                <w:sz w:val="12"/>
              </w:rPr>
              <w:t>RCCS-04 Record-Keeping</w:t>
            </w:r>
          </w:p>
        </w:tc>
        <w:tc>
          <w:tcPr>
            <w:tcW w:type="dxa" w:w="1704"/>
          </w:tcPr>
          <w:p>
            <w:pPr>
              <w:spacing w:after="0"/>
            </w:pPr>
            <w:r>
              <w:rPr>
                <w:rFonts w:ascii="Arial" w:hAnsi="Arial"/>
                <w:b w:val="0"/>
                <w:sz w:val="12"/>
              </w:rPr>
              <w:t>Does the system record relevant events, logs, and audit trails?</w:t>
            </w:r>
          </w:p>
        </w:tc>
        <w:tc>
          <w:tcPr>
            <w:tcW w:type="dxa" w:w="1704"/>
          </w:tcPr>
          <w:p>
            <w:pPr>
              <w:spacing w:after="0"/>
            </w:pPr>
            <w:r>
              <w:rPr>
                <w:rFonts w:ascii="Arial" w:hAnsi="Arial"/>
                <w:b w:val="0"/>
                <w:sz w:val="12"/>
              </w:rPr>
              <w:t>Are records partitioned by role, authority boundary, agent/tool action, evidence pointer, privacy boundary, and accepted outcome?</w:t>
            </w:r>
          </w:p>
        </w:tc>
        <w:tc>
          <w:tcPr>
            <w:tcW w:type="dxa" w:w="1704"/>
          </w:tcPr>
          <w:p>
            <w:pPr>
              <w:spacing w:after="0"/>
            </w:pPr>
            <w:r>
              <w:rPr>
                <w:rFonts w:ascii="Arial" w:hAnsi="Arial"/>
                <w:b w:val="0"/>
                <w:sz w:val="12"/>
              </w:rPr>
              <w:t>MRO-08, MRO-12, MRO-13, MRO-16</w:t>
            </w:r>
          </w:p>
        </w:tc>
        <w:tc>
          <w:tcPr>
            <w:tcW w:type="dxa" w:w="1704"/>
          </w:tcPr>
          <w:p>
            <w:pPr>
              <w:spacing w:after="0"/>
            </w:pPr>
            <w:r>
              <w:rPr>
                <w:rFonts w:ascii="Arial" w:hAnsi="Arial"/>
                <w:b w:val="0"/>
                <w:sz w:val="12"/>
              </w:rPr>
              <w:t>Partitioned evidence chain, evidence pointer, disclosure policy, closure record</w:t>
            </w:r>
          </w:p>
        </w:tc>
        <w:tc>
          <w:tcPr>
            <w:tcW w:type="dxa" w:w="1704"/>
          </w:tcPr>
          <w:p>
            <w:pPr>
              <w:spacing w:after="0"/>
            </w:pPr>
            <w:r>
              <w:rPr>
                <w:rFonts w:ascii="Arial" w:hAnsi="Arial"/>
                <w:b w:val="0"/>
                <w:sz w:val="12"/>
              </w:rPr>
              <w:t>Generic logs without lifecycle responsibility partitioning</w:t>
            </w:r>
          </w:p>
        </w:tc>
      </w:tr>
      <w:tr>
        <w:tc>
          <w:tcPr>
            <w:tcW w:type="dxa" w:w="1704"/>
          </w:tcPr>
          <w:p>
            <w:pPr>
              <w:spacing w:after="0"/>
            </w:pPr>
            <w:r>
              <w:rPr>
                <w:rFonts w:ascii="Arial" w:hAnsi="Arial"/>
                <w:b w:val="0"/>
                <w:sz w:val="12"/>
              </w:rPr>
              <w:t>RCCS-05 Transparency</w:t>
            </w:r>
          </w:p>
        </w:tc>
        <w:tc>
          <w:tcPr>
            <w:tcW w:type="dxa" w:w="1704"/>
          </w:tcPr>
          <w:p>
            <w:pPr>
              <w:spacing w:after="0"/>
            </w:pPr>
            <w:r>
              <w:rPr>
                <w:rFonts w:ascii="Arial" w:hAnsi="Arial"/>
                <w:b w:val="0"/>
                <w:sz w:val="12"/>
              </w:rPr>
              <w:t>Does the system disclose purpose, behavior, limitations, and relevant decision factors?</w:t>
            </w:r>
          </w:p>
        </w:tc>
        <w:tc>
          <w:tcPr>
            <w:tcW w:type="dxa" w:w="1704"/>
          </w:tcPr>
          <w:p>
            <w:pPr>
              <w:spacing w:after="0"/>
            </w:pPr>
            <w:r>
              <w:rPr>
                <w:rFonts w:ascii="Arial" w:hAnsi="Arial"/>
                <w:b w:val="0"/>
                <w:sz w:val="12"/>
              </w:rPr>
              <w:t>Can disclosure be tied to lifecycle evidence, role, authority, accepted outcome, privacy boundary, and dispute path?</w:t>
            </w:r>
          </w:p>
        </w:tc>
        <w:tc>
          <w:tcPr>
            <w:tcW w:type="dxa" w:w="1704"/>
          </w:tcPr>
          <w:p>
            <w:pPr>
              <w:spacing w:after="0"/>
            </w:pPr>
            <w:r>
              <w:rPr>
                <w:rFonts w:ascii="Arial" w:hAnsi="Arial"/>
                <w:b w:val="0"/>
                <w:sz w:val="12"/>
              </w:rPr>
              <w:t>MRO-04, MRO-08, MRO-11, MRO-12, MRO-16</w:t>
            </w:r>
          </w:p>
        </w:tc>
        <w:tc>
          <w:tcPr>
            <w:tcW w:type="dxa" w:w="1704"/>
          </w:tcPr>
          <w:p>
            <w:pPr>
              <w:spacing w:after="0"/>
            </w:pPr>
            <w:r>
              <w:rPr>
                <w:rFonts w:ascii="Arial" w:hAnsi="Arial"/>
                <w:b w:val="0"/>
                <w:sz w:val="12"/>
              </w:rPr>
              <w:t>Evidence-linked explanation, disclosure profile, redacted validation pack, dispute replay record</w:t>
            </w:r>
          </w:p>
        </w:tc>
        <w:tc>
          <w:tcPr>
            <w:tcW w:type="dxa" w:w="1704"/>
          </w:tcPr>
          <w:p>
            <w:pPr>
              <w:spacing w:after="0"/>
            </w:pPr>
            <w:r>
              <w:rPr>
                <w:rFonts w:ascii="Arial" w:hAnsi="Arial"/>
                <w:b w:val="0"/>
                <w:sz w:val="12"/>
              </w:rPr>
              <w:t>Explanation UI without lifecycle evidence or selective disclosure</w:t>
            </w:r>
          </w:p>
        </w:tc>
      </w:tr>
      <w:tr>
        <w:tc>
          <w:tcPr>
            <w:tcW w:type="dxa" w:w="1704"/>
          </w:tcPr>
          <w:p>
            <w:pPr>
              <w:spacing w:after="0"/>
            </w:pPr>
            <w:r>
              <w:rPr>
                <w:rFonts w:ascii="Arial" w:hAnsi="Arial"/>
                <w:b w:val="0"/>
                <w:sz w:val="12"/>
              </w:rPr>
              <w:t>RCCS-06 Human Oversight</w:t>
            </w:r>
          </w:p>
        </w:tc>
        <w:tc>
          <w:tcPr>
            <w:tcW w:type="dxa" w:w="1704"/>
          </w:tcPr>
          <w:p>
            <w:pPr>
              <w:spacing w:after="0"/>
            </w:pPr>
            <w:r>
              <w:rPr>
                <w:rFonts w:ascii="Arial" w:hAnsi="Arial"/>
                <w:b w:val="0"/>
                <w:sz w:val="12"/>
              </w:rPr>
              <w:t>Does the system support human review, approval, intervention, and escalation?</w:t>
            </w:r>
          </w:p>
        </w:tc>
        <w:tc>
          <w:tcPr>
            <w:tcW w:type="dxa" w:w="1704"/>
          </w:tcPr>
          <w:p>
            <w:pPr>
              <w:spacing w:after="0"/>
            </w:pPr>
            <w:r>
              <w:rPr>
                <w:rFonts w:ascii="Arial" w:hAnsi="Arial"/>
                <w:b w:val="0"/>
                <w:sz w:val="12"/>
              </w:rPr>
              <w:t>Is oversight bound to human-role responsibility, delegated scope, escalation, and accepted outcome authority?</w:t>
            </w:r>
          </w:p>
        </w:tc>
        <w:tc>
          <w:tcPr>
            <w:tcW w:type="dxa" w:w="1704"/>
          </w:tcPr>
          <w:p>
            <w:pPr>
              <w:spacing w:after="0"/>
            </w:pPr>
            <w:r>
              <w:rPr>
                <w:rFonts w:ascii="Arial" w:hAnsi="Arial"/>
                <w:b w:val="0"/>
                <w:sz w:val="12"/>
              </w:rPr>
              <w:t>MRO-01, MRO-02, MRO-03, MRO-04, MRO-07</w:t>
            </w:r>
          </w:p>
        </w:tc>
        <w:tc>
          <w:tcPr>
            <w:tcW w:type="dxa" w:w="1704"/>
          </w:tcPr>
          <w:p>
            <w:pPr>
              <w:spacing w:after="0"/>
            </w:pPr>
            <w:r>
              <w:rPr>
                <w:rFonts w:ascii="Arial" w:hAnsi="Arial"/>
                <w:b w:val="0"/>
                <w:sz w:val="12"/>
              </w:rPr>
              <w:t>Human-role map, authority grant, escalation path, acceptance state, drift alert</w:t>
            </w:r>
          </w:p>
        </w:tc>
        <w:tc>
          <w:tcPr>
            <w:tcW w:type="dxa" w:w="1704"/>
          </w:tcPr>
          <w:p>
            <w:pPr>
              <w:spacing w:after="0"/>
            </w:pPr>
            <w:r>
              <w:rPr>
                <w:rFonts w:ascii="Arial" w:hAnsi="Arial"/>
                <w:b w:val="0"/>
                <w:sz w:val="12"/>
              </w:rPr>
              <w:t>Generic approve/reject UI without responsibility or authority scope</w:t>
            </w:r>
          </w:p>
        </w:tc>
      </w:tr>
      <w:tr>
        <w:tc>
          <w:tcPr>
            <w:tcW w:type="dxa" w:w="1704"/>
          </w:tcPr>
          <w:p>
            <w:pPr>
              <w:spacing w:after="0"/>
            </w:pPr>
            <w:r>
              <w:rPr>
                <w:rFonts w:ascii="Arial" w:hAnsi="Arial"/>
                <w:b w:val="0"/>
                <w:sz w:val="12"/>
              </w:rPr>
              <w:t>RCCS-07 Security</w:t>
            </w:r>
          </w:p>
        </w:tc>
        <w:tc>
          <w:tcPr>
            <w:tcW w:type="dxa" w:w="1704"/>
          </w:tcPr>
          <w:p>
            <w:pPr>
              <w:spacing w:after="0"/>
            </w:pPr>
            <w:r>
              <w:rPr>
                <w:rFonts w:ascii="Arial" w:hAnsi="Arial"/>
                <w:b w:val="0"/>
                <w:sz w:val="12"/>
              </w:rPr>
              <w:t>Does the system implement access, authentication, authorization, and security monitoring controls?</w:t>
            </w:r>
          </w:p>
        </w:tc>
        <w:tc>
          <w:tcPr>
            <w:tcW w:type="dxa" w:w="1704"/>
          </w:tcPr>
          <w:p>
            <w:pPr>
              <w:spacing w:after="0"/>
            </w:pPr>
            <w:r>
              <w:rPr>
                <w:rFonts w:ascii="Arial" w:hAnsi="Arial"/>
                <w:b w:val="0"/>
                <w:sz w:val="12"/>
              </w:rPr>
              <w:t>Are security controls linked to delegated authority, tool-action liability, lifecycle evidence, and privacy-limited disclosure?</w:t>
            </w:r>
          </w:p>
        </w:tc>
        <w:tc>
          <w:tcPr>
            <w:tcW w:type="dxa" w:w="1704"/>
          </w:tcPr>
          <w:p>
            <w:pPr>
              <w:spacing w:after="0"/>
            </w:pPr>
            <w:r>
              <w:rPr>
                <w:rFonts w:ascii="Arial" w:hAnsi="Arial"/>
                <w:b w:val="0"/>
                <w:sz w:val="12"/>
              </w:rPr>
              <w:t>MRO-02, MRO-05, MRO-08, MRO-10, MRO-12</w:t>
            </w:r>
          </w:p>
        </w:tc>
        <w:tc>
          <w:tcPr>
            <w:tcW w:type="dxa" w:w="1704"/>
          </w:tcPr>
          <w:p>
            <w:pPr>
              <w:spacing w:after="0"/>
            </w:pPr>
            <w:r>
              <w:rPr>
                <w:rFonts w:ascii="Arial" w:hAnsi="Arial"/>
                <w:b w:val="0"/>
                <w:sz w:val="12"/>
              </w:rPr>
              <w:t>Delegated authority record, tool-action liability object, evidence partition, privacy boundary</w:t>
            </w:r>
          </w:p>
        </w:tc>
        <w:tc>
          <w:tcPr>
            <w:tcW w:type="dxa" w:w="1704"/>
          </w:tcPr>
          <w:p>
            <w:pPr>
              <w:spacing w:after="0"/>
            </w:pPr>
            <w:r>
              <w:rPr>
                <w:rFonts w:ascii="Arial" w:hAnsi="Arial"/>
                <w:b w:val="0"/>
                <w:sz w:val="12"/>
              </w:rPr>
              <w:t>Access control treated as delegated authority proof</w:t>
            </w:r>
          </w:p>
        </w:tc>
      </w:tr>
      <w:tr>
        <w:tc>
          <w:tcPr>
            <w:tcW w:type="dxa" w:w="1704"/>
          </w:tcPr>
          <w:p>
            <w:pPr>
              <w:spacing w:after="0"/>
            </w:pPr>
            <w:r>
              <w:rPr>
                <w:rFonts w:ascii="Arial" w:hAnsi="Arial"/>
                <w:b w:val="0"/>
                <w:sz w:val="12"/>
              </w:rPr>
              <w:t>RCCS-08 Accountability</w:t>
            </w:r>
          </w:p>
        </w:tc>
        <w:tc>
          <w:tcPr>
            <w:tcW w:type="dxa" w:w="1704"/>
          </w:tcPr>
          <w:p>
            <w:pPr>
              <w:spacing w:after="0"/>
            </w:pPr>
            <w:r>
              <w:rPr>
                <w:rFonts w:ascii="Arial" w:hAnsi="Arial"/>
                <w:b w:val="0"/>
                <w:sz w:val="12"/>
              </w:rPr>
              <w:t>Does the system assign roles, responsibilities, policies, and escalation paths?</w:t>
            </w:r>
          </w:p>
        </w:tc>
        <w:tc>
          <w:tcPr>
            <w:tcW w:type="dxa" w:w="1704"/>
          </w:tcPr>
          <w:p>
            <w:pPr>
              <w:spacing w:after="0"/>
            </w:pPr>
            <w:r>
              <w:rPr>
                <w:rFonts w:ascii="Arial" w:hAnsi="Arial"/>
                <w:b w:val="0"/>
                <w:sz w:val="12"/>
              </w:rPr>
              <w:t>Are accountability relationships represented as human/agent responsibility mappings, transfer records, and accepted outcome states?</w:t>
            </w:r>
          </w:p>
        </w:tc>
        <w:tc>
          <w:tcPr>
            <w:tcW w:type="dxa" w:w="1704"/>
          </w:tcPr>
          <w:p>
            <w:pPr>
              <w:spacing w:after="0"/>
            </w:pPr>
            <w:r>
              <w:rPr>
                <w:rFonts w:ascii="Arial" w:hAnsi="Arial"/>
                <w:b w:val="0"/>
                <w:sz w:val="12"/>
              </w:rPr>
              <w:t>MRO-01, MRO-03, MRO-04, MRO-05, MRO-06</w:t>
            </w:r>
          </w:p>
        </w:tc>
        <w:tc>
          <w:tcPr>
            <w:tcW w:type="dxa" w:w="1704"/>
          </w:tcPr>
          <w:p>
            <w:pPr>
              <w:spacing w:after="0"/>
            </w:pPr>
            <w:r>
              <w:rPr>
                <w:rFonts w:ascii="Arial" w:hAnsi="Arial"/>
                <w:b w:val="0"/>
                <w:sz w:val="12"/>
              </w:rPr>
              <w:t>Responsibility map, agent role boundary, transfer record, acceptance record, liability record</w:t>
            </w:r>
          </w:p>
        </w:tc>
        <w:tc>
          <w:tcPr>
            <w:tcW w:type="dxa" w:w="1704"/>
          </w:tcPr>
          <w:p>
            <w:pPr>
              <w:spacing w:after="0"/>
            </w:pPr>
            <w:r>
              <w:rPr>
                <w:rFonts w:ascii="Arial" w:hAnsi="Arial"/>
                <w:b w:val="0"/>
                <w:sz w:val="12"/>
              </w:rPr>
              <w:t>User role assignment without responsibility continuity</w:t>
            </w:r>
          </w:p>
        </w:tc>
      </w:tr>
      <w:tr>
        <w:tc>
          <w:tcPr>
            <w:tcW w:type="dxa" w:w="1704"/>
          </w:tcPr>
          <w:p>
            <w:pPr>
              <w:spacing w:after="0"/>
            </w:pPr>
            <w:r>
              <w:rPr>
                <w:rFonts w:ascii="Arial" w:hAnsi="Arial"/>
                <w:b w:val="0"/>
                <w:sz w:val="12"/>
              </w:rPr>
              <w:t>RCCS-09 Contestability</w:t>
            </w:r>
          </w:p>
        </w:tc>
        <w:tc>
          <w:tcPr>
            <w:tcW w:type="dxa" w:w="1704"/>
          </w:tcPr>
          <w:p>
            <w:pPr>
              <w:spacing w:after="0"/>
            </w:pPr>
            <w:r>
              <w:rPr>
                <w:rFonts w:ascii="Arial" w:hAnsi="Arial"/>
                <w:b w:val="0"/>
                <w:sz w:val="12"/>
              </w:rPr>
              <w:t>Does the system support dispute, appeal, investigation, correction, and remediation workflows?</w:t>
            </w:r>
          </w:p>
        </w:tc>
        <w:tc>
          <w:tcPr>
            <w:tcW w:type="dxa" w:w="1704"/>
          </w:tcPr>
          <w:p>
            <w:pPr>
              <w:spacing w:after="0"/>
            </w:pPr>
            <w:r>
              <w:rPr>
                <w:rFonts w:ascii="Arial" w:hAnsi="Arial"/>
                <w:b w:val="0"/>
                <w:sz w:val="12"/>
              </w:rPr>
              <w:t>Can challenged outcomes be replayed with evidence, reviewer role, accepted/rejected state, remediation action, and closure?</w:t>
            </w:r>
          </w:p>
        </w:tc>
        <w:tc>
          <w:tcPr>
            <w:tcW w:type="dxa" w:w="1704"/>
          </w:tcPr>
          <w:p>
            <w:pPr>
              <w:spacing w:after="0"/>
            </w:pPr>
            <w:r>
              <w:rPr>
                <w:rFonts w:ascii="Arial" w:hAnsi="Arial"/>
                <w:b w:val="0"/>
                <w:sz w:val="12"/>
              </w:rPr>
              <w:t>MRO-04, MRO-08, MRO-12, MRO-13, MRO-16</w:t>
            </w:r>
          </w:p>
        </w:tc>
        <w:tc>
          <w:tcPr>
            <w:tcW w:type="dxa" w:w="1704"/>
          </w:tcPr>
          <w:p>
            <w:pPr>
              <w:spacing w:after="0"/>
            </w:pPr>
            <w:r>
              <w:rPr>
                <w:rFonts w:ascii="Arial" w:hAnsi="Arial"/>
                <w:b w:val="0"/>
                <w:sz w:val="12"/>
              </w:rPr>
              <w:t>Dispute replay pack, evidence manifest, remediation record, closure acceptance</w:t>
            </w:r>
          </w:p>
        </w:tc>
        <w:tc>
          <w:tcPr>
            <w:tcW w:type="dxa" w:w="1704"/>
          </w:tcPr>
          <w:p>
            <w:pPr>
              <w:spacing w:after="0"/>
            </w:pPr>
            <w:r>
              <w:rPr>
                <w:rFonts w:ascii="Arial" w:hAnsi="Arial"/>
                <w:b w:val="0"/>
                <w:sz w:val="12"/>
              </w:rPr>
              <w:t>Customer support ticket without lifecycle replay or closure</w:t>
            </w:r>
          </w:p>
        </w:tc>
      </w:tr>
      <w:tr>
        <w:tc>
          <w:tcPr>
            <w:tcW w:type="dxa" w:w="1704"/>
          </w:tcPr>
          <w:p>
            <w:pPr>
              <w:spacing w:after="0"/>
            </w:pPr>
            <w:r>
              <w:rPr>
                <w:rFonts w:ascii="Arial" w:hAnsi="Arial"/>
                <w:b w:val="0"/>
                <w:sz w:val="12"/>
              </w:rPr>
              <w:t>RCCS-10 Monitoring</w:t>
            </w:r>
          </w:p>
        </w:tc>
        <w:tc>
          <w:tcPr>
            <w:tcW w:type="dxa" w:w="1704"/>
          </w:tcPr>
          <w:p>
            <w:pPr>
              <w:spacing w:after="0"/>
            </w:pPr>
            <w:r>
              <w:rPr>
                <w:rFonts w:ascii="Arial" w:hAnsi="Arial"/>
                <w:b w:val="0"/>
                <w:sz w:val="12"/>
              </w:rPr>
              <w:t>Does the system monitor performance, drift, incidents, and continuous improvement?</w:t>
            </w:r>
          </w:p>
        </w:tc>
        <w:tc>
          <w:tcPr>
            <w:tcW w:type="dxa" w:w="1704"/>
          </w:tcPr>
          <w:p>
            <w:pPr>
              <w:spacing w:after="0"/>
            </w:pPr>
            <w:r>
              <w:rPr>
                <w:rFonts w:ascii="Arial" w:hAnsi="Arial"/>
                <w:b w:val="0"/>
                <w:sz w:val="12"/>
              </w:rPr>
              <w:t>Does monitoring detect authority drift, lifecycle drift, substitution change, privacy events, incidents, and remediation closure?</w:t>
            </w:r>
          </w:p>
        </w:tc>
        <w:tc>
          <w:tcPr>
            <w:tcW w:type="dxa" w:w="1704"/>
          </w:tcPr>
          <w:p>
            <w:pPr>
              <w:spacing w:after="0"/>
            </w:pPr>
            <w:r>
              <w:rPr>
                <w:rFonts w:ascii="Arial" w:hAnsi="Arial"/>
                <w:b w:val="0"/>
                <w:sz w:val="12"/>
              </w:rPr>
              <w:t>MRO-07, MRO-09, MRO-10, MRO-15, MRO-16</w:t>
            </w:r>
          </w:p>
        </w:tc>
        <w:tc>
          <w:tcPr>
            <w:tcW w:type="dxa" w:w="1704"/>
          </w:tcPr>
          <w:p>
            <w:pPr>
              <w:spacing w:after="0"/>
            </w:pPr>
            <w:r>
              <w:rPr>
                <w:rFonts w:ascii="Arial" w:hAnsi="Arial"/>
                <w:b w:val="0"/>
                <w:sz w:val="12"/>
              </w:rPr>
              <w:t>Drift event, reuse/revalidation record, privacy event record, substitution conformance record, incident closure</w:t>
            </w:r>
          </w:p>
        </w:tc>
        <w:tc>
          <w:tcPr>
            <w:tcW w:type="dxa" w:w="1704"/>
          </w:tcPr>
          <w:p>
            <w:pPr>
              <w:spacing w:after="0"/>
            </w:pPr>
            <w:r>
              <w:rPr>
                <w:rFonts w:ascii="Arial" w:hAnsi="Arial"/>
                <w:b w:val="0"/>
                <w:sz w:val="12"/>
              </w:rPr>
              <w:t>General observability dashboard without responsibility-object monitoring</w:t>
            </w:r>
          </w:p>
        </w:tc>
      </w:tr>
    </w:tbl>
    <w:p>
      <w:pPr>
        <w:pStyle w:val="Heading2"/>
      </w:pPr>
      <w:r>
        <w:t>7.5 Scoring Criteria: How 0-5 Differs Under RCCS-T and RCCS-M</w:t>
      </w:r>
    </w:p>
    <w:p>
      <w:pPr>
        <w:spacing w:after="56"/>
      </w:pPr>
      <w:r>
        <w:t>RCCS-T and RCCS-M use the same 0-5 raw score range, but the meaning of each raw score differs because they use different scoring lenses.</w:t>
      </w:r>
    </w:p>
    <w:p>
      <w:pPr>
        <w:keepNext/>
      </w:pPr>
      <w:r>
        <w:rPr>
          <w:b/>
          <w:sz w:val="16"/>
        </w:rPr>
        <w:t>Table T-07-02A: RCCS-T vs RCCS-M 0-5 Scoring Lens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Raw Score</w:t>
            </w:r>
          </w:p>
        </w:tc>
        <w:tc>
          <w:tcPr>
            <w:tcW w:type="dxa" w:w="2045"/>
          </w:tcPr>
          <w:p>
            <w:pPr>
              <w:spacing w:after="0"/>
            </w:pPr>
            <w:r>
              <w:rPr>
                <w:rFonts w:ascii="Arial" w:hAnsi="Arial"/>
                <w:b/>
                <w:sz w:val="14"/>
              </w:rPr>
              <w:t>RCCS-T Meaning</w:t>
            </w:r>
          </w:p>
        </w:tc>
        <w:tc>
          <w:tcPr>
            <w:tcW w:type="dxa" w:w="2045"/>
          </w:tcPr>
          <w:p>
            <w:pPr>
              <w:spacing w:after="0"/>
            </w:pPr>
            <w:r>
              <w:rPr>
                <w:rFonts w:ascii="Arial" w:hAnsi="Arial"/>
                <w:b/>
                <w:sz w:val="14"/>
              </w:rPr>
              <w:t>RCCS-M Meaning</w:t>
            </w:r>
          </w:p>
        </w:tc>
        <w:tc>
          <w:tcPr>
            <w:tcW w:type="dxa" w:w="2045"/>
          </w:tcPr>
          <w:p>
            <w:pPr>
              <w:spacing w:after="0"/>
            </w:pPr>
            <w:r>
              <w:rPr>
                <w:rFonts w:ascii="Arial" w:hAnsi="Arial"/>
                <w:b/>
                <w:sz w:val="14"/>
              </w:rPr>
              <w:t>Evidence Difference</w:t>
            </w:r>
          </w:p>
        </w:tc>
        <w:tc>
          <w:tcPr>
            <w:tcW w:type="dxa" w:w="2045"/>
          </w:tcPr>
          <w:p>
            <w:pPr>
              <w:spacing w:after="0"/>
            </w:pPr>
            <w:r>
              <w:rPr>
                <w:rFonts w:ascii="Arial" w:hAnsi="Arial"/>
                <w:b/>
                <w:sz w:val="14"/>
              </w:rPr>
              <w:t>Negative Control</w:t>
            </w:r>
          </w:p>
        </w:tc>
      </w:tr>
      <w:tr>
        <w:tc>
          <w:tcPr>
            <w:tcW w:type="dxa" w:w="2045"/>
          </w:tcPr>
          <w:p>
            <w:pPr>
              <w:spacing w:after="0"/>
            </w:pPr>
            <w:r>
              <w:rPr>
                <w:rFonts w:ascii="Arial" w:hAnsi="Arial"/>
                <w:b w:val="0"/>
                <w:sz w:val="14"/>
              </w:rPr>
              <w:t>0</w:t>
            </w:r>
          </w:p>
        </w:tc>
        <w:tc>
          <w:tcPr>
            <w:tcW w:type="dxa" w:w="2045"/>
          </w:tcPr>
          <w:p>
            <w:pPr>
              <w:spacing w:after="0"/>
            </w:pPr>
            <w:r>
              <w:rPr>
                <w:rFonts w:ascii="Arial" w:hAnsi="Arial"/>
                <w:b w:val="0"/>
                <w:sz w:val="14"/>
              </w:rPr>
              <w:t>No visible traditional coverage</w:t>
            </w:r>
          </w:p>
        </w:tc>
        <w:tc>
          <w:tcPr>
            <w:tcW w:type="dxa" w:w="2045"/>
          </w:tcPr>
          <w:p>
            <w:pPr>
              <w:spacing w:after="0"/>
            </w:pPr>
            <w:r>
              <w:rPr>
                <w:rFonts w:ascii="Arial" w:hAnsi="Arial"/>
                <w:b w:val="0"/>
                <w:sz w:val="14"/>
              </w:rPr>
              <w:t>No lifecycle object expression</w:t>
            </w:r>
          </w:p>
        </w:tc>
        <w:tc>
          <w:tcPr>
            <w:tcW w:type="dxa" w:w="2045"/>
          </w:tcPr>
          <w:p>
            <w:pPr>
              <w:spacing w:after="0"/>
            </w:pPr>
            <w:r>
              <w:rPr>
                <w:rFonts w:ascii="Arial" w:hAnsi="Arial"/>
                <w:b w:val="0"/>
                <w:sz w:val="14"/>
              </w:rPr>
              <w:t>No credible evidence for either lens</w:t>
            </w:r>
          </w:p>
        </w:tc>
        <w:tc>
          <w:tcPr>
            <w:tcW w:type="dxa" w:w="2045"/>
          </w:tcPr>
          <w:p>
            <w:pPr>
              <w:spacing w:after="0"/>
            </w:pPr>
            <w:r>
              <w:rPr>
                <w:rFonts w:ascii="Arial" w:hAnsi="Arial"/>
                <w:b w:val="0"/>
                <w:sz w:val="14"/>
              </w:rPr>
              <w:t>Absence of public feature or object support</w:t>
            </w:r>
          </w:p>
        </w:tc>
      </w:tr>
      <w:tr>
        <w:tc>
          <w:tcPr>
            <w:tcW w:type="dxa" w:w="2045"/>
          </w:tcPr>
          <w:p>
            <w:pPr>
              <w:spacing w:after="0"/>
            </w:pPr>
            <w:r>
              <w:rPr>
                <w:rFonts w:ascii="Arial" w:hAnsi="Arial"/>
                <w:b w:val="0"/>
                <w:sz w:val="14"/>
              </w:rPr>
              <w:t>1</w:t>
            </w:r>
          </w:p>
        </w:tc>
        <w:tc>
          <w:tcPr>
            <w:tcW w:type="dxa" w:w="2045"/>
          </w:tcPr>
          <w:p>
            <w:pPr>
              <w:spacing w:after="0"/>
            </w:pPr>
            <w:r>
              <w:rPr>
                <w:rFonts w:ascii="Arial" w:hAnsi="Arial"/>
                <w:b w:val="0"/>
                <w:sz w:val="14"/>
              </w:rPr>
              <w:t>Policy, concept, or marketing mention only</w:t>
            </w:r>
          </w:p>
        </w:tc>
        <w:tc>
          <w:tcPr>
            <w:tcW w:type="dxa" w:w="2045"/>
          </w:tcPr>
          <w:p>
            <w:pPr>
              <w:spacing w:after="0"/>
            </w:pPr>
            <w:r>
              <w:rPr>
                <w:rFonts w:ascii="Arial" w:hAnsi="Arial"/>
                <w:b w:val="0"/>
                <w:sz w:val="14"/>
              </w:rPr>
              <w:t>MRO concept implied but not represented as an object or evidence artifact</w:t>
            </w:r>
          </w:p>
        </w:tc>
        <w:tc>
          <w:tcPr>
            <w:tcW w:type="dxa" w:w="2045"/>
          </w:tcPr>
          <w:p>
            <w:pPr>
              <w:spacing w:after="0"/>
            </w:pPr>
            <w:r>
              <w:rPr>
                <w:rFonts w:ascii="Arial" w:hAnsi="Arial"/>
                <w:b w:val="0"/>
                <w:sz w:val="14"/>
              </w:rPr>
              <w:t>RCCS-T may rely on weak public mention; RCCS-M needs at least identifiable lifecycle-object semantics</w:t>
            </w:r>
          </w:p>
        </w:tc>
        <w:tc>
          <w:tcPr>
            <w:tcW w:type="dxa" w:w="2045"/>
          </w:tcPr>
          <w:p>
            <w:pPr>
              <w:spacing w:after="0"/>
            </w:pPr>
            <w:r>
              <w:rPr>
                <w:rFonts w:ascii="Arial" w:hAnsi="Arial"/>
                <w:b w:val="0"/>
                <w:sz w:val="14"/>
              </w:rPr>
              <w:t>Governance language without implementation or object evidence</w:t>
            </w:r>
          </w:p>
        </w:tc>
      </w:tr>
      <w:tr>
        <w:tc>
          <w:tcPr>
            <w:tcW w:type="dxa" w:w="2045"/>
          </w:tcPr>
          <w:p>
            <w:pPr>
              <w:spacing w:after="0"/>
            </w:pPr>
            <w:r>
              <w:rPr>
                <w:rFonts w:ascii="Arial" w:hAnsi="Arial"/>
                <w:b w:val="0"/>
                <w:sz w:val="14"/>
              </w:rPr>
              <w:t>2</w:t>
            </w:r>
          </w:p>
        </w:tc>
        <w:tc>
          <w:tcPr>
            <w:tcW w:type="dxa" w:w="2045"/>
          </w:tcPr>
          <w:p>
            <w:pPr>
              <w:spacing w:after="0"/>
            </w:pPr>
            <w:r>
              <w:rPr>
                <w:rFonts w:ascii="Arial" w:hAnsi="Arial"/>
                <w:b w:val="0"/>
                <w:sz w:val="14"/>
              </w:rPr>
              <w:t>Partial feature or control support</w:t>
            </w:r>
          </w:p>
        </w:tc>
        <w:tc>
          <w:tcPr>
            <w:tcW w:type="dxa" w:w="2045"/>
          </w:tcPr>
          <w:p>
            <w:pPr>
              <w:spacing w:after="0"/>
            </w:pPr>
            <w:r>
              <w:rPr>
                <w:rFonts w:ascii="Arial" w:hAnsi="Arial"/>
                <w:b w:val="0"/>
                <w:sz w:val="14"/>
              </w:rPr>
              <w:t>Partial lifecycle object support, mostly implementer-built or inferred</w:t>
            </w:r>
          </w:p>
        </w:tc>
        <w:tc>
          <w:tcPr>
            <w:tcW w:type="dxa" w:w="2045"/>
          </w:tcPr>
          <w:p>
            <w:pPr>
              <w:spacing w:after="0"/>
            </w:pPr>
            <w:r>
              <w:rPr>
                <w:rFonts w:ascii="Arial" w:hAnsi="Arial"/>
                <w:b w:val="0"/>
                <w:sz w:val="14"/>
              </w:rPr>
              <w:t>RCCS-T can count partial controls; RCCS-M requires a plausible but incomplete mapping to MRO evidence</w:t>
            </w:r>
          </w:p>
        </w:tc>
        <w:tc>
          <w:tcPr>
            <w:tcW w:type="dxa" w:w="2045"/>
          </w:tcPr>
          <w:p>
            <w:pPr>
              <w:spacing w:after="0"/>
            </w:pPr>
            <w:r>
              <w:rPr>
                <w:rFonts w:ascii="Arial" w:hAnsi="Arial"/>
                <w:b w:val="0"/>
                <w:sz w:val="14"/>
              </w:rPr>
              <w:t>Adjacent feature treated as lifecycle object</w:t>
            </w:r>
          </w:p>
        </w:tc>
      </w:tr>
      <w:tr>
        <w:tc>
          <w:tcPr>
            <w:tcW w:type="dxa" w:w="2045"/>
          </w:tcPr>
          <w:p>
            <w:pPr>
              <w:spacing w:after="0"/>
            </w:pPr>
            <w:r>
              <w:rPr>
                <w:rFonts w:ascii="Arial" w:hAnsi="Arial"/>
                <w:b w:val="0"/>
                <w:sz w:val="14"/>
              </w:rPr>
              <w:t>3</w:t>
            </w:r>
          </w:p>
        </w:tc>
        <w:tc>
          <w:tcPr>
            <w:tcW w:type="dxa" w:w="2045"/>
          </w:tcPr>
          <w:p>
            <w:pPr>
              <w:spacing w:after="0"/>
            </w:pPr>
            <w:r>
              <w:rPr>
                <w:rFonts w:ascii="Arial" w:hAnsi="Arial"/>
                <w:b w:val="0"/>
                <w:sz w:val="14"/>
              </w:rPr>
              <w:t>Documented operational control</w:t>
            </w:r>
          </w:p>
        </w:tc>
        <w:tc>
          <w:tcPr>
            <w:tcW w:type="dxa" w:w="2045"/>
          </w:tcPr>
          <w:p>
            <w:pPr>
              <w:spacing w:after="0"/>
            </w:pPr>
            <w:r>
              <w:rPr>
                <w:rFonts w:ascii="Arial" w:hAnsi="Arial"/>
                <w:b w:val="0"/>
                <w:sz w:val="14"/>
              </w:rPr>
              <w:t>Documented object-level mapping for some lifecycle responsibility objects</w:t>
            </w:r>
          </w:p>
        </w:tc>
        <w:tc>
          <w:tcPr>
            <w:tcW w:type="dxa" w:w="2045"/>
          </w:tcPr>
          <w:p>
            <w:pPr>
              <w:spacing w:after="0"/>
            </w:pPr>
            <w:r>
              <w:rPr>
                <w:rFonts w:ascii="Arial" w:hAnsi="Arial"/>
                <w:b w:val="0"/>
                <w:sz w:val="14"/>
              </w:rPr>
              <w:t>RCCS-T requires official feature/workflow documentation; RCCS-M requires documented role, authority, evidence, acceptance, privacy, substitution, or closure mapping</w:t>
            </w:r>
          </w:p>
        </w:tc>
        <w:tc>
          <w:tcPr>
            <w:tcW w:type="dxa" w:w="2045"/>
          </w:tcPr>
          <w:p>
            <w:pPr>
              <w:spacing w:after="0"/>
            </w:pPr>
            <w:r>
              <w:rPr>
                <w:rFonts w:ascii="Arial" w:hAnsi="Arial"/>
                <w:b w:val="0"/>
                <w:sz w:val="14"/>
              </w:rPr>
              <w:t>Workflow support without explicit responsibility semantics</w:t>
            </w:r>
          </w:p>
        </w:tc>
      </w:tr>
      <w:tr>
        <w:tc>
          <w:tcPr>
            <w:tcW w:type="dxa" w:w="2045"/>
          </w:tcPr>
          <w:p>
            <w:pPr>
              <w:spacing w:after="0"/>
            </w:pPr>
            <w:r>
              <w:rPr>
                <w:rFonts w:ascii="Arial" w:hAnsi="Arial"/>
                <w:b w:val="0"/>
                <w:sz w:val="14"/>
              </w:rPr>
              <w:t>4</w:t>
            </w:r>
          </w:p>
        </w:tc>
        <w:tc>
          <w:tcPr>
            <w:tcW w:type="dxa" w:w="2045"/>
          </w:tcPr>
          <w:p>
            <w:pPr>
              <w:spacing w:after="0"/>
            </w:pPr>
            <w:r>
              <w:rPr>
                <w:rFonts w:ascii="Arial" w:hAnsi="Arial"/>
                <w:b w:val="0"/>
                <w:sz w:val="14"/>
              </w:rPr>
              <w:t>Strong operational control with evidence</w:t>
            </w:r>
          </w:p>
        </w:tc>
        <w:tc>
          <w:tcPr>
            <w:tcW w:type="dxa" w:w="2045"/>
          </w:tcPr>
          <w:p>
            <w:pPr>
              <w:spacing w:after="0"/>
            </w:pPr>
            <w:r>
              <w:rPr>
                <w:rFonts w:ascii="Arial" w:hAnsi="Arial"/>
                <w:b w:val="0"/>
                <w:sz w:val="14"/>
              </w:rPr>
              <w:t>Strong lifecycle object coverage with evidence pointers and responsibility/authority binding</w:t>
            </w:r>
          </w:p>
        </w:tc>
        <w:tc>
          <w:tcPr>
            <w:tcW w:type="dxa" w:w="2045"/>
          </w:tcPr>
          <w:p>
            <w:pPr>
              <w:spacing w:after="0"/>
            </w:pPr>
            <w:r>
              <w:rPr>
                <w:rFonts w:ascii="Arial" w:hAnsi="Arial"/>
                <w:b w:val="0"/>
                <w:sz w:val="14"/>
              </w:rPr>
              <w:t>RCCS-T requires strong control evidence; RCCS-M requires object records, schemas, protocol evidence, or replayable artifacts</w:t>
            </w:r>
          </w:p>
        </w:tc>
        <w:tc>
          <w:tcPr>
            <w:tcW w:type="dxa" w:w="2045"/>
          </w:tcPr>
          <w:p>
            <w:pPr>
              <w:spacing w:after="0"/>
            </w:pPr>
            <w:r>
              <w:rPr>
                <w:rFonts w:ascii="Arial" w:hAnsi="Arial"/>
                <w:b w:val="0"/>
                <w:sz w:val="14"/>
              </w:rPr>
              <w:t>Strong dashboard or log export without object partitioning</w:t>
            </w:r>
          </w:p>
        </w:tc>
      </w:tr>
      <w:tr>
        <w:tc>
          <w:tcPr>
            <w:tcW w:type="dxa" w:w="2045"/>
          </w:tcPr>
          <w:p>
            <w:pPr>
              <w:spacing w:after="0"/>
            </w:pPr>
            <w:r>
              <w:rPr>
                <w:rFonts w:ascii="Arial" w:hAnsi="Arial"/>
                <w:b w:val="0"/>
                <w:sz w:val="14"/>
              </w:rPr>
              <w:t>5</w:t>
            </w:r>
          </w:p>
        </w:tc>
        <w:tc>
          <w:tcPr>
            <w:tcW w:type="dxa" w:w="2045"/>
          </w:tcPr>
          <w:p>
            <w:pPr>
              <w:spacing w:after="0"/>
            </w:pPr>
            <w:r>
              <w:rPr>
                <w:rFonts w:ascii="Arial" w:hAnsi="Arial"/>
                <w:b w:val="0"/>
                <w:sz w:val="14"/>
              </w:rPr>
              <w:t>Comprehensive traditional governance control with strong evidence</w:t>
            </w:r>
          </w:p>
        </w:tc>
        <w:tc>
          <w:tcPr>
            <w:tcW w:type="dxa" w:w="2045"/>
          </w:tcPr>
          <w:p>
            <w:pPr>
              <w:spacing w:after="0"/>
            </w:pPr>
            <w:r>
              <w:rPr>
                <w:rFonts w:ascii="Arial" w:hAnsi="Arial"/>
                <w:b w:val="0"/>
                <w:sz w:val="14"/>
              </w:rPr>
              <w:t>Inspectable, replayable, evidence-linked lifecycle responsibility object coverage across the relevant dimension</w:t>
            </w:r>
          </w:p>
        </w:tc>
        <w:tc>
          <w:tcPr>
            <w:tcW w:type="dxa" w:w="2045"/>
          </w:tcPr>
          <w:p>
            <w:pPr>
              <w:spacing w:after="0"/>
            </w:pPr>
            <w:r>
              <w:rPr>
                <w:rFonts w:ascii="Arial" w:hAnsi="Arial"/>
                <w:b w:val="0"/>
                <w:sz w:val="14"/>
              </w:rPr>
              <w:t>RCCS-T can be satisfied by comprehensive implementation or audit evidence; RCCS-M requires implementation evidence, formal audit evidence, protocol-level evidence, or validated operational artifacts showing lifecycle object conformance</w:t>
            </w:r>
          </w:p>
        </w:tc>
        <w:tc>
          <w:tcPr>
            <w:tcW w:type="dxa" w:w="2045"/>
          </w:tcPr>
          <w:p>
            <w:pPr>
              <w:spacing w:after="0"/>
            </w:pPr>
            <w:r>
              <w:rPr>
                <w:rFonts w:ascii="Arial" w:hAnsi="Arial"/>
                <w:b w:val="0"/>
                <w:sz w:val="14"/>
              </w:rPr>
              <w:t>Legal text or policy baseline treated as implementation proof</w:t>
            </w:r>
          </w:p>
        </w:tc>
      </w:tr>
    </w:tbl>
    <w:p>
      <w:pPr>
        <w:spacing w:after="56"/>
      </w:pPr>
      <w:r>
        <w:t>Legal text may establish a regulatory baseline but does not by itself prove RCCS-T implementation or RCCS-M lifecycle-object expression.</w:t>
      </w:r>
    </w:p>
    <w:p>
      <w:pPr>
        <w:pStyle w:val="Heading2"/>
      </w:pPr>
      <w:r>
        <w:t>7.6 Evidence Requirements: Traditional Evidence vs MRO Evidence</w:t>
      </w:r>
    </w:p>
    <w:p>
      <w:pPr>
        <w:spacing w:after="56"/>
      </w:pPr>
      <w:r>
        <w:t>RCCS-T evidence and RCCS-M evidence are not the same.</w:t>
      </w:r>
    </w:p>
    <w:p>
      <w:pPr>
        <w:spacing w:after="56"/>
      </w:pPr>
      <w:r>
        <w:t>RCCS-T evidence may include dashboards, policies, documentation, risk workflows, audit logs, oversight features, control reports, monitoring views, governance console records, and official product documentation showing traditional governance/control coverage.</w:t>
      </w:r>
    </w:p>
    <w:p>
      <w:pPr>
        <w:spacing w:after="56"/>
      </w:pPr>
      <w:r>
        <w:t>RCCS-M evidence should show lifecycle responsibility object expression. Examples include authority boundary records, human-role responsibility maps, accepted outcome states, partitioned evidence chains, privacy lifecycle maps, substitution conformance records, incident/dispute/remediation closure records, replayable lifecycle traces, protocol schemas, object manifests, or validated operational artifacts.</w:t>
      </w:r>
    </w:p>
    <w:p>
      <w:pPr>
        <w:spacing w:after="56"/>
      </w:pPr>
      <w:r>
        <w:t>Official product documentation may support RCCS-T strongly while supporting RCCS-M only indirectly. When lifecycle responsibility objects are not directly documented, RCCS-M scoring should be marked as source-qualified or L5 author analytical inference rather than treated as source-bound proof.</w:t>
      </w:r>
    </w:p>
    <w:p>
      <w:pPr>
        <w:pStyle w:val="Heading2"/>
      </w:pPr>
      <w:r>
        <w:t>7.7 Calculation Method</w:t>
      </w:r>
    </w:p>
    <w:p>
      <w:pPr>
        <w:spacing w:after="56"/>
      </w:pPr>
      <w:r>
        <w:t>RCCS-T and RCCS-M use the same dimension weights and the same normalized dimension formula:</w:t>
      </w:r>
    </w:p>
    <w:p>
      <w:pPr>
        <w:spacing w:after="56"/>
      </w:pPr>
      <w:r>
        <w:t>Dimension Score = (Raw Score / 5) × 100 × Evidence Confidence Multiplier</w:t>
      </w:r>
    </w:p>
    <w:p>
      <w:pPr>
        <w:spacing w:after="56"/>
      </w:pPr>
      <w:r>
        <w:t>RCCS-T raw scores and RCCS-M raw scores are assigned separately. The formula is shared; the scoring lens differs. RCCS-T raw scores evaluate traditional governance/control coverage. RCCS-M raw scores evaluate MRO-adjusted lifecycle responsibility object expression.</w:t>
      </w:r>
    </w:p>
    <w:p>
      <w:pPr>
        <w:spacing w:after="56"/>
      </w:pPr>
      <w:r>
        <w:t>The evidence multiplier adjusts each dimension score based on evidence quality:</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Weights are fixed for this version of the white paper:</w:t>
      </w:r>
    </w:p>
    <w:p>
      <w:pPr>
        <w:pStyle w:val="ListBullet"/>
        <w:spacing w:after="56"/>
      </w:pPr>
      <w:r>
        <w:t>Risk Management: 20%</w:t>
      </w:r>
    </w:p>
    <w:p>
      <w:pPr>
        <w:pStyle w:val="ListBullet"/>
        <w:spacing w:after="56"/>
      </w:pPr>
      <w:r>
        <w:t>Human Oversight: 15%</w:t>
      </w:r>
    </w:p>
    <w:p>
      <w:pPr>
        <w:pStyle w:val="ListBullet"/>
        <w:spacing w:after="56"/>
      </w:pPr>
      <w:r>
        <w:t>Data Governance: 10%</w:t>
      </w:r>
    </w:p>
    <w:p>
      <w:pPr>
        <w:pStyle w:val="ListBullet"/>
        <w:spacing w:after="56"/>
      </w:pPr>
      <w:r>
        <w:t>Documentation: 10%</w:t>
      </w:r>
    </w:p>
    <w:p>
      <w:pPr>
        <w:pStyle w:val="ListBullet"/>
        <w:spacing w:after="56"/>
      </w:pPr>
      <w:r>
        <w:t>Record-Keeping: 10%</w:t>
      </w:r>
    </w:p>
    <w:p>
      <w:pPr>
        <w:pStyle w:val="ListBullet"/>
        <w:spacing w:after="56"/>
      </w:pPr>
      <w:r>
        <w:t>Transparency: 10%</w:t>
      </w:r>
    </w:p>
    <w:p>
      <w:pPr>
        <w:pStyle w:val="ListBullet"/>
        <w:spacing w:after="56"/>
      </w:pPr>
      <w:r>
        <w:t>Monitoring: 10%</w:t>
      </w:r>
    </w:p>
    <w:p>
      <w:pPr>
        <w:pStyle w:val="ListBullet"/>
        <w:spacing w:after="56"/>
      </w:pPr>
      <w:r>
        <w:t>Security: 5%</w:t>
      </w:r>
    </w:p>
    <w:p>
      <w:pPr>
        <w:pStyle w:val="ListBullet"/>
        <w:spacing w:after="56"/>
      </w:pPr>
      <w:r>
        <w:t>Accountability: 5%</w:t>
      </w:r>
    </w:p>
    <w:p>
      <w:pPr>
        <w:pStyle w:val="ListBullet"/>
        <w:spacing w:after="56"/>
      </w:pPr>
      <w:r>
        <w:t>Contestability: 5%</w:t>
      </w:r>
    </w:p>
    <w:p>
      <w:pPr>
        <w:spacing w:after="56"/>
      </w:pPr>
      <w:r>
        <w:t>Weights are fixed for this version of the white paper. Future versions may adjust weights based on regulatory evolution or stakeholder feedback.</w:t>
      </w:r>
    </w:p>
    <w:p>
      <w:pPr>
        <w:spacing w:after="56"/>
      </w:pPr>
      <w:r>
        <w:t>RCCS-T and RCCS-M should not be averaged invisibly. The preferred publication-facing display is the three-profile view: RCCS-T, RCCS-M, and ALCS. Optional composite views are defined in Chapter 9 and remain secondary.</w:t>
      </w:r>
    </w:p>
    <w:p>
      <w:pPr>
        <w:spacing w:after="56"/>
      </w:pPr>
      <w:r>
        <w:t>The following table illustrates the calculation formula.</w:t>
      </w:r>
    </w:p>
    <w:p>
      <w:pPr>
        <w:keepNext/>
      </w:pPr>
      <w:r>
        <w:rPr>
          <w:b/>
          <w:sz w:val="16"/>
        </w:rPr>
        <w:t>Table T-07-02: RCCS Dimension Score Calculation Formula</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Formula</w:t>
            </w:r>
          </w:p>
        </w:tc>
        <w:tc>
          <w:tcPr>
            <w:tcW w:type="dxa" w:w="3408"/>
          </w:tcPr>
          <w:p>
            <w:pPr>
              <w:spacing w:after="0"/>
            </w:pPr>
            <w:r>
              <w:rPr>
                <w:rFonts w:ascii="Arial" w:hAnsi="Arial"/>
                <w:b/>
                <w:sz w:val="14"/>
              </w:rPr>
              <w:t>Example</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Framework Score</w:t>
            </w:r>
          </w:p>
        </w:tc>
        <w:tc>
          <w:tcPr>
            <w:tcW w:type="dxa" w:w="3408"/>
          </w:tcPr>
          <w:p>
            <w:pPr>
              <w:spacing w:after="0"/>
            </w:pPr>
            <w:r>
              <w:rPr>
                <w:rFonts w:ascii="Arial" w:hAnsi="Arial"/>
                <w:b w:val="0"/>
                <w:sz w:val="14"/>
              </w:rPr>
              <w:t>Aggregate of adjusted RCCS dimension scores</w:t>
            </w:r>
          </w:p>
        </w:tc>
        <w:tc>
          <w:tcPr>
            <w:tcW w:type="dxa" w:w="3408"/>
          </w:tcPr>
          <w:p>
            <w:pPr>
              <w:spacing w:after="0"/>
            </w:pPr>
            <w:r>
              <w:rPr>
                <w:rFonts w:ascii="Arial" w:hAnsi="Arial"/>
                <w:b w:val="0"/>
                <w:sz w:val="14"/>
              </w:rPr>
              <w:t>RCCS-T or RCCS-M framework score</w:t>
            </w:r>
          </w:p>
        </w:tc>
      </w:tr>
      <w:tr>
        <w:tc>
          <w:tcPr>
            <w:tcW w:type="dxa" w:w="3408"/>
          </w:tcPr>
          <w:p>
            <w:pPr>
              <w:spacing w:after="0"/>
            </w:pPr>
            <w:r>
              <w:rPr>
                <w:rFonts w:ascii="Arial" w:hAnsi="Arial"/>
                <w:b w:val="0"/>
                <w:sz w:val="14"/>
              </w:rPr>
              <w:t>Optional Composite View</w:t>
            </w:r>
          </w:p>
        </w:tc>
        <w:tc>
          <w:tcPr>
            <w:tcW w:type="dxa" w:w="3408"/>
          </w:tcPr>
          <w:p>
            <w:pPr>
              <w:spacing w:after="0"/>
            </w:pPr>
            <w:r>
              <w:rPr>
                <w:rFonts w:ascii="Arial" w:hAnsi="Arial"/>
                <w:b w:val="0"/>
                <w:sz w:val="14"/>
              </w:rPr>
              <w:t>Secondary calculation using RCCS-T or RCCS-M with ALCS</w:t>
            </w:r>
          </w:p>
        </w:tc>
        <w:tc>
          <w:tcPr>
            <w:tcW w:type="dxa" w:w="3408"/>
          </w:tcPr>
          <w:p>
            <w:pPr>
              <w:spacing w:after="0"/>
            </w:pPr>
            <w:r>
              <w:rPr>
                <w:rFonts w:ascii="Arial" w:hAnsi="Arial"/>
                <w:b w:val="0"/>
                <w:sz w:val="14"/>
              </w:rPr>
              <w:t>See Chapter 9</w:t>
            </w:r>
          </w:p>
        </w:tc>
      </w:tr>
    </w:tbl>
    <w:p>
      <w:pPr>
        <w:spacing w:after="56"/>
      </w:pPr>
      <w:r>
        <w:t>This calculation method is used for RCCS-T, RCCS-M, and ALCS. The difference is the evaluation lens: RCCS-T asks about traditional regulatory coverage, RCCS-M asks about MRO-adjusted coverage, and ALCS asks about lifecycle conformance maturity.</w:t>
      </w:r>
    </w:p>
    <w:p>
      <w:pPr>
        <w:pStyle w:val="Heading2"/>
      </w:pPr>
      <w:r>
        <w:t>7.8 Boundary and Negative Controls</w:t>
      </w:r>
    </w:p>
    <w:p>
      <w:pPr>
        <w:spacing w:after="56"/>
      </w:pPr>
      <w:r>
        <w:t>RCCS-T and RCCS-M are analytical scoring frameworks, not legal compliance scores. This boundary must be understood clearly to avoid misinterpretation.</w:t>
      </w:r>
    </w:p>
    <w:p>
      <w:pPr>
        <w:spacing w:after="56"/>
      </w:pPr>
      <w:r>
        <w:t>What RCCS is:</w:t>
      </w:r>
    </w:p>
    <w:p>
      <w:pPr>
        <w:pStyle w:val="ListBullet"/>
        <w:spacing w:after="56"/>
      </w:pPr>
      <w:r>
        <w:t>An analytical framework for comparing system capabilities against regulatory ideals</w:t>
      </w:r>
    </w:p>
    <w:p>
      <w:pPr>
        <w:pStyle w:val="ListBullet"/>
        <w:spacing w:after="56"/>
      </w:pPr>
      <w:r>
        <w:t>A structured method for evaluating whether a system provides governance primitives and whether those primitives can be expressed through lifecycle responsibility objects</w:t>
      </w:r>
    </w:p>
    <w:p>
      <w:pPr>
        <w:pStyle w:val="ListBullet"/>
        <w:spacing w:after="56"/>
      </w:pPr>
      <w:r>
        <w:t>A tool for buyers, auditors, and governance teams to assess system readiness</w:t>
      </w:r>
    </w:p>
    <w:p>
      <w:pPr>
        <w:pStyle w:val="ListBullet"/>
        <w:spacing w:after="56"/>
      </w:pPr>
      <w:r>
        <w:t>A bridge between regulatory language and engineering implementation</w:t>
      </w:r>
    </w:p>
    <w:p>
      <w:pPr>
        <w:spacing w:after="56"/>
      </w:pPr>
      <w:r>
        <w:t>What RCCS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RCCS-T or RCCS-M score does NOT mean legal compliance. A system may score well while the organization using it fails to comply with legal obligations due to deployment gaps, policy weaknesses, incomplete adoption, or jurisdictional differences.</w:t>
      </w:r>
    </w:p>
    <w:p>
      <w:pPr>
        <w:pStyle w:val="ListNumber"/>
        <w:spacing w:after="56"/>
      </w:pPr>
      <w:r>
        <w:t>High RCCS-T does NOT mean lifecycle responsibility conformance. Traditional governance coverage can be strong while authority, responsibility, evidence, privacy, substitution, and closure objects remain weak.</w:t>
      </w:r>
    </w:p>
    <w:p>
      <w:pPr>
        <w:pStyle w:val="ListNumber"/>
        <w:spacing w:after="56"/>
      </w:pPr>
      <w:r>
        <w:t>High RCCS-M does NOT mean legal compliance or certification. RCCS-M is author analytical and forward-looking; it is not current law, regulator-approved, a procurement benchmark, or a legal compliance proof.</w:t>
      </w:r>
    </w:p>
    <w:p>
      <w:pPr>
        <w:pStyle w:val="ListNumber"/>
        <w:spacing w:after="56"/>
      </w:pPr>
      <w:r>
        <w:t>High ALCS does NOT mean regulatory compliance. ALCS evaluates lifecycle conformance maturity; RCCS-T and RCCS-M still need to be read separately.</w:t>
      </w:r>
    </w:p>
    <w:p>
      <w:pPr>
        <w:pStyle w:val="ListNumber"/>
        <w:spacing w:after="56"/>
      </w:pPr>
      <w:r>
        <w:t>Low RCCS score does NOT mean non-compliance. A system may score lower on RCCS while the organization achieves compliance through compensating controls, manual processes, or alternative governance mechanisms.</w:t>
      </w:r>
    </w:p>
    <w:p>
      <w:pPr>
        <w:pStyle w:val="ListNumber"/>
        <w:spacing w:after="56"/>
      </w:pPr>
      <w:r>
        <w:t>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Pr>
        <w:pStyle w:val="ListNumber"/>
        <w:spacing w:after="56"/>
      </w:pPr>
      <w:r>
        <w:t>RCCS is context-independent, but compliance is context-dependent. RCCS evaluates system capabilities without regard to deployment context, risk class, jurisdiction, or use case. Legal compliance depends on all of these factors.</w:t>
      </w:r>
    </w:p>
    <w:p>
      <w:pPr>
        <w:spacing w:after="56"/>
      </w:pPr>
      <w:r>
        <w:t>The purpose of this boundary statement is to prevent over-claiming. RCCS-T and RCCS-M are useful analytical tools, but they are not compliance certifications. Organizations must not rely on RCCS scores as proof of legal compliance. Buyers must not treat high RCCS scores as a substitute for due diligence, legal review, or risk assessment. RCCS-M must also not be presented as a regulator-approved benchmark or official standard.</w:t>
      </w:r>
    </w:p>
    <w:p>
      <w:pPr>
        <w:pStyle w:val="Heading2"/>
      </w:pPr>
      <w:r>
        <w:t>7.9 Rubric Tables / Appendix E Bridge</w:t>
      </w:r>
    </w:p>
    <w:p>
      <w:pPr>
        <w:spacing w:after="56"/>
      </w:pPr>
      <w:r>
        <w:t>The following sections (7.11 through 7.20) detail each RCCS dimension. Each dimension section includes:</w:t>
      </w:r>
    </w:p>
    <w:p>
      <w:pPr>
        <w:pStyle w:val="ListBullet"/>
        <w:spacing w:after="56"/>
      </w:pPr>
      <w:r>
        <w:t>Regulatory basis - Which frameworks and requirements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RCCS-M adjustment note - How the dimension changes when evaluated through lifecycle responsibility objects</w:t>
      </w:r>
    </w:p>
    <w:p>
      <w:pPr>
        <w:pStyle w:val="ListBullet"/>
        <w:spacing w:after="56"/>
      </w:pPr>
      <w:r>
        <w:t>System mapping guidance - How to evaluate whether a system supports the dimension</w:t>
      </w:r>
    </w:p>
    <w:p>
      <w:pPr>
        <w:spacing w:after="56"/>
      </w:pPr>
      <w:r>
        <w:t>The compact chapter rubrics preserve the traditional RCCS-T baseline and add RCCS-M adjustment notes where practical. Appendix E contains the detailed RCCS-T rubrics plus the reusable RCCS-M adjustment matrix. Appendix E does not duplicate every RCCS-M rubric row; it provides the matrix that evaluators should apply to the ten shared dimensions.</w:t>
      </w:r>
    </w:p>
    <w:p>
      <w:pPr>
        <w:pStyle w:val="Heading2"/>
      </w:pPr>
      <w:r>
        <w:t>7.10 What RCCS-T / RCCS-M Do Not Prove</w:t>
      </w:r>
    </w:p>
    <w:p>
      <w:pPr>
        <w:spacing w:after="56"/>
      </w:pPr>
      <w:r>
        <w:t>RCCS-T and RCCS-M do not prove legal compliance, certification, regulatory approval, audit success, deployment readiness, product quality, market leadership, or procurement suitability. They also do not replace ALCS. RCCS-T names traditional regulatory coverage. RCCS-M names MRO-adjusted regulatory coverage. ALCS names lifecycle conformance maturity.</w:t>
      </w:r>
    </w:p>
    <w:p>
      <w:pPr>
        <w:spacing w:after="56"/>
      </w:pPr>
      <w:r>
        <w:t>Chapter 9 explains how to interpret score deltas across RCCS-T, RCCS-M, and ALCS. A system with high RCCS-T and lower RCCS-M may have strong traditional governance surfaces but weaker lifecycle object expression. A system with lower RCCS-T and higher RCCS-M/ALCS may have strong lifecycle semantics but less productized governance-platform coverage. This difference is an analytical profile, not a ranking.</w:t>
      </w:r>
    </w:p>
    <w:p>
      <w:pPr>
        <w:pStyle w:val="Heading2"/>
      </w:pPr>
      <w:r>
        <w:t>7.11 RCCS-01: Risk Management</w:t>
      </w:r>
    </w:p>
    <w:p>
      <w:pPr>
        <w:pStyle w:val="Heading3"/>
      </w:pPr>
      <w:r>
        <w:t>Regulatory Basis</w:t>
      </w:r>
    </w:p>
    <w:p>
      <w:pPr>
        <w:spacing w:after="56"/>
      </w:pPr>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Pr>
        <w:spacing w:after="56"/>
      </w:pPr>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Pr>
        <w:pStyle w:val="Heading3"/>
      </w:pPr>
      <w:r>
        <w:t>Core Question</w:t>
      </w:r>
    </w:p>
    <w:p>
      <w:pPr>
        <w:spacing w:after="56"/>
      </w:pPr>
      <w:r>
        <w:t>Does the system support risk identification, assessment, mitigation, and continuous monitoring across the AI lifecycle?</w:t>
      </w:r>
    </w:p>
    <w:p>
      <w:pPr>
        <w:pStyle w:val="Heading3"/>
      </w:pPr>
      <w:r>
        <w:t>RCCS-M Adjustment Note</w:t>
      </w:r>
    </w:p>
    <w:p>
      <w:pPr>
        <w:spacing w:after="56"/>
      </w:pPr>
      <w:r>
        <w:t>RCCS-M adjustment: are risks linked to lifecycle authority, evidence, mitigation, monitoring, and incident/dispute/remediation closure objects rather than only stored as a risk register or dashboard item?</w:t>
      </w:r>
    </w:p>
    <w:p>
      <w:pPr>
        <w:pStyle w:val="Heading3"/>
      </w:pPr>
      <w:r>
        <w:t>Scoring Rubric</w:t>
      </w:r>
    </w:p>
    <w:p>
      <w:pPr>
        <w:keepNext/>
      </w:pPr>
      <w:r>
        <w:rPr>
          <w:b/>
          <w:sz w:val="16"/>
        </w:rPr>
        <w:t>Table T-07-03: RCCS-01 Risk Management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risk management capability</w:t>
            </w:r>
          </w:p>
        </w:tc>
        <w:tc>
          <w:tcPr>
            <w:tcW w:type="dxa" w:w="3408"/>
          </w:tcPr>
          <w:p>
            <w:pPr>
              <w:spacing w:after="0"/>
            </w:pPr>
            <w:r>
              <w:rPr>
                <w:rFonts w:ascii="Arial" w:hAnsi="Arial"/>
                <w:b w:val="0"/>
                <w:sz w:val="14"/>
              </w:rPr>
              <w:t>No risk management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risk management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Risk assessment tools exist but are limited to specific phases (e.g., model development only) or lack integration with execution controls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Risk registers, assessment workflows, and mitigation tracking exist; some gaps in continuous monitoring or cross-lifecycle integration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risk lifecycle support including identification, assessment, mitigation tracking, continuous monitoring, and risk-based controls integrated across all system phases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When evaluating a system for risk management capability, look for evidence of four core functions: risk identification, risk assessment, risk mitigation, and continuous monitoring.</w:t>
      </w:r>
    </w:p>
    <w:p>
      <w:pPr>
        <w:spacing w:after="56"/>
      </w:pPr>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Pr>
        <w:spacing w:after="56"/>
      </w:pPr>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Pr>
        <w:spacing w:after="56"/>
      </w:pPr>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Pr>
        <w:spacing w:after="56"/>
      </w:pPr>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Pr>
        <w:pStyle w:val="Heading3"/>
      </w:pPr>
      <w:r>
        <w:t>Common Gaps</w:t>
      </w:r>
    </w:p>
    <w:p>
      <w:pPr>
        <w:spacing w:after="56"/>
      </w:pPr>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Pr>
        <w:pStyle w:val="Heading2"/>
      </w:pPr>
      <w:r>
        <w:t>7.12 RCCS-02: Data Governance</w:t>
      </w:r>
    </w:p>
    <w:p>
      <w:pPr>
        <w:pStyle w:val="Heading3"/>
      </w:pPr>
      <w:r>
        <w:t>Regulatory Basis</w:t>
      </w:r>
    </w:p>
    <w:p>
      <w:pPr>
        <w:spacing w:after="56"/>
      </w:pPr>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Pr>
        <w:spacing w:after="56"/>
      </w:pPr>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Pr>
        <w:pStyle w:val="Heading3"/>
      </w:pPr>
      <w:r>
        <w:t>Core Question</w:t>
      </w:r>
    </w:p>
    <w:p>
      <w:pPr>
        <w:spacing w:after="56"/>
      </w:pPr>
      <w:r>
        <w:t>Does the system track data lineage, quality, lifecycle, and provenance across agent execution?</w:t>
      </w:r>
    </w:p>
    <w:p>
      <w:pPr>
        <w:pStyle w:val="Heading3"/>
      </w:pPr>
      <w:r>
        <w:t>RCCS-M Adjustment Note</w:t>
      </w:r>
    </w:p>
    <w:p>
      <w:pPr>
        <w:spacing w:after="56"/>
      </w:pPr>
      <w:r>
        <w:t>RCCS-M adjustment: are data flows mapped across agents, tools, memory, evidence stores, privacy boundaries, reuse contexts, retention rules, and processor/subprocessor chains?</w:t>
      </w:r>
    </w:p>
    <w:p>
      <w:pPr>
        <w:pStyle w:val="Heading3"/>
      </w:pPr>
      <w:r>
        <w:t>Scoring Rubric</w:t>
      </w:r>
    </w:p>
    <w:p>
      <w:pPr>
        <w:keepNext/>
      </w:pPr>
      <w:r>
        <w:rPr>
          <w:b/>
          <w:sz w:val="16"/>
        </w:rPr>
        <w:t>Table T-07-04: RCCS-02 Data Governance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data governance capability</w:t>
            </w:r>
          </w:p>
        </w:tc>
        <w:tc>
          <w:tcPr>
            <w:tcW w:type="dxa" w:w="3408"/>
          </w:tcPr>
          <w:p>
            <w:pPr>
              <w:spacing w:after="0"/>
            </w:pPr>
            <w:r>
              <w:rPr>
                <w:rFonts w:ascii="Arial" w:hAnsi="Arial"/>
                <w:b w:val="0"/>
                <w:sz w:val="14"/>
              </w:rPr>
              <w:t>No data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governance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catalogs or lineage tracking exist but are limited to training data or specific data sources; runtime data flows are not tracked</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lineage, quality metrics, and lifecycle management exist for most data flows; some gaps in agent-to-agent data tracking or memory system governance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governance covering training data, runtime retrieval, tool payloads, memory contents, agent handoffs, and evidence records with full lineage, quality metrics, and lifecycle management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Data governance evaluation requires examining four capabilities: data cataloging, lineage tracking, quality management, and lifecycle controls.</w:t>
      </w:r>
    </w:p>
    <w:p>
      <w:pPr>
        <w:spacing w:after="56"/>
      </w:pPr>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Pr>
        <w:spacing w:after="56"/>
      </w:pPr>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Pr>
        <w:spacing w:after="56"/>
      </w:pPr>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Pr>
        <w:spacing w:after="56"/>
      </w:pPr>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Pr>
        <w:pStyle w:val="Heading3"/>
      </w:pPr>
      <w:r>
        <w:t>Common Gaps</w:t>
      </w:r>
    </w:p>
    <w:p>
      <w:pPr>
        <w:spacing w:after="56"/>
      </w:pPr>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Pr>
        <w:pStyle w:val="Heading2"/>
      </w:pPr>
      <w:r>
        <w:t>7.13 RCCS-03: Documentation</w:t>
      </w:r>
    </w:p>
    <w:p>
      <w:pPr>
        <w:pStyle w:val="Heading3"/>
      </w:pPr>
      <w:r>
        <w:t>Regulatory Basis</w:t>
      </w:r>
    </w:p>
    <w:p>
      <w:pPr>
        <w:spacing w:after="56"/>
      </w:pPr>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Pr>
        <w:spacing w:after="56"/>
      </w:pPr>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Pr>
        <w:pStyle w:val="Heading3"/>
      </w:pPr>
      <w:r>
        <w:t>Core Question</w:t>
      </w:r>
    </w:p>
    <w:p>
      <w:pPr>
        <w:spacing w:after="56"/>
      </w:pPr>
      <w:r>
        <w:t>Does the system produce and maintain required technical documentation across the system lifecycle?</w:t>
      </w:r>
    </w:p>
    <w:p>
      <w:pPr>
        <w:pStyle w:val="Heading3"/>
      </w:pPr>
      <w:r>
        <w:t>RCCS-M Adjustment Note</w:t>
      </w:r>
    </w:p>
    <w:p>
      <w:pPr>
        <w:spacing w:after="56"/>
      </w:pPr>
      <w:r>
        <w:t>RCCS-M adjustment: does documentation bind intent, plan, authority, role, evidence, accepted outcome, privacy boundary, and substitution context as lifecycle responsibility records?</w:t>
      </w:r>
    </w:p>
    <w:p>
      <w:pPr>
        <w:pStyle w:val="Heading3"/>
      </w:pPr>
      <w:r>
        <w:t>Scoring Rubric</w:t>
      </w:r>
    </w:p>
    <w:p>
      <w:pPr>
        <w:keepNext/>
      </w:pPr>
      <w:r>
        <w:rPr>
          <w:b/>
          <w:sz w:val="16"/>
        </w:rPr>
        <w:t>Table T-07-05: RCCS-03 Documentation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documentation capability</w:t>
            </w:r>
          </w:p>
        </w:tc>
        <w:tc>
          <w:tcPr>
            <w:tcW w:type="dxa" w:w="3408"/>
          </w:tcPr>
          <w:p>
            <w:pPr>
              <w:spacing w:after="0"/>
            </w:pPr>
            <w:r>
              <w:rPr>
                <w:rFonts w:ascii="Arial" w:hAnsi="Arial"/>
                <w:b w:val="0"/>
                <w:sz w:val="14"/>
              </w:rPr>
              <w:t>No documentation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documentation requirements but provides no automated generation or maintenance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cards or system documentation exist but are manually maintained and not version-controlled or linked to deployments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Automated documentation generation exists for models and some system components; some gaps in agent role documentation, tool documentation, or deployment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automated documentation covering models, agents, tools, authority boundaries, deployment configurations, and change history with version control and deployment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Documentation evaluation requires examining four capabilities: documentation generation, version control, deployment linkage, and coverage completeness.</w:t>
      </w:r>
    </w:p>
    <w:p>
      <w:pPr>
        <w:spacing w:after="56"/>
      </w:pPr>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Pr>
        <w:spacing w:after="56"/>
      </w:pPr>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Pr>
        <w:spacing w:after="56"/>
      </w:pPr>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Pr>
        <w:spacing w:after="56"/>
      </w:pPr>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Pr>
        <w:pStyle w:val="Heading3"/>
      </w:pPr>
      <w:r>
        <w:t>Common Gaps</w:t>
      </w:r>
    </w:p>
    <w:p>
      <w:pPr>
        <w:spacing w:after="56"/>
      </w:pPr>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Pr>
        <w:pStyle w:val="Heading2"/>
      </w:pPr>
      <w:r>
        <w:t>7.14 RCCS-04: Record-Keeping</w:t>
      </w:r>
    </w:p>
    <w:p>
      <w:pPr>
        <w:pStyle w:val="Heading3"/>
      </w:pPr>
      <w:r>
        <w:t>Regulatory Basis</w:t>
      </w:r>
    </w:p>
    <w:p>
      <w:pPr>
        <w:spacing w:after="56"/>
      </w:pPr>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Pr>
        <w:spacing w:after="56"/>
      </w:pPr>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Pr>
        <w:pStyle w:val="Heading3"/>
      </w:pPr>
      <w:r>
        <w:t>Core Question</w:t>
      </w:r>
    </w:p>
    <w:p>
      <w:pPr>
        <w:spacing w:after="56"/>
      </w:pPr>
      <w:r>
        <w:t>Does the system maintain audit trails and evidence records across agent execution?</w:t>
      </w:r>
    </w:p>
    <w:p>
      <w:pPr>
        <w:pStyle w:val="Heading3"/>
      </w:pPr>
      <w:r>
        <w:t>RCCS-M Adjustment Note</w:t>
      </w:r>
    </w:p>
    <w:p>
      <w:pPr>
        <w:spacing w:after="56"/>
      </w:pPr>
      <w:r>
        <w:t>RCCS-M adjustment: are records partitioned by human/agent role, authority boundary, agent/tool action, evidence pointer, privacy boundary, accepted outcome, and closure state rather than stored as generic logs?</w:t>
      </w:r>
    </w:p>
    <w:p>
      <w:pPr>
        <w:pStyle w:val="Heading3"/>
      </w:pPr>
      <w:r>
        <w:t>Scoring Rubric</w:t>
      </w:r>
    </w:p>
    <w:p>
      <w:pPr>
        <w:keepNext/>
      </w:pPr>
      <w:r>
        <w:rPr>
          <w:b/>
          <w:sz w:val="16"/>
        </w:rPr>
        <w:t>Table T-07-06: RCCS-04 Record-Keeping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record-keeping capability</w:t>
            </w:r>
          </w:p>
        </w:tc>
        <w:tc>
          <w:tcPr>
            <w:tcW w:type="dxa" w:w="3408"/>
          </w:tcPr>
          <w:p>
            <w:pPr>
              <w:spacing w:after="0"/>
            </w:pPr>
            <w:r>
              <w:rPr>
                <w:rFonts w:ascii="Arial" w:hAnsi="Arial"/>
                <w:b w:val="0"/>
                <w:sz w:val="14"/>
              </w:rPr>
              <w:t>No logging or audit trail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logging but provides no structured record-keeping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logs exist but are not structured for audit purposes; no evidence retention policy or tamper-evident storage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Structured audit trails exist for most lifecycle events; some gaps in evidence retention policies, tamper-evident storage, or cross-agent record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tamper-evident audit trails covering all lifecycle events with structured records, evidence retention policies, integrity verification, and cross-agent record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Record-keeping evaluation requires examining four capabilities: structured logging, audit trail completeness, tamper-evident storage, and retention policies.</w:t>
      </w:r>
    </w:p>
    <w:p>
      <w:pPr>
        <w:spacing w:after="56"/>
      </w:pPr>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Pr>
        <w:spacing w:after="56"/>
      </w:pPr>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Pr>
        <w:spacing w:after="56"/>
      </w:pPr>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Pr>
        <w:spacing w:after="56"/>
      </w:pPr>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Pr>
        <w:pStyle w:val="Heading3"/>
      </w:pPr>
      <w:r>
        <w:t>Common Gaps</w:t>
      </w:r>
    </w:p>
    <w:p>
      <w:pPr>
        <w:spacing w:after="56"/>
      </w:pPr>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Pr>
        <w:pStyle w:val="Heading2"/>
      </w:pPr>
      <w:r>
        <w:t>7.15 RCCS-05: Transparency</w:t>
      </w:r>
    </w:p>
    <w:p>
      <w:pPr>
        <w:pStyle w:val="Heading3"/>
      </w:pPr>
      <w:r>
        <w:t>Regulatory Basis</w:t>
      </w:r>
    </w:p>
    <w:p>
      <w:pPr>
        <w:spacing w:after="56"/>
      </w:pPr>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Pr>
        <w:spacing w:after="56"/>
      </w:pPr>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Pr>
        <w:pStyle w:val="Heading3"/>
      </w:pPr>
      <w:r>
        <w:t>Core Question</w:t>
      </w:r>
    </w:p>
    <w:p>
      <w:pPr>
        <w:spacing w:after="56"/>
      </w:pPr>
      <w:r>
        <w:t>Does the system provide explainability and disclosure mechanisms for agent decisions and outcomes?</w:t>
      </w:r>
    </w:p>
    <w:p>
      <w:pPr>
        <w:pStyle w:val="Heading3"/>
      </w:pPr>
      <w:r>
        <w:t>RCCS-M Adjustment Note</w:t>
      </w:r>
    </w:p>
    <w:p>
      <w:pPr>
        <w:spacing w:after="56"/>
      </w:pPr>
      <w:r>
        <w:t>RCCS-M adjustment: can explanations and disclosures be tied to lifecycle evidence, role, authority, accepted outcome, privacy boundary, selective disclosure, and dispute path?</w:t>
      </w:r>
    </w:p>
    <w:p>
      <w:pPr>
        <w:pStyle w:val="Heading3"/>
      </w:pPr>
      <w:r>
        <w:t>Scoring Rubric</w:t>
      </w:r>
    </w:p>
    <w:p>
      <w:pPr>
        <w:keepNext/>
      </w:pPr>
      <w:r>
        <w:rPr>
          <w:b/>
          <w:sz w:val="16"/>
        </w:rPr>
        <w:t>Table T-07-07: RCCS-05 Transparency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transparency capability</w:t>
            </w:r>
          </w:p>
        </w:tc>
        <w:tc>
          <w:tcPr>
            <w:tcW w:type="dxa" w:w="3408"/>
          </w:tcPr>
          <w:p>
            <w:pPr>
              <w:spacing w:after="0"/>
            </w:pPr>
            <w:r>
              <w:rPr>
                <w:rFonts w:ascii="Arial" w:hAnsi="Arial"/>
                <w:b w:val="0"/>
                <w:sz w:val="14"/>
              </w:rPr>
              <w:t>No explainability or disclosure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transparency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explainability tools exist but do not extend to agent decisions, tool selection, or authority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Explainability mechanisms exist for models and some agent decisions; some gaps in tool selection rationale, authority boundary explanations, or user-facing disclosure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transparency covering model outputs, agent decision rationale, tool selection justification, authority boundaries, and user-facing disclosure mechanisms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Transparency evaluation requires examining four capabilities: model explainability, agent decision rationale, disclosure mechanisms, and user-facing transparency.</w:t>
      </w:r>
    </w:p>
    <w:p>
      <w:pPr>
        <w:spacing w:after="56"/>
      </w:pPr>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Pr>
        <w:spacing w:after="56"/>
      </w:pPr>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Pr>
        <w:spacing w:after="56"/>
      </w:pPr>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Pr>
        <w:spacing w:after="56"/>
      </w:pPr>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Pr>
        <w:pStyle w:val="Heading3"/>
      </w:pPr>
      <w:r>
        <w:t>Common Gaps</w:t>
      </w:r>
    </w:p>
    <w:p>
      <w:pPr>
        <w:spacing w:after="56"/>
      </w:pPr>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Pr>
        <w:pStyle w:val="Heading2"/>
      </w:pPr>
      <w:r>
        <w:t>7.16 RCCS-06: Human Oversight</w:t>
      </w:r>
    </w:p>
    <w:p>
      <w:pPr>
        <w:pStyle w:val="Heading3"/>
      </w:pPr>
      <w:r>
        <w:t>Regulatory Basis</w:t>
      </w:r>
    </w:p>
    <w:p>
      <w:pPr>
        <w:spacing w:after="56"/>
      </w:pPr>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Pr>
        <w:spacing w:after="56"/>
      </w:pPr>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Pr>
        <w:pStyle w:val="Heading3"/>
      </w:pPr>
      <w:r>
        <w:t>Core Question</w:t>
      </w:r>
    </w:p>
    <w:p>
      <w:pPr>
        <w:spacing w:after="56"/>
      </w:pPr>
      <w:r>
        <w:t>Does the system support human review, approval, intervention, and escalation across agent execution?</w:t>
      </w:r>
    </w:p>
    <w:p>
      <w:pPr>
        <w:pStyle w:val="Heading3"/>
      </w:pPr>
      <w:r>
        <w:t>RCCS-M Adjustment Note</w:t>
      </w:r>
    </w:p>
    <w:p>
      <w:pPr>
        <w:spacing w:after="56"/>
      </w:pPr>
      <w:r>
        <w:t>RCCS-M adjustment: is oversight bound to human-role responsibility, delegated authority scope, escalation path, drift detection, and accepted outcome authority rather than only an approve/reject UI?</w:t>
      </w:r>
    </w:p>
    <w:p>
      <w:pPr>
        <w:pStyle w:val="Heading3"/>
      </w:pPr>
      <w:r>
        <w:t>Scoring Rubric</w:t>
      </w:r>
    </w:p>
    <w:p>
      <w:pPr>
        <w:keepNext/>
      </w:pPr>
      <w:r>
        <w:rPr>
          <w:b/>
          <w:sz w:val="16"/>
        </w:rPr>
        <w:t>Table T-07-08: RCCS-06 Human Oversight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human oversight capability</w:t>
            </w:r>
          </w:p>
        </w:tc>
        <w:tc>
          <w:tcPr>
            <w:tcW w:type="dxa" w:w="3408"/>
          </w:tcPr>
          <w:p>
            <w:pPr>
              <w:spacing w:after="0"/>
            </w:pPr>
            <w:r>
              <w:rPr>
                <w:rFonts w:ascii="Arial" w:hAnsi="Arial"/>
                <w:b w:val="0"/>
                <w:sz w:val="14"/>
              </w:rPr>
              <w:t>No human review or intervention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approval workflows exist but are not mapped to responsibility boundaries or risk levels; no intervention or escalation mechanisms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Human review, approval, and intervention mechanisms exist for most high-risk actions; some gaps in escalation paths, responsibility mapping, or cross-agent oversight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human-in-the-loop controls including risk-based review, approval workflows, intervention mechanisms, escalation paths, and responsibility mapping across all agent actions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Human oversight evaluation requires examining four capabilities: review interfaces, approval workflows, intervention mechanisms, and escalation paths.</w:t>
      </w:r>
    </w:p>
    <w:p>
      <w:pPr>
        <w:spacing w:after="56"/>
      </w:pPr>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Pr>
        <w:spacing w:after="56"/>
      </w:pPr>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Pr>
        <w:spacing w:after="56"/>
      </w:pPr>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Pr>
        <w:spacing w:after="56"/>
      </w:pPr>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Pr>
        <w:pStyle w:val="Heading3"/>
      </w:pPr>
      <w:r>
        <w:t>Common Gaps</w:t>
      </w:r>
    </w:p>
    <w:p>
      <w:pPr>
        <w:spacing w:after="56"/>
      </w:pPr>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Pr>
        <w:pStyle w:val="Heading2"/>
      </w:pPr>
      <w:r>
        <w:t>7.17 RCCS-07: Security</w:t>
      </w:r>
    </w:p>
    <w:p>
      <w:pPr>
        <w:pStyle w:val="Heading3"/>
      </w:pPr>
      <w:r>
        <w:t>Regulatory Basis</w:t>
      </w:r>
    </w:p>
    <w:p>
      <w:pPr>
        <w:spacing w:after="56"/>
      </w:pPr>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Pr>
        <w:spacing w:after="56"/>
      </w:pPr>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Pr>
        <w:pStyle w:val="Heading3"/>
      </w:pPr>
      <w:r>
        <w:t>Core Question</w:t>
      </w:r>
    </w:p>
    <w:p>
      <w:pPr>
        <w:spacing w:after="56"/>
      </w:pPr>
      <w:r>
        <w:t>Does the system implement security controls, access management, and threat protection across agent execution?</w:t>
      </w:r>
    </w:p>
    <w:p>
      <w:pPr>
        <w:pStyle w:val="Heading3"/>
      </w:pPr>
      <w:r>
        <w:t>RCCS-M Adjustment Note</w:t>
      </w:r>
    </w:p>
    <w:p>
      <w:pPr>
        <w:spacing w:after="56"/>
      </w:pPr>
      <w:r>
        <w:t>RCCS-M adjustment: are security controls linked to delegated authority, tool-action liability, evidence partitioning, privacy lifecycle boundaries, and selective disclosure rules?</w:t>
      </w:r>
    </w:p>
    <w:p>
      <w:pPr>
        <w:pStyle w:val="Heading3"/>
      </w:pPr>
      <w:r>
        <w:t>Scoring Rubric</w:t>
      </w:r>
    </w:p>
    <w:p>
      <w:pPr>
        <w:keepNext/>
      </w:pPr>
      <w:r>
        <w:rPr>
          <w:b/>
          <w:sz w:val="16"/>
        </w:rPr>
        <w:t>Table T-07-09: RCCS-07 Security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security capability</w:t>
            </w:r>
          </w:p>
        </w:tc>
        <w:tc>
          <w:tcPr>
            <w:tcW w:type="dxa" w:w="3408"/>
          </w:tcPr>
          <w:p>
            <w:pPr>
              <w:spacing w:after="0"/>
            </w:pPr>
            <w:r>
              <w:rPr>
                <w:rFonts w:ascii="Arial" w:hAnsi="Arial"/>
                <w:b w:val="0"/>
                <w:sz w:val="14"/>
              </w:rPr>
              <w:t>No security controls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security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Platform security exists but does not extend to agent-to-agent communication, tool access controls, or authority boundary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Security controls exist for platform, agent communication, and tool access; some gaps in threat detection, security monitoring, or authority boundary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security architecture covering platform security, agent-to-agent communication, tool access controls, authority boundary enforcement, threat detection, and security monitoring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Security evaluation requires examining four capabilities: access controls, communication security, threat protection, and security monitoring.</w:t>
      </w:r>
    </w:p>
    <w:p>
      <w:pPr>
        <w:spacing w:after="56"/>
      </w:pPr>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Pr>
        <w:spacing w:after="56"/>
      </w:pPr>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Pr>
        <w:spacing w:after="56"/>
      </w:pPr>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Pr>
        <w:spacing w:after="56"/>
      </w:pPr>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Pr>
        <w:pStyle w:val="Heading3"/>
      </w:pPr>
      <w:r>
        <w:t>Common Gaps</w:t>
      </w:r>
    </w:p>
    <w:p>
      <w:pPr>
        <w:spacing w:after="56"/>
      </w:pPr>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Pr>
        <w:pStyle w:val="Heading2"/>
      </w:pPr>
      <w:r>
        <w:t>7.18 RCCS-08: Accountability</w:t>
      </w:r>
    </w:p>
    <w:p>
      <w:pPr>
        <w:pStyle w:val="Heading3"/>
      </w:pPr>
      <w:r>
        <w:t>Regulatory Basis</w:t>
      </w:r>
    </w:p>
    <w:p>
      <w:pPr>
        <w:spacing w:after="56"/>
      </w:pPr>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Pr>
        <w:spacing w:after="56"/>
      </w:pPr>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Pr>
        <w:pStyle w:val="Heading3"/>
      </w:pPr>
      <w:r>
        <w:t>Core Question</w:t>
      </w:r>
    </w:p>
    <w:p>
      <w:pPr>
        <w:spacing w:after="56"/>
      </w:pPr>
      <w:r>
        <w:t>Does the system assign responsibility and track accountability for agent decisions and outcomes?</w:t>
      </w:r>
    </w:p>
    <w:p>
      <w:pPr>
        <w:pStyle w:val="Heading3"/>
      </w:pPr>
      <w:r>
        <w:t>RCCS-M Adjustment Note</w:t>
      </w:r>
    </w:p>
    <w:p>
      <w:pPr>
        <w:spacing w:after="56"/>
      </w:pPr>
      <w:r>
        <w:t>RCCS-M adjustment: are accountability relationships represented as human-role-to-MAS responsibility mappings, agent role boundaries, responsibility transfer records, accepted outcome states, and liability records?</w:t>
      </w:r>
    </w:p>
    <w:p>
      <w:pPr>
        <w:pStyle w:val="Heading3"/>
      </w:pPr>
      <w:r>
        <w:t>Scoring Rubric</w:t>
      </w:r>
    </w:p>
    <w:p>
      <w:pPr>
        <w:keepNext/>
      </w:pPr>
      <w:r>
        <w:rPr>
          <w:b/>
          <w:sz w:val="16"/>
        </w:rPr>
        <w:t>Table T-07-10: RCCS-08 Accountability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accountability capability</w:t>
            </w:r>
          </w:p>
        </w:tc>
        <w:tc>
          <w:tcPr>
            <w:tcW w:type="dxa" w:w="3408"/>
          </w:tcPr>
          <w:p>
            <w:pPr>
              <w:spacing w:after="0"/>
            </w:pPr>
            <w:r>
              <w:rPr>
                <w:rFonts w:ascii="Arial" w:hAnsi="Arial"/>
                <w:b w:val="0"/>
                <w:sz w:val="14"/>
              </w:rPr>
              <w:t>No responsibility assignment or accountability tracking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accountability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Responsibility assignment exists for models but does not extend to agent actions, tool use, or multi-agent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Accountability mechanisms exist for most agent actions and outcomes; some gaps in tool use accountability, cross-agent responsibility tracking, or evidence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accountability covering responsibility assignment for all agent actions, tool use, outcomes, and multi-agent handoffs with evidence linkage and accountability reports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Accountability evaluation requires examining four capabilities: responsibility assignment, decision tracking, accountability reports, and evidence linkage.</w:t>
      </w:r>
    </w:p>
    <w:p>
      <w:pPr>
        <w:spacing w:after="56"/>
      </w:pPr>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Pr>
        <w:spacing w:after="56"/>
      </w:pPr>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Pr>
        <w:spacing w:after="56"/>
      </w:pPr>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Pr>
        <w:spacing w:after="56"/>
      </w:pPr>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Pr>
        <w:pStyle w:val="Heading3"/>
      </w:pPr>
      <w:r>
        <w:t>Common Gaps</w:t>
      </w:r>
    </w:p>
    <w:p>
      <w:pPr>
        <w:spacing w:after="56"/>
      </w:pPr>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Pr>
        <w:pStyle w:val="Heading2"/>
      </w:pPr>
      <w:r>
        <w:t>7.19 RCCS-09: Contestability</w:t>
      </w:r>
    </w:p>
    <w:p>
      <w:pPr>
        <w:pStyle w:val="Heading3"/>
      </w:pPr>
      <w:r>
        <w:t>Regulatory Basis</w:t>
      </w:r>
    </w:p>
    <w:p>
      <w:pPr>
        <w:spacing w:after="56"/>
      </w:pPr>
      <w:r>
        <w:t>Contestability requirements should be read across several legal and governance sources rather than collapsed into a single remedy model. EU AI Act Article 86 is best treated here as an affected-person explanation-right context for certain high-risk AI decisions. GDPR Article 22 is closer to the safeguard pattern for automated decisions, including human intervention, the ability to express one's point of view, and the ability to contest a decision. ISO/IEC 42001 requires organizations to establish mechanisms for challenging AI system decisions. Singapore MGF for Agentic AI emphasizes enabling end-user responsibility, which includes the ability to challenge outcomes.</w:t>
      </w:r>
    </w:p>
    <w:p>
      <w:pPr>
        <w:spacing w:after="56"/>
      </w:pPr>
      <w:r>
        <w:t>Contestability is the principle that affected persons should have mechanisms to understand, challenge, or seek review of relevant AI-mediated outcomes where the applicable legal and governance context requires it. For agentic systems, contestability requires not only dispute mechanisms but also the evidence needed to reconstruct what happened and why. Remediation and dispute closure are treated in this chapter as engineering governance patterns, not as legal conclusions that a particular remedy is required or satisfied.</w:t>
      </w:r>
    </w:p>
    <w:p>
      <w:pPr>
        <w:pStyle w:val="Heading3"/>
      </w:pPr>
      <w:r>
        <w:t>Core Question</w:t>
      </w:r>
    </w:p>
    <w:p>
      <w:pPr>
        <w:spacing w:after="56"/>
      </w:pPr>
      <w:r>
        <w:t>Does the system support dispute, appeal, and remediation mechanisms for agent decisions and outcomes?</w:t>
      </w:r>
    </w:p>
    <w:p>
      <w:pPr>
        <w:pStyle w:val="Heading3"/>
      </w:pPr>
      <w:r>
        <w:t>RCCS-M Adjustment Note</w:t>
      </w:r>
    </w:p>
    <w:p>
      <w:pPr>
        <w:spacing w:after="56"/>
      </w:pPr>
      <w:r>
        <w:t>RCCS-M adjustment: can challenged outcomes be replayed with partitioned evidence, reviewer role, accepted/rejected state, remediation action, selective disclosure, and closure acceptance?</w:t>
      </w:r>
    </w:p>
    <w:p>
      <w:pPr>
        <w:pStyle w:val="Heading3"/>
      </w:pPr>
      <w:r>
        <w:t>Scoring Rubric</w:t>
      </w:r>
    </w:p>
    <w:p>
      <w:pPr>
        <w:keepNext/>
      </w:pPr>
      <w:r>
        <w:rPr>
          <w:b/>
          <w:sz w:val="16"/>
        </w:rPr>
        <w:t>Table T-07-11: RCCS-09 Contestability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contestability capability</w:t>
            </w:r>
          </w:p>
        </w:tc>
        <w:tc>
          <w:tcPr>
            <w:tcW w:type="dxa" w:w="3408"/>
          </w:tcPr>
          <w:p>
            <w:pPr>
              <w:spacing w:after="0"/>
            </w:pPr>
            <w:r>
              <w:rPr>
                <w:rFonts w:ascii="Arial" w:hAnsi="Arial"/>
                <w:b w:val="0"/>
                <w:sz w:val="14"/>
              </w:rPr>
              <w:t>No dispute or appeal mechanisms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contestability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Dispute mechanisms exist for final outputs but do not extend to intermediate agent decisions; no remediation tracking or evidence reconstruction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Dispute workflows, appeal mechanisms, and remediation tracking exist for most decisions; some gaps in evidence reconstruction, cross-agent dispute handling, or remediation verification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contestability covering dispute workflows, appeal mechanisms, evidence reconstruction, remediation tracking, and closure verification for all agent decisions and outcomes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Contestability evaluation requires examining four capabilities: dispute workflows, evidence reconstruction, remediation tracking, and closure verification.</w:t>
      </w:r>
    </w:p>
    <w:p>
      <w:pPr>
        <w:spacing w:after="56"/>
      </w:pPr>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Pr>
        <w:spacing w:after="56"/>
      </w:pPr>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Pr>
        <w:spacing w:after="56"/>
      </w:pPr>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Pr>
        <w:spacing w:after="56"/>
      </w:pPr>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Pr>
        <w:pStyle w:val="Heading3"/>
      </w:pPr>
      <w:r>
        <w:t>Common Gaps</w:t>
      </w:r>
    </w:p>
    <w:p>
      <w:pPr>
        <w:spacing w:after="56"/>
      </w:pPr>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Pr>
        <w:pStyle w:val="Heading2"/>
      </w:pPr>
      <w:r>
        <w:t>7.20 RCCS-10: Monitoring</w:t>
      </w:r>
    </w:p>
    <w:p>
      <w:pPr>
        <w:pStyle w:val="Heading3"/>
      </w:pPr>
      <w:r>
        <w:t>Regulatory Basis</w:t>
      </w:r>
    </w:p>
    <w:p>
      <w:pPr>
        <w:spacing w:after="56"/>
      </w:pPr>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Pr>
        <w:spacing w:after="56"/>
      </w:pPr>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Pr>
        <w:pStyle w:val="Heading3"/>
      </w:pPr>
      <w:r>
        <w:t>Core Question</w:t>
      </w:r>
    </w:p>
    <w:p>
      <w:pPr>
        <w:spacing w:after="56"/>
      </w:pPr>
      <w:r>
        <w:t>Does the system support continuous monitoring, incident detection, and drift detection across agent execution?</w:t>
      </w:r>
    </w:p>
    <w:p>
      <w:pPr>
        <w:pStyle w:val="Heading3"/>
      </w:pPr>
      <w:r>
        <w:t>RCCS-M Adjustment Note</w:t>
      </w:r>
    </w:p>
    <w:p>
      <w:pPr>
        <w:spacing w:after="56"/>
      </w:pPr>
      <w:r>
        <w:t>RCCS-M adjustment: does monitoring detect authority drift, lifecycle drift, privacy events, substitution changes, incidents, reuse/revalidation needs, and remediation closure?</w:t>
      </w:r>
    </w:p>
    <w:p>
      <w:pPr>
        <w:pStyle w:val="Heading3"/>
      </w:pPr>
      <w:r>
        <w:t>Scoring Rubric</w:t>
      </w:r>
    </w:p>
    <w:p>
      <w:pPr>
        <w:keepNext/>
      </w:pPr>
      <w:r>
        <w:rPr>
          <w:b/>
          <w:sz w:val="16"/>
        </w:rPr>
        <w:t>Table T-07-12: RCCS-10 Monitoring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monitoring capability</w:t>
            </w:r>
          </w:p>
        </w:tc>
        <w:tc>
          <w:tcPr>
            <w:tcW w:type="dxa" w:w="3408"/>
          </w:tcPr>
          <w:p>
            <w:pPr>
              <w:spacing w:after="0"/>
            </w:pPr>
            <w:r>
              <w:rPr>
                <w:rFonts w:ascii="Arial" w:hAnsi="Arial"/>
                <w:b w:val="0"/>
                <w:sz w:val="14"/>
              </w:rPr>
              <w:t>No monitoring or alerting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monitoring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Monitoring exists for model performance but does not extend to agent behavior, authority drift, or lifecycle conformance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Monitoring dashboards, alerting, and incident detection exist for models and some agent behaviors; some gaps in authority drift detection, lifecycle conformance monitoring, or incident response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continuous monitoring covering model performance, agent behavior, authority drift, lifecycle conformance, incident detection, and incident response with dashboards, alerting, and automated response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Monitoring evaluation requires examining four capabilities: monitoring dashboards, alerting mechanisms, drift detection, and incident response.</w:t>
      </w:r>
    </w:p>
    <w:p>
      <w:pPr>
        <w:spacing w:after="56"/>
      </w:pPr>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Pr>
        <w:spacing w:after="56"/>
      </w:pPr>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Pr>
        <w:spacing w:after="56"/>
      </w:pPr>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Pr>
        <w:spacing w:after="56"/>
      </w:pPr>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Pr>
        <w:pStyle w:val="Heading3"/>
      </w:pPr>
      <w:r>
        <w:t>Common Gaps</w:t>
      </w:r>
    </w:p>
    <w:p>
      <w:pPr>
        <w:spacing w:after="56"/>
      </w:pPr>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Pr>
        <w:pStyle w:val="Heading2"/>
      </w:pPr>
      <w:r>
        <w:t>7.21 Chapter Summary</w:t>
      </w:r>
    </w:p>
    <w:p>
      <w:pPr>
        <w:spacing w:after="56"/>
      </w:pPr>
      <w:r>
        <w:t>This chapter introduced the Regulatory Compliance Coverage Score (RCCS) family used in this white paper. RCCS-T measures how strongly a system covers existing regulatory and governance requirements across ten dimensions: risk management, data governance, documentation, record-keeping, transparency, human oversight, security, accountability, contestability, and monitoring. RCCS-M asks whether that coverage can be expressed through Missing Regulatory Objects and lifecycle responsibility semantics. Both are analytical frameworks for comparing system capabilities against regulatory ideals, not legal compliance certifications.</w:t>
      </w:r>
    </w:p>
    <w:p>
      <w:pPr>
        <w:spacing w:after="56"/>
      </w:pPr>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is informed by EU AI Act Article 86 explanation-right context, GDPR Article 22 automated-decision safeguards, and related governance guidance rather than by a single legal remedy workflow. Monitoring corresponds to EU AI Act Article 72. These mappings demonstrate that RCCS is grounded in existing regulatory requirements and governance patterns, while RCCS-M separately asks whether those patterns can be expressed as lifecycle responsibility objects.</w:t>
      </w:r>
    </w:p>
    <w:p>
      <w:pPr>
        <w:spacing w:after="56"/>
      </w:pPr>
      <w:r>
        <w:t>RCCS-T provides a baseline for evaluating whether systems provide the governance primitives that regulation increasingly requires. However, traditional coverage alone is insufficient for agentic systems. A system may score well on RCCS-T while lacking the lifecycle objects required to prove that agentic work moved from intent to accepted outcome under controlled authority, evidence, privacy, and remediation constraints. RCCS-M makes that missing adjustment explicit. Chapter 8 introduces the Agentic Lifecycle Conformance Score (ALCS), which measures a different layer: whether lifecycle responsibility conformance is mature across the object set. RCCS-T, RCCS-M, and ALCS together provide a three-profile assessment of system governance capability.</w:t>
      </w:r>
    </w:p>
    <w:p>
      <w:pPr>
        <w:pStyle w:val="Heading1"/>
      </w:pPr>
      <w:r>
        <w:t>Chapter 8: Agentic Lifecycle Conformance Score (ALCS)</w:t>
      </w:r>
    </w:p>
    <w:p>
      <w:pPr>
        <w:spacing w:after="56"/>
      </w:pPr>
      <w:r>
        <w:t>Version: v0.3.2-FRC-R3</w:t>
      </w:r>
    </w:p>
    <w:p>
      <w:pPr>
        <w:pStyle w:val="Heading2"/>
      </w:pPr>
      <w:r>
        <w:t>8.0 Chapter Overview</w:t>
      </w:r>
    </w:p>
    <w:p>
      <w:pPr>
        <w:spacing w:after="56"/>
      </w:pPr>
      <w:r>
        <w:t>This chapter introduces the Agentic Lifecycle Conformance Score (ALCS), the lifecycle conformance profile used alongside RCCS-T and RCCS-M in this white paper. ALCS measures whether a system defines the agentic lifecycle objects required for lifecycle responsibility compliance. It evaluates whether a system can express the sixteen Missing Regulatory Objects introduced in Chapter 6.</w:t>
      </w:r>
    </w:p>
    <w:p>
      <w:pPr>
        <w:spacing w:after="56"/>
      </w:pPr>
      <w:r>
        <w:t>ALCS is not a legal compliance certification, not a conformity assessment, and not a regulatory approval. It is an analytical framework for comparing system capabilities against lifecycle responsibility requirements. A system can have a strong RCCS-T profile and still have a weak ALCS score. That is not a contradiction. It means the system may be strong in existing regulatory compliance coverage while lacking deeper lifecycle responsibility semantics for multi-agent work.</w:t>
      </w:r>
    </w:p>
    <w:p>
      <w:pPr>
        <w:spacing w:after="56"/>
      </w:pPr>
      <w:r>
        <w:t>RCCS-T measures traditional regulatory compliance coverage. RCCS-M measures whether that coverage can be expressed through Missing Regulatory Objects. ALCS measures agentic lifecycle conformance. These are different layers, not competing scores. RCCS-M asks whether regulatory obligations can be represented through MROs. ALCS asks whether lifecycle responsibility conformance is mature across responsibility, authority, evidence, privacy, substitution, and remediation.</w:t>
      </w:r>
    </w:p>
    <w:p>
      <w:pPr>
        <w:spacing w:after="56"/>
      </w:pPr>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and expanded in Appendix F.</w:t>
      </w:r>
    </w:p>
    <w:p>
      <w:pPr>
        <w:pStyle w:val="Heading2"/>
      </w:pPr>
      <w:r>
        <w:t>8.1 What ALCS Measures</w:t>
      </w:r>
    </w:p>
    <w:p>
      <w:pPr>
        <w:spacing w:after="56"/>
      </w:pPr>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Pr>
        <w:spacing w:after="56"/>
      </w:pPr>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Pr>
        <w:spacing w:after="56"/>
      </w:pPr>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Pr>
        <w:spacing w:after="56"/>
      </w:pPr>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Pr>
        <w:spacing w:after="56"/>
      </w:pPr>
      <w:r>
        <w:t>A system can have a strong RCCS-T score and weaker RCCS-M or ALCS scores. This is not a contradiction. It means the system may provide strong traditional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RCCS-M and ALCS are related but not identical: RCCS-M adjusts regulatory coverage through MROs, while ALCS evaluates lifecycle conformance maturity.</w:t>
      </w:r>
    </w:p>
    <w:p>
      <w:pPr>
        <w:pStyle w:val="Heading2"/>
      </w:pPr>
      <w:r>
        <w:t>8.2 ALCS Dimensions Overview</w:t>
      </w:r>
    </w:p>
    <w:p>
      <w:pPr>
        <w:spacing w:after="56"/>
      </w:pPr>
      <w:r>
        <w:t>ALCS evaluates systems across fifteen dimensions. Each dimension corresponds to one or more Missing Regulatory Objects. The dimensions are weighted to reflect their relative importance in lifecycle responsibility compliance.</w:t>
      </w:r>
    </w:p>
    <w:p>
      <w:pPr>
        <w:spacing w:after="56"/>
      </w:pPr>
      <w:r>
        <w:t>The fifteen ALCS dimensions are:</w:t>
      </w:r>
    </w:p>
    <w:p>
      <w:pPr>
        <w:pStyle w:val="ListNumber"/>
        <w:spacing w:after="56"/>
      </w:pPr>
      <w:r>
        <w:t>Human-Role-to-MAS Responsibility Mapping (8%) - Does the system map human roles to agent roles, delegated scopes, and evidence obligations?</w:t>
      </w:r>
    </w:p>
    <w:p>
      <w:pPr>
        <w:pStyle w:val="ListNumber"/>
        <w:spacing w:after="56"/>
      </w:pPr>
      <w:r>
        <w:t>Delegated Authority Boundary (8%) - Does the system define and enforce authority boundaries for agent actions?</w:t>
      </w:r>
    </w:p>
    <w:p>
      <w:pPr>
        <w:pStyle w:val="ListNumber"/>
        <w:spacing w:after="56"/>
      </w:pPr>
      <w:r>
        <w:t>Agent Role vs Human Role Distinction (5%) - Does the system distinguish agent roles from human roles with clear responsibility semantics?</w:t>
      </w:r>
    </w:p>
    <w:p>
      <w:pPr>
        <w:pStyle w:val="ListNumber"/>
        <w:spacing w:after="56"/>
      </w:pPr>
      <w:r>
        <w:t>Accepted Outcome Compliance (8%) - Does the system separate execution completion from outcome acceptance?</w:t>
      </w:r>
    </w:p>
    <w:p>
      <w:pPr>
        <w:pStyle w:val="ListNumber"/>
        <w:spacing w:after="56"/>
      </w:pPr>
      <w:r>
        <w:t>Tool-Action Liability Boundary (8%) - Does the system record liability boundaries for consequential tool actions?</w:t>
      </w:r>
    </w:p>
    <w:p>
      <w:pPr>
        <w:pStyle w:val="ListNumber"/>
        <w:spacing w:after="56"/>
      </w:pPr>
      <w:r>
        <w:t>Responsibility Transfer Across Agents (8%) - Does the system track responsibility transfer during agent handoffs?</w:t>
      </w:r>
    </w:p>
    <w:p>
      <w:pPr>
        <w:pStyle w:val="ListNumber"/>
        <w:spacing w:after="56"/>
      </w:pPr>
      <w:r>
        <w:t>Authority Drift Detection (5%) - Does the system detect unauthorized authority transitions?</w:t>
      </w:r>
    </w:p>
    <w:p>
      <w:pPr>
        <w:pStyle w:val="ListNumber"/>
        <w:spacing w:after="56"/>
      </w:pPr>
      <w:r>
        <w:t>MAS Evidence Partitioning (8%) - Does the system partition evidence by agent, tool, authority, and privacy boundaries?</w:t>
      </w:r>
    </w:p>
    <w:p>
      <w:pPr>
        <w:pStyle w:val="ListNumber"/>
        <w:spacing w:after="56"/>
      </w:pPr>
      <w:r>
        <w:t>Cross-Project Reuse Compliance (5%) - Does the system enforce revalidation when workflows are reused across projects?</w:t>
      </w:r>
    </w:p>
    <w:p>
      <w:pPr>
        <w:pStyle w:val="ListNumber"/>
        <w:spacing w:after="56"/>
      </w:pPr>
      <w:r>
        <w:t>Privacy/GDPR Lifecycle Mapping (8%) - Does the system map personal data flows across the agent lifecycle?</w:t>
      </w:r>
    </w:p>
    <w:p>
      <w:pPr>
        <w:pStyle w:val="ListNumber"/>
        <w:spacing w:after="56"/>
      </w:pPr>
      <w:r>
        <w:t>Privacy-Preserving Third-Party Validation (5%) - Does the system support validation without raw data disclosure?</w:t>
      </w:r>
    </w:p>
    <w:p>
      <w:pPr>
        <w:pStyle w:val="ListNumber"/>
        <w:spacing w:after="56"/>
      </w:pPr>
      <w:r>
        <w:t>Evidence Minimization and Selective Disclosure (5%) - Does the system minimize evidence retention and support selective disclosure?</w:t>
      </w:r>
    </w:p>
    <w:p>
      <w:pPr>
        <w:pStyle w:val="ListNumber"/>
        <w:spacing w:after="56"/>
      </w:pPr>
      <w:r>
        <w:t>Data Subject Rights vs Evidence Retention (5%) - Does the system reconcile data subject rights with evidence retention obligations?</w:t>
      </w:r>
    </w:p>
    <w:p>
      <w:pPr>
        <w:pStyle w:val="ListNumber"/>
        <w:spacing w:after="56"/>
      </w:pPr>
      <w:r>
        <w:t>Third-Party Processor/Subprocessor Chain (5%) - Does the system track processor and subprocessor usage at lifecycle granularity?</w:t>
      </w:r>
    </w:p>
    <w:p>
      <w:pPr>
        <w:pStyle w:val="ListNumber"/>
        <w:spacing w:after="56"/>
      </w:pPr>
      <w:r>
        <w:t>Vendor/Model/Runtime Substitution Conformance (5%) - Does the system enforce conformance revalidation when vendors are substituted?</w:t>
      </w:r>
    </w:p>
    <w:p>
      <w:pPr>
        <w:spacing w:after="56"/>
      </w:pPr>
      <w:r>
        <w:t>The following table summarizes the fifteen dimensions, their MRO mappings, core questions, and weights.</w:t>
      </w:r>
    </w:p>
    <w:p>
      <w:pPr>
        <w:keepNext/>
      </w:pPr>
      <w:r>
        <w:rPr>
          <w:b/>
          <w:sz w:val="16"/>
        </w:rPr>
        <w:t>Table T-08-01: ALCS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MRO Mapping</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Does the system map human roles to agent roles, delegated scopes, and evidence obligations?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Does the system define and enforce authority boundaries for agent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Agent Role vs Human Role Distinction</w:t>
            </w:r>
          </w:p>
        </w:tc>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Does the system distinguish agent roles from human roles with clear responsibility semantics?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Does the system separate execution completion from outcome acceptance?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Does the system record liability boundaries for consequential tool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Does the system track responsibility transfer during agent handoffs?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Authority Drift Detection</w:t>
            </w:r>
          </w:p>
        </w:tc>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Does the system detect unauthorized authority transitions?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Does the system partition evidence by agent, tool, authority, and privacy boundaries?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Does the system enforce revalidation when workflows are reused across projects?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Does the system map personal data flows across the agent lifecycle?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Does the system support validation without raw data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Does the system minimize evidence retention and support selective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Does the system reconcile data subject rights with evidence retention obligations?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Does the system track processor and subprocessor usage at lifecycle granularity?</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Does the system enforce conformance revalidation when vendors are substituted?</w:t>
            </w:r>
          </w:p>
        </w:tc>
        <w:tc>
          <w:tcPr>
            <w:tcW w:type="dxa" w:w="2556"/>
          </w:tcPr>
          <w:p>
            <w:pPr>
              <w:spacing w:after="0"/>
            </w:pPr>
            <w:r>
              <w:rPr>
                <w:rFonts w:ascii="Arial" w:hAnsi="Arial"/>
                <w:b w:val="0"/>
                <w:sz w:val="14"/>
              </w:rPr>
              <w:t>5%</w:t>
            </w:r>
          </w:p>
        </w:tc>
      </w:tr>
    </w:tbl>
    <w:p>
      <w:pPr>
        <w:spacing w:after="56"/>
      </w:pPr>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Pr>
        <w:pStyle w:val="Heading2"/>
      </w:pPr>
      <w:r>
        <w:t>8.3 ALCS-to-MRO Mapping</w:t>
      </w:r>
    </w:p>
    <w:p>
      <w:pPr>
        <w:spacing w:after="56"/>
      </w:pPr>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Pr>
        <w:spacing w:after="56"/>
      </w:pPr>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Pr>
        <w:spacing w:after="56"/>
      </w:pPr>
      <w:r>
        <w:t>The following table provides detailed ALCS-to-MRO mapping, including primary MRO, secondary MROs, lifecycle phase, and core object required.</w:t>
      </w:r>
    </w:p>
    <w:p>
      <w:pPr>
        <w:keepNext/>
      </w:pPr>
      <w:r>
        <w:rPr>
          <w:b/>
          <w:sz w:val="16"/>
        </w:rPr>
        <w:t>Table T-08-02: ALCS-to-MRO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ALCS Dimension</w:t>
            </w:r>
          </w:p>
        </w:tc>
        <w:tc>
          <w:tcPr>
            <w:tcW w:type="dxa" w:w="2045"/>
          </w:tcPr>
          <w:p>
            <w:pPr>
              <w:spacing w:after="0"/>
            </w:pPr>
            <w:r>
              <w:rPr>
                <w:rFonts w:ascii="Arial" w:hAnsi="Arial"/>
                <w:b/>
                <w:sz w:val="14"/>
              </w:rPr>
              <w:t>Primary MRO</w:t>
            </w:r>
          </w:p>
        </w:tc>
        <w:tc>
          <w:tcPr>
            <w:tcW w:type="dxa" w:w="2045"/>
          </w:tcPr>
          <w:p>
            <w:pPr>
              <w:spacing w:after="0"/>
            </w:pPr>
            <w:r>
              <w:rPr>
                <w:rFonts w:ascii="Arial" w:hAnsi="Arial"/>
                <w:b/>
                <w:sz w:val="14"/>
              </w:rPr>
              <w:t>Secondary MROs</w:t>
            </w:r>
          </w:p>
        </w:tc>
        <w:tc>
          <w:tcPr>
            <w:tcW w:type="dxa" w:w="2045"/>
          </w:tcPr>
          <w:p>
            <w:pPr>
              <w:spacing w:after="0"/>
            </w:pPr>
            <w:r>
              <w:rPr>
                <w:rFonts w:ascii="Arial" w:hAnsi="Arial"/>
                <w:b/>
                <w:sz w:val="14"/>
              </w:rPr>
              <w:t>Lifecycle Phase</w:t>
            </w:r>
          </w:p>
        </w:tc>
        <w:tc>
          <w:tcPr>
            <w:tcW w:type="dxa" w:w="2045"/>
          </w:tcPr>
          <w:p>
            <w:pPr>
              <w:spacing w:after="0"/>
            </w:pPr>
            <w:r>
              <w:rPr>
                <w:rFonts w:ascii="Arial" w:hAnsi="Arial"/>
                <w:b/>
                <w:sz w:val="14"/>
              </w:rPr>
              <w:t>Core Object Required</w:t>
            </w:r>
          </w:p>
        </w:tc>
      </w:tr>
      <w:tr>
        <w:tc>
          <w:tcPr>
            <w:tcW w:type="dxa" w:w="2045"/>
          </w:tcPr>
          <w:p>
            <w:pPr>
              <w:spacing w:after="0"/>
            </w:pPr>
            <w:r>
              <w:rPr>
                <w:rFonts w:ascii="Arial" w:hAnsi="Arial"/>
                <w:b w:val="0"/>
                <w:sz w:val="14"/>
              </w:rPr>
              <w:t>ALCS-01: Human-Role-to-MAS Responsibility Mapping</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MRO-03, MRO-06</w:t>
            </w:r>
          </w:p>
        </w:tc>
        <w:tc>
          <w:tcPr>
            <w:tcW w:type="dxa" w:w="2045"/>
          </w:tcPr>
          <w:p>
            <w:pPr>
              <w:spacing w:after="0"/>
            </w:pPr>
            <w:r>
              <w:rPr>
                <w:rFonts w:ascii="Arial" w:hAnsi="Arial"/>
                <w:b w:val="0"/>
                <w:sz w:val="14"/>
              </w:rPr>
              <w:t>Intent, delegation, acceptance</w:t>
            </w:r>
          </w:p>
        </w:tc>
        <w:tc>
          <w:tcPr>
            <w:tcW w:type="dxa" w:w="2045"/>
          </w:tcPr>
          <w:p>
            <w:pPr>
              <w:spacing w:after="0"/>
            </w:pPr>
            <w:r>
              <w:rPr>
                <w:rFonts w:ascii="Arial" w:hAnsi="Arial"/>
                <w:b w:val="0"/>
                <w:sz w:val="14"/>
              </w:rPr>
              <w:t>Role-responsibility map binding human role IDs, agent role IDs, delegated scopes, evidence obligations</w:t>
            </w:r>
          </w:p>
        </w:tc>
      </w:tr>
      <w:tr>
        <w:tc>
          <w:tcPr>
            <w:tcW w:type="dxa" w:w="2045"/>
          </w:tcPr>
          <w:p>
            <w:pPr>
              <w:spacing w:after="0"/>
            </w:pPr>
            <w:r>
              <w:rPr>
                <w:rFonts w:ascii="Arial" w:hAnsi="Arial"/>
                <w:b w:val="0"/>
                <w:sz w:val="14"/>
              </w:rPr>
              <w:t>ALCS-02: Delegated Authority Boundary</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Delegation, execution, monitoring</w:t>
            </w:r>
          </w:p>
        </w:tc>
        <w:tc>
          <w:tcPr>
            <w:tcW w:type="dxa" w:w="2045"/>
          </w:tcPr>
          <w:p>
            <w:pPr>
              <w:spacing w:after="0"/>
            </w:pPr>
            <w:r>
              <w:rPr>
                <w:rFonts w:ascii="Arial" w:hAnsi="Arial"/>
                <w:b w:val="0"/>
                <w:sz w:val="14"/>
              </w:rPr>
              <w:t>Authority boundary object binding role, action, scope, condition, risk class, expiry, escalation path</w:t>
            </w:r>
          </w:p>
        </w:tc>
      </w:tr>
      <w:tr>
        <w:tc>
          <w:tcPr>
            <w:tcW w:type="dxa" w:w="2045"/>
          </w:tcPr>
          <w:p>
            <w:pPr>
              <w:spacing w:after="0"/>
            </w:pPr>
            <w:r>
              <w:rPr>
                <w:rFonts w:ascii="Arial" w:hAnsi="Arial"/>
                <w:b w:val="0"/>
                <w:sz w:val="14"/>
              </w:rPr>
              <w:t>ALCS-03: Agent Role vs Human Role Distinction</w:t>
            </w:r>
          </w:p>
        </w:tc>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Role definition, delegation</w:t>
            </w:r>
          </w:p>
        </w:tc>
        <w:tc>
          <w:tcPr>
            <w:tcW w:type="dxa" w:w="2045"/>
          </w:tcPr>
          <w:p>
            <w:pPr>
              <w:spacing w:after="0"/>
            </w:pPr>
            <w:r>
              <w:rPr>
                <w:rFonts w:ascii="Arial" w:hAnsi="Arial"/>
                <w:b w:val="0"/>
                <w:sz w:val="14"/>
              </w:rPr>
              <w:t>Agent responsibility boundary declaring duties, non-duties, allowed tools, inherited constraints, human accountability linkage</w:t>
            </w:r>
          </w:p>
        </w:tc>
      </w:tr>
      <w:tr>
        <w:tc>
          <w:tcPr>
            <w:tcW w:type="dxa" w:w="2045"/>
          </w:tcPr>
          <w:p>
            <w:pPr>
              <w:spacing w:after="0"/>
            </w:pPr>
            <w:r>
              <w:rPr>
                <w:rFonts w:ascii="Arial" w:hAnsi="Arial"/>
                <w:b w:val="0"/>
                <w:sz w:val="14"/>
              </w:rPr>
              <w:t>ALCS-04: Accepted Outcome Compliance</w:t>
            </w:r>
          </w:p>
        </w:tc>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Review, acceptance, dispute</w:t>
            </w:r>
          </w:p>
        </w:tc>
        <w:tc>
          <w:tcPr>
            <w:tcW w:type="dxa" w:w="2045"/>
          </w:tcPr>
          <w:p>
            <w:pPr>
              <w:spacing w:after="0"/>
            </w:pPr>
            <w:r>
              <w:rPr>
                <w:rFonts w:ascii="Arial" w:hAnsi="Arial"/>
                <w:b w:val="0"/>
                <w:sz w:val="14"/>
              </w:rPr>
              <w:t>Accepted outcome state linking intent, plan, trace, reviewer, acceptance status, dispute window, remediation route</w:t>
            </w:r>
          </w:p>
        </w:tc>
      </w:tr>
      <w:tr>
        <w:tc>
          <w:tcPr>
            <w:tcW w:type="dxa" w:w="2045"/>
          </w:tcPr>
          <w:p>
            <w:pPr>
              <w:spacing w:after="0"/>
            </w:pPr>
            <w:r>
              <w:rPr>
                <w:rFonts w:ascii="Arial" w:hAnsi="Arial"/>
                <w:b w:val="0"/>
                <w:sz w:val="14"/>
              </w:rPr>
              <w:t>ALCS-05: Tool-Action Liability Boundary</w:t>
            </w:r>
          </w:p>
        </w:tc>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MRO-02, MRO-08</w:t>
            </w:r>
          </w:p>
        </w:tc>
        <w:tc>
          <w:tcPr>
            <w:tcW w:type="dxa" w:w="2045"/>
          </w:tcPr>
          <w:p>
            <w:pPr>
              <w:spacing w:after="0"/>
            </w:pPr>
            <w:r>
              <w:rPr>
                <w:rFonts w:ascii="Arial" w:hAnsi="Arial"/>
                <w:b w:val="0"/>
                <w:sz w:val="14"/>
              </w:rPr>
              <w:t>Execution, external action</w:t>
            </w:r>
          </w:p>
        </w:tc>
        <w:tc>
          <w:tcPr>
            <w:tcW w:type="dxa" w:w="2045"/>
          </w:tcPr>
          <w:p>
            <w:pPr>
              <w:spacing w:after="0"/>
            </w:pPr>
            <w:r>
              <w:rPr>
                <w:rFonts w:ascii="Arial" w:hAnsi="Arial"/>
                <w:b w:val="0"/>
                <w:sz w:val="14"/>
              </w:rPr>
              <w:t>Tool-action liability object recording initiator, tool identity, external system, authority credential, reversibility, rollback plan</w:t>
            </w:r>
          </w:p>
        </w:tc>
      </w:tr>
      <w:tr>
        <w:tc>
          <w:tcPr>
            <w:tcW w:type="dxa" w:w="2045"/>
          </w:tcPr>
          <w:p>
            <w:pPr>
              <w:spacing w:after="0"/>
            </w:pPr>
            <w:r>
              <w:rPr>
                <w:rFonts w:ascii="Arial" w:hAnsi="Arial"/>
                <w:b w:val="0"/>
                <w:sz w:val="14"/>
              </w:rPr>
              <w:t>ALCS-06: Responsibility Transfer Across Agents</w:t>
            </w:r>
          </w:p>
        </w:tc>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Agent handoff, delegation</w:t>
            </w:r>
          </w:p>
        </w:tc>
        <w:tc>
          <w:tcPr>
            <w:tcW w:type="dxa" w:w="2045"/>
          </w:tcPr>
          <w:p>
            <w:pPr>
              <w:spacing w:after="0"/>
            </w:pPr>
            <w:r>
              <w:rPr>
                <w:rFonts w:ascii="Arial" w:hAnsi="Arial"/>
                <w:b w:val="0"/>
                <w:sz w:val="14"/>
              </w:rPr>
              <w:t>Transfer object declaring transferred scope, source role, receiving role, retained responsibilities, inherited constraints</w:t>
            </w:r>
          </w:p>
        </w:tc>
      </w:tr>
      <w:tr>
        <w:tc>
          <w:tcPr>
            <w:tcW w:type="dxa" w:w="2045"/>
          </w:tcPr>
          <w:p>
            <w:pPr>
              <w:spacing w:after="0"/>
            </w:pPr>
            <w:r>
              <w:rPr>
                <w:rFonts w:ascii="Arial" w:hAnsi="Arial"/>
                <w:b w:val="0"/>
                <w:sz w:val="14"/>
              </w:rPr>
              <w:t>ALCS-07: Authority Drift Detection</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Monitoring, drift detection</w:t>
            </w:r>
          </w:p>
        </w:tc>
        <w:tc>
          <w:tcPr>
            <w:tcW w:type="dxa" w:w="2045"/>
          </w:tcPr>
          <w:p>
            <w:pPr>
              <w:spacing w:after="0"/>
            </w:pPr>
            <w:r>
              <w:rPr>
                <w:rFonts w:ascii="Arial" w:hAnsi="Arial"/>
                <w:b w:val="0"/>
                <w:sz w:val="14"/>
              </w:rPr>
              <w:t>Drift event model comparing observed behavior against original authority boundary, risk class, tool scope</w:t>
            </w:r>
          </w:p>
        </w:tc>
      </w:tr>
      <w:tr>
        <w:tc>
          <w:tcPr>
            <w:tcW w:type="dxa" w:w="2045"/>
          </w:tcPr>
          <w:p>
            <w:pPr>
              <w:spacing w:after="0"/>
            </w:pPr>
            <w:r>
              <w:rPr>
                <w:rFonts w:ascii="Arial" w:hAnsi="Arial"/>
                <w:b w:val="0"/>
                <w:sz w:val="14"/>
              </w:rPr>
              <w:t>ALCS-08: MAS Evidence Partitioning</w:t>
            </w:r>
          </w:p>
        </w:tc>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MRO-01, MRO-04, MRO-10</w:t>
            </w:r>
          </w:p>
        </w:tc>
        <w:tc>
          <w:tcPr>
            <w:tcW w:type="dxa" w:w="2045"/>
          </w:tcPr>
          <w:p>
            <w:pPr>
              <w:spacing w:after="0"/>
            </w:pPr>
            <w:r>
              <w:rPr>
                <w:rFonts w:ascii="Arial" w:hAnsi="Arial"/>
                <w:b w:val="0"/>
                <w:sz w:val="14"/>
              </w:rPr>
              <w:t>Evidence collection, audit</w:t>
            </w:r>
          </w:p>
        </w:tc>
        <w:tc>
          <w:tcPr>
            <w:tcW w:type="dxa" w:w="2045"/>
          </w:tcPr>
          <w:p>
            <w:pPr>
              <w:spacing w:after="0"/>
            </w:pPr>
            <w:r>
              <w:rPr>
                <w:rFonts w:ascii="Arial" w:hAnsi="Arial"/>
                <w:b w:val="0"/>
                <w:sz w:val="14"/>
              </w:rPr>
              <w:t>Partitioned evidence by agent, tool, human confirmation, plan version, authority boundary, privacy boundary, accepted outcome</w:t>
            </w:r>
          </w:p>
        </w:tc>
      </w:tr>
      <w:tr>
        <w:tc>
          <w:tcPr>
            <w:tcW w:type="dxa" w:w="2045"/>
          </w:tcPr>
          <w:p>
            <w:pPr>
              <w:spacing w:after="0"/>
            </w:pPr>
            <w:r>
              <w:rPr>
                <w:rFonts w:ascii="Arial" w:hAnsi="Arial"/>
                <w:b w:val="0"/>
                <w:sz w:val="14"/>
              </w:rPr>
              <w:t>ALCS-09: Cross-Project Reuse Compliance</w:t>
            </w:r>
          </w:p>
        </w:tc>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MRO-02, MRO-10</w:t>
            </w:r>
          </w:p>
        </w:tc>
        <w:tc>
          <w:tcPr>
            <w:tcW w:type="dxa" w:w="2045"/>
          </w:tcPr>
          <w:p>
            <w:pPr>
              <w:spacing w:after="0"/>
            </w:pPr>
            <w:r>
              <w:rPr>
                <w:rFonts w:ascii="Arial" w:hAnsi="Arial"/>
                <w:b w:val="0"/>
                <w:sz w:val="14"/>
              </w:rPr>
              <w:t>Reuse, revalidation</w:t>
            </w:r>
          </w:p>
        </w:tc>
        <w:tc>
          <w:tcPr>
            <w:tcW w:type="dxa" w:w="2045"/>
          </w:tcPr>
          <w:p>
            <w:pPr>
              <w:spacing w:after="0"/>
            </w:pPr>
            <w:r>
              <w:rPr>
                <w:rFonts w:ascii="Arial" w:hAnsi="Arial"/>
                <w:b w:val="0"/>
                <w:sz w:val="14"/>
              </w:rPr>
              <w:t>Reuse compliance record linking original validation context to new deployment context, authority reset, privacy review</w:t>
            </w:r>
          </w:p>
        </w:tc>
      </w:tr>
      <w:tr>
        <w:tc>
          <w:tcPr>
            <w:tcW w:type="dxa" w:w="2045"/>
          </w:tcPr>
          <w:p>
            <w:pPr>
              <w:spacing w:after="0"/>
            </w:pPr>
            <w:r>
              <w:rPr>
                <w:rFonts w:ascii="Arial" w:hAnsi="Arial"/>
                <w:b w:val="0"/>
                <w:sz w:val="14"/>
              </w:rPr>
              <w:t>ALCS-10: Privacy/GDPR Lifecycle Mapping</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All phases involving personal data</w:t>
            </w:r>
          </w:p>
        </w:tc>
        <w:tc>
          <w:tcPr>
            <w:tcW w:type="dxa" w:w="2045"/>
          </w:tcPr>
          <w:p>
            <w:pPr>
              <w:spacing w:after="0"/>
            </w:pPr>
            <w:r>
              <w:rPr>
                <w:rFonts w:ascii="Arial" w:hAnsi="Arial"/>
                <w:b w:val="0"/>
                <w:sz w:val="14"/>
              </w:rPr>
              <w:t>Lifecycle data-flow map showing personal data entry, flow, exit across agents, tools, memory, handoffs</w:t>
            </w:r>
          </w:p>
        </w:tc>
      </w:tr>
      <w:tr>
        <w:tc>
          <w:tcPr>
            <w:tcW w:type="dxa" w:w="2045"/>
          </w:tcPr>
          <w:p>
            <w:pPr>
              <w:spacing w:after="0"/>
            </w:pPr>
            <w:r>
              <w:rPr>
                <w:rFonts w:ascii="Arial" w:hAnsi="Arial"/>
                <w:b w:val="0"/>
                <w:sz w:val="14"/>
              </w:rPr>
              <w:t>ALCS-11: Privacy-Preserving Third-Party Validation</w:t>
            </w:r>
          </w:p>
        </w:tc>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External validation, audit</w:t>
            </w:r>
          </w:p>
        </w:tc>
        <w:tc>
          <w:tcPr>
            <w:tcW w:type="dxa" w:w="2045"/>
          </w:tcPr>
          <w:p>
            <w:pPr>
              <w:spacing w:after="0"/>
            </w:pPr>
            <w:r>
              <w:rPr>
                <w:rFonts w:ascii="Arial" w:hAnsi="Arial"/>
                <w:b w:val="0"/>
                <w:sz w:val="14"/>
              </w:rPr>
              <w:t>Privacy-preserving validation protocol allowing selective disclosure and zero-knowledge proofs</w:t>
            </w:r>
          </w:p>
        </w:tc>
      </w:tr>
      <w:tr>
        <w:tc>
          <w:tcPr>
            <w:tcW w:type="dxa" w:w="2045"/>
          </w:tcPr>
          <w:p>
            <w:pPr>
              <w:spacing w:after="0"/>
            </w:pPr>
            <w:r>
              <w:rPr>
                <w:rFonts w:ascii="Arial" w:hAnsi="Arial"/>
                <w:b w:val="0"/>
                <w:sz w:val="14"/>
              </w:rPr>
              <w:t>ALCS-12: Evidence Minimization and Selective Disclosure</w:t>
            </w:r>
          </w:p>
        </w:tc>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MRO-08, MRO-10</w:t>
            </w:r>
          </w:p>
        </w:tc>
        <w:tc>
          <w:tcPr>
            <w:tcW w:type="dxa" w:w="2045"/>
          </w:tcPr>
          <w:p>
            <w:pPr>
              <w:spacing w:after="0"/>
            </w:pPr>
            <w:r>
              <w:rPr>
                <w:rFonts w:ascii="Arial" w:hAnsi="Arial"/>
                <w:b w:val="0"/>
                <w:sz w:val="14"/>
              </w:rPr>
              <w:t>Evidence retention, disclosure</w:t>
            </w:r>
          </w:p>
        </w:tc>
        <w:tc>
          <w:tcPr>
            <w:tcW w:type="dxa" w:w="2045"/>
          </w:tcPr>
          <w:p>
            <w:pPr>
              <w:spacing w:after="0"/>
            </w:pPr>
            <w:r>
              <w:rPr>
                <w:rFonts w:ascii="Arial" w:hAnsi="Arial"/>
                <w:b w:val="0"/>
                <w:sz w:val="14"/>
              </w:rPr>
              <w:t>Evidence minimization policy defining retention periods, redaction rules, disclosure boundaries</w:t>
            </w:r>
          </w:p>
        </w:tc>
      </w:tr>
      <w:tr>
        <w:tc>
          <w:tcPr>
            <w:tcW w:type="dxa" w:w="2045"/>
          </w:tcPr>
          <w:p>
            <w:pPr>
              <w:spacing w:after="0"/>
            </w:pPr>
            <w:r>
              <w:rPr>
                <w:rFonts w:ascii="Arial" w:hAnsi="Arial"/>
                <w:b w:val="0"/>
                <w:sz w:val="14"/>
              </w:rPr>
              <w:t>ALCS-13: Data Subject Rights vs Evidence Retention</w:t>
            </w:r>
          </w:p>
        </w:tc>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MRO-10, MRO-12</w:t>
            </w:r>
          </w:p>
        </w:tc>
        <w:tc>
          <w:tcPr>
            <w:tcW w:type="dxa" w:w="2045"/>
          </w:tcPr>
          <w:p>
            <w:pPr>
              <w:spacing w:after="0"/>
            </w:pPr>
            <w:r>
              <w:rPr>
                <w:rFonts w:ascii="Arial" w:hAnsi="Arial"/>
                <w:b w:val="0"/>
                <w:sz w:val="14"/>
              </w:rPr>
              <w:t>Data subject request handling</w:t>
            </w:r>
          </w:p>
        </w:tc>
        <w:tc>
          <w:tcPr>
            <w:tcW w:type="dxa" w:w="2045"/>
          </w:tcPr>
          <w:p>
            <w:pPr>
              <w:spacing w:after="0"/>
            </w:pPr>
            <w:r>
              <w:rPr>
                <w:rFonts w:ascii="Arial" w:hAnsi="Arial"/>
                <w:b w:val="0"/>
                <w:sz w:val="14"/>
              </w:rPr>
              <w:t>Data subject rights policy defining retention periods, anonymization rules, legal basis for retention override</w:t>
            </w:r>
          </w:p>
        </w:tc>
      </w:tr>
      <w:tr>
        <w:tc>
          <w:tcPr>
            <w:tcW w:type="dxa" w:w="2045"/>
          </w:tcPr>
          <w:p>
            <w:pPr>
              <w:spacing w:after="0"/>
            </w:pPr>
            <w:r>
              <w:rPr>
                <w:rFonts w:ascii="Arial" w:hAnsi="Arial"/>
                <w:b w:val="0"/>
                <w:sz w:val="14"/>
              </w:rPr>
              <w:t>ALCS-14: Third-Party Processor/Subprocessor Chain</w:t>
            </w:r>
          </w:p>
        </w:tc>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All phases involving third-party processing</w:t>
            </w:r>
          </w:p>
        </w:tc>
        <w:tc>
          <w:tcPr>
            <w:tcW w:type="dxa" w:w="2045"/>
          </w:tcPr>
          <w:p>
            <w:pPr>
              <w:spacing w:after="0"/>
            </w:pPr>
            <w:r>
              <w:rPr>
                <w:rFonts w:ascii="Arial" w:hAnsi="Arial"/>
                <w:b w:val="0"/>
                <w:sz w:val="14"/>
              </w:rPr>
              <w:t>Dynamic processor chain record tracking processor identity, data categories, processing purpose, legal basis</w:t>
            </w:r>
          </w:p>
        </w:tc>
      </w:tr>
      <w:tr>
        <w:tc>
          <w:tcPr>
            <w:tcW w:type="dxa" w:w="2045"/>
          </w:tcPr>
          <w:p>
            <w:pPr>
              <w:spacing w:after="0"/>
            </w:pPr>
            <w:r>
              <w:rPr>
                <w:rFonts w:ascii="Arial" w:hAnsi="Arial"/>
                <w:b w:val="0"/>
                <w:sz w:val="14"/>
              </w:rPr>
              <w:t>ALCS-15: Vendor/Model/Runtime Substitution Conformance</w:t>
            </w:r>
          </w:p>
        </w:tc>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MRO-02, MRO-09</w:t>
            </w:r>
          </w:p>
        </w:tc>
        <w:tc>
          <w:tcPr>
            <w:tcW w:type="dxa" w:w="2045"/>
          </w:tcPr>
          <w:p>
            <w:pPr>
              <w:spacing w:after="0"/>
            </w:pPr>
            <w:r>
              <w:rPr>
                <w:rFonts w:ascii="Arial" w:hAnsi="Arial"/>
                <w:b w:val="0"/>
                <w:sz w:val="14"/>
              </w:rPr>
              <w:t>Vendor substitution, revalidation</w:t>
            </w:r>
          </w:p>
        </w:tc>
        <w:tc>
          <w:tcPr>
            <w:tcW w:type="dxa" w:w="2045"/>
          </w:tcPr>
          <w:p>
            <w:pPr>
              <w:spacing w:after="0"/>
            </w:pPr>
            <w:r>
              <w:rPr>
                <w:rFonts w:ascii="Arial" w:hAnsi="Arial"/>
                <w:b w:val="0"/>
                <w:sz w:val="14"/>
              </w:rPr>
              <w:t>Vendor substitution conformance record proving substitution preserved lifecycle responsibility properties</w:t>
            </w:r>
          </w:p>
        </w:tc>
      </w:tr>
    </w:tbl>
    <w:p>
      <w:pPr>
        <w:spacing w:after="56"/>
      </w:pPr>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Pr>
        <w:pStyle w:val="Heading2"/>
      </w:pPr>
      <w:r>
        <w:t>8.3.1 Treatment of MRO-16 as a Cross-Cutting Closure Requirement</w:t>
      </w:r>
    </w:p>
    <w:p>
      <w:pPr>
        <w:spacing w:after="56"/>
      </w:pPr>
      <w:r>
        <w:t>MRO-16 (Incident, Dispute, and Remediation Closure) is not directly mapped to a single ALCS dimension. Instead, it is treated as a cross-cutting lifecycle capability that is evaluated through multiple dimensions and scoring logic across RCCS-T, RCCS-M, and ALCS.</w:t>
      </w:r>
    </w:p>
    <w:p>
      <w:pPr>
        <w:spacing w:after="56"/>
      </w:pPr>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Pr>
        <w:spacing w:after="56"/>
      </w:pPr>
      <w:r>
        <w:t>The following table shows how MRO-16 is evaluated across multiple dimensions:</w:t>
      </w:r>
    </w:p>
    <w:p>
      <w:pPr>
        <w:keepNext/>
      </w:pPr>
      <w:r>
        <w:rPr>
          <w:b/>
          <w:sz w:val="16"/>
        </w:rPr>
        <w:t>Table T-08-02A: MRO-16 Evaluation Path</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MRO-16 Evaluation Path</w:t>
            </w:r>
          </w:p>
        </w:tc>
        <w:tc>
          <w:tcPr>
            <w:tcW w:type="dxa" w:w="3408"/>
          </w:tcPr>
          <w:p>
            <w:pPr>
              <w:spacing w:after="0"/>
            </w:pPr>
            <w:r>
              <w:rPr>
                <w:rFonts w:ascii="Arial" w:hAnsi="Arial"/>
                <w:b/>
                <w:sz w:val="14"/>
              </w:rPr>
              <w:t>Relevant Dimension / Chapter</w:t>
            </w:r>
          </w:p>
        </w:tc>
        <w:tc>
          <w:tcPr>
            <w:tcW w:type="dxa" w:w="3408"/>
          </w:tcPr>
          <w:p>
            <w:pPr>
              <w:spacing w:after="0"/>
            </w:pPr>
            <w:r>
              <w:rPr>
                <w:rFonts w:ascii="Arial" w:hAnsi="Arial"/>
                <w:b/>
                <w:sz w:val="14"/>
              </w:rPr>
              <w:t>Reason</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RCCS-09 (Chapter 7)</w:t>
            </w:r>
          </w:p>
        </w:tc>
        <w:tc>
          <w:tcPr>
            <w:tcW w:type="dxa" w:w="3408"/>
          </w:tcPr>
          <w:p>
            <w:pPr>
              <w:spacing w:after="0"/>
            </w:pPr>
            <w:r>
              <w:rPr>
                <w:rFonts w:ascii="Arial" w:hAnsi="Arial"/>
                <w:b w:val="0"/>
                <w:sz w:val="14"/>
              </w:rPr>
              <w:t>Disputes require challenge and review paths. Incident closure depends on dispute resolution mechanisms.</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RCCS-10 (Chapter 7)</w:t>
            </w:r>
          </w:p>
        </w:tc>
        <w:tc>
          <w:tcPr>
            <w:tcW w:type="dxa" w:w="3408"/>
          </w:tcPr>
          <w:p>
            <w:pPr>
              <w:spacing w:after="0"/>
            </w:pPr>
            <w:r>
              <w:rPr>
                <w:rFonts w:ascii="Arial" w:hAnsi="Arial"/>
                <w:b w:val="0"/>
                <w:sz w:val="14"/>
              </w:rPr>
              <w:t>Incidents require detection and recurrence monitoring. Continuous improvement depends on monitoring capability.</w:t>
            </w:r>
          </w:p>
        </w:tc>
      </w:tr>
      <w:tr>
        <w:tc>
          <w:tcPr>
            <w:tcW w:type="dxa" w:w="3408"/>
          </w:tcPr>
          <w:p>
            <w:pPr>
              <w:spacing w:after="0"/>
            </w:pPr>
            <w:r>
              <w:rPr>
                <w:rFonts w:ascii="Arial" w:hAnsi="Arial"/>
                <w:b w:val="0"/>
                <w:sz w:val="14"/>
              </w:rPr>
              <w:t>Accepted Outcome</w:t>
            </w:r>
          </w:p>
        </w:tc>
        <w:tc>
          <w:tcPr>
            <w:tcW w:type="dxa" w:w="3408"/>
          </w:tcPr>
          <w:p>
            <w:pPr>
              <w:spacing w:after="0"/>
            </w:pPr>
            <w:r>
              <w:rPr>
                <w:rFonts w:ascii="Arial" w:hAnsi="Arial"/>
                <w:b w:val="0"/>
                <w:sz w:val="14"/>
              </w:rPr>
              <w:t>ALCS-04 (Chapter 8)</w:t>
            </w:r>
          </w:p>
        </w:tc>
        <w:tc>
          <w:tcPr>
            <w:tcW w:type="dxa" w:w="3408"/>
          </w:tcPr>
          <w:p>
            <w:pPr>
              <w:spacing w:after="0"/>
            </w:pPr>
            <w:r>
              <w:rPr>
                <w:rFonts w:ascii="Arial" w:hAnsi="Arial"/>
                <w:b w:val="0"/>
                <w:sz w:val="14"/>
              </w:rPr>
              <w:t>Closure requires knowing whether the outcome was accepted, rejected, or remediated. Dispute resolution affects acceptance state.</w:t>
            </w:r>
          </w:p>
        </w:tc>
      </w:tr>
      <w:tr>
        <w:tc>
          <w:tcPr>
            <w:tcW w:type="dxa" w:w="3408"/>
          </w:tcPr>
          <w:p>
            <w:pPr>
              <w:spacing w:after="0"/>
            </w:pPr>
            <w:r>
              <w:rPr>
                <w:rFonts w:ascii="Arial" w:hAnsi="Arial"/>
                <w:b w:val="0"/>
                <w:sz w:val="14"/>
              </w:rPr>
              <w:t>Evidence Partitioning</w:t>
            </w:r>
          </w:p>
        </w:tc>
        <w:tc>
          <w:tcPr>
            <w:tcW w:type="dxa" w:w="3408"/>
          </w:tcPr>
          <w:p>
            <w:pPr>
              <w:spacing w:after="0"/>
            </w:pPr>
            <w:r>
              <w:rPr>
                <w:rFonts w:ascii="Arial" w:hAnsi="Arial"/>
                <w:b w:val="0"/>
                <w:sz w:val="14"/>
              </w:rPr>
              <w:t>ALCS-08 (Chapter 8)</w:t>
            </w:r>
          </w:p>
        </w:tc>
        <w:tc>
          <w:tcPr>
            <w:tcW w:type="dxa" w:w="3408"/>
          </w:tcPr>
          <w:p>
            <w:pPr>
              <w:spacing w:after="0"/>
            </w:pPr>
            <w:r>
              <w:rPr>
                <w:rFonts w:ascii="Arial" w:hAnsi="Arial"/>
                <w:b w:val="0"/>
                <w:sz w:val="14"/>
              </w:rPr>
              <w:t>Closure requires reconstructable evidence linking incident detection to root cause, remediation, and resolution.</w:t>
            </w:r>
          </w:p>
        </w:tc>
      </w:tr>
      <w:tr>
        <w:tc>
          <w:tcPr>
            <w:tcW w:type="dxa" w:w="3408"/>
          </w:tcPr>
          <w:p>
            <w:pPr>
              <w:spacing w:after="0"/>
            </w:pPr>
            <w:r>
              <w:rPr>
                <w:rFonts w:ascii="Arial" w:hAnsi="Arial"/>
                <w:b w:val="0"/>
                <w:sz w:val="14"/>
              </w:rPr>
              <w:t>Evidence Minimization</w:t>
            </w:r>
          </w:p>
        </w:tc>
        <w:tc>
          <w:tcPr>
            <w:tcW w:type="dxa" w:w="3408"/>
          </w:tcPr>
          <w:p>
            <w:pPr>
              <w:spacing w:after="0"/>
            </w:pPr>
            <w:r>
              <w:rPr>
                <w:rFonts w:ascii="Arial" w:hAnsi="Arial"/>
                <w:b w:val="0"/>
                <w:sz w:val="14"/>
              </w:rPr>
              <w:t>ALCS-12 (Chapter 8)</w:t>
            </w:r>
          </w:p>
        </w:tc>
        <w:tc>
          <w:tcPr>
            <w:tcW w:type="dxa" w:w="3408"/>
          </w:tcPr>
          <w:p>
            <w:pPr>
              <w:spacing w:after="0"/>
            </w:pPr>
            <w:r>
              <w:rPr>
                <w:rFonts w:ascii="Arial" w:hAnsi="Arial"/>
                <w:b w:val="0"/>
                <w:sz w:val="14"/>
              </w:rPr>
              <w:t>Closure evidence must preserve accountability without unnecessary disclosure. Incident investigation must respect privacy boundaries.</w:t>
            </w:r>
          </w:p>
        </w:tc>
      </w:tr>
      <w:tr>
        <w:tc>
          <w:tcPr>
            <w:tcW w:type="dxa" w:w="3408"/>
          </w:tcPr>
          <w:p>
            <w:pPr>
              <w:spacing w:after="0"/>
            </w:pPr>
            <w:r>
              <w:rPr>
                <w:rFonts w:ascii="Arial" w:hAnsi="Arial"/>
                <w:b w:val="0"/>
                <w:sz w:val="14"/>
              </w:rPr>
              <w:t>Composite interpretation</w:t>
            </w:r>
          </w:p>
        </w:tc>
        <w:tc>
          <w:tcPr>
            <w:tcW w:type="dxa" w:w="3408"/>
          </w:tcPr>
          <w:p>
            <w:pPr>
              <w:spacing w:after="0"/>
            </w:pPr>
            <w:r>
              <w:rPr>
                <w:rFonts w:ascii="Arial" w:hAnsi="Arial"/>
                <w:b w:val="0"/>
                <w:sz w:val="14"/>
              </w:rPr>
              <w:t>Chapter 9</w:t>
            </w:r>
          </w:p>
        </w:tc>
        <w:tc>
          <w:tcPr>
            <w:tcW w:type="dxa" w:w="3408"/>
          </w:tcPr>
          <w:p>
            <w:pPr>
              <w:spacing w:after="0"/>
            </w:pPr>
            <w:r>
              <w:rPr>
                <w:rFonts w:ascii="Arial" w:hAnsi="Arial"/>
                <w:b w:val="0"/>
                <w:sz w:val="14"/>
              </w:rPr>
              <w:t>Incident closure affects final system readiness interpretation. Systems with strong incident closure capability score higher on contestability, monitoring, and evidence dimensions.</w:t>
            </w:r>
          </w:p>
        </w:tc>
      </w:tr>
    </w:tbl>
    <w:p>
      <w:pPr>
        <w:spacing w:after="56"/>
      </w:pPr>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Pr>
        <w:pStyle w:val="Heading2"/>
      </w:pPr>
      <w:r>
        <w:t>8.4 Shared Scoring Procedure (Reference to Chapter 7)</w:t>
      </w:r>
    </w:p>
    <w:p>
      <w:pPr>
        <w:spacing w:after="56"/>
      </w:pPr>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Pr>
        <w:spacing w:after="56"/>
      </w:pPr>
      <w:r>
        <w:t>Raw scoring scale (0-5): Each ALCS dimension is scored on a 0-5 raw scale based on the strength of system support:</w:t>
      </w:r>
    </w:p>
    <w:p>
      <w:pPr>
        <w:pStyle w:val="ListBullet"/>
        <w:spacing w:after="56"/>
      </w:pPr>
      <w:r>
        <w:t>0 = No capability; no evidence</w:t>
      </w:r>
    </w:p>
    <w:p>
      <w:pPr>
        <w:pStyle w:val="ListBullet"/>
        <w:spacing w:after="56"/>
      </w:pPr>
      <w:r>
        <w:t>1 = Minimal capability; weak evidence</w:t>
      </w:r>
    </w:p>
    <w:p>
      <w:pPr>
        <w:pStyle w:val="ListBullet"/>
        <w:spacing w:after="56"/>
      </w:pPr>
      <w:r>
        <w:t>2 = Partial capability; some evidence</w:t>
      </w:r>
    </w:p>
    <w:p>
      <w:pPr>
        <w:pStyle w:val="ListBullet"/>
        <w:spacing w:after="56"/>
      </w:pPr>
      <w:r>
        <w:t>3 = Moderate capability; documented evidence</w:t>
      </w:r>
    </w:p>
    <w:p>
      <w:pPr>
        <w:pStyle w:val="ListBullet"/>
        <w:spacing w:after="56"/>
      </w:pPr>
      <w:r>
        <w:t>4 = Strong capability; validated evidence</w:t>
      </w:r>
    </w:p>
    <w:p>
      <w:pPr>
        <w:pStyle w:val="ListBullet"/>
        <w:spacing w:after="56"/>
      </w:pPr>
      <w:r>
        <w:t>5 =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confidence multiplier: The evidence multiplier adjusts the dimension score based on the quality and verifiability of evidence used to evaluate the system:</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Dimension score formula: Each ALCS dimension is normalized using:</w:t>
      </w:r>
    </w:p>
    <w:p>
      <w:pPr>
        <w:spacing w:after="56"/>
      </w:pPr>
      <w:r>
        <w:t>Dimension Score = (Raw Score / 5) × 100 × Evidence Confidence Multiplier</w:t>
      </w:r>
    </w:p>
    <w:p>
      <w:pPr>
        <w:spacing w:after="56"/>
      </w:pPr>
      <w:r>
        <w:t>Optional composite views: RCCS-T, RCCS-M, and ALCS may be combined only as secondary analytical views:</w:t>
      </w:r>
    </w:p>
    <w:p>
      <w:pPr>
        <w:pStyle w:val="ListBullet"/>
        <w:spacing w:after="56"/>
      </w:pPr>
      <w:r>
        <w:t>Traditional Composite = 0.40 × RCCS-T + 0.60 × ALCS</w:t>
      </w:r>
    </w:p>
    <w:p>
      <w:pPr>
        <w:pStyle w:val="ListBullet"/>
        <w:spacing w:after="56"/>
      </w:pPr>
      <w:r>
        <w:t>Agentic Composite = 0.40 × RCCS-M + 0.60 × ALCS</w:t>
      </w:r>
    </w:p>
    <w:p>
      <w:pPr>
        <w:spacing w:after="56"/>
      </w:pPr>
      <w:r>
        <w:t>The primary result display remains the three-profile view: RCCS-T, RCCS-M, and ALCS. Composite views must not be used as legal compliance proof, vendor rankings, certification signals, or procurement recommendations. For complete details on the scoring procedure, including scoring rationale, evidence hierarchy, and calculation examples, see Chapter 7.3 and Chapter 9.</w:t>
      </w:r>
    </w:p>
    <w:p>
      <w:pPr>
        <w:pStyle w:val="Heading2"/>
      </w:pPr>
      <w:r>
        <w:t>8.5 ALCS Boundary Statement</w:t>
      </w:r>
    </w:p>
    <w:p>
      <w:pPr>
        <w:spacing w:after="56"/>
      </w:pPr>
      <w:r>
        <w:t>ALCS is an analytical scoring framework, not a legal compliance score. This boundary must be understood clearly to avoid misinterpretation and over-claiming.</w:t>
      </w:r>
    </w:p>
    <w:p>
      <w:pPr>
        <w:spacing w:after="56"/>
      </w:pPr>
      <w:r>
        <w:t>What ALCS is:</w:t>
      </w:r>
    </w:p>
    <w:p>
      <w:pPr>
        <w:pStyle w:val="ListBullet"/>
        <w:spacing w:after="56"/>
      </w:pPr>
      <w:r>
        <w:t>An analytical framework for comparing system capabilities against lifecycle responsibility requirements</w:t>
      </w:r>
    </w:p>
    <w:p>
      <w:pPr>
        <w:pStyle w:val="ListBullet"/>
        <w:spacing w:after="56"/>
      </w:pPr>
      <w:r>
        <w:t>A structured method for evaluating whether a system provides lifecycle objects required to prove agentic responsibility</w:t>
      </w:r>
    </w:p>
    <w:p>
      <w:pPr>
        <w:pStyle w:val="ListBullet"/>
        <w:spacing w:after="56"/>
      </w:pPr>
      <w:r>
        <w:t>A tool for buyers, auditors, and governance teams to assess system readiness for multi-agent execution</w:t>
      </w:r>
    </w:p>
    <w:p>
      <w:pPr>
        <w:pStyle w:val="ListBullet"/>
        <w:spacing w:after="56"/>
      </w:pPr>
      <w:r>
        <w:t>A bridge between regulatory abstractions and lifecycle implementation</w:t>
      </w:r>
    </w:p>
    <w:p>
      <w:pPr>
        <w:spacing w:after="56"/>
      </w:pPr>
      <w:r>
        <w:t>What ALCS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Pr>
        <w:pStyle w:val="ListNumber"/>
        <w:spacing w:after="56"/>
      </w:pPr>
      <w:r>
        <w:t>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Pr>
        <w:pStyle w:val="ListNumber"/>
        <w:spacing w:after="56"/>
      </w:pPr>
      <w:r>
        <w:t>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Pr>
        <w:pStyle w:val="ListNumber"/>
        <w:spacing w:after="56"/>
      </w:pPr>
      <w:r>
        <w:t>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Pr>
        <w:spacing w:after="56"/>
      </w:pPr>
      <w:r>
        <w:t>Relationship between RCCS-T, RCCS-M, and ALCS:</w:t>
      </w:r>
    </w:p>
    <w:p>
      <w:pPr>
        <w:spacing w:after="56"/>
      </w:pPr>
      <w:r>
        <w:t>RCCS-T, RCCS-M, and ALCS measure different layers. RCCS-T measures traditional regulatory compliance coverage: whether a system provides the governance primitives that existing regulation requires. RCCS-M measures whether that regulatory coverage can be expressed through Missing Regulatory Objects. ALCS measures agentic lifecycle conformance: whether a system provides mature lifecycle responsibility objects that make agentic responsibility auditable, provable, and transferable.</w:t>
      </w:r>
    </w:p>
    <w:p>
      <w:pPr>
        <w:spacing w:after="56"/>
      </w:pPr>
      <w:r>
        <w:t>A system can have strong RCCS-T and weaker RCCS-M or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Pr>
        <w:spacing w:after="56"/>
      </w:pPr>
      <w:r>
        <w:t>A system can have weaker RCCS-T and stronger RCCS-M or ALCS. This means the system provides strong lifecycle objects for expressing agentic responsibility while lacking broader productized governance coverage. This pattern is possible for specialized lifecycle protocols or agent frameworks that focus on responsibility semantics without providing full governance platform capabilities.</w:t>
      </w:r>
    </w:p>
    <w:p>
      <w:pPr>
        <w:spacing w:after="56"/>
      </w:pPr>
      <w:r>
        <w:t>All three profiles are necessary. RCCS-T shows conventional governance coverage. RCCS-M shows whether that coverage survives MRO adjustment. ALCS shows lifecycle conformance maturity. Together, they provide a three-profile assessment of system governance capability.</w:t>
      </w:r>
    </w:p>
    <w:p>
      <w:pPr>
        <w:spacing w:after="56"/>
      </w:pPr>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Pr>
        <w:pStyle w:val="Heading2"/>
      </w:pPr>
      <w:r>
        <w:t>8.6 Bridge to Dimension Sections</w:t>
      </w:r>
    </w:p>
    <w:p>
      <w:pPr>
        <w:spacing w:after="56"/>
      </w:pPr>
      <w:r>
        <w:t>The following sections (8.7 through 8.21) detail each ALCS dimension. Each dimension section includes:</w:t>
      </w:r>
    </w:p>
    <w:p>
      <w:pPr>
        <w:pStyle w:val="ListBullet"/>
        <w:spacing w:after="56"/>
      </w:pPr>
      <w:r>
        <w:t>MRO mapping - Which Missing Regulatory Objects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Pr>
        <w:spacing w:after="56"/>
      </w:pPr>
      <w:r>
        <w:t>The body chapter includes compact dimension rubrics for reader continuity; Appendix F provides the reusable detailed ALCS scoring reference.</w:t>
      </w:r>
    </w:p>
    <w:p>
      <w:pPr>
        <w:pStyle w:val="Heading2"/>
      </w:pPr>
      <w:r>
        <w:t>8.7 ALCS-01: Human-Role-to-MAS Responsibility Mapping</w:t>
      </w:r>
    </w:p>
    <w:p>
      <w:pPr>
        <w:pStyle w:val="Heading3"/>
      </w:pPr>
      <w:r>
        <w:t>MRO Mapping</w:t>
      </w:r>
    </w:p>
    <w:p>
      <w:pPr>
        <w:spacing w:after="56"/>
      </w:pPr>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Pr>
        <w:pStyle w:val="Heading3"/>
      </w:pPr>
      <w:r>
        <w:t>Core Question</w:t>
      </w:r>
    </w:p>
    <w:p>
      <w:pPr>
        <w:spacing w:after="56"/>
      </w:pPr>
      <w:r>
        <w:t>Does the system map human roles to agent roles, delegated scopes, evidence obligations, and acceptance authority?</w:t>
      </w:r>
    </w:p>
    <w:p>
      <w:pPr>
        <w:pStyle w:val="Heading3"/>
      </w:pPr>
      <w:r>
        <w:t>Scoring Rubric</w:t>
      </w:r>
    </w:p>
    <w:p>
      <w:pPr>
        <w:keepNext/>
      </w:pPr>
      <w:r>
        <w:rPr>
          <w:b/>
          <w:sz w:val="16"/>
        </w:rPr>
        <w:t>Table T-08-03: ALCS-01 Human-Role-to-MAS Responsibility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role-to-responsibility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or role mapping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roles and agent roles exist but are not explicitly mapped; no evidence obligations or acceptance authority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Role-to-responsibility mappings exist for most workflows; some gaps in evidence obligation tracking, acceptance authority, or cross-project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role-responsibility graph linking human role IDs, agent role IDs, delegated scopes, reserved decisions, review duties, evidence obligations, and accepted-outcome authority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Pr>
        <w:spacing w:after="56"/>
      </w:pPr>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Pr>
        <w:spacing w:after="56"/>
      </w:pPr>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Pr>
        <w:pStyle w:val="Heading3"/>
      </w:pPr>
      <w:r>
        <w:t>Common Gaps</w:t>
      </w:r>
    </w:p>
    <w:p>
      <w:pPr>
        <w:spacing w:after="56"/>
      </w:pPr>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Pr>
        <w:pStyle w:val="Heading2"/>
      </w:pPr>
      <w:r>
        <w:t>8.8 ALCS-02: Delegated Authority Boundary</w:t>
      </w:r>
    </w:p>
    <w:p>
      <w:pPr>
        <w:pStyle w:val="Heading3"/>
      </w:pPr>
      <w:r>
        <w:t>MRO Mapping</w:t>
      </w:r>
    </w:p>
    <w:p>
      <w:pPr>
        <w:spacing w:after="56"/>
      </w:pPr>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Pr>
        <w:pStyle w:val="Heading3"/>
      </w:pPr>
      <w:r>
        <w:t>Core Question</w:t>
      </w:r>
    </w:p>
    <w:p>
      <w:pPr>
        <w:spacing w:after="56"/>
      </w:pPr>
      <w:r>
        <w:t>Does the system define and enforce delegated authority boundaries for agent actions?</w:t>
      </w:r>
    </w:p>
    <w:p>
      <w:pPr>
        <w:pStyle w:val="Heading3"/>
      </w:pPr>
      <w:r>
        <w:t>Scoring Rubric</w:t>
      </w:r>
    </w:p>
    <w:p>
      <w:pPr>
        <w:keepNext/>
      </w:pPr>
      <w:r>
        <w:rPr>
          <w:b/>
          <w:sz w:val="16"/>
        </w:rPr>
        <w:t>Table T-08-04: ALCS-02 Delegated Authority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boundary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or delegation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permissions exist but are not mapped to business authority; no scope, condition, or risk class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boundaries exist for most high-impact actions; some gaps in condition enforcement, expiry tracking, or escalation paths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boundary objects binding role, action, scope, condition, risk class, evidence requirement, expiry, revocation, and escalation path with runtime enforcement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Pr>
        <w:spacing w:after="56"/>
      </w:pPr>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Pr>
        <w:spacing w:after="56"/>
      </w:pPr>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Pr>
        <w:pStyle w:val="Heading3"/>
      </w:pPr>
      <w:r>
        <w:t>Common Gaps</w:t>
      </w:r>
    </w:p>
    <w:p>
      <w:pPr>
        <w:spacing w:after="56"/>
      </w:pPr>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Pr>
        <w:pStyle w:val="Heading2"/>
      </w:pPr>
      <w:r>
        <w:t>8.9 ALCS-03: Agent Role vs Human Role Distinction</w:t>
      </w:r>
    </w:p>
    <w:p>
      <w:pPr>
        <w:pStyle w:val="Heading3"/>
      </w:pPr>
      <w:r>
        <w:t>MRO Mapping</w:t>
      </w:r>
    </w:p>
    <w:p>
      <w:pPr>
        <w:spacing w:after="56"/>
      </w:pPr>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Pr>
        <w:pStyle w:val="Heading3"/>
      </w:pPr>
      <w:r>
        <w:t>Core Question</w:t>
      </w:r>
    </w:p>
    <w:p>
      <w:pPr>
        <w:spacing w:after="56"/>
      </w:pPr>
      <w:r>
        <w:t>Does the system distinguish agent roles from human roles with clear responsibility semantics?</w:t>
      </w:r>
    </w:p>
    <w:p>
      <w:pPr>
        <w:pStyle w:val="Heading3"/>
      </w:pPr>
      <w:r>
        <w:t>Scoring Rubric</w:t>
      </w:r>
    </w:p>
    <w:p>
      <w:pPr>
        <w:keepNext/>
      </w:pPr>
      <w:r>
        <w:rPr>
          <w:b/>
          <w:sz w:val="16"/>
        </w:rPr>
        <w:t>Table T-08-05: ALCS-03 Agent Role vs Human Role Distinction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 distinction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roles but provides no responsibility semantics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roles exist as execution personas but lack responsibility boundaries, evidence duties, or human accountability linkage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Agent roles include responsibility boundaries and capability definitions; some gaps in evidence duties, escalation requirements, or human accountability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agent responsibility boundaries declaring duties, non-duties, allowed tools, inherited constraints, verification expectations, evidence obligations, and human accountability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Pr>
        <w:spacing w:after="56"/>
      </w:pPr>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Pr>
        <w:spacing w:after="56"/>
      </w:pPr>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Pr>
        <w:pStyle w:val="Heading3"/>
      </w:pPr>
      <w:r>
        <w:t>Common Gaps</w:t>
      </w:r>
    </w:p>
    <w:p>
      <w:pPr>
        <w:spacing w:after="56"/>
      </w:pPr>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Pr>
        <w:pStyle w:val="Heading2"/>
      </w:pPr>
      <w:r>
        <w:t>8.10 ALCS-04: Accepted Outcome Compliance</w:t>
      </w:r>
    </w:p>
    <w:p>
      <w:pPr>
        <w:pStyle w:val="Heading3"/>
      </w:pPr>
      <w:r>
        <w:t>MRO Mapping</w:t>
      </w:r>
    </w:p>
    <w:p>
      <w:pPr>
        <w:spacing w:after="56"/>
      </w:pPr>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Pr>
        <w:pStyle w:val="Heading3"/>
      </w:pPr>
      <w:r>
        <w:t>Core Question</w:t>
      </w:r>
    </w:p>
    <w:p>
      <w:pPr>
        <w:spacing w:after="56"/>
      </w:pPr>
      <w:r>
        <w:t>Does the system separate execution completion from outcome acceptance and track acceptance authority?</w:t>
      </w:r>
    </w:p>
    <w:p>
      <w:pPr>
        <w:pStyle w:val="Heading3"/>
      </w:pPr>
      <w:r>
        <w:t>Scoring Rubric</w:t>
      </w:r>
    </w:p>
    <w:p>
      <w:pPr>
        <w:keepNext/>
      </w:pPr>
      <w:r>
        <w:rPr>
          <w:b/>
          <w:sz w:val="16"/>
        </w:rPr>
        <w:t>Table T-08-06: ALCS-04 Accepted Outcome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acceptance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review or acceptance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completion states exist but are not distinguished from acceptance states; no acceptance criteria or reviewer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Acceptance workflows exist for most deliverables; some gaps in acceptance criteria definition, dispute windows, or remediation routes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accepted outcome states linking source intent, plan, trace, reviewer identity, acceptance criteria, acceptance status, acceptance timestamp, dispute window, and remediation route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Pr>
        <w:spacing w:after="56"/>
      </w:pPr>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Pr>
        <w:spacing w:after="56"/>
      </w:pPr>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Pr>
        <w:pStyle w:val="Heading3"/>
      </w:pPr>
      <w:r>
        <w:t>Common Gaps</w:t>
      </w:r>
    </w:p>
    <w:p>
      <w:pPr>
        <w:spacing w:after="56"/>
      </w:pPr>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Pr>
        <w:pStyle w:val="Heading2"/>
      </w:pPr>
      <w:r>
        <w:t>8.11 ALCS-05: Tool-Action Liability Boundary</w:t>
      </w:r>
    </w:p>
    <w:p>
      <w:pPr>
        <w:pStyle w:val="Heading3"/>
      </w:pPr>
      <w:r>
        <w:t>MRO Mapping</w:t>
      </w:r>
    </w:p>
    <w:p>
      <w:pPr>
        <w:spacing w:after="56"/>
      </w:pPr>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Pr>
        <w:pStyle w:val="Heading3"/>
      </w:pPr>
      <w:r>
        <w:t>Core Question</w:t>
      </w:r>
    </w:p>
    <w:p>
      <w:pPr>
        <w:spacing w:after="56"/>
      </w:pPr>
      <w:r>
        <w:t>Does the system record liability boundaries for consequential tool actions?</w:t>
      </w:r>
    </w:p>
    <w:p>
      <w:pPr>
        <w:pStyle w:val="Heading3"/>
      </w:pPr>
      <w:r>
        <w:t>Scoring Rubric</w:t>
      </w:r>
    </w:p>
    <w:p>
      <w:pPr>
        <w:keepNext/>
      </w:pPr>
      <w:r>
        <w:rPr>
          <w:b/>
          <w:sz w:val="16"/>
        </w:rPr>
        <w:t>Table T-08-07: ALCS-05 Tool-Action Liability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tool-action liability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tool use or external actions but provides no liability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call logs exist but do not record authority source, affected systems, reversibility, or accountable owner</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Tool-action records exist for most consequential actions; some gaps in reversibility tracking, rollback plans, or liability assignment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tool-action liability objects recording initiator, tool identity, external system, authority credential, reversibility status, rollback plan, affected data categories, evidence pointer, and accountable owner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Pr>
        <w:spacing w:after="56"/>
      </w:pPr>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Pr>
        <w:spacing w:after="56"/>
      </w:pPr>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Pr>
        <w:pStyle w:val="Heading3"/>
      </w:pPr>
      <w:r>
        <w:t>Common Gaps</w:t>
      </w:r>
    </w:p>
    <w:p>
      <w:pPr>
        <w:spacing w:after="56"/>
      </w:pPr>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Pr>
        <w:pStyle w:val="Heading2"/>
      </w:pPr>
      <w:r>
        <w:t>8.12 ALCS-06: Responsibility Transfer Across Agents</w:t>
      </w:r>
    </w:p>
    <w:p>
      <w:pPr>
        <w:pStyle w:val="Heading3"/>
      </w:pPr>
      <w:r>
        <w:t>MRO Mapping</w:t>
      </w:r>
    </w:p>
    <w:p>
      <w:pPr>
        <w:spacing w:after="56"/>
      </w:pPr>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Pr>
        <w:pStyle w:val="Heading3"/>
      </w:pPr>
      <w:r>
        <w:t>Core Question</w:t>
      </w:r>
    </w:p>
    <w:p>
      <w:pPr>
        <w:spacing w:after="56"/>
      </w:pPr>
      <w:r>
        <w:t>Does the system track responsibility transfer during agent handoffs?</w:t>
      </w:r>
    </w:p>
    <w:p>
      <w:pPr>
        <w:pStyle w:val="Heading3"/>
      </w:pPr>
      <w:r>
        <w:t>Scoring Rubric</w:t>
      </w:r>
    </w:p>
    <w:p>
      <w:pPr>
        <w:keepNext/>
      </w:pPr>
      <w:r>
        <w:rPr>
          <w:b/>
          <w:sz w:val="16"/>
        </w:rPr>
        <w:t>Table T-08-08: ALCS-06 Responsibility Transfer Across Agents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responsibility transfer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handoffs or delegation but provides no responsibility transfer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handoff routing exists but does not track responsibility transfer; no inherited constraints or receiving-role acceptance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Responsibility transfer records exist for most handoffs; some gaps in inherited constraints, retained responsibilities, or transfer acceptance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transfer objects declaring transferred scope, source role, receiving role, retained responsibilities, inherited constraints, evidence obligations, receiving-role acceptance, and rejection/escalation behavior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Pr>
        <w:spacing w:after="56"/>
      </w:pPr>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Pr>
        <w:spacing w:after="56"/>
      </w:pPr>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Pr>
        <w:pStyle w:val="Heading3"/>
      </w:pPr>
      <w:r>
        <w:t>Common Gaps</w:t>
      </w:r>
    </w:p>
    <w:p>
      <w:pPr>
        <w:spacing w:after="56"/>
      </w:pPr>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Pr>
        <w:pStyle w:val="Heading2"/>
      </w:pPr>
      <w:r>
        <w:t>8.13 ALCS-07: Authority Drift Detection</w:t>
      </w:r>
    </w:p>
    <w:p>
      <w:pPr>
        <w:pStyle w:val="Heading3"/>
      </w:pPr>
      <w:r>
        <w:t>MRO Mapping</w:t>
      </w:r>
    </w:p>
    <w:p>
      <w:pPr>
        <w:spacing w:after="56"/>
      </w:pPr>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Pr>
        <w:pStyle w:val="Heading3"/>
      </w:pPr>
      <w:r>
        <w:t>Core Question</w:t>
      </w:r>
    </w:p>
    <w:p>
      <w:pPr>
        <w:spacing w:after="56"/>
      </w:pPr>
      <w:r>
        <w:t>Does the system detect and alert on unauthorized authority transitions?</w:t>
      </w:r>
    </w:p>
    <w:p>
      <w:pPr>
        <w:pStyle w:val="Heading3"/>
      </w:pPr>
      <w:r>
        <w:t>Scoring Rubric</w:t>
      </w:r>
    </w:p>
    <w:p>
      <w:pPr>
        <w:keepNext/>
      </w:pPr>
      <w:r>
        <w:rPr>
          <w:b/>
          <w:sz w:val="16"/>
        </w:rPr>
        <w:t>Table T-08-09: ALCS-07 Authority Drift Detection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drift detection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monitoring but provides no drift detection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Authority boundaries are defined but not monitored for drift; no drift detection rules or alerts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drift detection exists for most high-risk transitions; some gaps in drift alert routing, remediation workflows, or long-running workflow monitoring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drift monitoring comparing observed behavior against original authority boundaries with drift detection rules, drift alerts, automatic stop/downgrade, and drift remediation workflows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Pr>
        <w:spacing w:after="56"/>
      </w:pPr>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Pr>
        <w:spacing w:after="56"/>
      </w:pPr>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Pr>
        <w:pStyle w:val="Heading3"/>
      </w:pPr>
      <w:r>
        <w:t>Common Gaps</w:t>
      </w:r>
    </w:p>
    <w:p>
      <w:pPr>
        <w:spacing w:after="56"/>
      </w:pPr>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Pr>
        <w:pStyle w:val="Heading2"/>
      </w:pPr>
      <w:r>
        <w:t>8.14 ALCS-08: MAS Evidence Partitioning</w:t>
      </w:r>
    </w:p>
    <w:p>
      <w:pPr>
        <w:pStyle w:val="Heading3"/>
      </w:pPr>
      <w:r>
        <w:t>MRO Mapping</w:t>
      </w:r>
    </w:p>
    <w:p>
      <w:pPr>
        <w:spacing w:after="56"/>
      </w:pPr>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Pr>
        <w:pStyle w:val="Heading3"/>
      </w:pPr>
      <w:r>
        <w:t>Core Question</w:t>
      </w:r>
    </w:p>
    <w:p>
      <w:pPr>
        <w:spacing w:after="56"/>
      </w:pPr>
      <w:r>
        <w:t>Does the system partition evidence by agent, tool, authority boundary, privacy class, and lifecycle phase?</w:t>
      </w:r>
    </w:p>
    <w:p>
      <w:pPr>
        <w:pStyle w:val="Heading3"/>
      </w:pPr>
      <w:r>
        <w:t>Scoring Rubric</w:t>
      </w:r>
    </w:p>
    <w:p>
      <w:pPr>
        <w:keepNext/>
      </w:pPr>
      <w:r>
        <w:rPr>
          <w:b/>
          <w:sz w:val="16"/>
        </w:rPr>
        <w:t>Table T-08-10: ALCS-08 MAS Evidence Partitioning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partitioning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or audit trails but provides no partitioning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Flat chronological logs exist but are not partitioned by agent, tool, authority, or privacy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partitioning exists for most governance boundaries; some gaps in cross-partition linking, privacy class partitioning, or reconstruction capability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partitioning by agent, tool, human confirmation, plan version, authority boundary, privacy boundary, and accepted outcome with stable identifiers, integrity hashes, cross-partition linking, and evidence reconstruction capability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Pr>
        <w:spacing w:after="56"/>
      </w:pPr>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Pr>
        <w:spacing w:after="56"/>
      </w:pPr>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Pr>
        <w:pStyle w:val="Heading3"/>
      </w:pPr>
      <w:r>
        <w:t>Common Gaps</w:t>
      </w:r>
    </w:p>
    <w:p>
      <w:pPr>
        <w:spacing w:after="56"/>
      </w:pPr>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Pr>
        <w:pStyle w:val="Heading2"/>
      </w:pPr>
      <w:r>
        <w:t>8.15 ALCS-09: Cross-Project Reuse Compliance</w:t>
      </w:r>
    </w:p>
    <w:p>
      <w:pPr>
        <w:pStyle w:val="Heading3"/>
      </w:pPr>
      <w:r>
        <w:t>MRO Mapping</w:t>
      </w:r>
    </w:p>
    <w:p>
      <w:pPr>
        <w:spacing w:after="56"/>
      </w:pPr>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Pr>
        <w:pStyle w:val="Heading3"/>
      </w:pPr>
      <w:r>
        <w:t>Core Question</w:t>
      </w:r>
    </w:p>
    <w:p>
      <w:pPr>
        <w:spacing w:after="56"/>
      </w:pPr>
      <w:r>
        <w:t>Does the system enforce revalidation when workflows are reused across projects?</w:t>
      </w:r>
    </w:p>
    <w:p>
      <w:pPr>
        <w:pStyle w:val="Heading3"/>
      </w:pPr>
      <w:r>
        <w:t>Scoring Rubric</w:t>
      </w:r>
    </w:p>
    <w:p>
      <w:pPr>
        <w:keepNext/>
      </w:pPr>
      <w:r>
        <w:rPr>
          <w:b/>
          <w:sz w:val="16"/>
        </w:rPr>
        <w:t>Table T-08-11: ALCS-09 Cross-Project Reuse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reuse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workflow reuse but provides no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Workflow templates or reuse mechanisms exist but do not track original validation context or enforce revalidation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Reuse compliance records exist for most cross-project reuse; some gaps in authority reset, privacy review,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reuse compliance records linking original validation context, new deployment context, authority reset, privacy review, revalidation decision, and revalidation evidence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Pr>
        <w:spacing w:after="56"/>
      </w:pPr>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Pr>
        <w:spacing w:after="56"/>
      </w:pPr>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Pr>
        <w:pStyle w:val="Heading3"/>
      </w:pPr>
      <w:r>
        <w:t>Common Gaps</w:t>
      </w:r>
    </w:p>
    <w:p>
      <w:pPr>
        <w:spacing w:after="56"/>
      </w:pPr>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Pr>
        <w:pStyle w:val="Heading2"/>
      </w:pPr>
      <w:r>
        <w:t>8.16 ALCS-10: Privacy/GDPR Lifecycle Mapping</w:t>
      </w:r>
    </w:p>
    <w:p>
      <w:pPr>
        <w:pStyle w:val="Heading3"/>
      </w:pPr>
      <w:r>
        <w:t>MRO Mapping</w:t>
      </w:r>
    </w:p>
    <w:p>
      <w:pPr>
        <w:spacing w:after="56"/>
      </w:pPr>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Pr>
        <w:pStyle w:val="Heading3"/>
      </w:pPr>
      <w:r>
        <w:t>Core Question</w:t>
      </w:r>
    </w:p>
    <w:p>
      <w:pPr>
        <w:spacing w:after="56"/>
      </w:pPr>
      <w:r>
        <w:t>Does the system map personal data flows across the agent lifecycle?</w:t>
      </w:r>
    </w:p>
    <w:p>
      <w:pPr>
        <w:pStyle w:val="Heading3"/>
      </w:pPr>
      <w:r>
        <w:t>Scoring Rubric</w:t>
      </w:r>
    </w:p>
    <w:p>
      <w:pPr>
        <w:keepNext/>
      </w:pPr>
      <w:r>
        <w:rPr>
          <w:b/>
          <w:sz w:val="16"/>
        </w:rPr>
        <w:t>Table T-08-12: ALCS-10 Privacy/GDPR Lifecycle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 lifecycle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privacy or data protection but provides no lifecycle mapping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Privacy controls exist for training data or input data but do not map personal data flows across agents, tools, memory, or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Privacy lifecycle mapping exists for most personal data flows; some gaps in cross-agent flows, tool-level tracking, or memory retention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lifecycle data-flow maps showing personal data entry, flow, transformation, storage, cross-agent transfer, tool disclosure, memory retention, and exit with data category labels, legal basis, retention periods, and processor tracking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Pr>
        <w:spacing w:after="56"/>
      </w:pPr>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Pr>
        <w:spacing w:after="56"/>
      </w:pPr>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Pr>
        <w:pStyle w:val="Heading3"/>
      </w:pPr>
      <w:r>
        <w:t>Common Gaps</w:t>
      </w:r>
    </w:p>
    <w:p>
      <w:pPr>
        <w:spacing w:after="56"/>
      </w:pPr>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Pr>
        <w:pStyle w:val="Heading2"/>
      </w:pPr>
      <w:r>
        <w:t>8.17 ALCS-11: Privacy-Preserving Third-Party Validation</w:t>
      </w:r>
    </w:p>
    <w:p>
      <w:pPr>
        <w:pStyle w:val="Heading3"/>
      </w:pPr>
      <w:r>
        <w:t>MRO Mapping</w:t>
      </w:r>
    </w:p>
    <w:p>
      <w:pPr>
        <w:spacing w:after="56"/>
      </w:pPr>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Pr>
        <w:pStyle w:val="Heading3"/>
      </w:pPr>
      <w:r>
        <w:t>Core Question</w:t>
      </w:r>
    </w:p>
    <w:p>
      <w:pPr>
        <w:spacing w:after="56"/>
      </w:pPr>
      <w:r>
        <w:t>Does the system support validation without raw data disclosure?</w:t>
      </w:r>
    </w:p>
    <w:p>
      <w:pPr>
        <w:pStyle w:val="Heading3"/>
      </w:pPr>
      <w:r>
        <w:t>Scoring Rubric</w:t>
      </w:r>
    </w:p>
    <w:p>
      <w:pPr>
        <w:keepNext/>
      </w:pPr>
      <w:r>
        <w:rPr>
          <w:b/>
          <w:sz w:val="16"/>
        </w:rPr>
        <w:t>Table T-08-13: ALCS-11 Privacy-Preserving Third-Party Validation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privacy-preserving validation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external validation or audit but provides no privacy-preserving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External validation is supported but requires full evidence disclosure; no selective disclosure or privacy-preserving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Selective disclosure mechanisms exist for most validation scenarios; some gaps in zero-knowledge proofs, cryptographic commitments, or cross-validator consistency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privacy-preserving validation protocols supporting selective disclosure, redacted evidence, cryptographic commitments, zero-knowledge proofs, and validator-specific evidence views without raw data exposure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Pr>
        <w:spacing w:after="56"/>
      </w:pPr>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Pr>
        <w:spacing w:after="56"/>
      </w:pPr>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Pr>
        <w:pStyle w:val="Heading3"/>
      </w:pPr>
      <w:r>
        <w:t>Common Gaps</w:t>
      </w:r>
    </w:p>
    <w:p>
      <w:pPr>
        <w:spacing w:after="56"/>
      </w:pPr>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Pr>
        <w:pStyle w:val="Heading2"/>
      </w:pPr>
      <w:r>
        <w:t>8.18 ALCS-12: Evidence Minimization and Selective Disclosure</w:t>
      </w:r>
    </w:p>
    <w:p>
      <w:pPr>
        <w:pStyle w:val="Heading3"/>
      </w:pPr>
      <w:r>
        <w:t>MRO Mapping</w:t>
      </w:r>
    </w:p>
    <w:p>
      <w:pPr>
        <w:spacing w:after="56"/>
      </w:pPr>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Pr>
        <w:pStyle w:val="Heading3"/>
      </w:pPr>
      <w:r>
        <w:t>Core Question</w:t>
      </w:r>
    </w:p>
    <w:p>
      <w:pPr>
        <w:spacing w:after="56"/>
      </w:pPr>
      <w:r>
        <w:t>Does the system minimize evidence retention and support selective disclosure?</w:t>
      </w:r>
    </w:p>
    <w:p>
      <w:pPr>
        <w:pStyle w:val="Heading3"/>
      </w:pPr>
      <w:r>
        <w:t>Scoring Rubric</w:t>
      </w:r>
    </w:p>
    <w:p>
      <w:pPr>
        <w:keepNext/>
      </w:pPr>
      <w:r>
        <w:rPr>
          <w:b/>
          <w:sz w:val="16"/>
        </w:rPr>
        <w:t>Table T-08-14: ALCS-12 Evidence Minimization and Selective Disclosure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minimization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retention or disclosure but provides no minimization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Evidence retention exists but lacks minimization policies; no retention periods, redaction rules, or disclosure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minimization policies exist for most evidence categories; some gaps in automated retention enforcement, redaction rules, or disclosure boundary controls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minimization policies defining retention periods by evidence category, automated retention enforcement, redaction rules, disclosure boundaries, and purpose-specific evidence views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Pr>
        <w:spacing w:after="56"/>
      </w:pPr>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Pr>
        <w:spacing w:after="56"/>
      </w:pPr>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Pr>
        <w:pStyle w:val="Heading3"/>
      </w:pPr>
      <w:r>
        <w:t>Common Gaps</w:t>
      </w:r>
    </w:p>
    <w:p>
      <w:pPr>
        <w:spacing w:after="56"/>
      </w:pPr>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Pr>
        <w:pStyle w:val="Heading2"/>
      </w:pPr>
      <w:r>
        <w:t>8.19 ALCS-13: Data Subject Rights vs Evidence Retention</w:t>
      </w:r>
    </w:p>
    <w:p>
      <w:pPr>
        <w:pStyle w:val="Heading3"/>
      </w:pPr>
      <w:r>
        <w:t>MRO Mapping</w:t>
      </w:r>
    </w:p>
    <w:p>
      <w:pPr>
        <w:spacing w:after="56"/>
      </w:pPr>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Pr>
        <w:pStyle w:val="Heading3"/>
      </w:pPr>
      <w:r>
        <w:t>Core Question</w:t>
      </w:r>
    </w:p>
    <w:p>
      <w:pPr>
        <w:spacing w:after="56"/>
      </w:pPr>
      <w:r>
        <w:t>Does the system reconcile data subject rights with evidence retention obligations?</w:t>
      </w:r>
    </w:p>
    <w:p>
      <w:pPr>
        <w:pStyle w:val="Heading3"/>
      </w:pPr>
      <w:r>
        <w:t>Scoring Rubric</w:t>
      </w:r>
    </w:p>
    <w:p>
      <w:pPr>
        <w:keepNext/>
      </w:pPr>
      <w:r>
        <w:rPr>
          <w:b/>
          <w:sz w:val="16"/>
        </w:rPr>
        <w:t>Table T-08-15: ALCS-13 Data Subject Rights vs Evidence Retention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data subject rights reconciliation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subject rights or evidence retention but provides no reconciliation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subject rights mechanisms exist but do not account for evidence retention obligations; no retention override rules or anonymization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subject rights policies exist with some retention reconciliation; some gaps in legal basis documentation, anonymization rules, or dispute-window protection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subject rights policies defining retention periods, anonymization rules, legal basis for retention override, dispute-window protection, and reconciliation procedures for erasure requests vs evidence obligations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Pr>
        <w:spacing w:after="56"/>
      </w:pPr>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Pr>
        <w:spacing w:after="56"/>
      </w:pPr>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Pr>
        <w:pStyle w:val="Heading3"/>
      </w:pPr>
      <w:r>
        <w:t>Common Gaps</w:t>
      </w:r>
    </w:p>
    <w:p>
      <w:pPr>
        <w:spacing w:after="56"/>
      </w:pPr>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Pr>
        <w:pStyle w:val="Heading2"/>
      </w:pPr>
      <w:r>
        <w:t>8.20 ALCS-14: Third-Party Processor/Subprocessor Chain</w:t>
      </w:r>
    </w:p>
    <w:p>
      <w:pPr>
        <w:pStyle w:val="Heading3"/>
      </w:pPr>
      <w:r>
        <w:t>MRO Mapping</w:t>
      </w:r>
    </w:p>
    <w:p>
      <w:pPr>
        <w:spacing w:after="56"/>
      </w:pPr>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Pr>
        <w:pStyle w:val="Heading3"/>
      </w:pPr>
      <w:r>
        <w:t>Core Question</w:t>
      </w:r>
    </w:p>
    <w:p>
      <w:pPr>
        <w:spacing w:after="56"/>
      </w:pPr>
      <w:r>
        <w:t>Does the system track processor and subprocessor usage at lifecycle granularity?</w:t>
      </w:r>
    </w:p>
    <w:p>
      <w:pPr>
        <w:pStyle w:val="Heading3"/>
      </w:pPr>
      <w:r>
        <w:t>Scoring Rubric</w:t>
      </w:r>
    </w:p>
    <w:p>
      <w:pPr>
        <w:keepNext/>
      </w:pPr>
      <w:r>
        <w:rPr>
          <w:b/>
          <w:sz w:val="16"/>
        </w:rPr>
        <w:t>Table T-08-16: ALCS-14 Third-Party Processor/Subprocessor Chain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processor chain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third-party processors but provides no lifecycle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Processor agreements exist but processor usage is not tracked at lifecycle granularity; no dynamic processor chain records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Processor chain tracking exists for most workflows; some gaps in subprocessor tracking, data category mapping, or legal basis documentation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dynamic processor chain records tracking processor identity, subprocessor identity, data categories processed, processing purpose, legal basis, retention period, and processor location for each workflow execution</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Pr>
        <w:spacing w:after="56"/>
      </w:pPr>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Pr>
        <w:spacing w:after="56"/>
      </w:pPr>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Pr>
        <w:pStyle w:val="Heading3"/>
      </w:pPr>
      <w:r>
        <w:t>Common Gaps</w:t>
      </w:r>
    </w:p>
    <w:p>
      <w:pPr>
        <w:spacing w:after="56"/>
      </w:pPr>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Pr>
        <w:pStyle w:val="Heading2"/>
      </w:pPr>
      <w:r>
        <w:t>8.21 ALCS-15: Vendor/Model/Runtime Substitution Conformance</w:t>
      </w:r>
    </w:p>
    <w:p>
      <w:pPr>
        <w:pStyle w:val="Heading3"/>
      </w:pPr>
      <w:r>
        <w:t>MRO Mapping</w:t>
      </w:r>
    </w:p>
    <w:p>
      <w:pPr>
        <w:spacing w:after="56"/>
      </w:pPr>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Pr>
        <w:pStyle w:val="Heading3"/>
      </w:pPr>
      <w:r>
        <w:t>Core Question</w:t>
      </w:r>
    </w:p>
    <w:p>
      <w:pPr>
        <w:spacing w:after="56"/>
      </w:pPr>
      <w:r>
        <w:t>Does the system enforce conformance revalidation when vendors are substituted?</w:t>
      </w:r>
    </w:p>
    <w:p>
      <w:pPr>
        <w:pStyle w:val="Heading3"/>
      </w:pPr>
      <w:r>
        <w:t>Scoring Rubric</w:t>
      </w:r>
    </w:p>
    <w:p>
      <w:pPr>
        <w:keepNext/>
      </w:pPr>
      <w:r>
        <w:rPr>
          <w:b/>
          <w:sz w:val="16"/>
        </w:rPr>
        <w:t>Table T-08-17: ALCS-15 Vendor/Model/Runtime Substitution Conformance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vendor substitution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vendor optionality or model substitution but provides no conformance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Vendor or model substitution is supported but does not trigger conformance revalidation; no substitution records or delta analysis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Vendor substitution conformance records exist for most substitutions; some gaps in delta analysis, conformance testing,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vendor substitution conformance records linking original validation, substitution authorization, conformance test results, delta analysis, revalidation decision, and deployment approval</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Pr>
        <w:spacing w:after="56"/>
      </w:pPr>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Pr>
        <w:spacing w:after="56"/>
      </w:pPr>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Pr>
        <w:pStyle w:val="Heading3"/>
      </w:pPr>
      <w:r>
        <w:t>Common Gaps</w:t>
      </w:r>
    </w:p>
    <w:p>
      <w:pPr>
        <w:spacing w:after="56"/>
      </w:pPr>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Pr>
        <w:pStyle w:val="Heading2"/>
      </w:pPr>
      <w:r>
        <w:t>8.22 Chapter Summary</w:t>
      </w:r>
    </w:p>
    <w:p>
      <w:pPr>
        <w:spacing w:after="56"/>
      </w:pPr>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Pr>
        <w:spacing w:after="56"/>
      </w:pPr>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Pr>
        <w:spacing w:after="56"/>
      </w:pPr>
      <w:r>
        <w:t>ALCS complements RCCS-T and RCCS-M by measuring a different layer. RCCS-T evaluates traditional regulatory compliance coverage. RCCS-M evaluates whether that coverage can be expressed through Missing Regulatory Objects. ALCS evaluates agentic lifecycle conformance: whether a system provides mature lifecycle objects that make agentic responsibility auditable, provable, and transferable across agents, humans, tools, projects, vendors, and organizational boundaries. A system can have strong RCCS-T and weaker ALCS, meaning it provides strong regulatory compliance coverage while lacking deeper lifecycle responsibility semantics for multi-agent work. A system can also have stronger RCCS-M and ALCS because it defines lifecycle responsibility semantics while lacking productized governance-platform coverage. Chapter 9 explains why the three-profile view is primary and any composite calculation is secondary.</w:t>
      </w:r>
    </w:p>
    <w:p>
      <w:pPr>
        <w:pStyle w:val="Heading1"/>
      </w:pPr>
      <w:r>
        <w:t>Chapter 9: Composite Scoring Method and Evidence Confidence</w:t>
      </w:r>
    </w:p>
    <w:p>
      <w:pPr>
        <w:spacing w:after="56"/>
      </w:pPr>
      <w:r>
        <w:t>Version: v0.3.2-FRC-R3</w:t>
      </w:r>
    </w:p>
    <w:p>
      <w:pPr>
        <w:pStyle w:val="Heading2"/>
      </w:pPr>
      <w:r>
        <w:t>9.0 Chapter Overview</w:t>
      </w:r>
    </w:p>
    <w:p>
      <w:pPr>
        <w:spacing w:after="56"/>
      </w:pPr>
      <w:r>
        <w:t>This chapter introduces the Composite Scoring Method and Evidence Confidence layer. In this paper, the primary result display is not a single composite number. The primary result display is a three-profile analytical view: RCCS-T, RCCS-M, and ALCS. Composite views are secondary analytical summaries that may help compare posture patterns, but they must not hide the distinction between traditional regulatory coverage, MRO-adjusted regulatory coverage, and lifecycle conformance.</w:t>
      </w:r>
    </w:p>
    <w:p>
      <w:pPr>
        <w:spacing w:after="56"/>
      </w:pPr>
      <w:r>
        <w:t>The chapter explains evidence multiplier application, optional composite views, interpretation guidance for RCCS-T / RCCS-M / ALCS together, reproducibility requirements, and boundary statements. It establishes clear expectations about what composite scoring measures and what it does not measure, and bridges to the system mapping chapters that follow.</w:t>
      </w:r>
    </w:p>
    <w:p>
      <w:pPr>
        <w:spacing w:after="56"/>
      </w:pPr>
      <w:r>
        <w:t>Figure F-04 - RCCS-T / RCCS-M / ALCS Three-Profile Scoring Model</w:t>
      </w:r>
    </w:p>
    <w:p>
      <w:pPr>
        <w:spacing w:after="56"/>
      </w:pPr>
      <w:r>
        <w:t>RCCS-T Traditional Coverage -&gt; MRO Adjustment Layer -&gt; RCCS-M MRO-Adjusted Coverage -&gt; ALCS Lifecycle Conformance</w:t>
      </w:r>
    </w:p>
    <w:p>
      <w:pPr>
        <w:spacing w:after="56"/>
      </w:pPr>
      <w:r>
        <w:t>Figure F-04 shows how traditional regulatory coverage is adjusted through Missing Regulatory Objects before being read alongside lifecycle conformance. It is not a legal compliance score, certification, regulatory approval signal, product ranking, or procurement recommendation.</w:t>
      </w:r>
    </w:p>
    <w:p>
      <w:pPr>
        <w:pStyle w:val="Heading2"/>
      </w:pPr>
      <w:r>
        <w:t>9.1 Purpose of Composite Scoring</w:t>
      </w:r>
    </w:p>
    <w:p>
      <w:pPr>
        <w:spacing w:after="56"/>
      </w:pPr>
      <w:r>
        <w:t>Composite scoring is secondary to the three-profile view. The three-profile view reflects traditional regulatory compliance coverage (RCCS-T), MRO-adjusted regulatory compliance coverage (RCCS-M), and agentic lifecycle conformance (ALCS). It provides a structured method for evaluating whether systems provide the governance primitives that existing regulation requires, whether those primitives can be expressed through lifecycle responsibility objects, and whether lifecycle conformance is mature enough to make agentic responsibility auditable, provable, and transferable.</w:t>
      </w:r>
    </w:p>
    <w:p>
      <w:pPr>
        <w:spacing w:after="56"/>
      </w:pPr>
      <w:r>
        <w:t>Chapter 7 defines the operational difference between the RCCS-T and RCCS-M scoring lenses. Chapter 9 does not duplicate those rubrics. It interprets score deltas after separate RCCS-T and RCCS-M raw scores have been assigned using Chapter 7 and Appendix E.</w:t>
      </w:r>
    </w:p>
    <w:p>
      <w:pPr>
        <w:spacing w:after="56"/>
      </w:pPr>
      <w:r>
        <w:t>The purpose of the three-profile model is to make visible the difference between systems that provide traditional regulatory compliance coverage, systems that provide MRO-adjusted lifecycle responsibility semantics, and systems that provide both. A system can have a strong RCCS-T score and weaker RCCS-M or ALCS scores.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Pr>
        <w:spacing w:after="56"/>
      </w:pPr>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Pr>
        <w:pStyle w:val="Heading2"/>
      </w:pPr>
      <w:r>
        <w:t>9.2 Primary Three-Profile Display and Optional Composite Views</w:t>
      </w:r>
    </w:p>
    <w:p>
      <w:pPr>
        <w:spacing w:after="56"/>
      </w:pPr>
      <w:r>
        <w:t>The preferred publication-facing result display is:</w:t>
      </w:r>
    </w:p>
    <w:p>
      <w:pPr>
        <w:pStyle w:val="ListNumber"/>
        <w:spacing w:after="56"/>
      </w:pPr>
      <w:r>
        <w:t>RCCS-T — Traditional Regulatory Compliance Coverage Score</w:t>
      </w:r>
    </w:p>
    <w:p>
      <w:pPr>
        <w:pStyle w:val="ListNumber"/>
        <w:spacing w:after="56"/>
      </w:pPr>
      <w:r>
        <w:t>RCCS-M — MRO-Adjusted Regulatory Compliance Coverage Score</w:t>
      </w:r>
    </w:p>
    <w:p>
      <w:pPr>
        <w:pStyle w:val="ListNumber"/>
        <w:spacing w:after="56"/>
      </w:pPr>
      <w:r>
        <w:t>ALCS — Agentic Lifecycle Conformance Score</w:t>
      </w:r>
    </w:p>
    <w:p>
      <w:pPr>
        <w:spacing w:after="56"/>
      </w:pPr>
      <w:r>
        <w:t>This structure prevents a single number from hiding the key score-delta insight. Enterprise governance platforms may show strong RCCS-T while MRO-adjusted lifecycle object coverage remains partial. Lifecycle protocol systems may show stronger RCCS-M and ALCS while traditional productized governance-platform coverage remains limited.</w:t>
      </w:r>
    </w:p>
    <w:p>
      <w:pPr>
        <w:spacing w:after="56"/>
      </w:pPr>
      <w:r>
        <w:t>Each dimension is first normalized using the canonical dimension formula:</w:t>
      </w:r>
    </w:p>
    <w:p>
      <w:pPr>
        <w:spacing w:after="56"/>
      </w:pPr>
      <w:r>
        <w:t>Dimension Score = (Raw Score / 5) × 100 × Evidence Confidence Multiplier</w:t>
      </w:r>
    </w:p>
    <w:p>
      <w:pPr>
        <w:spacing w:after="56"/>
      </w:pPr>
      <w:r>
        <w:t>Where:</w:t>
      </w:r>
    </w:p>
    <w:p>
      <w:pPr>
        <w:pStyle w:val="ListBullet"/>
        <w:spacing w:after="56"/>
      </w:pPr>
      <w:r>
        <w:t>Raw Score is the 0-5 score for each dimension based on system capability strength</w:t>
      </w:r>
    </w:p>
    <w:p>
      <w:pPr>
        <w:pStyle w:val="ListBullet"/>
        <w:spacing w:after="56"/>
      </w:pPr>
      <w:r>
        <w:t>Evidence Confidence Multiplier is L1 = 1.00, L2 = 0.85, L3 = 0.75, L4 = 0.55, or L5 = 0.35</w:t>
      </w:r>
    </w:p>
    <w:p>
      <w:pPr>
        <w:spacing w:after="56"/>
      </w:pPr>
      <w:r>
        <w:t>If a composite view is required for worksheet analysis, two optional views may be used:</w:t>
      </w:r>
    </w:p>
    <w:p>
      <w:pPr>
        <w:pStyle w:val="ListBullet"/>
        <w:spacing w:after="56"/>
      </w:pPr>
      <w:r>
        <w:t>Traditional Composite = 0.40 × RCCS-T + 0.60 × ALCS</w:t>
      </w:r>
    </w:p>
    <w:p>
      <w:pPr>
        <w:pStyle w:val="ListBullet"/>
        <w:spacing w:after="56"/>
      </w:pPr>
      <w:r>
        <w:t>Agentic Composite = 0.40 × RCCS-M + 0.60 × ALCS</w:t>
      </w:r>
    </w:p>
    <w:p>
      <w:pPr>
        <w:spacing w:after="56"/>
      </w:pPr>
      <w:r>
        <w:t>RCCS-T, RCCS-M, and ALCS are expressed on a 0-100 scale after evidence adjustment. Optional composite views are also expressed on a 0-100 scale.</w:t>
      </w:r>
    </w:p>
    <w:p>
      <w:pPr>
        <w:spacing w:after="56"/>
      </w:pPr>
      <w:r>
        <w:t>The following table illustrates the composite score calculation with an example.</w:t>
      </w:r>
    </w:p>
    <w:p>
      <w:pPr>
        <w:keepNext/>
      </w:pPr>
      <w:r>
        <w:rPr>
          <w:b/>
          <w:sz w:val="16"/>
        </w:rPr>
        <w:t>Table T-09-01: Composite Score Calculation Example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Description</w:t>
            </w:r>
          </w:p>
        </w:tc>
        <w:tc>
          <w:tcPr>
            <w:tcW w:type="dxa" w:w="3408"/>
          </w:tcPr>
          <w:p>
            <w:pPr>
              <w:spacing w:after="0"/>
            </w:pPr>
            <w:r>
              <w:rPr>
                <w:rFonts w:ascii="Arial" w:hAnsi="Arial"/>
                <w:b/>
                <w:sz w:val="14"/>
              </w:rPr>
              <w:t>Example Calculation</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confidence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RCCS-T Score</w:t>
            </w:r>
          </w:p>
        </w:tc>
        <w:tc>
          <w:tcPr>
            <w:tcW w:type="dxa" w:w="3408"/>
          </w:tcPr>
          <w:p>
            <w:pPr>
              <w:spacing w:after="0"/>
            </w:pPr>
            <w:r>
              <w:rPr>
                <w:rFonts w:ascii="Arial" w:hAnsi="Arial"/>
                <w:b w:val="0"/>
                <w:sz w:val="14"/>
              </w:rPr>
              <w:t>Aggregated traditional RCCS dimension score</w:t>
            </w:r>
          </w:p>
        </w:tc>
        <w:tc>
          <w:tcPr>
            <w:tcW w:type="dxa" w:w="3408"/>
          </w:tcPr>
          <w:p>
            <w:pPr>
              <w:spacing w:after="0"/>
            </w:pPr>
            <w:r>
              <w:rPr>
                <w:rFonts w:ascii="Arial" w:hAnsi="Arial"/>
                <w:b w:val="0"/>
                <w:sz w:val="14"/>
              </w:rPr>
              <w:t>RCCS-T = 65.0</w:t>
            </w:r>
          </w:p>
        </w:tc>
      </w:tr>
      <w:tr>
        <w:tc>
          <w:tcPr>
            <w:tcW w:type="dxa" w:w="3408"/>
          </w:tcPr>
          <w:p>
            <w:pPr>
              <w:spacing w:after="0"/>
            </w:pPr>
            <w:r>
              <w:rPr>
                <w:rFonts w:ascii="Arial" w:hAnsi="Arial"/>
                <w:b w:val="0"/>
                <w:sz w:val="14"/>
              </w:rPr>
              <w:t>RCCS-M Score</w:t>
            </w:r>
          </w:p>
        </w:tc>
        <w:tc>
          <w:tcPr>
            <w:tcW w:type="dxa" w:w="3408"/>
          </w:tcPr>
          <w:p>
            <w:pPr>
              <w:spacing w:after="0"/>
            </w:pPr>
            <w:r>
              <w:rPr>
                <w:rFonts w:ascii="Arial" w:hAnsi="Arial"/>
                <w:b w:val="0"/>
                <w:sz w:val="14"/>
              </w:rPr>
              <w:t>Aggregated MRO-adjusted RCCS dimension score</w:t>
            </w:r>
          </w:p>
        </w:tc>
        <w:tc>
          <w:tcPr>
            <w:tcW w:type="dxa" w:w="3408"/>
          </w:tcPr>
          <w:p>
            <w:pPr>
              <w:spacing w:after="0"/>
            </w:pPr>
            <w:r>
              <w:rPr>
                <w:rFonts w:ascii="Arial" w:hAnsi="Arial"/>
                <w:b w:val="0"/>
                <w:sz w:val="14"/>
              </w:rPr>
              <w:t>RCCS-M = 72.0</w:t>
            </w:r>
          </w:p>
        </w:tc>
      </w:tr>
      <w:tr>
        <w:tc>
          <w:tcPr>
            <w:tcW w:type="dxa" w:w="3408"/>
          </w:tcPr>
          <w:p>
            <w:pPr>
              <w:spacing w:after="0"/>
            </w:pPr>
            <w:r>
              <w:rPr>
                <w:rFonts w:ascii="Arial" w:hAnsi="Arial"/>
                <w:b w:val="0"/>
                <w:sz w:val="14"/>
              </w:rPr>
              <w:t>ALCS Score</w:t>
            </w:r>
          </w:p>
        </w:tc>
        <w:tc>
          <w:tcPr>
            <w:tcW w:type="dxa" w:w="3408"/>
          </w:tcPr>
          <w:p>
            <w:pPr>
              <w:spacing w:after="0"/>
            </w:pPr>
            <w:r>
              <w:rPr>
                <w:rFonts w:ascii="Arial" w:hAnsi="Arial"/>
                <w:b w:val="0"/>
                <w:sz w:val="14"/>
              </w:rPr>
              <w:t>Aggregated ALCS dimension score</w:t>
            </w:r>
          </w:p>
        </w:tc>
        <w:tc>
          <w:tcPr>
            <w:tcW w:type="dxa" w:w="3408"/>
          </w:tcPr>
          <w:p>
            <w:pPr>
              <w:spacing w:after="0"/>
            </w:pPr>
            <w:r>
              <w:rPr>
                <w:rFonts w:ascii="Arial" w:hAnsi="Arial"/>
                <w:b w:val="0"/>
                <w:sz w:val="14"/>
              </w:rPr>
              <w:t>ALCS = 55.0</w:t>
            </w:r>
          </w:p>
        </w:tc>
      </w:tr>
      <w:tr>
        <w:tc>
          <w:tcPr>
            <w:tcW w:type="dxa" w:w="3408"/>
          </w:tcPr>
          <w:p>
            <w:pPr>
              <w:spacing w:after="0"/>
            </w:pPr>
            <w:r>
              <w:rPr>
                <w:rFonts w:ascii="Arial" w:hAnsi="Arial"/>
                <w:b w:val="0"/>
                <w:sz w:val="14"/>
              </w:rPr>
              <w:t>Traditional Composite</w:t>
            </w:r>
          </w:p>
        </w:tc>
        <w:tc>
          <w:tcPr>
            <w:tcW w:type="dxa" w:w="3408"/>
          </w:tcPr>
          <w:p>
            <w:pPr>
              <w:spacing w:after="0"/>
            </w:pPr>
            <w:r>
              <w:rPr>
                <w:rFonts w:ascii="Arial" w:hAnsi="Arial"/>
                <w:b w:val="0"/>
                <w:sz w:val="14"/>
              </w:rPr>
              <w:t>0.40 × RCCS-T + 0.60 × ALCS</w:t>
            </w:r>
          </w:p>
        </w:tc>
        <w:tc>
          <w:tcPr>
            <w:tcW w:type="dxa" w:w="3408"/>
          </w:tcPr>
          <w:p>
            <w:pPr>
              <w:spacing w:after="0"/>
            </w:pPr>
            <w:r>
              <w:rPr>
                <w:rFonts w:ascii="Arial" w:hAnsi="Arial"/>
                <w:b w:val="0"/>
                <w:sz w:val="14"/>
              </w:rPr>
              <w:t>0.40 × 65.0 + 0.60 × 55.0 = 59.0</w:t>
            </w:r>
          </w:p>
        </w:tc>
      </w:tr>
      <w:tr>
        <w:tc>
          <w:tcPr>
            <w:tcW w:type="dxa" w:w="3408"/>
          </w:tcPr>
          <w:p>
            <w:pPr>
              <w:spacing w:after="0"/>
            </w:pPr>
            <w:r>
              <w:rPr>
                <w:rFonts w:ascii="Arial" w:hAnsi="Arial"/>
                <w:b w:val="0"/>
                <w:sz w:val="14"/>
              </w:rPr>
              <w:t>Agentic Composite</w:t>
            </w:r>
          </w:p>
        </w:tc>
        <w:tc>
          <w:tcPr>
            <w:tcW w:type="dxa" w:w="3408"/>
          </w:tcPr>
          <w:p>
            <w:pPr>
              <w:spacing w:after="0"/>
            </w:pPr>
            <w:r>
              <w:rPr>
                <w:rFonts w:ascii="Arial" w:hAnsi="Arial"/>
                <w:b w:val="0"/>
                <w:sz w:val="14"/>
              </w:rPr>
              <w:t>0.40 × RCCS-M + 0.60 × ALCS</w:t>
            </w:r>
          </w:p>
        </w:tc>
        <w:tc>
          <w:tcPr>
            <w:tcW w:type="dxa" w:w="3408"/>
          </w:tcPr>
          <w:p>
            <w:pPr>
              <w:spacing w:after="0"/>
            </w:pPr>
            <w:r>
              <w:rPr>
                <w:rFonts w:ascii="Arial" w:hAnsi="Arial"/>
                <w:b w:val="0"/>
                <w:sz w:val="14"/>
              </w:rPr>
              <w:t>0.40 × 72.0 + 0.60 × 55.0 = 61.8</w:t>
            </w:r>
          </w:p>
        </w:tc>
      </w:tr>
    </w:tbl>
    <w:p>
      <w:pPr>
        <w:spacing w:after="56"/>
      </w:pPr>
      <w:r>
        <w:t>These calculations preserve the distinction between traditional regulatory coverage and MRO-adjusted regulatory coverage. They are optional worksheet views, not the main publication result.</w:t>
      </w:r>
    </w:p>
    <w:p>
      <w:pPr>
        <w:spacing w:after="56"/>
      </w:pPr>
      <w:r>
        <w:t>RCCS-T, RCCS-M, and ALCS are reported separately because they measure different layers. RCCS-T evaluates whether a system provides the governance primitives that existing regulation requires. RCCS-M evaluates whether those obligations can be expressed through Missing Regulatory Objects. ALCS evaluates whether lifecycle responsibility conformance is mature. Any composite view must therefore be read only alongside the separate three-profile scores.</w:t>
      </w:r>
    </w:p>
    <w:p>
      <w:pPr>
        <w:pStyle w:val="Heading2"/>
      </w:pPr>
      <w:r>
        <w:t>9.3 Evidence Multiplier Application</w:t>
      </w:r>
    </w:p>
    <w:p>
      <w:pPr>
        <w:spacing w:after="56"/>
      </w:pPr>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Pr>
        <w:spacing w:after="56"/>
      </w:pPr>
      <w:r>
        <w:t>The evidence hierarchy established in the front matter defines five evidence levels:</w:t>
      </w:r>
    </w:p>
    <w:p>
      <w:pPr>
        <w:pStyle w:val="ListBullet"/>
        <w:spacing w:after="56"/>
      </w:pPr>
      <w:r>
        <w:t>L1: Binding legal, regulatory, or formal standards text - Highest confidence for baseline obligations; does not prove system implementation</w:t>
      </w:r>
    </w:p>
    <w:p>
      <w:pPr>
        <w:pStyle w:val="ListBullet"/>
        <w:spacing w:after="56"/>
      </w:pPr>
      <w:r>
        <w:t>L2: Official product documentation, API docs, developer documentation, platform architecture docs - High confidence</w:t>
      </w:r>
    </w:p>
    <w:p>
      <w:pPr>
        <w:pStyle w:val="ListBullet"/>
        <w:spacing w:after="56"/>
      </w:pPr>
      <w:r>
        <w:t>L3: Independent audits, certifications, third-party evaluations, regulatory commentary - Medium confidence</w:t>
      </w:r>
    </w:p>
    <w:p>
      <w:pPr>
        <w:pStyle w:val="ListBullet"/>
        <w:spacing w:after="56"/>
      </w:pPr>
      <w:r>
        <w:t>L4: Vendor white papers, product pages, blog posts, marketing statements - Low confidence</w:t>
      </w:r>
    </w:p>
    <w:p>
      <w:pPr>
        <w:pStyle w:val="ListBullet"/>
        <w:spacing w:after="56"/>
      </w:pPr>
      <w:r>
        <w:t>L5: Author inference, conceptual analysis, strategic interpretation - Disclosed inference</w:t>
      </w:r>
    </w:p>
    <w:p>
      <w:pPr>
        <w:spacing w:after="56"/>
      </w:pPr>
      <w:r>
        <w:t>The evidence multiplier translates evidence levels into scoring adjustments:</w:t>
      </w:r>
    </w:p>
    <w:p>
      <w:pPr>
        <w:keepNext/>
      </w:pPr>
      <w:r>
        <w:rPr>
          <w:b/>
          <w:sz w:val="16"/>
        </w:rPr>
        <w:t>Table T-09-02: Evidence Multiplier Values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Multiplier</w:t>
            </w:r>
          </w:p>
        </w:tc>
        <w:tc>
          <w:tcPr>
            <w:tcW w:type="dxa" w:w="2556"/>
          </w:tcPr>
          <w:p>
            <w:pPr>
              <w:spacing w:after="0"/>
            </w:pPr>
            <w:r>
              <w:rPr>
                <w:rFonts w:ascii="Arial" w:hAnsi="Arial"/>
                <w:b/>
                <w:sz w:val="14"/>
              </w:rPr>
              <w:t>Rationale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1.00</w:t>
            </w:r>
          </w:p>
        </w:tc>
        <w:tc>
          <w:tcPr>
            <w:tcW w:type="dxa" w:w="2556"/>
          </w:tcPr>
          <w:p>
            <w:pPr>
              <w:spacing w:after="0"/>
            </w:pPr>
            <w:r>
              <w:rPr>
                <w:rFonts w:ascii="Arial" w:hAnsi="Arial"/>
                <w:b w:val="0"/>
                <w:sz w:val="14"/>
              </w:rPr>
              <w:t>Highest confidence for baseline obligations; 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0.85</w:t>
            </w:r>
          </w:p>
        </w:tc>
        <w:tc>
          <w:tcPr>
            <w:tcW w:type="dxa" w:w="2556"/>
          </w:tcPr>
          <w:p>
            <w:pPr>
              <w:spacing w:after="0"/>
            </w:pPr>
            <w:r>
              <w:rPr>
                <w:rFonts w:ascii="Arial" w:hAnsi="Arial"/>
                <w:b w:val="0"/>
                <w:sz w:val="14"/>
              </w:rPr>
              <w:t>High confidence, but product capability claims still require current-source validation</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0.75</w:t>
            </w:r>
          </w:p>
        </w:tc>
        <w:tc>
          <w:tcPr>
            <w:tcW w:type="dxa" w:w="2556"/>
          </w:tcPr>
          <w:p>
            <w:pPr>
              <w:spacing w:after="0"/>
            </w:pPr>
            <w:r>
              <w:rPr>
                <w:rFonts w:ascii="Arial" w:hAnsi="Arial"/>
                <w:b w:val="0"/>
                <w:sz w:val="14"/>
              </w:rPr>
              <w:t>Medium confidence; independent but may lack technical depth</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0.55</w:t>
            </w:r>
          </w:p>
        </w:tc>
        <w:tc>
          <w:tcPr>
            <w:tcW w:type="dxa" w:w="2556"/>
          </w:tcPr>
          <w:p>
            <w:pPr>
              <w:spacing w:after="0"/>
            </w:pPr>
            <w:r>
              <w:rPr>
                <w:rFonts w:ascii="Arial" w:hAnsi="Arial"/>
                <w:b w:val="0"/>
                <w:sz w:val="14"/>
              </w:rPr>
              <w:t>Low confidence; promotional and may lack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0.35</w:t>
            </w:r>
          </w:p>
        </w:tc>
        <w:tc>
          <w:tcPr>
            <w:tcW w:type="dxa" w:w="2556"/>
          </w:tcPr>
          <w:p>
            <w:pPr>
              <w:spacing w:after="0"/>
            </w:pPr>
            <w:r>
              <w:rPr>
                <w:rFonts w:ascii="Arial" w:hAnsi="Arial"/>
                <w:b w:val="0"/>
                <w:sz w:val="14"/>
              </w:rPr>
              <w:t>Disclosed inference; useful for analysis but not verified implementation evidence</w:t>
            </w:r>
          </w:p>
        </w:tc>
      </w:tr>
    </w:tbl>
    <w:p>
      <w:pPr>
        <w:spacing w:after="56"/>
      </w:pPr>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Pr>
        <w:spacing w:after="56"/>
      </w:pPr>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Pr>
        <w:spacing w:after="56"/>
      </w:pPr>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Pr>
        <w:pStyle w:val="Heading2"/>
      </w:pPr>
      <w:r>
        <w:t>9.4 Interpreting RCCS-T, RCCS-M, and ALCS Together</w:t>
      </w:r>
    </w:p>
    <w:p>
      <w:pPr>
        <w:spacing w:after="56"/>
      </w:pPr>
      <w:r>
        <w:t>RCCS-T, RCCS-M, and ALCS measure different layers. RCCS-T measures traditional regulatory compliance coverage: whether a system provides the governance primitives that existing regulation requires. RCCS-M measures whether those obligations can be expressed through Missing Regulatory Objects. ALCS measures agentic lifecycle conformance: whether the system provides mature lifecycle objects that make agentic responsibility auditable, provable, and transferable across agents, humans, tools, projects, vendors, and organizational boundaries.</w:t>
      </w:r>
    </w:p>
    <w:p>
      <w:pPr>
        <w:spacing w:after="56"/>
      </w:pPr>
      <w:r>
        <w:t>Interpreting the three profiles requires reading score deltas rather than collapsing the profiles into a single ordering. High RCCS-T with lower RCCS-M or ALCS means conventional governance coverage is more visible than lifecycle responsibility object coverage. Lower RCCS-T with higher RCCS-M and ALCS means protocol or framework semantics may express lifecycle responsibility strongly while productized governance-platform coverage remains limited. This distinction is especially important for comparing enterprise governance platforms with lifecycle protocol paths.</w:t>
      </w:r>
    </w:p>
    <w:p>
      <w:pPr>
        <w:spacing w:after="56"/>
      </w:pPr>
      <w:r>
        <w:t>The 70% boundary used in this matrix is an analytical interpretation band for comparing capability profiles. It is not a legal compliance threshold, deployment readiness threshold, procurement threshold, or certification cutoff.</w:t>
      </w:r>
    </w:p>
    <w:p>
      <w:pPr>
        <w:keepNext/>
      </w:pPr>
      <w:r>
        <w:rPr>
          <w:b/>
          <w:sz w:val="16"/>
        </w:rPr>
        <w:t>Table T-09-03: RCCS-T / RCCS-M / ALCS Interpretation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Pattern</w:t>
            </w:r>
          </w:p>
        </w:tc>
        <w:tc>
          <w:tcPr>
            <w:tcW w:type="dxa" w:w="1704"/>
          </w:tcPr>
          <w:p>
            <w:pPr>
              <w:spacing w:after="0"/>
            </w:pPr>
            <w:r>
              <w:rPr>
                <w:rFonts w:ascii="Arial" w:hAnsi="Arial"/>
                <w:b/>
                <w:sz w:val="12"/>
              </w:rPr>
              <w:t>RCCS-T</w:t>
            </w:r>
          </w:p>
        </w:tc>
        <w:tc>
          <w:tcPr>
            <w:tcW w:type="dxa" w:w="1704"/>
          </w:tcPr>
          <w:p>
            <w:pPr>
              <w:spacing w:after="0"/>
            </w:pPr>
            <w:r>
              <w:rPr>
                <w:rFonts w:ascii="Arial" w:hAnsi="Arial"/>
                <w:b/>
                <w:sz w:val="12"/>
              </w:rPr>
              <w:t>RCCS-M</w:t>
            </w:r>
          </w:p>
        </w:tc>
        <w:tc>
          <w:tcPr>
            <w:tcW w:type="dxa" w:w="1704"/>
          </w:tcPr>
          <w:p>
            <w:pPr>
              <w:spacing w:after="0"/>
            </w:pPr>
            <w:r>
              <w:rPr>
                <w:rFonts w:ascii="Arial" w:hAnsi="Arial"/>
                <w:b/>
                <w:sz w:val="12"/>
              </w:rPr>
              <w:t>ALCS</w:t>
            </w:r>
          </w:p>
        </w:tc>
        <w:tc>
          <w:tcPr>
            <w:tcW w:type="dxa" w:w="1704"/>
          </w:tcPr>
          <w:p>
            <w:pPr>
              <w:spacing w:after="0"/>
            </w:pPr>
            <w:r>
              <w:rPr>
                <w:rFonts w:ascii="Arial" w:hAnsi="Arial"/>
                <w:b/>
                <w:sz w:val="12"/>
              </w:rPr>
              <w:t>Interpretation</w:t>
            </w:r>
          </w:p>
        </w:tc>
        <w:tc>
          <w:tcPr>
            <w:tcW w:type="dxa" w:w="1704"/>
          </w:tcPr>
          <w:p>
            <w:pPr>
              <w:spacing w:after="0"/>
            </w:pPr>
            <w:r>
              <w:rPr>
                <w:rFonts w:ascii="Arial" w:hAnsi="Arial"/>
                <w:b/>
                <w:sz w:val="12"/>
              </w:rPr>
              <w:t>Common System Types</w:t>
            </w:r>
          </w:p>
        </w:tc>
      </w:tr>
      <w:tr>
        <w:tc>
          <w:tcPr>
            <w:tcW w:type="dxa" w:w="1704"/>
          </w:tcPr>
          <w:p>
            <w:pPr>
              <w:spacing w:after="0"/>
            </w:pPr>
            <w:r>
              <w:rPr>
                <w:rFonts w:ascii="Arial" w:hAnsi="Arial"/>
                <w:b w:val="0"/>
                <w:sz w:val="12"/>
              </w:rPr>
              <w:t>Traditional governance visible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Lower</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Strong conventional governance surfaces, but MRO-adjusted lifecycle responsibility objects are less visible.</w:t>
            </w:r>
          </w:p>
        </w:tc>
        <w:tc>
          <w:tcPr>
            <w:tcW w:type="dxa" w:w="1704"/>
          </w:tcPr>
          <w:p>
            <w:pPr>
              <w:spacing w:after="0"/>
            </w:pPr>
            <w:r>
              <w:rPr>
                <w:rFonts w:ascii="Arial" w:hAnsi="Arial"/>
                <w:b w:val="0"/>
                <w:sz w:val="12"/>
              </w:rPr>
              <w:t>Enterprise AI governance platforms, managed AI platforms</w:t>
            </w:r>
          </w:p>
        </w:tc>
      </w:tr>
      <w:tr>
        <w:tc>
          <w:tcPr>
            <w:tcW w:type="dxa" w:w="1704"/>
          </w:tcPr>
          <w:p>
            <w:pPr>
              <w:spacing w:after="0"/>
            </w:pPr>
            <w:r>
              <w:rPr>
                <w:rFonts w:ascii="Arial" w:hAnsi="Arial"/>
                <w:b w:val="0"/>
                <w:sz w:val="12"/>
              </w:rPr>
              <w:t>Lifecycle semantics visible</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Traditional productized governance coverage may be limited, but lifecycle responsibility semantics are strong.</w:t>
            </w:r>
          </w:p>
        </w:tc>
        <w:tc>
          <w:tcPr>
            <w:tcW w:type="dxa" w:w="1704"/>
          </w:tcPr>
          <w:p>
            <w:pPr>
              <w:spacing w:after="0"/>
            </w:pPr>
            <w:r>
              <w:rPr>
                <w:rFonts w:ascii="Arial" w:hAnsi="Arial"/>
                <w:b w:val="0"/>
                <w:sz w:val="12"/>
              </w:rPr>
              <w:t>Lifecycle protocol systems, lifecycle-aware orchestration frameworks</w:t>
            </w:r>
          </w:p>
        </w:tc>
      </w:tr>
      <w:tr>
        <w:tc>
          <w:tcPr>
            <w:tcW w:type="dxa" w:w="1704"/>
          </w:tcPr>
          <w:p>
            <w:pPr>
              <w:spacing w:after="0"/>
            </w:pPr>
            <w:r>
              <w:rPr>
                <w:rFonts w:ascii="Arial" w:hAnsi="Arial"/>
                <w:b w:val="0"/>
                <w:sz w:val="12"/>
              </w:rPr>
              <w:t>Three-profile balanced</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Governance surfaces and lifecycle responsibility semantics are both visible.</w:t>
            </w:r>
          </w:p>
        </w:tc>
        <w:tc>
          <w:tcPr>
            <w:tcW w:type="dxa" w:w="1704"/>
          </w:tcPr>
          <w:p>
            <w:pPr>
              <w:spacing w:after="0"/>
            </w:pPr>
            <w:r>
              <w:rPr>
                <w:rFonts w:ascii="Arial" w:hAnsi="Arial"/>
                <w:b w:val="0"/>
                <w:sz w:val="12"/>
              </w:rPr>
              <w:t>Future governance platforms with explicit lifecycle object support</w:t>
            </w:r>
          </w:p>
        </w:tc>
      </w:tr>
      <w:tr>
        <w:tc>
          <w:tcPr>
            <w:tcW w:type="dxa" w:w="1704"/>
          </w:tcPr>
          <w:p>
            <w:pPr>
              <w:spacing w:after="0"/>
            </w:pPr>
            <w:r>
              <w:rPr>
                <w:rFonts w:ascii="Arial" w:hAnsi="Arial"/>
                <w:b w:val="0"/>
                <w:sz w:val="12"/>
              </w:rPr>
              <w:t>Execution-oriented</w:t>
            </w:r>
          </w:p>
        </w:tc>
        <w:tc>
          <w:tcPr>
            <w:tcW w:type="dxa" w:w="1704"/>
          </w:tcPr>
          <w:p>
            <w:pPr>
              <w:spacing w:after="0"/>
            </w:pPr>
            <w:r>
              <w:rPr>
                <w:rFonts w:ascii="Arial" w:hAnsi="Arial"/>
                <w:b w:val="0"/>
                <w:sz w:val="12"/>
              </w:rPr>
              <w:t>Lower</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Lower/Partial</w:t>
            </w:r>
          </w:p>
        </w:tc>
        <w:tc>
          <w:tcPr>
            <w:tcW w:type="dxa" w:w="1704"/>
          </w:tcPr>
          <w:p>
            <w:pPr>
              <w:spacing w:after="0"/>
            </w:pPr>
            <w:r>
              <w:rPr>
                <w:rFonts w:ascii="Arial" w:hAnsi="Arial"/>
                <w:b w:val="0"/>
                <w:sz w:val="12"/>
              </w:rPr>
              <w:t>Useful execution or observability primitives, but governance and lifecycle responsibility objects require surrounding systems.</w:t>
            </w:r>
          </w:p>
        </w:tc>
        <w:tc>
          <w:tcPr>
            <w:tcW w:type="dxa" w:w="1704"/>
          </w:tcPr>
          <w:p>
            <w:pPr>
              <w:spacing w:after="0"/>
            </w:pPr>
            <w:r>
              <w:rPr>
                <w:rFonts w:ascii="Arial" w:hAnsi="Arial"/>
                <w:b w:val="0"/>
                <w:sz w:val="12"/>
              </w:rPr>
              <w:t>Developer SDKs, orchestration frameworks without governance extensions</w:t>
            </w:r>
          </w:p>
        </w:tc>
      </w:tr>
    </w:tbl>
    <w:p>
      <w:pPr>
        <w:spacing w:after="56"/>
      </w:pPr>
      <w:r>
        <w:t>The traditional-governance-visible pattern is common. Many enterprise AI governance platforms, managed AI platforms, and observability tools provide strong RCCS-T coverage through risk management, documentation, record-keeping, transparency, human oversight, security, accountability, contestability, and monitoring capabilities. However, they may have lower RCCS-M and ALCS posture where authority boundaries, responsibility transfer, evidence partitioning, privacy lifecycle mapping, accepted outcomes, and vendor substitution conformance are not exposed as first-class lifecycle responsibility objects. This is not a failure. It reflects the reality that existing regulation focuses on model governance and platform controls while lifecycle responsibility semantics for multi-agent systems are still emerging.</w:t>
      </w:r>
    </w:p>
    <w:p>
      <w:pPr>
        <w:spacing w:after="56"/>
      </w:pPr>
      <w:r>
        <w:t>The lifecycle-semantics-visible pattern is strategically important. It represents systems that provide strong lifecycle objects for expressing agentic responsibility while lacking broader productized governance-platform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Pr>
        <w:spacing w:after="56"/>
      </w:pPr>
      <w:r>
        <w:t>The three-profile-balanced pattern represents systems that provide traditional regulatory compliance coverage, MRO-adjusted lifecycle object coverage, and lifecycle conformance maturity. These systems are positioned to support both existing regulatory requirements and emerging lifecycle responsibility requirements for multi-agent systems.</w:t>
      </w:r>
    </w:p>
    <w:p>
      <w:pPr>
        <w:spacing w:after="56"/>
      </w:pPr>
      <w:r>
        <w:t>The execution-oriented pattern represents systems that provide execution orchestration or observability features but lack explicit governance primitives and lifecycle objects. These systems may be valuable for development, experimentation, or low-risk use cases but may require surrounding governance systems for high-risk or regulated deployments.</w:t>
      </w:r>
    </w:p>
    <w:p>
      <w:pPr>
        <w:spacing w:after="56"/>
      </w:pPr>
      <w:r>
        <w:t>All three profile scores are necessary for full assessment. RCCS-T shows familiar governance coverage. RCCS-M shows MRO-adjusted regulatory coverage. ALCS shows lifecycle conformance maturity. Together, they provide the publication-facing assessment of system governance capability.</w:t>
      </w:r>
    </w:p>
    <w:p>
      <w:pPr>
        <w:pStyle w:val="Heading2"/>
      </w:pPr>
      <w:r>
        <w:t>9.5 Scoring Reproducibility and Transparency</w:t>
      </w:r>
    </w:p>
    <w:p>
      <w:pPr>
        <w:spacing w:after="56"/>
      </w:pPr>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Pr>
        <w:spacing w:after="56"/>
      </w:pPr>
      <w:r>
        <w:t>Scoring reproducibility requires four elements: dimension scores with rationale, evidence sources with quality assessment, evidence multiplier application, and calculation transparency.</w:t>
      </w:r>
    </w:p>
    <w:p>
      <w:pPr>
        <w:spacing w:after="56"/>
      </w:pPr>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Pr>
        <w:spacing w:after="56"/>
      </w:pPr>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Pr>
        <w:spacing w:after="56"/>
      </w:pPr>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Pr>
        <w:spacing w:after="56"/>
      </w:pPr>
      <w:r>
        <w:t>Calculation transparency requires showing the full three-profile score basis. Evaluators must provide a table or worksheet showing raw scores, evidence multipliers, adjusted dimension scores, RCCS-T, RCCS-M, and ALCS framework scores, and any optional Traditional Composite or Agentic Composite view. This allows reviewers to verify the calculation and identify any errors or disagreements without collapsing the main result into one number.</w:t>
      </w:r>
    </w:p>
    <w:p>
      <w:pPr>
        <w:spacing w:after="56"/>
      </w:pPr>
      <w:r>
        <w:t>Scoring is comparative, not absolute. Three-profile scores and optional composite views are most useful when comparing systems against defined governance expectations or tracking a single system over time. Absolute score thresholds such as "70% is compliant" are not meaningful because the scoring method is an analytical framework, not a compliance certification. The value of scoring is in making visible capability gaps and evidence-confidence limits.</w:t>
      </w:r>
    </w:p>
    <w:p>
      <w:pPr>
        <w:pStyle w:val="Heading2"/>
      </w:pPr>
      <w:r>
        <w:t>9.6 Boundary Statement</w:t>
      </w:r>
    </w:p>
    <w:p>
      <w:pPr>
        <w:spacing w:after="56"/>
      </w:pPr>
      <w:r>
        <w:t>The three-profile scoring method is an analytical framework, not a legal compliance score. Optional composite views are secondary worksheet tools. This boundary must be understood clearly to avoid misinterpretation and over-claiming.</w:t>
      </w:r>
    </w:p>
    <w:p>
      <w:pPr>
        <w:spacing w:after="56"/>
      </w:pPr>
      <w:r>
        <w:t>What the scoring method is:</w:t>
      </w:r>
    </w:p>
    <w:p>
      <w:pPr>
        <w:pStyle w:val="ListBullet"/>
        <w:spacing w:after="56"/>
      </w:pPr>
      <w:r>
        <w:t>An analytical framework for comparing system capabilities against traditional regulatory requirements, MRO-adjusted regulatory coverage, and lifecycle responsibility requirements</w:t>
      </w:r>
    </w:p>
    <w:p>
      <w:pPr>
        <w:pStyle w:val="ListBullet"/>
        <w:spacing w:after="56"/>
      </w:pPr>
      <w:r>
        <w:t>A structured method for evaluating whether systems provide governance primitives and lifecycle objects</w:t>
      </w:r>
    </w:p>
    <w:p>
      <w:pPr>
        <w:pStyle w:val="ListBullet"/>
        <w:spacing w:after="56"/>
      </w:pPr>
      <w:r>
        <w:t>A tool for buyers, auditors, governance teams, and protocol designers to assess system readiness</w:t>
      </w:r>
    </w:p>
    <w:p>
      <w:pPr>
        <w:pStyle w:val="ListBullet"/>
        <w:spacing w:after="56"/>
      </w:pPr>
      <w:r>
        <w:t>A bridge between regulatory abstractions, lifecycle requirements, and engineering implementation</w:t>
      </w:r>
    </w:p>
    <w:p>
      <w:pPr>
        <w:spacing w:after="56"/>
      </w:pPr>
      <w:r>
        <w:t>What the scoring method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pStyle w:val="ListBullet"/>
        <w:spacing w:after="56"/>
      </w:pPr>
      <w:r>
        <w:t>A market endorsement or procurement recommendation</w:t>
      </w:r>
    </w:p>
    <w:p>
      <w:pPr>
        <w:spacing w:after="56"/>
      </w:pPr>
      <w:r>
        <w:t>High RCCS-T, RCCS-M, ALCS, or optional composite scores do NOT mean legal compliance. A system may score well on visible capability surfaces while the organization using it fails to comply with legal obligations due to deployment gaps, policy weaknesses, incomplete adoption, jurisdictional differences, or use case risks. The scoring method measures system capability to express governance primitives and lifecycle objects, not organizational conformance to legal requirements.</w:t>
      </w:r>
    </w:p>
    <w:p>
      <w:pPr>
        <w:spacing w:after="56"/>
      </w:pPr>
      <w:r>
        <w:t>Low RCCS-T, RCCS-M, ALCS, or optional composite scores do NOT mean non-compliance. A system may score lower in one profile while the organization achieves compliance through compensating controls, manual processes, alternative governance mechanisms, or different system architectures. The scoring method evaluates specific system capabilities, not all possible paths to compliance.</w:t>
      </w:r>
    </w:p>
    <w:p>
      <w:pPr>
        <w:spacing w:after="56"/>
      </w:pPr>
      <w:r>
        <w:t>The scoring method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The scoring method evaluates what the system can express, not what the organization actually does.</w:t>
      </w:r>
    </w:p>
    <w:p>
      <w:pPr>
        <w:spacing w:after="56"/>
      </w:pPr>
      <w:r>
        <w:t>The scoring method is context-independent, but compliance is context-dependent. It evaluates system capabilities without regard to deployment context, risk class, jurisdiction, or use case. Legal compliance depends on all of these factors. A system with high scores may still be non-compliant in specific contexts, and a system with low scores may be compliant in other contexts.</w:t>
      </w:r>
    </w:p>
    <w:p>
      <w:pPr>
        <w:spacing w:after="56"/>
      </w:pPr>
      <w:r>
        <w:t>The purpose of this boundary statement is to prevent over-claiming. RCCS-M is an author analytical, forward-looking, MRO-adjusted model. It is not current law, a regulator-approved benchmark, a certification, legal compliance proof, a vendor ranking, or a procurement recommendation. Organizations must not rely on these scores as proof of legal compliance. Buyers must not treat high scores as a substitute for due diligence, legal review, or risk assessment. System vendors must not market these scores as compliance certifications or regulatory approvals.</w:t>
      </w:r>
    </w:p>
    <w:p>
      <w:pPr>
        <w:pStyle w:val="Heading2"/>
      </w:pPr>
      <w:r>
        <w:t>9.7 Bridge to System Mappings</w:t>
      </w:r>
    </w:p>
    <w:p>
      <w:pPr>
        <w:spacing w:after="56"/>
      </w:pPr>
      <w:r>
        <w:t>The following chapters use RCCS-T, RCCS-M, and ALCS as analytical lenses for enterprise controls, system mappings, validation patterns, and failure-scenario analysis. Chapter 10 provides enterprise control crosswalk, mapping regulatory coverage and lifecycle conformance dimensions to enterprise control frameworks such as NIST Cybersecurity Framework, ISO 27001, and SOC 2. Chapters 11 through 13 provide comparative field analysis and detailed system/protocol mappings, while Chapters 14 and 15 test the evidence and failure-scenario implications of the RCCS-M / MRO model.</w:t>
      </w:r>
    </w:p>
    <w:p>
      <w:pPr>
        <w:spacing w:after="56"/>
      </w:pPr>
      <w:r>
        <w:t>Each system mapping documents qualitative posture, evidence sources, and scoring rationale where a source-bound worksheet is used.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show that agentic work moved from intent to accepted outcome under controlled authority, evidence, privacy, and remediation constraints.</w:t>
      </w:r>
    </w:p>
    <w:p>
      <w:pPr>
        <w:spacing w:after="56"/>
      </w:pPr>
      <w:r>
        <w:t>System mappings use the scoring method defined in this chapter only where a scoring worksheet is appropriate. Where a scoring worksheet is used, systems may be evaluated with separate RCCS-T, RCCS-M, and ALCS analytical profiles. In this publication-candidate review edition, any system-level assessment remains source-bound, provisional, and non-ranking unless explicitly finalized through the evidence register. Dimension-level analytical judgments should be documented with rationale, evidence sources should be cited with quality assessment, and evidence multipliers should be applied per dimension when numerical worksheets are used. The result is a three-profile analytical view that makes visible the difference between traditional regulatory coverage, MRO-adjusted regulatory coverage, and lifecycle responsibility conformance without creating vendor rankings or procurement selection signals.</w:t>
      </w:r>
    </w:p>
    <w:p>
      <w:pPr>
        <w:spacing w:after="56"/>
      </w:pPr>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Pr>
        <w:pStyle w:val="Heading2"/>
      </w:pPr>
      <w:r>
        <w:t>9.8 Chapter Summary</w:t>
      </w:r>
    </w:p>
    <w:p>
      <w:pPr>
        <w:spacing w:after="56"/>
      </w:pPr>
      <w:r>
        <w:t>This chapter introduced the three-profile scoring method and optional composite views. The publication-facing result display is RCCS-T, RCCS-M, and ALCS. It is an analytical framework for comparing system capability patterns, not a legal compliance certification.</w:t>
      </w:r>
    </w:p>
    <w:p>
      <w:pPr>
        <w:spacing w:after="56"/>
      </w:pPr>
      <w:r>
        <w:t>The method first normalizes dimension scores using (Raw Score / 5) × 100 × Evidence Confidence Multiplier, then reports RCCS-T, RCCS-M, and ALCS separately. Optional worksheet composites may combine RCCS-T or RCCS-M with ALCS, but composite views are secondary and must not hide the three-profile structure. The evidence multiplier adjusts dimension scores based on evidence quality, ensuring that scores reflect both system capability and confidence level in the assessment.</w:t>
      </w:r>
    </w:p>
    <w:p>
      <w:pPr>
        <w:spacing w:after="56"/>
      </w:pPr>
      <w:r>
        <w:t>Interpreting RCCS-T, RCCS-M, and ALCS together requires reading score-delta patterns. Strong RCCS-T with lower RCCS-M or ALCS indicates visible traditional governance coverage but less visible lifecycle responsibility object coverage. Lower RCCS-T with stronger RCCS-M and ALCS indicates stronger lifecycle protocol semantics but less productized governance-platform coverage. This is the strategic distinction the three-profile model preserves.</w:t>
      </w:r>
    </w:p>
    <w:p>
      <w:pPr>
        <w:spacing w:after="56"/>
      </w:pPr>
      <w:r>
        <w:t>Composite scoring must be reproducible and transparent when used. Dimension-level analytical judgments must be documented with rationale. Evidence sources must be cited with quality assessment. Evidence multipliers must be applied explicitly when numerical worksheets are used. Calculations must be shown transparently. Scoring is comparative, not absolute. In this publication-candidate review edition, the value of the method is in making capability gaps visible without turning qualitative system mappings into rankings.</w:t>
      </w:r>
    </w:p>
    <w:p>
      <w:pPr>
        <w:spacing w:after="56"/>
      </w:pPr>
      <w:r>
        <w:t>The scoring method is an analytical framework, not a legal compliance score. High RCCS-T, RCCS-M, ALCS, or optional composite scores do not mean legal compliance. Low scores do not mean non-compliance. The method measures system capability, not organizational practice. It is context-independent, but compliance is context-dependent. Organizations must not rely on scores as proof of legal compliance. The following chapters use RCCS-T, RCCS-M, and ALCS as analytical lenses for comparative field analysis and detailed qualitative system mappings.</w:t>
      </w:r>
    </w:p>
    <w:p>
      <w:pPr>
        <w:pStyle w:val="Heading1"/>
      </w:pPr>
      <w:r>
        <w:t>10. Enterprise Adoption, Procurement, and Control Crosswalk</w:t>
      </w:r>
    </w:p>
    <w:p>
      <w:pPr>
        <w:spacing w:after="56"/>
      </w:pPr>
      <w:r>
        <w:t>Version: v0.3.2-FRC-R3</w:t>
      </w:r>
    </w:p>
    <w:p>
      <w:pPr>
        <w:pStyle w:val="Heading2"/>
      </w:pPr>
      <w:r>
        <w:t>10.0 Why Enterprise Control Language Matters</w:t>
      </w:r>
    </w:p>
    <w:p>
      <w:pPr>
        <w:spacing w:after="56"/>
      </w:pPr>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Pr>
        <w:spacing w:after="56"/>
      </w:pPr>
      <w:r>
        <w:t>Chapters 6 through 9 defined the Missing Regulatory Objects, RCCS-T, RCCS-M, ALCS, and the three-profile analytical model. Those chapters established the lifecycle responsibility framework. This chapter translates those objects into enterprise adoption, procurement, internal control, board reporting, model risk, cybersecurity, incident response, and monitoring language.</w:t>
      </w:r>
    </w:p>
    <w:p>
      <w:pPr>
        <w:spacing w:after="56"/>
      </w:pPr>
      <w:r>
        <w:t>The purpose of this chapter is to show that AI Agent Lifecycle Governance is not only an abstract protocol or research model. It can be mapped into enterprise control language. RCCS-T, RCCS-M, and ALCS scores can become bounded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RCCS-T, RCCS-M, or ALCS is a legal compliance score. It does not provide an audit opinion, certification, or procurement recommendation.</w:t>
      </w:r>
    </w:p>
    <w:p>
      <w:pPr>
        <w:spacing w:after="56"/>
      </w:pPr>
      <w:r>
        <w:t>Boundary: This chapter provides a governance crosswalk, not an audit framework, certification procedure, insurance underwriting model, or legal opinion. Detailed assurance procedures and insurance models are reserved for companion papers, as outlined in Chapter 16.</w:t>
      </w:r>
    </w:p>
    <w:p>
      <w:pPr>
        <w:pStyle w:val="Heading2"/>
      </w:pPr>
      <w:r>
        <w:t>10.1 Enterprise Control Overlay</w:t>
      </w:r>
    </w:p>
    <w:p>
      <w:pPr>
        <w:spacing w:after="56"/>
      </w:pPr>
      <w:r>
        <w:t>The following figure illustrates how AI Agent Lifecycle Governance maps into enterprise control structures. Regulation and standards define baseline requirements. RCCS-T measures traditional regulatory compliance coverage. MROs provide the adjustment layer. RCCS-M measures MRO-adjusted regulatory coverage. ALCS measures lifecycle conformance. Together, these layers produce enterprise control evidence that supports audit, insurance, and board reporting readiness.</w:t>
      </w:r>
    </w:p>
    <w:p>
      <w:pPr>
        <w:spacing w:after="56"/>
      </w:pPr>
      <w:r>
        <w:t>Figure F-06 - Enterprise Control Overlay for AI Agent Lifecycle Governance</w:t>
      </w:r>
    </w:p>
    <w:p>
      <w:pPr>
        <w:spacing w:after="56"/>
      </w:pPr>
      <w:r>
        <w:t>Regulation / Standards -&gt; RCCS-T Baseline Controls -&gt; MRO Adjustment Layer -&gt; RCCS-M MRO-Adjusted Coverage -&gt; ALCS Lifecycle Conformance -&gt; Enterprise Control Evidence -&gt; Audit / Insurance / Board Reporting Readiness</w:t>
      </w:r>
    </w:p>
    <w:p>
      <w:pPr>
        <w:spacing w:after="56"/>
      </w:pPr>
      <w:r>
        <w:t>Figure F-06 shows how regulation and standards can be translated into enterprise control evidence through RCCS-T baseline controls, the MRO adjustment layer, RCCS-M coverage, ALCS lifecycle conformance, and MRO engineering objects. It is a governance crosswalk, not an audit opinion, certification path, insurance underwriting model, or legal compliance proof.</w:t>
      </w:r>
    </w:p>
    <w:p>
      <w:pPr>
        <w:spacing w:after="56"/>
      </w:pPr>
      <w:r>
        <w:t>The overlay shows that lifecycle governance is not separate from enterprise controls. It is a structured method for producing the evidence that enterprise controls require. RCCS-T, RCCS-M, and ALCS scores do not replace risk assessments, internal audits, or compliance reviews. They provide structured inputs that make those processes more efficient, consistent, and auditable when applied to agentic systems.</w:t>
      </w:r>
    </w:p>
    <w:p>
      <w:pPr>
        <w:pStyle w:val="Heading2"/>
      </w:pPr>
      <w:r>
        <w:t>10.2 Enterprise Adoption, Procurement, and Control Crosswalk</w:t>
      </w:r>
    </w:p>
    <w:p>
      <w:pPr>
        <w:spacing w:after="56"/>
      </w:pPr>
      <w:r>
        <w:t>The following tables map enterprise control topics to agentic lifecycle objects. The crosswalk does not replace internal control frameworks. It shows where agentic lifecycle objects can provide evidence for enterprise control questions.</w:t>
      </w:r>
    </w:p>
    <w:p>
      <w:pPr>
        <w:pStyle w:val="Heading3"/>
      </w:pPr>
      <w:r>
        <w:t>Table T-10-01A: Enterprise Control Crosswalk — Control Questions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Enterprise Control Topic</w:t>
            </w:r>
          </w:p>
        </w:tc>
        <w:tc>
          <w:tcPr>
            <w:tcW w:type="dxa" w:w="3408"/>
          </w:tcPr>
          <w:p>
            <w:pPr>
              <w:spacing w:after="0"/>
            </w:pPr>
            <w:r>
              <w:rPr>
                <w:rFonts w:ascii="Arial" w:hAnsi="Arial"/>
                <w:b/>
                <w:sz w:val="14"/>
              </w:rPr>
              <w:t>Why It Matters for Agentic AI</w:t>
            </w:r>
          </w:p>
        </w:tc>
        <w:tc>
          <w:tcPr>
            <w:tcW w:type="dxa" w:w="3408"/>
          </w:tcPr>
          <w:p>
            <w:pPr>
              <w:spacing w:after="0"/>
            </w:pPr>
            <w:r>
              <w:rPr>
                <w:rFonts w:ascii="Arial" w:hAnsi="Arial"/>
                <w:b/>
                <w:sz w:val="14"/>
              </w:rPr>
              <w:t>Enterprise Buyer Question</w:t>
            </w:r>
          </w:p>
        </w:tc>
      </w:tr>
      <w:tr>
        <w:tc>
          <w:tcPr>
            <w:tcW w:type="dxa" w:w="3408"/>
          </w:tcPr>
          <w:p>
            <w:pPr>
              <w:spacing w:after="0"/>
            </w:pPr>
            <w:r>
              <w:rPr>
                <w:rFonts w:ascii="Arial" w:hAnsi="Arial"/>
                <w:b w:val="0"/>
                <w:sz w:val="14"/>
              </w:rPr>
              <w:t>Internal control</w:t>
            </w:r>
          </w:p>
        </w:tc>
        <w:tc>
          <w:tcPr>
            <w:tcW w:type="dxa" w:w="3408"/>
          </w:tcPr>
          <w:p>
            <w:pPr>
              <w:spacing w:after="0"/>
            </w:pPr>
            <w:r>
              <w:rPr>
                <w:rFonts w:ascii="Arial" w:hAnsi="Arial"/>
                <w:b w:val="0"/>
                <w:sz w:val="14"/>
              </w:rPr>
              <w:t>Agentic systems execute consequential actions under delegated authority. Internal control requires proving who authorized, executed, reviewed, and accepted each action.</w:t>
            </w:r>
          </w:p>
        </w:tc>
        <w:tc>
          <w:tcPr>
            <w:tcW w:type="dxa" w:w="3408"/>
          </w:tcPr>
          <w:p>
            <w:pPr>
              <w:spacing w:after="0"/>
            </w:pPr>
            <w:r>
              <w:rPr>
                <w:rFonts w:ascii="Arial" w:hAnsi="Arial"/>
                <w:b w:val="0"/>
                <w:sz w:val="14"/>
              </w:rPr>
              <w:t>Can the organization prove who authorized, executed, reviewed, and accepted agentic work?</w:t>
            </w:r>
          </w:p>
        </w:tc>
      </w:tr>
      <w:tr>
        <w:tc>
          <w:tcPr>
            <w:tcW w:type="dxa" w:w="3408"/>
          </w:tcPr>
          <w:p>
            <w:pPr>
              <w:spacing w:after="0"/>
            </w:pPr>
            <w:r>
              <w:rPr>
                <w:rFonts w:ascii="Arial" w:hAnsi="Arial"/>
                <w:b w:val="0"/>
                <w:sz w:val="14"/>
              </w:rPr>
              <w:t>Procurement scorecard</w:t>
            </w:r>
          </w:p>
        </w:tc>
        <w:tc>
          <w:tcPr>
            <w:tcW w:type="dxa" w:w="3408"/>
          </w:tcPr>
          <w:p>
            <w:pPr>
              <w:spacing w:after="0"/>
            </w:pPr>
            <w:r>
              <w:rPr>
                <w:rFonts w:ascii="Arial" w:hAnsi="Arial"/>
                <w:b w:val="0"/>
                <w:sz w:val="14"/>
              </w:rPr>
              <w:t>Vendor selection for agentic systems must evaluate lifecycle accountability, evidence exportability, privacy controls, and remediation records, not only model performance or API availability.</w:t>
            </w:r>
          </w:p>
        </w:tc>
        <w:tc>
          <w:tcPr>
            <w:tcW w:type="dxa" w:w="3408"/>
          </w:tcPr>
          <w:p>
            <w:pPr>
              <w:spacing w:after="0"/>
            </w:pPr>
            <w:r>
              <w:rPr>
                <w:rFonts w:ascii="Arial" w:hAnsi="Arial"/>
                <w:b w:val="0"/>
                <w:sz w:val="14"/>
              </w:rPr>
              <w:t>Can this vendor preserve lifecycle accountability, evidence exportability, privacy controls, and remediation records?</w:t>
            </w:r>
          </w:p>
        </w:tc>
      </w:tr>
      <w:tr>
        <w:tc>
          <w:tcPr>
            <w:tcW w:type="dxa" w:w="3408"/>
          </w:tcPr>
          <w:p>
            <w:pPr>
              <w:spacing w:after="0"/>
            </w:pPr>
            <w:r>
              <w:rPr>
                <w:rFonts w:ascii="Arial" w:hAnsi="Arial"/>
                <w:b w:val="0"/>
                <w:sz w:val="14"/>
              </w:rPr>
              <w:t>Vendor lock-in / vendor substitution</w:t>
            </w:r>
          </w:p>
        </w:tc>
        <w:tc>
          <w:tcPr>
            <w:tcW w:type="dxa" w:w="3408"/>
          </w:tcPr>
          <w:p>
            <w:pPr>
              <w:spacing w:after="0"/>
            </w:pPr>
            <w:r>
              <w:rPr>
                <w:rFonts w:ascii="Arial" w:hAnsi="Arial"/>
                <w:b w:val="0"/>
                <w:sz w:val="14"/>
              </w:rPr>
              <w:t>Vendor lock-in becomes a governance risk when switching vendors requires rebuilding lifecycle conformance from scratch.</w:t>
            </w:r>
          </w:p>
        </w:tc>
        <w:tc>
          <w:tcPr>
            <w:tcW w:type="dxa" w:w="3408"/>
          </w:tcPr>
          <w:p>
            <w:pPr>
              <w:spacing w:after="0"/>
            </w:pPr>
            <w:r>
              <w:rPr>
                <w:rFonts w:ascii="Arial" w:hAnsi="Arial"/>
                <w:b w:val="0"/>
                <w:sz w:val="14"/>
              </w:rPr>
              <w:t>Can the organization switch model, runtime, vendor, or tool substrate without losing lifecycle conformance?</w:t>
            </w:r>
          </w:p>
        </w:tc>
      </w:tr>
      <w:tr>
        <w:tc>
          <w:tcPr>
            <w:tcW w:type="dxa" w:w="3408"/>
          </w:tcPr>
          <w:p>
            <w:pPr>
              <w:spacing w:after="0"/>
            </w:pPr>
            <w:r>
              <w:rPr>
                <w:rFonts w:ascii="Arial" w:hAnsi="Arial"/>
                <w:b w:val="0"/>
                <w:sz w:val="14"/>
              </w:rPr>
              <w:t>Third-party / supply-chain risk</w:t>
            </w:r>
          </w:p>
        </w:tc>
        <w:tc>
          <w:tcPr>
            <w:tcW w:type="dxa" w:w="3408"/>
          </w:tcPr>
          <w:p>
            <w:pPr>
              <w:spacing w:after="0"/>
            </w:pPr>
            <w:r>
              <w:rPr>
                <w:rFonts w:ascii="Arial" w:hAnsi="Arial"/>
                <w:b w:val="0"/>
                <w:sz w:val="14"/>
              </w:rPr>
              <w:t>Multi-agent systems often involve multiple processors, subprocessors, tools, vendors, and runtimes. Supply-chain risk requires reconstructing which parties handled which lifecycle evidence or personal data.</w:t>
            </w:r>
          </w:p>
        </w:tc>
        <w:tc>
          <w:tcPr>
            <w:tcW w:type="dxa" w:w="3408"/>
          </w:tcPr>
          <w:p>
            <w:pPr>
              <w:spacing w:after="0"/>
            </w:pPr>
            <w:r>
              <w:rPr>
                <w:rFonts w:ascii="Arial" w:hAnsi="Arial"/>
                <w:b w:val="0"/>
                <w:sz w:val="14"/>
              </w:rPr>
              <w:t>Can the organization reconstruct which processors, subprocessors, tools, vendors, and runtimes handled which lifecycle evidence or personal data?</w:t>
            </w:r>
          </w:p>
        </w:tc>
      </w:tr>
      <w:tr>
        <w:tc>
          <w:tcPr>
            <w:tcW w:type="dxa" w:w="3408"/>
          </w:tcPr>
          <w:p>
            <w:pPr>
              <w:spacing w:after="0"/>
            </w:pPr>
            <w:r>
              <w:rPr>
                <w:rFonts w:ascii="Arial" w:hAnsi="Arial"/>
                <w:b w:val="0"/>
                <w:sz w:val="14"/>
              </w:rPr>
              <w:t>Data governance</w:t>
            </w:r>
          </w:p>
        </w:tc>
        <w:tc>
          <w:tcPr>
            <w:tcW w:type="dxa" w:w="3408"/>
          </w:tcPr>
          <w:p>
            <w:pPr>
              <w:spacing w:after="0"/>
            </w:pPr>
            <w:r>
              <w:rPr>
                <w:rFonts w:ascii="Arial" w:hAnsi="Arial"/>
                <w:b w:val="0"/>
                <w:sz w:val="14"/>
              </w:rPr>
              <w:t>Agentic systems process data across agents, tools, memory, traces, and evidence packs. Data governance requires tracking data flow, retention, minimization, deletion, and disclosure at lifecycle granularity.</w:t>
            </w:r>
          </w:p>
        </w:tc>
        <w:tc>
          <w:tcPr>
            <w:tcW w:type="dxa" w:w="3408"/>
          </w:tcPr>
          <w:p>
            <w:pPr>
              <w:spacing w:after="0"/>
            </w:pPr>
            <w:r>
              <w:rPr>
                <w:rFonts w:ascii="Arial" w:hAnsi="Arial"/>
                <w:b w:val="0"/>
                <w:sz w:val="14"/>
              </w:rPr>
              <w:t>Can the organization track data flow, retention, minimization, deletion, and disclosure across agents, tools, memory, traces, and evidence packs?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External auditors require evidence of lifecycle responsibility without full raw data disclosure. Audit readiness requires privacy-preserving validation and selective disclosure.</w:t>
            </w:r>
          </w:p>
        </w:tc>
        <w:tc>
          <w:tcPr>
            <w:tcW w:type="dxa" w:w="3408"/>
          </w:tcPr>
          <w:p>
            <w:pPr>
              <w:spacing w:after="0"/>
            </w:pPr>
            <w:r>
              <w:rPr>
                <w:rFonts w:ascii="Arial" w:hAnsi="Arial"/>
                <w:b w:val="0"/>
                <w:sz w:val="14"/>
              </w:rPr>
              <w:t>Can an independent reviewer reconstruct lifecycle responsibility without full raw data disclosure?</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Boards require risk reporting in terms of authority, evidence, accepted outcomes, open incidents, and unresolved remediation, not only model performance metrics.</w:t>
            </w:r>
          </w:p>
        </w:tc>
        <w:tc>
          <w:tcPr>
            <w:tcW w:type="dxa" w:w="3408"/>
          </w:tcPr>
          <w:p>
            <w:pPr>
              <w:spacing w:after="0"/>
            </w:pPr>
            <w:r>
              <w:rPr>
                <w:rFonts w:ascii="Arial" w:hAnsi="Arial"/>
                <w:b w:val="0"/>
                <w:sz w:val="14"/>
              </w:rPr>
              <w:t>Can management explain agentic risk in terms of authority, evidence, accepted outcomes, open incidents, and unresolved remediation?</w:t>
            </w:r>
          </w:p>
        </w:tc>
      </w:tr>
      <w:tr>
        <w:tc>
          <w:tcPr>
            <w:tcW w:type="dxa" w:w="3408"/>
          </w:tcPr>
          <w:p>
            <w:pPr>
              <w:spacing w:after="0"/>
            </w:pPr>
            <w:r>
              <w:rPr>
                <w:rFonts w:ascii="Arial" w:hAnsi="Arial"/>
                <w:b w:val="0"/>
                <w:sz w:val="14"/>
              </w:rPr>
              <w:t>Incident response and redress</w:t>
            </w:r>
          </w:p>
        </w:tc>
        <w:tc>
          <w:tcPr>
            <w:tcW w:type="dxa" w:w="3408"/>
          </w:tcPr>
          <w:p>
            <w:pPr>
              <w:spacing w:after="0"/>
            </w:pPr>
            <w:r>
              <w:rPr>
                <w:rFonts w:ascii="Arial" w:hAnsi="Arial"/>
                <w:b w:val="0"/>
                <w:sz w:val="14"/>
              </w:rPr>
              <w:t>Agentic incidents require evidence, responsibility assignment, correction, and accepted remediation. Incident closure is not only technical resolution.</w:t>
            </w:r>
          </w:p>
        </w:tc>
        <w:tc>
          <w:tcPr>
            <w:tcW w:type="dxa" w:w="3408"/>
          </w:tcPr>
          <w:p>
            <w:pPr>
              <w:spacing w:after="0"/>
            </w:pPr>
            <w:r>
              <w:rPr>
                <w:rFonts w:ascii="Arial" w:hAnsi="Arial"/>
                <w:b w:val="0"/>
                <w:sz w:val="14"/>
              </w:rPr>
              <w:t>Can the organization close an agentic incident with evidence, responsibility assignment, correction, and accepted remediation?</w:t>
            </w:r>
          </w:p>
        </w:tc>
      </w:tr>
      <w:tr>
        <w:tc>
          <w:tcPr>
            <w:tcW w:type="dxa" w:w="3408"/>
          </w:tcPr>
          <w:p>
            <w:pPr>
              <w:spacing w:after="0"/>
            </w:pPr>
            <w:r>
              <w:rPr>
                <w:rFonts w:ascii="Arial" w:hAnsi="Arial"/>
                <w:b w:val="0"/>
                <w:sz w:val="14"/>
              </w:rPr>
              <w:t>Business continuity / rollback</w:t>
            </w:r>
          </w:p>
        </w:tc>
        <w:tc>
          <w:tcPr>
            <w:tcW w:type="dxa" w:w="3408"/>
          </w:tcPr>
          <w:p>
            <w:pPr>
              <w:spacing w:after="0"/>
            </w:pPr>
            <w:r>
              <w:rPr>
                <w:rFonts w:ascii="Arial" w:hAnsi="Arial"/>
                <w:b w:val="0"/>
                <w:sz w:val="14"/>
              </w:rPr>
              <w:t>Agentic systems must support halt, rollback, substitution, or remediation without losing evidence continuity. Business continuity requires lifecycle resilience.</w:t>
            </w:r>
          </w:p>
        </w:tc>
        <w:tc>
          <w:tcPr>
            <w:tcW w:type="dxa" w:w="3408"/>
          </w:tcPr>
          <w:p>
            <w:pPr>
              <w:spacing w:after="0"/>
            </w:pPr>
            <w:r>
              <w:rPr>
                <w:rFonts w:ascii="Arial" w:hAnsi="Arial"/>
                <w:b w:val="0"/>
                <w:sz w:val="14"/>
              </w:rPr>
              <w:t>Can the system halt, rollback, substitute, or remediate without losing evidence continuity?</w:t>
            </w:r>
          </w:p>
        </w:tc>
      </w:tr>
      <w:tr>
        <w:tc>
          <w:tcPr>
            <w:tcW w:type="dxa" w:w="3408"/>
          </w:tcPr>
          <w:p>
            <w:pPr>
              <w:spacing w:after="0"/>
            </w:pPr>
            <w:r>
              <w:rPr>
                <w:rFonts w:ascii="Arial" w:hAnsi="Arial"/>
                <w:b w:val="0"/>
                <w:sz w:val="14"/>
              </w:rPr>
              <w:t>Model risk management</w:t>
            </w:r>
          </w:p>
        </w:tc>
        <w:tc>
          <w:tcPr>
            <w:tcW w:type="dxa" w:w="3408"/>
          </w:tcPr>
          <w:p>
            <w:pPr>
              <w:spacing w:after="0"/>
            </w:pPr>
            <w:r>
              <w:rPr>
                <w:rFonts w:ascii="Arial" w:hAnsi="Arial"/>
                <w:b w:val="0"/>
                <w:sz w:val="14"/>
              </w:rPr>
              <w:t>Model risk in agentic systems is not only output quality or bias. Model behavior influences planning, delegation, authority transitions, evidence interpretation, tool selection, and accepted outcomes.</w:t>
            </w:r>
          </w:p>
        </w:tc>
        <w:tc>
          <w:tcPr>
            <w:tcW w:type="dxa" w:w="3408"/>
          </w:tcPr>
          <w:p>
            <w:pPr>
              <w:spacing w:after="0"/>
            </w:pPr>
            <w:r>
              <w:rPr>
                <w:rFonts w:ascii="Arial" w:hAnsi="Arial"/>
                <w:b w:val="0"/>
                <w:sz w:val="14"/>
              </w:rPr>
              <w:t>Can model, prompt, policy, or runtime changes be evaluated as lifecycle risk, not only model-performance risk?</w:t>
            </w:r>
          </w:p>
        </w:tc>
      </w:tr>
      <w:tr>
        <w:tc>
          <w:tcPr>
            <w:tcW w:type="dxa" w:w="3408"/>
          </w:tcPr>
          <w:p>
            <w:pPr>
              <w:spacing w:after="0"/>
            </w:pPr>
            <w:r>
              <w:rPr>
                <w:rFonts w:ascii="Arial" w:hAnsi="Arial"/>
                <w:b w:val="0"/>
                <w:sz w:val="14"/>
              </w:rPr>
              <w:t>Cybersecurity for agentic systems</w:t>
            </w:r>
          </w:p>
        </w:tc>
        <w:tc>
          <w:tcPr>
            <w:tcW w:type="dxa" w:w="3408"/>
          </w:tcPr>
          <w:p>
            <w:pPr>
              <w:spacing w:after="0"/>
            </w:pPr>
            <w:r>
              <w:rPr>
                <w:rFonts w:ascii="Arial" w:hAnsi="Arial"/>
                <w:b w:val="0"/>
                <w:sz w:val="14"/>
              </w:rPr>
              <w:t>Cybersecurity for agentic systems must preserve authority, credential, tool, evidence, and incident boundaries under attack.</w:t>
            </w:r>
          </w:p>
        </w:tc>
        <w:tc>
          <w:tcPr>
            <w:tcW w:type="dxa" w:w="3408"/>
          </w:tcPr>
          <w:p>
            <w:pPr>
              <w:spacing w:after="0"/>
            </w:pPr>
            <w:r>
              <w:rPr>
                <w:rFonts w:ascii="Arial" w:hAnsi="Arial"/>
                <w:b w:val="0"/>
                <w:sz w:val="14"/>
              </w:rPr>
              <w:t>Can the system preserve authority, credential, tool, evidence, and incident boundaries under attack?</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External validation must occur without exposing raw personal data, proprietary workflow content, or unnecessary evidence.</w:t>
            </w:r>
          </w:p>
        </w:tc>
        <w:tc>
          <w:tcPr>
            <w:tcW w:type="dxa" w:w="3408"/>
          </w:tcPr>
          <w:p>
            <w:pPr>
              <w:spacing w:after="0"/>
            </w:pPr>
            <w:r>
              <w:rPr>
                <w:rFonts w:ascii="Arial" w:hAnsi="Arial"/>
                <w:b w:val="0"/>
                <w:sz w:val="14"/>
              </w:rPr>
              <w:t>Can external validation occur without exposing raw personal data, proprietary workflow content, or unnecessary evidence?</w:t>
            </w:r>
          </w:p>
        </w:tc>
      </w:tr>
    </w:tbl>
    <w:p>
      <w:pPr>
        <w:pStyle w:val="Heading3"/>
      </w:pPr>
      <w:r>
        <w:t>Table T-10-01B: Enterprise Control Crosswalk — MRO/Dimension/Evidence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Enterprise Control Topic</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Relevant RCCS-T/RCCS-M/ALCS Dimensions</w:t>
            </w:r>
          </w:p>
        </w:tc>
        <w:tc>
          <w:tcPr>
            <w:tcW w:type="dxa" w:w="2556"/>
          </w:tcPr>
          <w:p>
            <w:pPr>
              <w:spacing w:after="0"/>
            </w:pPr>
            <w:r>
              <w:rPr>
                <w:rFonts w:ascii="Arial" w:hAnsi="Arial"/>
                <w:b/>
                <w:sz w:val="14"/>
              </w:rPr>
              <w:t>Evidence Expected</w:t>
            </w:r>
          </w:p>
        </w:tc>
      </w:tr>
      <w:tr>
        <w:tc>
          <w:tcPr>
            <w:tcW w:type="dxa" w:w="2556"/>
          </w:tcPr>
          <w:p>
            <w:pPr>
              <w:spacing w:after="0"/>
            </w:pPr>
            <w:r>
              <w:rPr>
                <w:rFonts w:ascii="Arial" w:hAnsi="Arial"/>
                <w:b w:val="0"/>
                <w:sz w:val="14"/>
              </w:rPr>
              <w:t>Internal control</w:t>
            </w:r>
          </w:p>
        </w:tc>
        <w:tc>
          <w:tcPr>
            <w:tcW w:type="dxa" w:w="2556"/>
          </w:tcPr>
          <w:p>
            <w:pPr>
              <w:spacing w:after="0"/>
            </w:pPr>
            <w:r>
              <w:rPr>
                <w:rFonts w:ascii="Arial" w:hAnsi="Arial"/>
                <w:b w:val="0"/>
                <w:sz w:val="14"/>
              </w:rPr>
              <w:t>MRO-01, MRO-02, MRO-04, MRO-05, MRO-08, MRO-16</w:t>
            </w:r>
          </w:p>
        </w:tc>
        <w:tc>
          <w:tcPr>
            <w:tcW w:type="dxa" w:w="2556"/>
          </w:tcPr>
          <w:p>
            <w:pPr>
              <w:spacing w:after="0"/>
            </w:pPr>
            <w:r>
              <w:rPr>
                <w:rFonts w:ascii="Arial" w:hAnsi="Arial"/>
                <w:b w:val="0"/>
                <w:sz w:val="14"/>
              </w:rPr>
              <w:t>RCCS-04, RCCS-06, RCCS-08, ALCS-01, ALCS-02, ALCS-04, ALCS-05, ALCS-08</w:t>
            </w:r>
          </w:p>
        </w:tc>
        <w:tc>
          <w:tcPr>
            <w:tcW w:type="dxa" w:w="2556"/>
          </w:tcPr>
          <w:p>
            <w:pPr>
              <w:spacing w:after="0"/>
            </w:pPr>
            <w:r>
              <w:rPr>
                <w:rFonts w:ascii="Arial" w:hAnsi="Arial"/>
                <w:b w:val="0"/>
                <w:sz w:val="14"/>
              </w:rPr>
              <w:t>Role-responsibility map, authority boundary object, accepted outcome state, tool-action liability record, evidence partition, incident closure record</w:t>
            </w:r>
          </w:p>
        </w:tc>
      </w:tr>
      <w:tr>
        <w:tc>
          <w:tcPr>
            <w:tcW w:type="dxa" w:w="2556"/>
          </w:tcPr>
          <w:p>
            <w:pPr>
              <w:spacing w:after="0"/>
            </w:pPr>
            <w:r>
              <w:rPr>
                <w:rFonts w:ascii="Arial" w:hAnsi="Arial"/>
                <w:b w:val="0"/>
                <w:sz w:val="14"/>
              </w:rPr>
              <w:t>Procurement scorecard</w:t>
            </w:r>
          </w:p>
        </w:tc>
        <w:tc>
          <w:tcPr>
            <w:tcW w:type="dxa" w:w="2556"/>
          </w:tcPr>
          <w:p>
            <w:pPr>
              <w:spacing w:after="0"/>
            </w:pPr>
            <w:r>
              <w:rPr>
                <w:rFonts w:ascii="Arial" w:hAnsi="Arial"/>
                <w:b w:val="0"/>
                <w:sz w:val="14"/>
              </w:rPr>
              <w:t>MRO-11, MRO-14, MRO-15, MRO-16</w:t>
            </w:r>
          </w:p>
        </w:tc>
        <w:tc>
          <w:tcPr>
            <w:tcW w:type="dxa" w:w="2556"/>
          </w:tcPr>
          <w:p>
            <w:pPr>
              <w:spacing w:after="0"/>
            </w:pPr>
            <w:r>
              <w:rPr>
                <w:rFonts w:ascii="Arial" w:hAnsi="Arial"/>
                <w:b w:val="0"/>
                <w:sz w:val="14"/>
              </w:rPr>
              <w:t>RCCS-03, RCCS-04, RCCS-07, ALCS-11, ALCS-14, ALCS-15</w:t>
            </w:r>
          </w:p>
        </w:tc>
        <w:tc>
          <w:tcPr>
            <w:tcW w:type="dxa" w:w="2556"/>
          </w:tcPr>
          <w:p>
            <w:pPr>
              <w:spacing w:after="0"/>
            </w:pPr>
            <w:r>
              <w:rPr>
                <w:rFonts w:ascii="Arial" w:hAnsi="Arial"/>
                <w:b w:val="0"/>
                <w:sz w:val="14"/>
              </w:rPr>
              <w:t>Privacy-preserving validation protocol, processor chain record, vendor substitution conformance test, incident closure record</w:t>
            </w:r>
          </w:p>
        </w:tc>
      </w:tr>
      <w:tr>
        <w:tc>
          <w:tcPr>
            <w:tcW w:type="dxa" w:w="2556"/>
          </w:tcPr>
          <w:p>
            <w:pPr>
              <w:spacing w:after="0"/>
            </w:pPr>
            <w:r>
              <w:rPr>
                <w:rFonts w:ascii="Arial" w:hAnsi="Arial"/>
                <w:b w:val="0"/>
                <w:sz w:val="14"/>
              </w:rPr>
              <w:t>Vendor lock-in / vendor substitution</w:t>
            </w:r>
          </w:p>
        </w:tc>
        <w:tc>
          <w:tcPr>
            <w:tcW w:type="dxa" w:w="2556"/>
          </w:tcPr>
          <w:p>
            <w:pPr>
              <w:spacing w:after="0"/>
            </w:pPr>
            <w:r>
              <w:rPr>
                <w:rFonts w:ascii="Arial" w:hAnsi="Arial"/>
                <w:b w:val="0"/>
                <w:sz w:val="14"/>
              </w:rPr>
              <w:t>MRO-09, MRO-15</w:t>
            </w:r>
          </w:p>
        </w:tc>
        <w:tc>
          <w:tcPr>
            <w:tcW w:type="dxa" w:w="2556"/>
          </w:tcPr>
          <w:p>
            <w:pPr>
              <w:spacing w:after="0"/>
            </w:pPr>
            <w:r>
              <w:rPr>
                <w:rFonts w:ascii="Arial" w:hAnsi="Arial"/>
                <w:b w:val="0"/>
                <w:sz w:val="14"/>
              </w:rPr>
              <w:t>ALCS-09, ALCS-15</w:t>
            </w:r>
          </w:p>
        </w:tc>
        <w:tc>
          <w:tcPr>
            <w:tcW w:type="dxa" w:w="2556"/>
          </w:tcPr>
          <w:p>
            <w:pPr>
              <w:spacing w:after="0"/>
            </w:pPr>
            <w:r>
              <w:rPr>
                <w:rFonts w:ascii="Arial" w:hAnsi="Arial"/>
                <w:b w:val="0"/>
                <w:sz w:val="14"/>
              </w:rPr>
              <w:t>Cross-project reuse conformance test, vendor substitution conformance test</w:t>
            </w:r>
          </w:p>
        </w:tc>
      </w:tr>
      <w:tr>
        <w:tc>
          <w:tcPr>
            <w:tcW w:type="dxa" w:w="2556"/>
          </w:tcPr>
          <w:p>
            <w:pPr>
              <w:spacing w:after="0"/>
            </w:pPr>
            <w:r>
              <w:rPr>
                <w:rFonts w:ascii="Arial" w:hAnsi="Arial"/>
                <w:b w:val="0"/>
                <w:sz w:val="14"/>
              </w:rPr>
              <w:t>Third-party / supply-chain risk</w:t>
            </w:r>
          </w:p>
        </w:tc>
        <w:tc>
          <w:tcPr>
            <w:tcW w:type="dxa" w:w="2556"/>
          </w:tcPr>
          <w:p>
            <w:pPr>
              <w:spacing w:after="0"/>
            </w:pPr>
            <w:r>
              <w:rPr>
                <w:rFonts w:ascii="Arial" w:hAnsi="Arial"/>
                <w:b w:val="0"/>
                <w:sz w:val="14"/>
              </w:rPr>
              <w:t>MRO-10, MRO-14, MRO-15</w:t>
            </w:r>
          </w:p>
        </w:tc>
        <w:tc>
          <w:tcPr>
            <w:tcW w:type="dxa" w:w="2556"/>
          </w:tcPr>
          <w:p>
            <w:pPr>
              <w:spacing w:after="0"/>
            </w:pPr>
            <w:r>
              <w:rPr>
                <w:rFonts w:ascii="Arial" w:hAnsi="Arial"/>
                <w:b w:val="0"/>
                <w:sz w:val="14"/>
              </w:rPr>
              <w:t>RCCS-02, RCCS-07, ALCS-10, ALCS-14, ALCS-15</w:t>
            </w:r>
          </w:p>
        </w:tc>
        <w:tc>
          <w:tcPr>
            <w:tcW w:type="dxa" w:w="2556"/>
          </w:tcPr>
          <w:p>
            <w:pPr>
              <w:spacing w:after="0"/>
            </w:pPr>
            <w:r>
              <w:rPr>
                <w:rFonts w:ascii="Arial" w:hAnsi="Arial"/>
                <w:b w:val="0"/>
                <w:sz w:val="14"/>
              </w:rPr>
              <w:t>Privacy lifecycle map, processor chain record, vendor substitution conformance test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MRO-10, MRO-12, MRO-13</w:t>
            </w:r>
          </w:p>
        </w:tc>
        <w:tc>
          <w:tcPr>
            <w:tcW w:type="dxa" w:w="2556"/>
          </w:tcPr>
          <w:p>
            <w:pPr>
              <w:spacing w:after="0"/>
            </w:pPr>
            <w:r>
              <w:rPr>
                <w:rFonts w:ascii="Arial" w:hAnsi="Arial"/>
                <w:b w:val="0"/>
                <w:sz w:val="14"/>
              </w:rPr>
              <w:t>RCCS-02, ALCS-10, ALCS-12, ALCS-13</w:t>
            </w:r>
          </w:p>
        </w:tc>
        <w:tc>
          <w:tcPr>
            <w:tcW w:type="dxa" w:w="2556"/>
          </w:tcPr>
          <w:p>
            <w:pPr>
              <w:spacing w:after="0"/>
            </w:pPr>
            <w:r>
              <w:rPr>
                <w:rFonts w:ascii="Arial" w:hAnsi="Arial"/>
                <w:b w:val="0"/>
                <w:sz w:val="14"/>
              </w:rPr>
              <w:t>Privacy lifecycle map, evidence minimization policy, data subject rights reconciliation record</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MRO-08, MRO-11, MRO-12, MRO-16</w:t>
            </w:r>
          </w:p>
        </w:tc>
        <w:tc>
          <w:tcPr>
            <w:tcW w:type="dxa" w:w="2556"/>
          </w:tcPr>
          <w:p>
            <w:pPr>
              <w:spacing w:after="0"/>
            </w:pPr>
            <w:r>
              <w:rPr>
                <w:rFonts w:ascii="Arial" w:hAnsi="Arial"/>
                <w:b w:val="0"/>
                <w:sz w:val="14"/>
              </w:rPr>
              <w:t>RCCS-04, RCCS-09, ALCS-08, ALCS-11, ALCS-12</w:t>
            </w:r>
          </w:p>
        </w:tc>
        <w:tc>
          <w:tcPr>
            <w:tcW w:type="dxa" w:w="2556"/>
          </w:tcPr>
          <w:p>
            <w:pPr>
              <w:spacing w:after="0"/>
            </w:pPr>
            <w:r>
              <w:rPr>
                <w:rFonts w:ascii="Arial" w:hAnsi="Arial"/>
                <w:b w:val="0"/>
                <w:sz w:val="14"/>
              </w:rPr>
              <w:t>Evidence partition, privacy-preserving validation protocol, evidence minimization policy, incident closure record</w:t>
            </w:r>
          </w:p>
        </w:tc>
      </w:tr>
      <w:tr>
        <w:tc>
          <w:tcPr>
            <w:tcW w:type="dxa" w:w="2556"/>
          </w:tcPr>
          <w:p>
            <w:pPr>
              <w:spacing w:after="0"/>
            </w:pPr>
            <w:r>
              <w:rPr>
                <w:rFonts w:ascii="Arial" w:hAnsi="Arial"/>
                <w:b w:val="0"/>
                <w:sz w:val="14"/>
              </w:rPr>
              <w:t>Board reporting</w:t>
            </w:r>
          </w:p>
        </w:tc>
        <w:tc>
          <w:tcPr>
            <w:tcW w:type="dxa" w:w="2556"/>
          </w:tcPr>
          <w:p>
            <w:pPr>
              <w:spacing w:after="0"/>
            </w:pPr>
            <w:r>
              <w:rPr>
                <w:rFonts w:ascii="Arial" w:hAnsi="Arial"/>
                <w:b w:val="0"/>
                <w:sz w:val="14"/>
              </w:rPr>
              <w:t>MRO-01, MRO-04, MRO-08, MRO-16</w:t>
            </w:r>
          </w:p>
        </w:tc>
        <w:tc>
          <w:tcPr>
            <w:tcW w:type="dxa" w:w="2556"/>
          </w:tcPr>
          <w:p>
            <w:pPr>
              <w:spacing w:after="0"/>
            </w:pPr>
            <w:r>
              <w:rPr>
                <w:rFonts w:ascii="Arial" w:hAnsi="Arial"/>
                <w:b w:val="0"/>
                <w:sz w:val="14"/>
              </w:rPr>
              <w:t>RCCS-06, RCCS-08, RCCS-10, ALCS-01, ALCS-04, ALCS-08</w:t>
            </w:r>
          </w:p>
        </w:tc>
        <w:tc>
          <w:tcPr>
            <w:tcW w:type="dxa" w:w="2556"/>
          </w:tcPr>
          <w:p>
            <w:pPr>
              <w:spacing w:after="0"/>
            </w:pPr>
            <w:r>
              <w:rPr>
                <w:rFonts w:ascii="Arial" w:hAnsi="Arial"/>
                <w:b w:val="0"/>
                <w:sz w:val="14"/>
              </w:rPr>
              <w:t>Role-responsibility map, accepted outcome state, evidence partition, incident closure record, monitoring dashboard</w:t>
            </w:r>
          </w:p>
        </w:tc>
      </w:tr>
      <w:tr>
        <w:tc>
          <w:tcPr>
            <w:tcW w:type="dxa" w:w="2556"/>
          </w:tcPr>
          <w:p>
            <w:pPr>
              <w:spacing w:after="0"/>
            </w:pPr>
            <w:r>
              <w:rPr>
                <w:rFonts w:ascii="Arial" w:hAnsi="Arial"/>
                <w:b w:val="0"/>
                <w:sz w:val="14"/>
              </w:rPr>
              <w:t>Incident response and redress</w:t>
            </w:r>
          </w:p>
        </w:tc>
        <w:tc>
          <w:tcPr>
            <w:tcW w:type="dxa" w:w="2556"/>
          </w:tcPr>
          <w:p>
            <w:pPr>
              <w:spacing w:after="0"/>
            </w:pPr>
            <w:r>
              <w:rPr>
                <w:rFonts w:ascii="Arial" w:hAnsi="Arial"/>
                <w:b w:val="0"/>
                <w:sz w:val="14"/>
              </w:rPr>
              <w:t>MRO-04, MRO-08, MRO-16</w:t>
            </w:r>
          </w:p>
        </w:tc>
        <w:tc>
          <w:tcPr>
            <w:tcW w:type="dxa" w:w="2556"/>
          </w:tcPr>
          <w:p>
            <w:pPr>
              <w:spacing w:after="0"/>
            </w:pPr>
            <w:r>
              <w:rPr>
                <w:rFonts w:ascii="Arial" w:hAnsi="Arial"/>
                <w:b w:val="0"/>
                <w:sz w:val="14"/>
              </w:rPr>
              <w:t>RCCS-09, RCCS-10, ALCS-04, ALCS-08</w:t>
            </w:r>
          </w:p>
        </w:tc>
        <w:tc>
          <w:tcPr>
            <w:tcW w:type="dxa" w:w="2556"/>
          </w:tcPr>
          <w:p>
            <w:pPr>
              <w:spacing w:after="0"/>
            </w:pPr>
            <w:r>
              <w:rPr>
                <w:rFonts w:ascii="Arial" w:hAnsi="Arial"/>
                <w:b w:val="0"/>
                <w:sz w:val="14"/>
              </w:rPr>
              <w:t>Accepted outcome state, evidence partition, incident closure record, remediation record</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MRO-05, MRO-07, MRO-15, MRO-16</w:t>
            </w:r>
          </w:p>
        </w:tc>
        <w:tc>
          <w:tcPr>
            <w:tcW w:type="dxa" w:w="2556"/>
          </w:tcPr>
          <w:p>
            <w:pPr>
              <w:spacing w:after="0"/>
            </w:pPr>
            <w:r>
              <w:rPr>
                <w:rFonts w:ascii="Arial" w:hAnsi="Arial"/>
                <w:b w:val="0"/>
                <w:sz w:val="14"/>
              </w:rPr>
              <w:t>RCCS-07, RCCS-10, ALCS-05, ALCS-07, ALCS-15</w:t>
            </w:r>
          </w:p>
        </w:tc>
        <w:tc>
          <w:tcPr>
            <w:tcW w:type="dxa" w:w="2556"/>
          </w:tcPr>
          <w:p>
            <w:pPr>
              <w:spacing w:after="0"/>
            </w:pPr>
            <w:r>
              <w:rPr>
                <w:rFonts w:ascii="Arial" w:hAnsi="Arial"/>
                <w:b w:val="0"/>
                <w:sz w:val="14"/>
              </w:rPr>
              <w:t>Tool-action liability record, authority drift detection log, vendor substitution conformance test, incident closure record</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MRO-07, MRO-08, MRO-15, MRO-16</w:t>
            </w:r>
          </w:p>
        </w:tc>
        <w:tc>
          <w:tcPr>
            <w:tcW w:type="dxa" w:w="2556"/>
          </w:tcPr>
          <w:p>
            <w:pPr>
              <w:spacing w:after="0"/>
            </w:pPr>
            <w:r>
              <w:rPr>
                <w:rFonts w:ascii="Arial" w:hAnsi="Arial"/>
                <w:b w:val="0"/>
                <w:sz w:val="14"/>
              </w:rPr>
              <w:t>RCCS-01, RCCS-10, ALCS-07, ALCS-08, ALCS-15</w:t>
            </w:r>
          </w:p>
        </w:tc>
        <w:tc>
          <w:tcPr>
            <w:tcW w:type="dxa" w:w="2556"/>
          </w:tcPr>
          <w:p>
            <w:pPr>
              <w:spacing w:after="0"/>
            </w:pPr>
            <w:r>
              <w:rPr>
                <w:rFonts w:ascii="Arial" w:hAnsi="Arial"/>
                <w:b w:val="0"/>
                <w:sz w:val="14"/>
              </w:rPr>
              <w:t>Authority drift detection log, evidence partition, vendor substitution conformance test, incident closure record</w:t>
            </w:r>
          </w:p>
        </w:tc>
      </w:tr>
      <w:tr>
        <w:tc>
          <w:tcPr>
            <w:tcW w:type="dxa" w:w="2556"/>
          </w:tcPr>
          <w:p>
            <w:pPr>
              <w:spacing w:after="0"/>
            </w:pPr>
            <w:r>
              <w:rPr>
                <w:rFonts w:ascii="Arial" w:hAnsi="Arial"/>
                <w:b w:val="0"/>
                <w:sz w:val="14"/>
              </w:rPr>
              <w:t>Cybersecurity for agentic systems</w:t>
            </w:r>
          </w:p>
        </w:tc>
        <w:tc>
          <w:tcPr>
            <w:tcW w:type="dxa" w:w="2556"/>
          </w:tcPr>
          <w:p>
            <w:pPr>
              <w:spacing w:after="0"/>
            </w:pPr>
            <w:r>
              <w:rPr>
                <w:rFonts w:ascii="Arial" w:hAnsi="Arial"/>
                <w:b w:val="0"/>
                <w:sz w:val="14"/>
              </w:rPr>
              <w:t>MRO-02, MRO-05, MRO-07, MRO-08, MRO-14, MRO-16</w:t>
            </w:r>
          </w:p>
        </w:tc>
        <w:tc>
          <w:tcPr>
            <w:tcW w:type="dxa" w:w="2556"/>
          </w:tcPr>
          <w:p>
            <w:pPr>
              <w:spacing w:after="0"/>
            </w:pPr>
            <w:r>
              <w:rPr>
                <w:rFonts w:ascii="Arial" w:hAnsi="Arial"/>
                <w:b w:val="0"/>
                <w:sz w:val="14"/>
              </w:rPr>
              <w:t>RCCS-07, RCCS-10, ALCS-02, ALCS-05, ALCS-07, ALCS-08, ALCS-14</w:t>
            </w:r>
          </w:p>
        </w:tc>
        <w:tc>
          <w:tcPr>
            <w:tcW w:type="dxa" w:w="2556"/>
          </w:tcPr>
          <w:p>
            <w:pPr>
              <w:spacing w:after="0"/>
            </w:pPr>
            <w:r>
              <w:rPr>
                <w:rFonts w:ascii="Arial" w:hAnsi="Arial"/>
                <w:b w:val="0"/>
                <w:sz w:val="14"/>
              </w:rPr>
              <w:t>Authority boundary object, tool-action liability record, authority drift detection log, evidence partition, processor chain record, incident closure record</w:t>
            </w:r>
          </w:p>
        </w:tc>
      </w:tr>
      <w:tr>
        <w:tc>
          <w:tcPr>
            <w:tcW w:type="dxa" w:w="2556"/>
          </w:tcPr>
          <w:p>
            <w:pPr>
              <w:spacing w:after="0"/>
            </w:pPr>
            <w:r>
              <w:rPr>
                <w:rFonts w:ascii="Arial" w:hAnsi="Arial"/>
                <w:b w:val="0"/>
                <w:sz w:val="14"/>
              </w:rPr>
              <w:t>Privacy-preserving validation</w:t>
            </w:r>
          </w:p>
        </w:tc>
        <w:tc>
          <w:tcPr>
            <w:tcW w:type="dxa" w:w="2556"/>
          </w:tcPr>
          <w:p>
            <w:pPr>
              <w:spacing w:after="0"/>
            </w:pPr>
            <w:r>
              <w:rPr>
                <w:rFonts w:ascii="Arial" w:hAnsi="Arial"/>
                <w:b w:val="0"/>
                <w:sz w:val="14"/>
              </w:rPr>
              <w:t>MRO-08, MRO-10, MRO-11, MRO-12, MRO-13</w:t>
            </w:r>
          </w:p>
        </w:tc>
        <w:tc>
          <w:tcPr>
            <w:tcW w:type="dxa" w:w="2556"/>
          </w:tcPr>
          <w:p>
            <w:pPr>
              <w:spacing w:after="0"/>
            </w:pPr>
            <w:r>
              <w:rPr>
                <w:rFonts w:ascii="Arial" w:hAnsi="Arial"/>
                <w:b w:val="0"/>
                <w:sz w:val="14"/>
              </w:rPr>
              <w:t>RCCS-02, RCCS-04, ALCS-08, ALCS-10, ALCS-11, ALCS-12, ALCS-13</w:t>
            </w:r>
          </w:p>
        </w:tc>
        <w:tc>
          <w:tcPr>
            <w:tcW w:type="dxa" w:w="2556"/>
          </w:tcPr>
          <w:p>
            <w:pPr>
              <w:spacing w:after="0"/>
            </w:pPr>
            <w:r>
              <w:rPr>
                <w:rFonts w:ascii="Arial" w:hAnsi="Arial"/>
                <w:b w:val="0"/>
                <w:sz w:val="14"/>
              </w:rPr>
              <w:t>Evidence partition, privacy lifecycle map, privacy-preserving validation protocol, evidence minimization policy, data subject rights reconciliation record</w:t>
            </w:r>
          </w:p>
        </w:tc>
      </w:tr>
    </w:tbl>
    <w:p>
      <w:pPr>
        <w:spacing w:after="56"/>
      </w:pPr>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Pr>
        <w:pStyle w:val="Heading2"/>
      </w:pPr>
      <w:r>
        <w:t>10.3 Model Risk Management in Agentic Systems</w:t>
      </w:r>
    </w:p>
    <w:p>
      <w:pPr>
        <w:spacing w:after="56"/>
      </w:pPr>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Pr>
        <w:spacing w:after="56"/>
      </w:pPr>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Pr>
        <w:spacing w:after="56"/>
      </w:pPr>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Pr>
        <w:pStyle w:val="Heading3"/>
      </w:pPr>
      <w:r>
        <w:t>Model Risk in Agentic Lifecycle</w:t>
      </w:r>
    </w:p>
    <w:p>
      <w:pPr>
        <w:spacing w:after="56"/>
      </w:pPr>
      <w:r>
        <w:t>The following figure illustrates how model, prompt, policy, and runtime changes propagate through the agentic lifecycle and influence authority, tool use, evidence, and accepted outcomes.</w:t>
      </w:r>
    </w:p>
    <w:p>
      <w:pPr>
        <w:spacing w:after="56"/>
      </w:pPr>
      <w:r>
        <w:t>Figure F-07 - Model Risk in Agentic Lifecycle</w:t>
      </w:r>
    </w:p>
    <w:p>
      <w:pPr>
        <w:spacing w:after="56"/>
      </w:pPr>
      <w:r>
        <w:t>Model / Prompt / Policy / Runtime Changes -&gt; Plan and Delegation Behavior -&gt; Authority Boundary Behavior -&gt; Tool Selection / Tool Action -&gt; Evidence Interpretation -&gt; Accepted Outcome / Incident Closure</w:t>
      </w:r>
    </w:p>
    <w:p>
      <w:pPr>
        <w:spacing w:after="56"/>
      </w:pPr>
      <w:r>
        <w:t>Figure F-07 shows how model, prompt, policy, or runtime changes can propagate through an agentic lifecycle and affect authority, tools, evidence, outcomes, and closure. It is a lifecycle-risk model, not a model-risk-management standard, certification path, or legal compliance proof.</w:t>
      </w:r>
    </w:p>
    <w:p>
      <w:pPr>
        <w:spacing w:after="56"/>
      </w:pPr>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Pr>
        <w:pStyle w:val="Heading3"/>
      </w:pPr>
      <w:r>
        <w:t>Model Risk Management Table</w:t>
      </w:r>
    </w:p>
    <w:p>
      <w:pPr>
        <w:spacing w:after="56"/>
      </w:pPr>
      <w:r>
        <w:t>The following table maps model risk concerns to agentic lifecycle impacts, relevant MROs, and control evidence.</w:t>
      </w:r>
    </w:p>
    <w:p>
      <w:pPr>
        <w:keepNext/>
      </w:pPr>
      <w:r>
        <w:rPr>
          <w:b/>
          <w:sz w:val="16"/>
        </w:rPr>
        <w:t>Table T-10-02: Model Risk Management in Agentic Systems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Model Risk Concern</w:t>
            </w:r>
          </w:p>
        </w:tc>
        <w:tc>
          <w:tcPr>
            <w:tcW w:type="dxa" w:w="2556"/>
          </w:tcPr>
          <w:p>
            <w:pPr>
              <w:spacing w:after="0"/>
            </w:pPr>
            <w:r>
              <w:rPr>
                <w:rFonts w:ascii="Arial" w:hAnsi="Arial"/>
                <w:b/>
                <w:sz w:val="14"/>
              </w:rPr>
              <w:t>Agentic Lifecycle Impact</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Control Evidence</w:t>
            </w:r>
          </w:p>
        </w:tc>
      </w:tr>
      <w:tr>
        <w:tc>
          <w:tcPr>
            <w:tcW w:type="dxa" w:w="2556"/>
          </w:tcPr>
          <w:p>
            <w:pPr>
              <w:spacing w:after="0"/>
            </w:pPr>
            <w:r>
              <w:rPr>
                <w:rFonts w:ascii="Arial" w:hAnsi="Arial"/>
                <w:b w:val="0"/>
                <w:sz w:val="14"/>
              </w:rPr>
              <w:t>Model inventory</w:t>
            </w:r>
          </w:p>
        </w:tc>
        <w:tc>
          <w:tcPr>
            <w:tcW w:type="dxa" w:w="2556"/>
          </w:tcPr>
          <w:p>
            <w:pPr>
              <w:spacing w:after="0"/>
            </w:pPr>
            <w:r>
              <w:rPr>
                <w:rFonts w:ascii="Arial" w:hAnsi="Arial"/>
                <w:b w:val="0"/>
                <w:sz w:val="14"/>
              </w:rPr>
              <w:t>Without model inventory, the organization cannot reconstruct which model version influenced which lifecycle execution, authority transition, or accepted outcome.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Model version registry linked to lifecycle execution records</w:t>
            </w:r>
          </w:p>
        </w:tc>
      </w:tr>
      <w:tr>
        <w:tc>
          <w:tcPr>
            <w:tcW w:type="dxa" w:w="2556"/>
          </w:tcPr>
          <w:p>
            <w:pPr>
              <w:spacing w:after="0"/>
            </w:pPr>
            <w:r>
              <w:rPr>
                <w:rFonts w:ascii="Arial" w:hAnsi="Arial"/>
                <w:b w:val="0"/>
                <w:sz w:val="14"/>
              </w:rPr>
              <w:t>Foundation model dependency</w:t>
            </w:r>
          </w:p>
        </w:tc>
        <w:tc>
          <w:tcPr>
            <w:tcW w:type="dxa" w:w="2556"/>
          </w:tcPr>
          <w:p>
            <w:pPr>
              <w:spacing w:after="0"/>
            </w:pPr>
            <w:r>
              <w:rPr>
                <w:rFonts w:ascii="Arial" w:hAnsi="Arial"/>
                <w:b w:val="0"/>
                <w:sz w:val="14"/>
              </w:rPr>
              <w:t>Foundation model changes may alter planning, delegation, tool selection, or evidence interpretation behavior without explicit revalidation.</w:t>
            </w:r>
          </w:p>
        </w:tc>
        <w:tc>
          <w:tcPr>
            <w:tcW w:type="dxa" w:w="2556"/>
          </w:tcPr>
          <w:p>
            <w:pPr>
              <w:spacing w:after="0"/>
            </w:pPr>
            <w:r>
              <w:rPr>
                <w:rFonts w:ascii="Arial" w:hAnsi="Arial"/>
                <w:b w:val="0"/>
                <w:sz w:val="14"/>
              </w:rPr>
              <w:t>MRO-07, MRO-15</w:t>
            </w:r>
          </w:p>
        </w:tc>
        <w:tc>
          <w:tcPr>
            <w:tcW w:type="dxa" w:w="2556"/>
          </w:tcPr>
          <w:p>
            <w:pPr>
              <w:spacing w:after="0"/>
            </w:pPr>
            <w:r>
              <w:rPr>
                <w:rFonts w:ascii="Arial" w:hAnsi="Arial"/>
                <w:b w:val="0"/>
                <w:sz w:val="14"/>
              </w:rPr>
              <w:t>Foundation model version tracking, authority drift detection, substitution conformance test</w:t>
            </w:r>
          </w:p>
        </w:tc>
      </w:tr>
      <w:tr>
        <w:tc>
          <w:tcPr>
            <w:tcW w:type="dxa" w:w="2556"/>
          </w:tcPr>
          <w:p>
            <w:pPr>
              <w:spacing w:after="0"/>
            </w:pPr>
            <w:r>
              <w:rPr>
                <w:rFonts w:ascii="Arial" w:hAnsi="Arial"/>
                <w:b w:val="0"/>
                <w:sz w:val="14"/>
              </w:rPr>
              <w:t>Model provider dependency</w:t>
            </w:r>
          </w:p>
        </w:tc>
        <w:tc>
          <w:tcPr>
            <w:tcW w:type="dxa" w:w="2556"/>
          </w:tcPr>
          <w:p>
            <w:pPr>
              <w:spacing w:after="0"/>
            </w:pPr>
            <w:r>
              <w:rPr>
                <w:rFonts w:ascii="Arial" w:hAnsi="Arial"/>
                <w:b w:val="0"/>
                <w:sz w:val="14"/>
              </w:rPr>
              <w:t>Model provider changes may introduce new processor/subprocessor relationships, privacy risks, or vendor lock-in without lifecycle revalidation.</w:t>
            </w:r>
          </w:p>
        </w:tc>
        <w:tc>
          <w:tcPr>
            <w:tcW w:type="dxa" w:w="2556"/>
          </w:tcPr>
          <w:p>
            <w:pPr>
              <w:spacing w:after="0"/>
            </w:pPr>
            <w:r>
              <w:rPr>
                <w:rFonts w:ascii="Arial" w:hAnsi="Arial"/>
                <w:b w:val="0"/>
                <w:sz w:val="14"/>
              </w:rPr>
              <w:t>MRO-14, MRO-15</w:t>
            </w:r>
          </w:p>
        </w:tc>
        <w:tc>
          <w:tcPr>
            <w:tcW w:type="dxa" w:w="2556"/>
          </w:tcPr>
          <w:p>
            <w:pPr>
              <w:spacing w:after="0"/>
            </w:pPr>
            <w:r>
              <w:rPr>
                <w:rFonts w:ascii="Arial" w:hAnsi="Arial"/>
                <w:b w:val="0"/>
                <w:sz w:val="14"/>
              </w:rPr>
              <w:t>Processor chain record, vendor substitution conformance test</w:t>
            </w:r>
          </w:p>
        </w:tc>
      </w:tr>
      <w:tr>
        <w:tc>
          <w:tcPr>
            <w:tcW w:type="dxa" w:w="2556"/>
          </w:tcPr>
          <w:p>
            <w:pPr>
              <w:spacing w:after="0"/>
            </w:pPr>
            <w:r>
              <w:rPr>
                <w:rFonts w:ascii="Arial" w:hAnsi="Arial"/>
                <w:b w:val="0"/>
                <w:sz w:val="14"/>
              </w:rPr>
              <w:t>Model version risk</w:t>
            </w:r>
          </w:p>
        </w:tc>
        <w:tc>
          <w:tcPr>
            <w:tcW w:type="dxa" w:w="2556"/>
          </w:tcPr>
          <w:p>
            <w:pPr>
              <w:spacing w:after="0"/>
            </w:pPr>
            <w:r>
              <w:rPr>
                <w:rFonts w:ascii="Arial" w:hAnsi="Arial"/>
                <w:b w:val="0"/>
                <w:sz w:val="14"/>
              </w:rPr>
              <w:t>Model version changes may alter lifecycle behavior in ways that violate delegated authority, escalation rules, or evidence requirements.</w:t>
            </w:r>
          </w:p>
        </w:tc>
        <w:tc>
          <w:tcPr>
            <w:tcW w:type="dxa" w:w="2556"/>
          </w:tcPr>
          <w:p>
            <w:pPr>
              <w:spacing w:after="0"/>
            </w:pPr>
            <w:r>
              <w:rPr>
                <w:rFonts w:ascii="Arial" w:hAnsi="Arial"/>
                <w:b w:val="0"/>
                <w:sz w:val="14"/>
              </w:rPr>
              <w:t>MRO-07, MRO-08, MRO-15</w:t>
            </w:r>
          </w:p>
        </w:tc>
        <w:tc>
          <w:tcPr>
            <w:tcW w:type="dxa" w:w="2556"/>
          </w:tcPr>
          <w:p>
            <w:pPr>
              <w:spacing w:after="0"/>
            </w:pPr>
            <w:r>
              <w:rPr>
                <w:rFonts w:ascii="Arial" w:hAnsi="Arial"/>
                <w:b w:val="0"/>
                <w:sz w:val="14"/>
              </w:rPr>
              <w:t>Model version change log, authority drift detection, evidence partition validation, substitution conformance test</w:t>
            </w:r>
          </w:p>
        </w:tc>
      </w:tr>
      <w:tr>
        <w:tc>
          <w:tcPr>
            <w:tcW w:type="dxa" w:w="2556"/>
          </w:tcPr>
          <w:p>
            <w:pPr>
              <w:spacing w:after="0"/>
            </w:pPr>
            <w:r>
              <w:rPr>
                <w:rFonts w:ascii="Arial" w:hAnsi="Arial"/>
                <w:b w:val="0"/>
                <w:sz w:val="14"/>
              </w:rPr>
              <w:t>Model substitution</w:t>
            </w:r>
          </w:p>
        </w:tc>
        <w:tc>
          <w:tcPr>
            <w:tcW w:type="dxa" w:w="2556"/>
          </w:tcPr>
          <w:p>
            <w:pPr>
              <w:spacing w:after="0"/>
            </w:pPr>
            <w:r>
              <w:rPr>
                <w:rFonts w:ascii="Arial" w:hAnsi="Arial"/>
                <w:b w:val="0"/>
                <w:sz w:val="14"/>
              </w:rPr>
              <w:t>Model substitution may break lifecycle conformance if the new model does not preserve authority boundaries, responsibility transfer semantics, or evidence partitioning.</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substitution conformance test, lifecycle revalidation record</w:t>
            </w:r>
          </w:p>
        </w:tc>
      </w:tr>
      <w:tr>
        <w:tc>
          <w:tcPr>
            <w:tcW w:type="dxa" w:w="2556"/>
          </w:tcPr>
          <w:p>
            <w:pPr>
              <w:spacing w:after="0"/>
            </w:pPr>
            <w:r>
              <w:rPr>
                <w:rFonts w:ascii="Arial" w:hAnsi="Arial"/>
                <w:b w:val="0"/>
                <w:sz w:val="14"/>
              </w:rPr>
              <w:t>Evaluation drift</w:t>
            </w:r>
          </w:p>
        </w:tc>
        <w:tc>
          <w:tcPr>
            <w:tcW w:type="dxa" w:w="2556"/>
          </w:tcPr>
          <w:p>
            <w:pPr>
              <w:spacing w:after="0"/>
            </w:pPr>
            <w:r>
              <w:rPr>
                <w:rFonts w:ascii="Arial" w:hAnsi="Arial"/>
                <w:b w:val="0"/>
                <w:sz w:val="14"/>
              </w:rPr>
              <w:t>Model evaluation drift may indicate that the model no longer behaves as expected under delegated authority, escalation rules, or evidence requirements.</w:t>
            </w:r>
          </w:p>
        </w:tc>
        <w:tc>
          <w:tcPr>
            <w:tcW w:type="dxa" w:w="2556"/>
          </w:tcPr>
          <w:p>
            <w:pPr>
              <w:spacing w:after="0"/>
            </w:pPr>
            <w:r>
              <w:rPr>
                <w:rFonts w:ascii="Arial" w:hAnsi="Arial"/>
                <w:b w:val="0"/>
                <w:sz w:val="14"/>
              </w:rPr>
              <w:t>MRO-07, MRO-16</w:t>
            </w:r>
          </w:p>
        </w:tc>
        <w:tc>
          <w:tcPr>
            <w:tcW w:type="dxa" w:w="2556"/>
          </w:tcPr>
          <w:p>
            <w:pPr>
              <w:spacing w:after="0"/>
            </w:pPr>
            <w:r>
              <w:rPr>
                <w:rFonts w:ascii="Arial" w:hAnsi="Arial"/>
                <w:b w:val="0"/>
                <w:sz w:val="14"/>
              </w:rPr>
              <w:t>Authority drift detection log, incident closure record</w:t>
            </w:r>
          </w:p>
        </w:tc>
      </w:tr>
      <w:tr>
        <w:tc>
          <w:tcPr>
            <w:tcW w:type="dxa" w:w="2556"/>
          </w:tcPr>
          <w:p>
            <w:pPr>
              <w:spacing w:after="0"/>
            </w:pPr>
            <w:r>
              <w:rPr>
                <w:rFonts w:ascii="Arial" w:hAnsi="Arial"/>
                <w:b w:val="0"/>
                <w:sz w:val="14"/>
              </w:rPr>
              <w:t>Prompt / policy regression</w:t>
            </w:r>
          </w:p>
        </w:tc>
        <w:tc>
          <w:tcPr>
            <w:tcW w:type="dxa" w:w="2556"/>
          </w:tcPr>
          <w:p>
            <w:pPr>
              <w:spacing w:after="0"/>
            </w:pPr>
            <w:r>
              <w:rPr>
                <w:rFonts w:ascii="Arial" w:hAnsi="Arial"/>
                <w:b w:val="0"/>
                <w:sz w:val="14"/>
              </w:rPr>
              <w:t>Prompt or policy changes may alter planning, delegation, tool selection, or evidence interpretation behavior without explicit revalidation.</w:t>
            </w:r>
          </w:p>
        </w:tc>
        <w:tc>
          <w:tcPr>
            <w:tcW w:type="dxa" w:w="2556"/>
          </w:tcPr>
          <w:p>
            <w:pPr>
              <w:spacing w:after="0"/>
            </w:pPr>
            <w:r>
              <w:rPr>
                <w:rFonts w:ascii="Arial" w:hAnsi="Arial"/>
                <w:b w:val="0"/>
                <w:sz w:val="14"/>
              </w:rPr>
              <w:t>MRO-07, MRO-08</w:t>
            </w:r>
          </w:p>
        </w:tc>
        <w:tc>
          <w:tcPr>
            <w:tcW w:type="dxa" w:w="2556"/>
          </w:tcPr>
          <w:p>
            <w:pPr>
              <w:spacing w:after="0"/>
            </w:pPr>
            <w:r>
              <w:rPr>
                <w:rFonts w:ascii="Arial" w:hAnsi="Arial"/>
                <w:b w:val="0"/>
                <w:sz w:val="14"/>
              </w:rPr>
              <w:t>Prompt version tracking, authority drift detection, evidence partition validation</w:t>
            </w:r>
          </w:p>
        </w:tc>
      </w:tr>
      <w:tr>
        <w:tc>
          <w:tcPr>
            <w:tcW w:type="dxa" w:w="2556"/>
          </w:tcPr>
          <w:p>
            <w:pPr>
              <w:spacing w:after="0"/>
            </w:pPr>
            <w:r>
              <w:rPr>
                <w:rFonts w:ascii="Arial" w:hAnsi="Arial"/>
                <w:b w:val="0"/>
                <w:sz w:val="14"/>
              </w:rPr>
              <w:t>Authority-transition influence</w:t>
            </w:r>
          </w:p>
        </w:tc>
        <w:tc>
          <w:tcPr>
            <w:tcW w:type="dxa" w:w="2556"/>
          </w:tcPr>
          <w:p>
            <w:pPr>
              <w:spacing w:after="0"/>
            </w:pPr>
            <w:r>
              <w:rPr>
                <w:rFonts w:ascii="Arial" w:hAnsi="Arial"/>
                <w:b w:val="0"/>
                <w:sz w:val="14"/>
              </w:rPr>
              <w:t>Model behavior may influence whether an agent escalates, delegates, or proceeds under delegated authority. This is a lifecycle risk, not only a model-performance risk.</w:t>
            </w:r>
          </w:p>
        </w:tc>
        <w:tc>
          <w:tcPr>
            <w:tcW w:type="dxa" w:w="2556"/>
          </w:tcPr>
          <w:p>
            <w:pPr>
              <w:spacing w:after="0"/>
            </w:pPr>
            <w:r>
              <w:rPr>
                <w:rFonts w:ascii="Arial" w:hAnsi="Arial"/>
                <w:b w:val="0"/>
                <w:sz w:val="14"/>
              </w:rPr>
              <w:t>MRO-02, MRO-07</w:t>
            </w:r>
          </w:p>
        </w:tc>
        <w:tc>
          <w:tcPr>
            <w:tcW w:type="dxa" w:w="2556"/>
          </w:tcPr>
          <w:p>
            <w:pPr>
              <w:spacing w:after="0"/>
            </w:pPr>
            <w:r>
              <w:rPr>
                <w:rFonts w:ascii="Arial" w:hAnsi="Arial"/>
                <w:b w:val="0"/>
                <w:sz w:val="14"/>
              </w:rPr>
              <w:t>Authority boundary object, authority drift detection log</w:t>
            </w:r>
          </w:p>
        </w:tc>
      </w:tr>
      <w:tr>
        <w:tc>
          <w:tcPr>
            <w:tcW w:type="dxa" w:w="2556"/>
          </w:tcPr>
          <w:p>
            <w:pPr>
              <w:spacing w:after="0"/>
            </w:pPr>
            <w:r>
              <w:rPr>
                <w:rFonts w:ascii="Arial" w:hAnsi="Arial"/>
                <w:b w:val="0"/>
                <w:sz w:val="14"/>
              </w:rPr>
              <w:t>Multi-agent handoff behavior</w:t>
            </w:r>
          </w:p>
        </w:tc>
        <w:tc>
          <w:tcPr>
            <w:tcW w:type="dxa" w:w="2556"/>
          </w:tcPr>
          <w:p>
            <w:pPr>
              <w:spacing w:after="0"/>
            </w:pPr>
            <w:r>
              <w:rPr>
                <w:rFonts w:ascii="Arial" w:hAnsi="Arial"/>
                <w:b w:val="0"/>
                <w:sz w:val="14"/>
              </w:rPr>
              <w:t>Model behavior may influence how agents transfer responsibility, inherit constraints, or partition evidence during handoffs.</w:t>
            </w:r>
          </w:p>
        </w:tc>
        <w:tc>
          <w:tcPr>
            <w:tcW w:type="dxa" w:w="2556"/>
          </w:tcPr>
          <w:p>
            <w:pPr>
              <w:spacing w:after="0"/>
            </w:pPr>
            <w:r>
              <w:rPr>
                <w:rFonts w:ascii="Arial" w:hAnsi="Arial"/>
                <w:b w:val="0"/>
                <w:sz w:val="14"/>
              </w:rPr>
              <w:t>MRO-06, MRO-08</w:t>
            </w:r>
          </w:p>
        </w:tc>
        <w:tc>
          <w:tcPr>
            <w:tcW w:type="dxa" w:w="2556"/>
          </w:tcPr>
          <w:p>
            <w:pPr>
              <w:spacing w:after="0"/>
            </w:pPr>
            <w:r>
              <w:rPr>
                <w:rFonts w:ascii="Arial" w:hAnsi="Arial"/>
                <w:b w:val="0"/>
                <w:sz w:val="14"/>
              </w:rPr>
              <w:t>Responsibility transfer object, evidence partition</w:t>
            </w:r>
          </w:p>
        </w:tc>
      </w:tr>
      <w:tr>
        <w:tc>
          <w:tcPr>
            <w:tcW w:type="dxa" w:w="2556"/>
          </w:tcPr>
          <w:p>
            <w:pPr>
              <w:spacing w:after="0"/>
            </w:pPr>
            <w:r>
              <w:rPr>
                <w:rFonts w:ascii="Arial" w:hAnsi="Arial"/>
                <w:b w:val="0"/>
                <w:sz w:val="14"/>
              </w:rPr>
              <w:t>Evidence interpretation risk</w:t>
            </w:r>
          </w:p>
        </w:tc>
        <w:tc>
          <w:tcPr>
            <w:tcW w:type="dxa" w:w="2556"/>
          </w:tcPr>
          <w:p>
            <w:pPr>
              <w:spacing w:after="0"/>
            </w:pPr>
            <w:r>
              <w:rPr>
                <w:rFonts w:ascii="Arial" w:hAnsi="Arial"/>
                <w:b w:val="0"/>
                <w:sz w:val="14"/>
              </w:rPr>
              <w:t>Model behavior may influence how evidence is interpreted, summarized, or presented to human reviewers. This may alter accepted outcome states.</w:t>
            </w:r>
          </w:p>
        </w:tc>
        <w:tc>
          <w:tcPr>
            <w:tcW w:type="dxa" w:w="2556"/>
          </w:tcPr>
          <w:p>
            <w:pPr>
              <w:spacing w:after="0"/>
            </w:pPr>
            <w:r>
              <w:rPr>
                <w:rFonts w:ascii="Arial" w:hAnsi="Arial"/>
                <w:b w:val="0"/>
                <w:sz w:val="14"/>
              </w:rPr>
              <w:t>MRO-04, MRO-08</w:t>
            </w:r>
          </w:p>
        </w:tc>
        <w:tc>
          <w:tcPr>
            <w:tcW w:type="dxa" w:w="2556"/>
          </w:tcPr>
          <w:p>
            <w:pPr>
              <w:spacing w:after="0"/>
            </w:pPr>
            <w:r>
              <w:rPr>
                <w:rFonts w:ascii="Arial" w:hAnsi="Arial"/>
                <w:b w:val="0"/>
                <w:sz w:val="14"/>
              </w:rPr>
              <w:t>Accepted outcome state, evidence partition, review packet validation</w:t>
            </w:r>
          </w:p>
        </w:tc>
      </w:tr>
    </w:tbl>
    <w:p>
      <w:pPr>
        <w:spacing w:after="56"/>
      </w:pPr>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Pr>
        <w:pStyle w:val="Heading2"/>
      </w:pPr>
      <w:r>
        <w:t>10.4 Cybersecurity Controls Integration</w:t>
      </w:r>
    </w:p>
    <w:p>
      <w:pPr>
        <w:pStyle w:val="Heading3"/>
      </w:pPr>
      <w:r>
        <w:t>10.4.1 Why Cybersecurity and Lifecycle Governance Intersect</w:t>
      </w:r>
    </w:p>
    <w:p>
      <w:pPr>
        <w:spacing w:after="56"/>
      </w:pPr>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Pr>
        <w:spacing w:after="56"/>
      </w:pPr>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Pr>
        <w:spacing w:after="56"/>
      </w:pPr>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Pr>
        <w:spacing w:after="56"/>
      </w:pPr>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Pr>
        <w:spacing w:after="56"/>
      </w:pPr>
      <w:r>
        <w:t>Reference frameworks:</w:t>
      </w:r>
    </w:p>
    <w:p>
      <w:pPr>
        <w:pStyle w:val="ListBullet"/>
        <w:spacing w:after="56"/>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spacing w:after="56"/>
      </w:pPr>
      <w:r>
        <w:t>NIST AI Risk Management Framework (Govern, Map, Measure, Manage functions applied to AI systems)</w:t>
      </w:r>
    </w:p>
    <w:p>
      <w:pPr>
        <w:pStyle w:val="ListBullet"/>
        <w:spacing w:after="56"/>
      </w:pPr>
      <w:r>
        <w:t>MITRE ATLAS (Adversarial Threat Landscape for Artificial-Intelligence Systems)</w:t>
      </w:r>
    </w:p>
    <w:p>
      <w:pPr>
        <w:pStyle w:val="Heading3"/>
      </w:pPr>
      <w:r>
        <w:t>10.4.2 Cybersecurity Control Mapping</w:t>
      </w:r>
    </w:p>
    <w:p>
      <w:pPr>
        <w:spacing w:after="56"/>
      </w:pPr>
      <w:r>
        <w:t>The following table maps cybersecurity control domains to agentic attack surfaces, lifecycle governance objects, MRO dimensions, and evidence outputs.</w:t>
      </w:r>
    </w:p>
    <w:p>
      <w:pPr>
        <w:keepNext/>
      </w:pPr>
      <w:r>
        <w:rPr>
          <w:b/>
          <w:sz w:val="16"/>
        </w:rPr>
        <w:t>Table T-10-03: Cybersecurity Control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Cybersecurity Control Domain</w:t>
            </w:r>
          </w:p>
        </w:tc>
        <w:tc>
          <w:tcPr>
            <w:tcW w:type="dxa" w:w="2045"/>
          </w:tcPr>
          <w:p>
            <w:pPr>
              <w:spacing w:after="0"/>
            </w:pPr>
            <w:r>
              <w:rPr>
                <w:rFonts w:ascii="Arial" w:hAnsi="Arial"/>
                <w:b/>
                <w:sz w:val="14"/>
              </w:rPr>
              <w:t>Agentic Attack Surface</w:t>
            </w:r>
          </w:p>
        </w:tc>
        <w:tc>
          <w:tcPr>
            <w:tcW w:type="dxa" w:w="2045"/>
          </w:tcPr>
          <w:p>
            <w:pPr>
              <w:spacing w:after="0"/>
            </w:pPr>
            <w:r>
              <w:rPr>
                <w:rFonts w:ascii="Arial" w:hAnsi="Arial"/>
                <w:b/>
                <w:sz w:val="14"/>
              </w:rPr>
              <w:t>Lifecycle Governance Object</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Evidence Output</w:t>
            </w:r>
          </w:p>
        </w:tc>
      </w:tr>
      <w:tr>
        <w:tc>
          <w:tcPr>
            <w:tcW w:type="dxa" w:w="2045"/>
          </w:tcPr>
          <w:p>
            <w:pPr>
              <w:spacing w:after="0"/>
            </w:pPr>
            <w:r>
              <w:rPr>
                <w:rFonts w:ascii="Arial" w:hAnsi="Arial"/>
                <w:b w:val="0"/>
                <w:sz w:val="14"/>
              </w:rPr>
              <w:t>Identity and Access Management</w:t>
            </w:r>
          </w:p>
        </w:tc>
        <w:tc>
          <w:tcPr>
            <w:tcW w:type="dxa" w:w="2045"/>
          </w:tcPr>
          <w:p>
            <w:pPr>
              <w:spacing w:after="0"/>
            </w:pPr>
            <w:r>
              <w:rPr>
                <w:rFonts w:ascii="Arial" w:hAnsi="Arial"/>
                <w:b w:val="0"/>
                <w:sz w:val="14"/>
              </w:rPr>
              <w:t>Agent identity spoofing, unauthorized agent instantiation, role escalation</w:t>
            </w:r>
          </w:p>
        </w:tc>
        <w:tc>
          <w:tcPr>
            <w:tcW w:type="dxa" w:w="2045"/>
          </w:tcPr>
          <w:p>
            <w:pPr>
              <w:spacing w:after="0"/>
            </w:pPr>
            <w:r>
              <w:rPr>
                <w:rFonts w:ascii="Arial" w:hAnsi="Arial"/>
                <w:b w:val="0"/>
                <w:sz w:val="14"/>
              </w:rPr>
              <w:t>Agent identity lifecycle record, role-responsibility map, authority boundary object</w:t>
            </w:r>
          </w:p>
        </w:tc>
        <w:tc>
          <w:tcPr>
            <w:tcW w:type="dxa" w:w="2045"/>
          </w:tcPr>
          <w:p>
            <w:pPr>
              <w:spacing w:after="0"/>
            </w:pPr>
            <w:r>
              <w:rPr>
                <w:rFonts w:ascii="Arial" w:hAnsi="Arial"/>
                <w:b w:val="0"/>
                <w:sz w:val="14"/>
              </w:rPr>
              <w:t>MRO-01, MRO-02</w:t>
            </w:r>
          </w:p>
        </w:tc>
        <w:tc>
          <w:tcPr>
            <w:tcW w:type="dxa" w:w="2045"/>
          </w:tcPr>
          <w:p>
            <w:pPr>
              <w:spacing w:after="0"/>
            </w:pPr>
            <w:r>
              <w:rPr>
                <w:rFonts w:ascii="Arial" w:hAnsi="Arial"/>
                <w:b w:val="0"/>
                <w:sz w:val="14"/>
              </w:rPr>
              <w:t>Agent identity registry, authority boundary validation log</w:t>
            </w:r>
          </w:p>
        </w:tc>
      </w:tr>
      <w:tr>
        <w:tc>
          <w:tcPr>
            <w:tcW w:type="dxa" w:w="2045"/>
          </w:tcPr>
          <w:p>
            <w:pPr>
              <w:spacing w:after="0"/>
            </w:pPr>
            <w:r>
              <w:rPr>
                <w:rFonts w:ascii="Arial" w:hAnsi="Arial"/>
                <w:b w:val="0"/>
                <w:sz w:val="14"/>
              </w:rPr>
              <w:t>Prompt Injection Defense</w:t>
            </w:r>
          </w:p>
        </w:tc>
        <w:tc>
          <w:tcPr>
            <w:tcW w:type="dxa" w:w="2045"/>
          </w:tcPr>
          <w:p>
            <w:pPr>
              <w:spacing w:after="0"/>
            </w:pPr>
            <w:r>
              <w:rPr>
                <w:rFonts w:ascii="Arial" w:hAnsi="Arial"/>
                <w:b w:val="0"/>
                <w:sz w:val="14"/>
              </w:rPr>
              <w:t>Malicious user input altering agent behavior, instruction override, goal hijacking</w:t>
            </w:r>
          </w:p>
        </w:tc>
        <w:tc>
          <w:tcPr>
            <w:tcW w:type="dxa" w:w="2045"/>
          </w:tcPr>
          <w:p>
            <w:pPr>
              <w:spacing w:after="0"/>
            </w:pPr>
            <w:r>
              <w:rPr>
                <w:rFonts w:ascii="Arial" w:hAnsi="Arial"/>
                <w:b w:val="0"/>
                <w:sz w:val="14"/>
              </w:rPr>
              <w:t>Authority boundary object, accepted outcome state, evidence partition</w:t>
            </w:r>
          </w:p>
        </w:tc>
        <w:tc>
          <w:tcPr>
            <w:tcW w:type="dxa" w:w="2045"/>
          </w:tcPr>
          <w:p>
            <w:pPr>
              <w:spacing w:after="0"/>
            </w:pPr>
            <w:r>
              <w:rPr>
                <w:rFonts w:ascii="Arial" w:hAnsi="Arial"/>
                <w:b w:val="0"/>
                <w:sz w:val="14"/>
              </w:rPr>
              <w:t>MRO-02, MRO-04, MRO-08</w:t>
            </w:r>
          </w:p>
        </w:tc>
        <w:tc>
          <w:tcPr>
            <w:tcW w:type="dxa" w:w="2045"/>
          </w:tcPr>
          <w:p>
            <w:pPr>
              <w:spacing w:after="0"/>
            </w:pPr>
            <w:r>
              <w:rPr>
                <w:rFonts w:ascii="Arial" w:hAnsi="Arial"/>
                <w:b w:val="0"/>
                <w:sz w:val="14"/>
              </w:rPr>
              <w:t>Authority boundary violation log, accepted outcome rejection record, evidence partition integrity check</w:t>
            </w:r>
          </w:p>
        </w:tc>
      </w:tr>
      <w:tr>
        <w:tc>
          <w:tcPr>
            <w:tcW w:type="dxa" w:w="2045"/>
          </w:tcPr>
          <w:p>
            <w:pPr>
              <w:spacing w:after="0"/>
            </w:pPr>
            <w:r>
              <w:rPr>
                <w:rFonts w:ascii="Arial" w:hAnsi="Arial"/>
                <w:b w:val="0"/>
                <w:sz w:val="14"/>
              </w:rPr>
              <w:t>Tool Misuse Prevention</w:t>
            </w:r>
          </w:p>
        </w:tc>
        <w:tc>
          <w:tcPr>
            <w:tcW w:type="dxa" w:w="2045"/>
          </w:tcPr>
          <w:p>
            <w:pPr>
              <w:spacing w:after="0"/>
            </w:pPr>
            <w:r>
              <w:rPr>
                <w:rFonts w:ascii="Arial" w:hAnsi="Arial"/>
                <w:b w:val="0"/>
                <w:sz w:val="14"/>
              </w:rPr>
              <w:t>Agent invoking unauthorized tools, tool action exceeding delegated scope, tool credential theft</w:t>
            </w:r>
          </w:p>
        </w:tc>
        <w:tc>
          <w:tcPr>
            <w:tcW w:type="dxa" w:w="2045"/>
          </w:tcPr>
          <w:p>
            <w:pPr>
              <w:spacing w:after="0"/>
            </w:pPr>
            <w:r>
              <w:rPr>
                <w:rFonts w:ascii="Arial" w:hAnsi="Arial"/>
                <w:b w:val="0"/>
                <w:sz w:val="14"/>
              </w:rPr>
              <w:t>Tool-action liability boundary, authority boundary object, tool credential registry</w:t>
            </w:r>
          </w:p>
        </w:tc>
        <w:tc>
          <w:tcPr>
            <w:tcW w:type="dxa" w:w="2045"/>
          </w:tcPr>
          <w:p>
            <w:pPr>
              <w:spacing w:after="0"/>
            </w:pPr>
            <w:r>
              <w:rPr>
                <w:rFonts w:ascii="Arial" w:hAnsi="Arial"/>
                <w:b w:val="0"/>
                <w:sz w:val="14"/>
              </w:rPr>
              <w:t>MRO-02, MRO-05</w:t>
            </w:r>
          </w:p>
        </w:tc>
        <w:tc>
          <w:tcPr>
            <w:tcW w:type="dxa" w:w="2045"/>
          </w:tcPr>
          <w:p>
            <w:pPr>
              <w:spacing w:after="0"/>
            </w:pPr>
            <w:r>
              <w:rPr>
                <w:rFonts w:ascii="Arial" w:hAnsi="Arial"/>
                <w:b w:val="0"/>
                <w:sz w:val="14"/>
              </w:rPr>
              <w:t>Tool-action authorization log, tool-action liability record, credential access audit trail</w:t>
            </w:r>
          </w:p>
        </w:tc>
      </w:tr>
      <w:tr>
        <w:tc>
          <w:tcPr>
            <w:tcW w:type="dxa" w:w="2045"/>
          </w:tcPr>
          <w:p>
            <w:pPr>
              <w:spacing w:after="0"/>
            </w:pPr>
            <w:r>
              <w:rPr>
                <w:rFonts w:ascii="Arial" w:hAnsi="Arial"/>
                <w:b w:val="0"/>
                <w:sz w:val="14"/>
              </w:rPr>
              <w:t>Credential Management</w:t>
            </w:r>
          </w:p>
        </w:tc>
        <w:tc>
          <w:tcPr>
            <w:tcW w:type="dxa" w:w="2045"/>
          </w:tcPr>
          <w:p>
            <w:pPr>
              <w:spacing w:after="0"/>
            </w:pPr>
            <w:r>
              <w:rPr>
                <w:rFonts w:ascii="Arial" w:hAnsi="Arial"/>
                <w:b w:val="0"/>
                <w:sz w:val="14"/>
              </w:rPr>
              <w:t>API key theft, tool credential exfiltration, authority token compromise</w:t>
            </w:r>
          </w:p>
        </w:tc>
        <w:tc>
          <w:tcPr>
            <w:tcW w:type="dxa" w:w="2045"/>
          </w:tcPr>
          <w:p>
            <w:pPr>
              <w:spacing w:after="0"/>
            </w:pPr>
            <w:r>
              <w:rPr>
                <w:rFonts w:ascii="Arial" w:hAnsi="Arial"/>
                <w:b w:val="0"/>
                <w:sz w:val="14"/>
              </w:rPr>
              <w:t>Agent identity lifecycle record, tool credential registry, processor chain record</w:t>
            </w:r>
          </w:p>
        </w:tc>
        <w:tc>
          <w:tcPr>
            <w:tcW w:type="dxa" w:w="2045"/>
          </w:tcPr>
          <w:p>
            <w:pPr>
              <w:spacing w:after="0"/>
            </w:pPr>
            <w:r>
              <w:rPr>
                <w:rFonts w:ascii="Arial" w:hAnsi="Arial"/>
                <w:b w:val="0"/>
                <w:sz w:val="14"/>
              </w:rPr>
              <w:t>MRO-01, MRO-05, MRO-14</w:t>
            </w:r>
          </w:p>
        </w:tc>
        <w:tc>
          <w:tcPr>
            <w:tcW w:type="dxa" w:w="2045"/>
          </w:tcPr>
          <w:p>
            <w:pPr>
              <w:spacing w:after="0"/>
            </w:pPr>
            <w:r>
              <w:rPr>
                <w:rFonts w:ascii="Arial" w:hAnsi="Arial"/>
                <w:b w:val="0"/>
                <w:sz w:val="14"/>
              </w:rPr>
              <w:t>Credential rotation log, credential access audit trail, processor chain validation</w:t>
            </w:r>
          </w:p>
        </w:tc>
      </w:tr>
      <w:tr>
        <w:tc>
          <w:tcPr>
            <w:tcW w:type="dxa" w:w="2045"/>
          </w:tcPr>
          <w:p>
            <w:pPr>
              <w:spacing w:after="0"/>
            </w:pPr>
            <w:r>
              <w:rPr>
                <w:rFonts w:ascii="Arial" w:hAnsi="Arial"/>
                <w:b w:val="0"/>
                <w:sz w:val="14"/>
              </w:rPr>
              <w:t>Data Exfiltration Prevention</w:t>
            </w:r>
          </w:p>
        </w:tc>
        <w:tc>
          <w:tcPr>
            <w:tcW w:type="dxa" w:w="2045"/>
          </w:tcPr>
          <w:p>
            <w:pPr>
              <w:spacing w:after="0"/>
            </w:pPr>
            <w:r>
              <w:rPr>
                <w:rFonts w:ascii="Arial" w:hAnsi="Arial"/>
                <w:b w:val="0"/>
                <w:sz w:val="14"/>
              </w:rPr>
              <w:t>Agent accessing data beyond delegated scope, unauthorized data transmission, privacy boundary violation</w:t>
            </w:r>
          </w:p>
        </w:tc>
        <w:tc>
          <w:tcPr>
            <w:tcW w:type="dxa" w:w="2045"/>
          </w:tcPr>
          <w:p>
            <w:pPr>
              <w:spacing w:after="0"/>
            </w:pPr>
            <w:r>
              <w:rPr>
                <w:rFonts w:ascii="Arial" w:hAnsi="Arial"/>
                <w:b w:val="0"/>
                <w:sz w:val="14"/>
              </w:rPr>
              <w:t>Privacy lifecycle map, evidence partition, data subject rights reconciliation record</w:t>
            </w:r>
          </w:p>
        </w:tc>
        <w:tc>
          <w:tcPr>
            <w:tcW w:type="dxa" w:w="2045"/>
          </w:tcPr>
          <w:p>
            <w:pPr>
              <w:spacing w:after="0"/>
            </w:pPr>
            <w:r>
              <w:rPr>
                <w:rFonts w:ascii="Arial" w:hAnsi="Arial"/>
                <w:b w:val="0"/>
                <w:sz w:val="14"/>
              </w:rPr>
              <w:t>MRO-08, MRO-10, MRO-13</w:t>
            </w:r>
          </w:p>
        </w:tc>
        <w:tc>
          <w:tcPr>
            <w:tcW w:type="dxa" w:w="2045"/>
          </w:tcPr>
          <w:p>
            <w:pPr>
              <w:spacing w:after="0"/>
            </w:pPr>
            <w:r>
              <w:rPr>
                <w:rFonts w:ascii="Arial" w:hAnsi="Arial"/>
                <w:b w:val="0"/>
                <w:sz w:val="14"/>
              </w:rPr>
              <w:t>Data access audit trail, evidence partition integrity check, privacy boundary violation log</w:t>
            </w:r>
          </w:p>
        </w:tc>
      </w:tr>
      <w:tr>
        <w:tc>
          <w:tcPr>
            <w:tcW w:type="dxa" w:w="2045"/>
          </w:tcPr>
          <w:p>
            <w:pPr>
              <w:spacing w:after="0"/>
            </w:pPr>
            <w:r>
              <w:rPr>
                <w:rFonts w:ascii="Arial" w:hAnsi="Arial"/>
                <w:b w:val="0"/>
                <w:sz w:val="14"/>
              </w:rPr>
              <w:t>Audit Trail Integrity</w:t>
            </w:r>
          </w:p>
        </w:tc>
        <w:tc>
          <w:tcPr>
            <w:tcW w:type="dxa" w:w="2045"/>
          </w:tcPr>
          <w:p>
            <w:pPr>
              <w:spacing w:after="0"/>
            </w:pPr>
            <w:r>
              <w:rPr>
                <w:rFonts w:ascii="Arial" w:hAnsi="Arial"/>
                <w:b w:val="0"/>
                <w:sz w:val="14"/>
              </w:rPr>
              <w:t>Evidence tampering, log manipulation, responsibility chain corruption</w:t>
            </w:r>
          </w:p>
        </w:tc>
        <w:tc>
          <w:tcPr>
            <w:tcW w:type="dxa" w:w="2045"/>
          </w:tcPr>
          <w:p>
            <w:pPr>
              <w:spacing w:after="0"/>
            </w:pPr>
            <w:r>
              <w:rPr>
                <w:rFonts w:ascii="Arial" w:hAnsi="Arial"/>
                <w:b w:val="0"/>
                <w:sz w:val="14"/>
              </w:rPr>
              <w:t>Evidence partition, incident closure record, accepted outcome state</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Evidence integrity hash, audit trail validation log, incident closure record</w:t>
            </w:r>
          </w:p>
        </w:tc>
      </w:tr>
      <w:tr>
        <w:tc>
          <w:tcPr>
            <w:tcW w:type="dxa" w:w="2045"/>
          </w:tcPr>
          <w:p>
            <w:pPr>
              <w:spacing w:after="0"/>
            </w:pPr>
            <w:r>
              <w:rPr>
                <w:rFonts w:ascii="Arial" w:hAnsi="Arial"/>
                <w:b w:val="0"/>
                <w:sz w:val="14"/>
              </w:rPr>
              <w:t>Supply-Chain Integrity</w:t>
            </w:r>
          </w:p>
        </w:tc>
        <w:tc>
          <w:tcPr>
            <w:tcW w:type="dxa" w:w="2045"/>
          </w:tcPr>
          <w:p>
            <w:pPr>
              <w:spacing w:after="0"/>
            </w:pPr>
            <w:r>
              <w:rPr>
                <w:rFonts w:ascii="Arial" w:hAnsi="Arial"/>
                <w:b w:val="0"/>
                <w:sz w:val="14"/>
              </w:rPr>
              <w:t>Compromised model provider, malicious tool plugin, subprocessor data breach</w:t>
            </w:r>
          </w:p>
        </w:tc>
        <w:tc>
          <w:tcPr>
            <w:tcW w:type="dxa" w:w="2045"/>
          </w:tcPr>
          <w:p>
            <w:pPr>
              <w:spacing w:after="0"/>
            </w:pPr>
            <w:r>
              <w:rPr>
                <w:rFonts w:ascii="Arial" w:hAnsi="Arial"/>
                <w:b w:val="0"/>
                <w:sz w:val="14"/>
              </w:rPr>
              <w:t>Processor chain record, vendor substitution conformance test, model version registry</w:t>
            </w:r>
          </w:p>
        </w:tc>
        <w:tc>
          <w:tcPr>
            <w:tcW w:type="dxa" w:w="2045"/>
          </w:tcPr>
          <w:p>
            <w:pPr>
              <w:spacing w:after="0"/>
            </w:pPr>
            <w:r>
              <w:rPr>
                <w:rFonts w:ascii="Arial" w:hAnsi="Arial"/>
                <w:b w:val="0"/>
                <w:sz w:val="14"/>
              </w:rPr>
              <w:t>MRO-14, MRO-15</w:t>
            </w:r>
          </w:p>
        </w:tc>
        <w:tc>
          <w:tcPr>
            <w:tcW w:type="dxa" w:w="2045"/>
          </w:tcPr>
          <w:p>
            <w:pPr>
              <w:spacing w:after="0"/>
            </w:pPr>
            <w:r>
              <w:rPr>
                <w:rFonts w:ascii="Arial" w:hAnsi="Arial"/>
                <w:b w:val="0"/>
                <w:sz w:val="14"/>
              </w:rPr>
              <w:t>Processor chain validation log, vendor substitution test result, model version integrity check</w:t>
            </w:r>
          </w:p>
        </w:tc>
      </w:tr>
      <w:tr>
        <w:tc>
          <w:tcPr>
            <w:tcW w:type="dxa" w:w="2045"/>
          </w:tcPr>
          <w:p>
            <w:pPr>
              <w:spacing w:after="0"/>
            </w:pPr>
            <w:r>
              <w:rPr>
                <w:rFonts w:ascii="Arial" w:hAnsi="Arial"/>
                <w:b w:val="0"/>
                <w:sz w:val="14"/>
              </w:rPr>
              <w:t>Incident Response Linkage</w:t>
            </w:r>
          </w:p>
        </w:tc>
        <w:tc>
          <w:tcPr>
            <w:tcW w:type="dxa" w:w="2045"/>
          </w:tcPr>
          <w:p>
            <w:pPr>
              <w:spacing w:after="0"/>
            </w:pPr>
            <w:r>
              <w:rPr>
                <w:rFonts w:ascii="Arial" w:hAnsi="Arial"/>
                <w:b w:val="0"/>
                <w:sz w:val="14"/>
              </w:rPr>
              <w:t>Agentic incident detection, responsibility assignment, evidence reconstruction, remediation closure</w:t>
            </w:r>
          </w:p>
        </w:tc>
        <w:tc>
          <w:tcPr>
            <w:tcW w:type="dxa" w:w="2045"/>
          </w:tcPr>
          <w:p>
            <w:pPr>
              <w:spacing w:after="0"/>
            </w:pPr>
            <w:r>
              <w:rPr>
                <w:rFonts w:ascii="Arial" w:hAnsi="Arial"/>
                <w:b w:val="0"/>
                <w:sz w:val="14"/>
              </w:rPr>
              <w:t>Incident closure record, accepted outcome state, evidence partition, role-responsibility map</w:t>
            </w:r>
          </w:p>
        </w:tc>
        <w:tc>
          <w:tcPr>
            <w:tcW w:type="dxa" w:w="2045"/>
          </w:tcPr>
          <w:p>
            <w:pPr>
              <w:spacing w:after="0"/>
            </w:pPr>
            <w:r>
              <w:rPr>
                <w:rFonts w:ascii="Arial" w:hAnsi="Arial"/>
                <w:b w:val="0"/>
                <w:sz w:val="14"/>
              </w:rPr>
              <w:t>MRO-01, MRO-04, MRO-08, MRO-16</w:t>
            </w:r>
          </w:p>
        </w:tc>
        <w:tc>
          <w:tcPr>
            <w:tcW w:type="dxa" w:w="2045"/>
          </w:tcPr>
          <w:p>
            <w:pPr>
              <w:spacing w:after="0"/>
            </w:pPr>
            <w:r>
              <w:rPr>
                <w:rFonts w:ascii="Arial" w:hAnsi="Arial"/>
                <w:b w:val="0"/>
                <w:sz w:val="14"/>
              </w:rPr>
              <w:t>Incident closure record, responsibility assignment log, evidence reconstruction report, remediation acceptance record</w:t>
            </w:r>
          </w:p>
        </w:tc>
      </w:tr>
    </w:tbl>
    <w:p>
      <w:pPr>
        <w:spacing w:after="56"/>
      </w:pPr>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Pr>
        <w:pStyle w:val="Heading3"/>
      </w:pPr>
      <w:r>
        <w:t>10.4.3 Integration Note</w:t>
      </w:r>
    </w:p>
    <w:p>
      <w:pPr>
        <w:spacing w:after="56"/>
      </w:pPr>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Pr>
        <w:spacing w:after="56"/>
      </w:pPr>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Pr>
        <w:pStyle w:val="Heading2"/>
      </w:pPr>
      <w:r>
        <w:t>10.5 Board Reporting and Governance Escalation</w:t>
      </w:r>
    </w:p>
    <w:p>
      <w:pPr>
        <w:pStyle w:val="Heading3"/>
      </w:pPr>
      <w:r>
        <w:t>10.5.1 What Boards Need to Know About Agentic AI</w:t>
      </w:r>
    </w:p>
    <w:p>
      <w:pPr>
        <w:spacing w:after="56"/>
      </w:pPr>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Pr>
        <w:spacing w:after="56"/>
      </w:pPr>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Pr>
        <w:spacing w:after="56"/>
      </w:pPr>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Pr>
        <w:pStyle w:val="Heading3"/>
      </w:pPr>
      <w:r>
        <w:t>10.5.2 Board-Level Reporting Elements</w:t>
      </w:r>
    </w:p>
    <w:p>
      <w:pPr>
        <w:spacing w:after="56"/>
      </w:pPr>
      <w:r>
        <w:t>The following table defines board-level reporting elements for agentic AI, mapped to lifecycle object sources, reporting frequency, escalation triggers, and regulatory drivers.</w:t>
      </w:r>
    </w:p>
    <w:p>
      <w:pPr>
        <w:keepNext/>
      </w:pPr>
      <w:r>
        <w:rPr>
          <w:b/>
          <w:sz w:val="16"/>
        </w:rPr>
        <w:t>Table T-10-04: Board Reporting Elements for Agentic AI</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Reporting Element</w:t>
            </w:r>
          </w:p>
        </w:tc>
        <w:tc>
          <w:tcPr>
            <w:tcW w:type="dxa" w:w="2045"/>
          </w:tcPr>
          <w:p>
            <w:pPr>
              <w:spacing w:after="0"/>
            </w:pPr>
            <w:r>
              <w:rPr>
                <w:rFonts w:ascii="Arial" w:hAnsi="Arial"/>
                <w:b/>
                <w:sz w:val="14"/>
              </w:rPr>
              <w:t>Lifecycle Object Source</w:t>
            </w:r>
          </w:p>
        </w:tc>
        <w:tc>
          <w:tcPr>
            <w:tcW w:type="dxa" w:w="2045"/>
          </w:tcPr>
          <w:p>
            <w:pPr>
              <w:spacing w:after="0"/>
            </w:pPr>
            <w:r>
              <w:rPr>
                <w:rFonts w:ascii="Arial" w:hAnsi="Arial"/>
                <w:b/>
                <w:sz w:val="14"/>
              </w:rPr>
              <w:t>Frequency</w:t>
            </w:r>
          </w:p>
        </w:tc>
        <w:tc>
          <w:tcPr>
            <w:tcW w:type="dxa" w:w="2045"/>
          </w:tcPr>
          <w:p>
            <w:pPr>
              <w:spacing w:after="0"/>
            </w:pPr>
            <w:r>
              <w:rPr>
                <w:rFonts w:ascii="Arial" w:hAnsi="Arial"/>
                <w:b/>
                <w:sz w:val="14"/>
              </w:rPr>
              <w:t>Escalation Trigger</w:t>
            </w:r>
          </w:p>
        </w:tc>
        <w:tc>
          <w:tcPr>
            <w:tcW w:type="dxa" w:w="2045"/>
          </w:tcPr>
          <w:p>
            <w:pPr>
              <w:spacing w:after="0"/>
            </w:pPr>
            <w:r>
              <w:rPr>
                <w:rFonts w:ascii="Arial" w:hAnsi="Arial"/>
                <w:b/>
                <w:sz w:val="14"/>
              </w:rPr>
              <w:t>Regulatory Driver</w:t>
            </w:r>
          </w:p>
        </w:tc>
      </w:tr>
      <w:tr>
        <w:tc>
          <w:tcPr>
            <w:tcW w:type="dxa" w:w="2045"/>
          </w:tcPr>
          <w:p>
            <w:pPr>
              <w:spacing w:after="0"/>
            </w:pPr>
            <w:r>
              <w:rPr>
                <w:rFonts w:ascii="Arial" w:hAnsi="Arial"/>
                <w:b w:val="0"/>
                <w:sz w:val="14"/>
              </w:rPr>
              <w:t>Lifecycle Accountability Summary</w:t>
            </w:r>
          </w:p>
        </w:tc>
        <w:tc>
          <w:tcPr>
            <w:tcW w:type="dxa" w:w="2045"/>
          </w:tcPr>
          <w:p>
            <w:pPr>
              <w:spacing w:after="0"/>
            </w:pPr>
            <w:r>
              <w:rPr>
                <w:rFonts w:ascii="Arial" w:hAnsi="Arial"/>
                <w:b w:val="0"/>
                <w:sz w:val="14"/>
              </w:rPr>
              <w:t>RCCS baseline score, ALCS conformance score, role-responsibility map coverage</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RCCS score below threshold, ALCS score degradation, accountability gap in high-risk system</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Open Dispute Register</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Dispute unresolved beyond SLA, dispute involving high-risk system, dispute escalated to external authority</w:t>
            </w:r>
          </w:p>
        </w:tc>
        <w:tc>
          <w:tcPr>
            <w:tcW w:type="dxa" w:w="2045"/>
          </w:tcPr>
          <w:p>
            <w:pPr>
              <w:spacing w:after="0"/>
            </w:pPr>
            <w:r>
              <w:rPr>
                <w:rFonts w:ascii="Arial" w:hAnsi="Arial"/>
                <w:b w:val="0"/>
                <w:sz w:val="14"/>
              </w:rPr>
              <w:t>EU AI Act Art. 72 (dispute resolution), GDPR Art. 79 (right to judicial remedy)</w:t>
            </w:r>
          </w:p>
        </w:tc>
      </w:tr>
      <w:tr>
        <w:tc>
          <w:tcPr>
            <w:tcW w:type="dxa" w:w="2045"/>
          </w:tcPr>
          <w:p>
            <w:pPr>
              <w:spacing w:after="0"/>
            </w:pPr>
            <w:r>
              <w:rPr>
                <w:rFonts w:ascii="Arial" w:hAnsi="Arial"/>
                <w:b w:val="0"/>
                <w:sz w:val="14"/>
              </w:rPr>
              <w:t>Remediation Closure Rate</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Remediation closure rate below threshold, high-severity incident unresolved, remediation rejected by human authority</w:t>
            </w:r>
          </w:p>
        </w:tc>
        <w:tc>
          <w:tcPr>
            <w:tcW w:type="dxa" w:w="2045"/>
          </w:tcPr>
          <w:p>
            <w:pPr>
              <w:spacing w:after="0"/>
            </w:pPr>
            <w:r>
              <w:rPr>
                <w:rFonts w:ascii="Arial" w:hAnsi="Arial"/>
                <w:b w:val="0"/>
                <w:sz w:val="14"/>
              </w:rPr>
              <w:t>NIST AI RMF Manage function, EU AI Act Art. 9 (corrective actions)</w:t>
            </w:r>
          </w:p>
        </w:tc>
      </w:tr>
      <w:tr>
        <w:tc>
          <w:tcPr>
            <w:tcW w:type="dxa" w:w="2045"/>
          </w:tcPr>
          <w:p>
            <w:pPr>
              <w:spacing w:after="0"/>
            </w:pPr>
            <w:r>
              <w:rPr>
                <w:rFonts w:ascii="Arial" w:hAnsi="Arial"/>
                <w:b w:val="0"/>
                <w:sz w:val="14"/>
              </w:rPr>
              <w:t>Privacy Incident Summary</w:t>
            </w:r>
          </w:p>
        </w:tc>
        <w:tc>
          <w:tcPr>
            <w:tcW w:type="dxa" w:w="2045"/>
          </w:tcPr>
          <w:p>
            <w:pPr>
              <w:spacing w:after="0"/>
            </w:pPr>
            <w:r>
              <w:rPr>
                <w:rFonts w:ascii="Arial" w:hAnsi="Arial"/>
                <w:b w:val="0"/>
                <w:sz w:val="14"/>
              </w:rPr>
              <w:t>Privacy lifecycle map, data subject rights reconciliation record, evidence partition,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Privacy incident involving personal data breach, data subject rights request unresolved, cross-border data transfer violation</w:t>
            </w:r>
          </w:p>
        </w:tc>
        <w:tc>
          <w:tcPr>
            <w:tcW w:type="dxa" w:w="2045"/>
          </w:tcPr>
          <w:p>
            <w:pPr>
              <w:spacing w:after="0"/>
            </w:pPr>
            <w:r>
              <w:rPr>
                <w:rFonts w:ascii="Arial" w:hAnsi="Arial"/>
                <w:b w:val="0"/>
                <w:sz w:val="14"/>
              </w:rPr>
              <w:t>GDPR Art. 33-34 (breach notification), EU AI Act Art. 10 (data governance)</w:t>
            </w:r>
          </w:p>
        </w:tc>
      </w:tr>
      <w:tr>
        <w:tc>
          <w:tcPr>
            <w:tcW w:type="dxa" w:w="2045"/>
          </w:tcPr>
          <w:p>
            <w:pPr>
              <w:spacing w:after="0"/>
            </w:pPr>
            <w:r>
              <w:rPr>
                <w:rFonts w:ascii="Arial" w:hAnsi="Arial"/>
                <w:b w:val="0"/>
                <w:sz w:val="14"/>
              </w:rPr>
              <w:t>Vendor and Tool Substitution Log</w:t>
            </w:r>
          </w:p>
        </w:tc>
        <w:tc>
          <w:tcPr>
            <w:tcW w:type="dxa" w:w="2045"/>
          </w:tcPr>
          <w:p>
            <w:pPr>
              <w:spacing w:after="0"/>
            </w:pPr>
            <w:r>
              <w:rPr>
                <w:rFonts w:ascii="Arial" w:hAnsi="Arial"/>
                <w:b w:val="0"/>
                <w:sz w:val="14"/>
              </w:rPr>
              <w:t>Vendor substitution conformance test, processor chain record, model version registry</w:t>
            </w:r>
          </w:p>
        </w:tc>
        <w:tc>
          <w:tcPr>
            <w:tcW w:type="dxa" w:w="2045"/>
          </w:tcPr>
          <w:p>
            <w:pPr>
              <w:spacing w:after="0"/>
            </w:pPr>
            <w:r>
              <w:rPr>
                <w:rFonts w:ascii="Arial" w:hAnsi="Arial"/>
                <w:b w:val="0"/>
                <w:sz w:val="14"/>
              </w:rPr>
              <w:t>Semi-annually</w:t>
            </w:r>
          </w:p>
        </w:tc>
        <w:tc>
          <w:tcPr>
            <w:tcW w:type="dxa" w:w="2045"/>
          </w:tcPr>
          <w:p>
            <w:pPr>
              <w:spacing w:after="0"/>
            </w:pPr>
            <w:r>
              <w:rPr>
                <w:rFonts w:ascii="Arial" w:hAnsi="Arial"/>
                <w:b w:val="0"/>
                <w:sz w:val="14"/>
              </w:rPr>
              <w:t>Vendor lock-in risk identified, substitution test failure, processor chain integrity violation</w:t>
            </w:r>
          </w:p>
        </w:tc>
        <w:tc>
          <w:tcPr>
            <w:tcW w:type="dxa" w:w="2045"/>
          </w:tcPr>
          <w:p>
            <w:pPr>
              <w:spacing w:after="0"/>
            </w:pPr>
            <w:r>
              <w:rPr>
                <w:rFonts w:ascii="Arial" w:hAnsi="Arial"/>
                <w:b w:val="0"/>
                <w:sz w:val="14"/>
              </w:rPr>
              <w:t>EU AI Act Art. 25 (obligations of importers), Art. 28 (obligations of distributors), DORA Art. 28 (ICT third-party risk)</w:t>
            </w:r>
          </w:p>
        </w:tc>
      </w:tr>
      <w:tr>
        <w:tc>
          <w:tcPr>
            <w:tcW w:type="dxa" w:w="2045"/>
          </w:tcPr>
          <w:p>
            <w:pPr>
              <w:spacing w:after="0"/>
            </w:pPr>
            <w:r>
              <w:rPr>
                <w:rFonts w:ascii="Arial" w:hAnsi="Arial"/>
                <w:b w:val="0"/>
                <w:sz w:val="14"/>
              </w:rPr>
              <w:t>Drift and Remediation Status</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Authority drift detected in high-risk system, remediation unresolved, improvement actions stalled</w:t>
            </w:r>
          </w:p>
        </w:tc>
        <w:tc>
          <w:tcPr>
            <w:tcW w:type="dxa" w:w="2045"/>
          </w:tcPr>
          <w:p>
            <w:pPr>
              <w:spacing w:after="0"/>
            </w:pPr>
            <w:r>
              <w:rPr>
                <w:rFonts w:ascii="Arial" w:hAnsi="Arial"/>
                <w:b w:val="0"/>
                <w:sz w:val="14"/>
              </w:rPr>
              <w:t>NIST AI RMF Measure function, EU AI Act Art. 9 (monitoring and logging)</w:t>
            </w:r>
          </w:p>
        </w:tc>
      </w:tr>
    </w:tbl>
    <w:p>
      <w:pPr>
        <w:spacing w:after="56"/>
      </w:pPr>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Pr>
        <w:pStyle w:val="Heading3"/>
      </w:pPr>
      <w:r>
        <w:t>10.5.3 Escalation Note</w:t>
      </w:r>
    </w:p>
    <w:p>
      <w:pPr>
        <w:spacing w:after="56"/>
      </w:pPr>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Pr>
        <w:spacing w:after="56"/>
      </w:pPr>
      <w:r>
        <w:t>Lifecycle objects provide the structured data needed for escalation decisions. RCCS-T, RCCS-M, and ALCS scores can indicate whether governance coverage or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Pr>
        <w:spacing w:after="56"/>
      </w:pPr>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Pr>
        <w:pStyle w:val="Heading2"/>
      </w:pPr>
      <w:r>
        <w:t>10.6 Procurement Scorecard Application</w:t>
      </w:r>
    </w:p>
    <w:p>
      <w:pPr>
        <w:pStyle w:val="Heading3"/>
      </w:pPr>
      <w:r>
        <w:t>10.6.1 Procurement Lifecycle Governance Requirements</w:t>
      </w:r>
    </w:p>
    <w:p>
      <w:pPr>
        <w:spacing w:after="56"/>
      </w:pPr>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Pr>
        <w:spacing w:after="56"/>
      </w:pPr>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Pr>
        <w:spacing w:after="56"/>
      </w:pPr>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Pr>
        <w:spacing w:after="56"/>
      </w:pPr>
      <w:r>
        <w:t>Key procurement criteria:</w:t>
      </w:r>
    </w:p>
    <w:p>
      <w:pPr>
        <w:pStyle w:val="ListBullet"/>
        <w:spacing w:after="56"/>
      </w:pPr>
      <w:r>
        <w:t>Does the vendor support lifecycle evidence export in a structured, auditable format?</w:t>
      </w:r>
    </w:p>
    <w:p>
      <w:pPr>
        <w:pStyle w:val="ListBullet"/>
        <w:spacing w:after="56"/>
      </w:pPr>
      <w:r>
        <w:t>Can tool actions be bounded by tool-action liability boundaries?</w:t>
      </w:r>
    </w:p>
    <w:p>
      <w:pPr>
        <w:pStyle w:val="ListBullet"/>
        <w:spacing w:after="56"/>
      </w:pPr>
      <w:r>
        <w:t>Is the agent identity lifecycle documented and auditable?</w:t>
      </w:r>
    </w:p>
    <w:p>
      <w:pPr>
        <w:pStyle w:val="ListBullet"/>
        <w:spacing w:after="56"/>
      </w:pPr>
      <w:r>
        <w:t>Can the organization reconstruct processor and subprocessor chains?</w:t>
      </w:r>
    </w:p>
    <w:p>
      <w:pPr>
        <w:pStyle w:val="ListBullet"/>
        <w:spacing w:after="56"/>
      </w:pPr>
      <w:r>
        <w:t>Does the vendor support privacy-preserving validation?</w:t>
      </w:r>
    </w:p>
    <w:p>
      <w:pPr>
        <w:pStyle w:val="ListBullet"/>
        <w:spacing w:after="56"/>
      </w:pPr>
      <w:r>
        <w:t>Can the organization substitute vendors without losing lifecycle conformance?</w:t>
      </w:r>
    </w:p>
    <w:p>
      <w:pPr>
        <w:pStyle w:val="Heading3"/>
      </w:pPr>
      <w:r>
        <w:t>10.6.2 Procurement Scorecard Table</w:t>
      </w:r>
    </w:p>
    <w:p>
      <w:pPr>
        <w:spacing w:after="56"/>
      </w:pPr>
      <w:r>
        <w:t>The following table defines procurement scorecard criteria for agentic AI systems, mapped to lifecycle objects, acceptable evidence, risk if absent, and regulatory references.</w:t>
      </w:r>
    </w:p>
    <w:p>
      <w:pPr>
        <w:keepNext/>
      </w:pPr>
      <w:r>
        <w:rPr>
          <w:b/>
          <w:sz w:val="16"/>
        </w:rPr>
        <w:t>Table T-10-05: Agentic AI Procurement Scorecard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Criterion</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Acceptable Evidence</w:t>
            </w:r>
          </w:p>
        </w:tc>
        <w:tc>
          <w:tcPr>
            <w:tcW w:type="dxa" w:w="2045"/>
          </w:tcPr>
          <w:p>
            <w:pPr>
              <w:spacing w:after="0"/>
            </w:pPr>
            <w:r>
              <w:rPr>
                <w:rFonts w:ascii="Arial" w:hAnsi="Arial"/>
                <w:b/>
                <w:sz w:val="14"/>
              </w:rPr>
              <w:t>Risk if Absent</w:t>
            </w:r>
          </w:p>
        </w:tc>
        <w:tc>
          <w:tcPr>
            <w:tcW w:type="dxa" w:w="2045"/>
          </w:tcPr>
          <w:p>
            <w:pPr>
              <w:spacing w:after="0"/>
            </w:pPr>
            <w:r>
              <w:rPr>
                <w:rFonts w:ascii="Arial" w:hAnsi="Arial"/>
                <w:b/>
                <w:sz w:val="14"/>
              </w:rPr>
              <w:t>Regulatory Reference</w:t>
            </w:r>
          </w:p>
        </w:tc>
      </w:tr>
      <w:tr>
        <w:tc>
          <w:tcPr>
            <w:tcW w:type="dxa" w:w="2045"/>
          </w:tcPr>
          <w:p>
            <w:pPr>
              <w:spacing w:after="0"/>
            </w:pPr>
            <w:r>
              <w:rPr>
                <w:rFonts w:ascii="Arial" w:hAnsi="Arial"/>
                <w:b w:val="0"/>
                <w:sz w:val="14"/>
              </w:rPr>
              <w:t>Agent Identity Lifecycle</w:t>
            </w:r>
          </w:p>
        </w:tc>
        <w:tc>
          <w:tcPr>
            <w:tcW w:type="dxa" w:w="2045"/>
          </w:tcPr>
          <w:p>
            <w:pPr>
              <w:spacing w:after="0"/>
            </w:pPr>
            <w:r>
              <w:rPr>
                <w:rFonts w:ascii="Arial" w:hAnsi="Arial"/>
                <w:b w:val="0"/>
                <w:sz w:val="14"/>
              </w:rPr>
              <w:t>Agent identity lifecycle record, role-responsibility map</w:t>
            </w:r>
          </w:p>
        </w:tc>
        <w:tc>
          <w:tcPr>
            <w:tcW w:type="dxa" w:w="2045"/>
          </w:tcPr>
          <w:p>
            <w:pPr>
              <w:spacing w:after="0"/>
            </w:pPr>
            <w:r>
              <w:rPr>
                <w:rFonts w:ascii="Arial" w:hAnsi="Arial"/>
                <w:b w:val="0"/>
                <w:sz w:val="14"/>
              </w:rPr>
              <w:t>Agent identity registry, identity creation/termination log, role assignment audit trail</w:t>
            </w:r>
          </w:p>
        </w:tc>
        <w:tc>
          <w:tcPr>
            <w:tcW w:type="dxa" w:w="2045"/>
          </w:tcPr>
          <w:p>
            <w:pPr>
              <w:spacing w:after="0"/>
            </w:pPr>
            <w:r>
              <w:rPr>
                <w:rFonts w:ascii="Arial" w:hAnsi="Arial"/>
                <w:b w:val="0"/>
                <w:sz w:val="14"/>
              </w:rPr>
              <w:t>Cannot reconstruct who authorized, executed, or accepted agentic work; accountability gap</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Tool-action liability boundary, tool credential registry</w:t>
            </w:r>
          </w:p>
        </w:tc>
        <w:tc>
          <w:tcPr>
            <w:tcW w:type="dxa" w:w="2045"/>
          </w:tcPr>
          <w:p>
            <w:pPr>
              <w:spacing w:after="0"/>
            </w:pPr>
            <w:r>
              <w:rPr>
                <w:rFonts w:ascii="Arial" w:hAnsi="Arial"/>
                <w:b w:val="0"/>
                <w:sz w:val="14"/>
              </w:rPr>
              <w:t>Tool-action authorization policy, tool invocation log, liability boundary validation record</w:t>
            </w:r>
          </w:p>
        </w:tc>
        <w:tc>
          <w:tcPr>
            <w:tcW w:type="dxa" w:w="2045"/>
          </w:tcPr>
          <w:p>
            <w:pPr>
              <w:spacing w:after="0"/>
            </w:pPr>
            <w:r>
              <w:rPr>
                <w:rFonts w:ascii="Arial" w:hAnsi="Arial"/>
                <w:b w:val="0"/>
                <w:sz w:val="14"/>
              </w:rPr>
              <w:t>Cannot determine liability for tool misuse, unauthorized tool invocation, or tool-related incidents</w:t>
            </w:r>
          </w:p>
        </w:tc>
        <w:tc>
          <w:tcPr>
            <w:tcW w:type="dxa" w:w="2045"/>
          </w:tcPr>
          <w:p>
            <w:pPr>
              <w:spacing w:after="0"/>
            </w:pPr>
            <w:r>
              <w:rPr>
                <w:rFonts w:ascii="Arial" w:hAnsi="Arial"/>
                <w:b w:val="0"/>
                <w:sz w:val="14"/>
              </w:rPr>
              <w:t>EU AI Act Art. 28 (obligations of distributors), DORA Art. 28 (ICT third-party risk)</w:t>
            </w:r>
          </w:p>
        </w:tc>
      </w:tr>
      <w:tr>
        <w:tc>
          <w:tcPr>
            <w:tcW w:type="dxa" w:w="2045"/>
          </w:tcPr>
          <w:p>
            <w:pPr>
              <w:spacing w:after="0"/>
            </w:pPr>
            <w:r>
              <w:rPr>
                <w:rFonts w:ascii="Arial" w:hAnsi="Arial"/>
                <w:b w:val="0"/>
                <w:sz w:val="14"/>
              </w:rPr>
              <w:t>Evidence Export Capability</w:t>
            </w:r>
          </w:p>
        </w:tc>
        <w:tc>
          <w:tcPr>
            <w:tcW w:type="dxa" w:w="2045"/>
          </w:tcPr>
          <w:p>
            <w:pPr>
              <w:spacing w:after="0"/>
            </w:pPr>
            <w:r>
              <w:rPr>
                <w:rFonts w:ascii="Arial" w:hAnsi="Arial"/>
                <w:b w:val="0"/>
                <w:sz w:val="14"/>
              </w:rPr>
              <w:t>Evidence partition, evidence minimization policy</w:t>
            </w:r>
          </w:p>
        </w:tc>
        <w:tc>
          <w:tcPr>
            <w:tcW w:type="dxa" w:w="2045"/>
          </w:tcPr>
          <w:p>
            <w:pPr>
              <w:spacing w:after="0"/>
            </w:pPr>
            <w:r>
              <w:rPr>
                <w:rFonts w:ascii="Arial" w:hAnsi="Arial"/>
                <w:b w:val="0"/>
                <w:sz w:val="14"/>
              </w:rPr>
              <w:t>Evidence export API, evidence schema documentation, evidence integrity validation</w:t>
            </w:r>
          </w:p>
        </w:tc>
        <w:tc>
          <w:tcPr>
            <w:tcW w:type="dxa" w:w="2045"/>
          </w:tcPr>
          <w:p>
            <w:pPr>
              <w:spacing w:after="0"/>
            </w:pPr>
            <w:r>
              <w:rPr>
                <w:rFonts w:ascii="Arial" w:hAnsi="Arial"/>
                <w:b w:val="0"/>
                <w:sz w:val="14"/>
              </w:rPr>
              <w:t>Cannot provide evidence to auditors, regulators, or data subjects; audit readiness failure</w:t>
            </w:r>
          </w:p>
        </w:tc>
        <w:tc>
          <w:tcPr>
            <w:tcW w:type="dxa" w:w="2045"/>
          </w:tcPr>
          <w:p>
            <w:pPr>
              <w:spacing w:after="0"/>
            </w:pPr>
            <w:r>
              <w:rPr>
                <w:rFonts w:ascii="Arial" w:hAnsi="Arial"/>
                <w:b w:val="0"/>
                <w:sz w:val="14"/>
              </w:rPr>
              <w:t>GDPR Art. 15 (right of access), EU AI Act Art. 12 (record-keeping)</w:t>
            </w:r>
          </w:p>
        </w:tc>
      </w:tr>
      <w:tr>
        <w:tc>
          <w:tcPr>
            <w:tcW w:type="dxa" w:w="2045"/>
          </w:tcPr>
          <w:p>
            <w:pPr>
              <w:spacing w:after="0"/>
            </w:pPr>
            <w:r>
              <w:rPr>
                <w:rFonts w:ascii="Arial" w:hAnsi="Arial"/>
                <w:b w:val="0"/>
                <w:sz w:val="14"/>
              </w:rPr>
              <w:t>Privacy Data-Flow Map</w:t>
            </w:r>
          </w:p>
        </w:tc>
        <w:tc>
          <w:tcPr>
            <w:tcW w:type="dxa" w:w="2045"/>
          </w:tcPr>
          <w:p>
            <w:pPr>
              <w:spacing w:after="0"/>
            </w:pPr>
            <w:r>
              <w:rPr>
                <w:rFonts w:ascii="Arial" w:hAnsi="Arial"/>
                <w:b w:val="0"/>
                <w:sz w:val="14"/>
              </w:rPr>
              <w:t>Privacy lifecycle map, processor chain record, data subject rights reconciliation record</w:t>
            </w:r>
          </w:p>
        </w:tc>
        <w:tc>
          <w:tcPr>
            <w:tcW w:type="dxa" w:w="2045"/>
          </w:tcPr>
          <w:p>
            <w:pPr>
              <w:spacing w:after="0"/>
            </w:pPr>
            <w:r>
              <w:rPr>
                <w:rFonts w:ascii="Arial" w:hAnsi="Arial"/>
                <w:b w:val="0"/>
                <w:sz w:val="14"/>
              </w:rPr>
              <w:t>Privacy impact assessment, data flow diagram, processor/subprocessor registry</w:t>
            </w:r>
          </w:p>
        </w:tc>
        <w:tc>
          <w:tcPr>
            <w:tcW w:type="dxa" w:w="2045"/>
          </w:tcPr>
          <w:p>
            <w:pPr>
              <w:spacing w:after="0"/>
            </w:pPr>
            <w:r>
              <w:rPr>
                <w:rFonts w:ascii="Arial" w:hAnsi="Arial"/>
                <w:b w:val="0"/>
                <w:sz w:val="14"/>
              </w:rPr>
              <w:t>Cannot reconstruct data processing activities; GDPR compliance failure; privacy incident response failure</w:t>
            </w:r>
          </w:p>
        </w:tc>
        <w:tc>
          <w:tcPr>
            <w:tcW w:type="dxa" w:w="2045"/>
          </w:tcPr>
          <w:p>
            <w:pPr>
              <w:spacing w:after="0"/>
            </w:pPr>
            <w:r>
              <w:rPr>
                <w:rFonts w:ascii="Arial" w:hAnsi="Arial"/>
                <w:b w:val="0"/>
                <w:sz w:val="14"/>
              </w:rPr>
              <w:t>GDPR Art. 28 (processor obligations), Art. 30 (records of processing), EU AI Act Art. 10 (data governance)</w:t>
            </w:r>
          </w:p>
        </w:tc>
      </w:tr>
      <w:tr>
        <w:tc>
          <w:tcPr>
            <w:tcW w:type="dxa" w:w="2045"/>
          </w:tcPr>
          <w:p>
            <w:pPr>
              <w:spacing w:after="0"/>
            </w:pPr>
            <w:r>
              <w:rPr>
                <w:rFonts w:ascii="Arial" w:hAnsi="Arial"/>
                <w:b w:val="0"/>
                <w:sz w:val="14"/>
              </w:rPr>
              <w:t>Incident Response Support</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Incident response procedure, incident closure SLA, remediation acceptance criteria</w:t>
            </w:r>
          </w:p>
        </w:tc>
        <w:tc>
          <w:tcPr>
            <w:tcW w:type="dxa" w:w="2045"/>
          </w:tcPr>
          <w:p>
            <w:pPr>
              <w:spacing w:after="0"/>
            </w:pPr>
            <w:r>
              <w:rPr>
                <w:rFonts w:ascii="Arial" w:hAnsi="Arial"/>
                <w:b w:val="0"/>
                <w:sz w:val="14"/>
              </w:rPr>
              <w:t>Cannot close incidents with accepted remediation; redress failure; regulatory reporting failure</w:t>
            </w:r>
          </w:p>
        </w:tc>
        <w:tc>
          <w:tcPr>
            <w:tcW w:type="dxa" w:w="2045"/>
          </w:tcPr>
          <w:p>
            <w:pPr>
              <w:spacing w:after="0"/>
            </w:pPr>
            <w:r>
              <w:rPr>
                <w:rFonts w:ascii="Arial" w:hAnsi="Arial"/>
                <w:b w:val="0"/>
                <w:sz w:val="14"/>
              </w:rPr>
              <w:t>EU AI Act Art. 72 (dispute resolution), GDPR Art. 33-34 (breach notification)</w:t>
            </w:r>
          </w:p>
        </w:tc>
      </w:tr>
      <w:tr>
        <w:tc>
          <w:tcPr>
            <w:tcW w:type="dxa" w:w="2045"/>
          </w:tcPr>
          <w:p>
            <w:pPr>
              <w:spacing w:after="0"/>
            </w:pPr>
            <w:r>
              <w:rPr>
                <w:rFonts w:ascii="Arial" w:hAnsi="Arial"/>
                <w:b w:val="0"/>
                <w:sz w:val="14"/>
              </w:rPr>
              <w:t>Vendor Substitution Support</w:t>
            </w:r>
          </w:p>
        </w:tc>
        <w:tc>
          <w:tcPr>
            <w:tcW w:type="dxa" w:w="2045"/>
          </w:tcPr>
          <w:p>
            <w:pPr>
              <w:spacing w:after="0"/>
            </w:pPr>
            <w:r>
              <w:rPr>
                <w:rFonts w:ascii="Arial" w:hAnsi="Arial"/>
                <w:b w:val="0"/>
                <w:sz w:val="14"/>
              </w:rPr>
              <w:t>Vendor substitution conformance test, model version registry, processor chain record</w:t>
            </w:r>
          </w:p>
        </w:tc>
        <w:tc>
          <w:tcPr>
            <w:tcW w:type="dxa" w:w="2045"/>
          </w:tcPr>
          <w:p>
            <w:pPr>
              <w:spacing w:after="0"/>
            </w:pPr>
            <w:r>
              <w:rPr>
                <w:rFonts w:ascii="Arial" w:hAnsi="Arial"/>
                <w:b w:val="0"/>
                <w:sz w:val="14"/>
              </w:rPr>
              <w:t>Vendor substitution test procedure, data portability support, lifecycle conformance revalidation plan</w:t>
            </w:r>
          </w:p>
        </w:tc>
        <w:tc>
          <w:tcPr>
            <w:tcW w:type="dxa" w:w="2045"/>
          </w:tcPr>
          <w:p>
            <w:pPr>
              <w:spacing w:after="0"/>
            </w:pPr>
            <w:r>
              <w:rPr>
                <w:rFonts w:ascii="Arial" w:hAnsi="Arial"/>
                <w:b w:val="0"/>
                <w:sz w:val="14"/>
              </w:rPr>
              <w:t>Vendor lock-in; cannot switch vendors without losing lifecycle conformance; supply-chain risk</w:t>
            </w:r>
          </w:p>
        </w:tc>
        <w:tc>
          <w:tcPr>
            <w:tcW w:type="dxa" w:w="2045"/>
          </w:tcPr>
          <w:p>
            <w:pPr>
              <w:spacing w:after="0"/>
            </w:pPr>
            <w:r>
              <w:rPr>
                <w:rFonts w:ascii="Arial" w:hAnsi="Arial"/>
                <w:b w:val="0"/>
                <w:sz w:val="14"/>
              </w:rPr>
              <w:t>EU AI Act Art. 25 (obligations of importers), DORA Art. 28 (exit strategies)</w:t>
            </w:r>
          </w:p>
        </w:tc>
      </w:tr>
      <w:tr>
        <w:tc>
          <w:tcPr>
            <w:tcW w:type="dxa" w:w="2045"/>
          </w:tcPr>
          <w:p>
            <w:pPr>
              <w:spacing w:after="0"/>
            </w:pPr>
            <w:r>
              <w:rPr>
                <w:rFonts w:ascii="Arial" w:hAnsi="Arial"/>
                <w:b w:val="0"/>
                <w:sz w:val="14"/>
              </w:rPr>
              <w:t>Drift Monitoring Capability</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Drift detection procedure, drift alert mechanism, drift remediation workflow</w:t>
            </w:r>
          </w:p>
        </w:tc>
        <w:tc>
          <w:tcPr>
            <w:tcW w:type="dxa" w:w="2045"/>
          </w:tcPr>
          <w:p>
            <w:pPr>
              <w:spacing w:after="0"/>
            </w:pPr>
            <w:r>
              <w:rPr>
                <w:rFonts w:ascii="Arial" w:hAnsi="Arial"/>
                <w:b w:val="0"/>
                <w:sz w:val="14"/>
              </w:rPr>
              <w:t>Cannot detect authority boundary violations, lifecycle conformance degradation, or unresolved remediation</w:t>
            </w:r>
          </w:p>
        </w:tc>
        <w:tc>
          <w:tcPr>
            <w:tcW w:type="dxa" w:w="2045"/>
          </w:tcPr>
          <w:p>
            <w:pPr>
              <w:spacing w:after="0"/>
            </w:pPr>
            <w:r>
              <w:rPr>
                <w:rFonts w:ascii="Arial" w:hAnsi="Arial"/>
                <w:b w:val="0"/>
                <w:sz w:val="14"/>
              </w:rPr>
              <w:t>NIST AI RMF Measure function, EU AI Act Art. 9 (monitoring and logging)</w:t>
            </w:r>
          </w:p>
        </w:tc>
      </w:tr>
      <w:tr>
        <w:tc>
          <w:tcPr>
            <w:tcW w:type="dxa" w:w="2045"/>
          </w:tcPr>
          <w:p>
            <w:pPr>
              <w:spacing w:after="0"/>
            </w:pPr>
            <w:r>
              <w:rPr>
                <w:rFonts w:ascii="Arial" w:hAnsi="Arial"/>
                <w:b w:val="0"/>
                <w:sz w:val="14"/>
              </w:rPr>
              <w:t>Dispute Resolution Support</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Dispute resolution procedure, dispute escalation path, dispute closure criteria</w:t>
            </w:r>
          </w:p>
        </w:tc>
        <w:tc>
          <w:tcPr>
            <w:tcW w:type="dxa" w:w="2045"/>
          </w:tcPr>
          <w:p>
            <w:pPr>
              <w:spacing w:after="0"/>
            </w:pPr>
            <w:r>
              <w:rPr>
                <w:rFonts w:ascii="Arial" w:hAnsi="Arial"/>
                <w:b w:val="0"/>
                <w:sz w:val="14"/>
              </w:rPr>
              <w:t>Cannot resolve disputes with accepted outcomes; redress failure; regulatory escalation risk</w:t>
            </w:r>
          </w:p>
        </w:tc>
        <w:tc>
          <w:tcPr>
            <w:tcW w:type="dxa" w:w="2045"/>
          </w:tcPr>
          <w:p>
            <w:pPr>
              <w:spacing w:after="0"/>
            </w:pPr>
            <w:r>
              <w:rPr>
                <w:rFonts w:ascii="Arial" w:hAnsi="Arial"/>
                <w:b w:val="0"/>
                <w:sz w:val="14"/>
              </w:rPr>
              <w:t>EU AI Act Art. 72 (dispute resolution), GDPR Art. 79 (right to judicial remedy)</w:t>
            </w:r>
          </w:p>
        </w:tc>
      </w:tr>
    </w:tbl>
    <w:p>
      <w:pPr>
        <w:spacing w:after="56"/>
      </w:pPr>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Pr>
        <w:pStyle w:val="Heading3"/>
      </w:pPr>
      <w:r>
        <w:t>10.6.3 Scorecard Note</w:t>
      </w:r>
    </w:p>
    <w:p>
      <w:pPr>
        <w:spacing w:after="56"/>
      </w:pPr>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Pr>
        <w:spacing w:after="56"/>
      </w:pPr>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Pr>
        <w:pStyle w:val="Heading2"/>
      </w:pPr>
      <w:r>
        <w:t>10.7 Ongoing Monitoring and Continuous Improvement</w:t>
      </w:r>
    </w:p>
    <w:p>
      <w:pPr>
        <w:pStyle w:val="Heading3"/>
      </w:pPr>
      <w:r>
        <w:t>10.7.1 Why Monitoring Must Be Lifecycle-Integrated</w:t>
      </w:r>
    </w:p>
    <w:p>
      <w:pPr>
        <w:spacing w:after="56"/>
      </w:pPr>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Pr>
        <w:spacing w:after="56"/>
      </w:pPr>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Pr>
        <w:spacing w:after="56"/>
      </w:pPr>
      <w:r>
        <w:t>Lifecycle monitoring primarily draws from delegated authority, evidence partitioning, substitution conformance, privacy lifecycle mapping, and incident/remediation closure objects. It does not introduce separate lifecycle-drift or continuous-improvement MROs. Monitoring events should be interpreted through canonical lifecycle objects: authority drift uses MRO-07, evidence-chain breaks use MRO-08 and MRO-16, substitution alerts use MRO-09 and MRO-15, privacy data-flow deviations use MRO-10, MRO-13, and MRO-14, and incident closure uses MRO-16.</w:t>
      </w:r>
    </w:p>
    <w:p>
      <w:pPr>
        <w:spacing w:after="56"/>
      </w:pPr>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Pr>
        <w:pStyle w:val="Heading3"/>
      </w:pPr>
      <w:r>
        <w:t>10.7.2 Monitoring Indicators Table</w:t>
      </w:r>
    </w:p>
    <w:p>
      <w:pPr>
        <w:spacing w:after="56"/>
      </w:pPr>
      <w:r>
        <w:t>The following table defines lifecycle monitoring indicators, mapped to lifecycle objects, alert conditions, MRO dimensions, and remediation paths.</w:t>
      </w:r>
    </w:p>
    <w:p>
      <w:pPr>
        <w:keepNext/>
      </w:pPr>
      <w:r>
        <w:rPr>
          <w:b/>
          <w:sz w:val="16"/>
        </w:rPr>
        <w:t>Table T-10-06: Lifecycle Monitoring Indicators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Indicator</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Alert Condition</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Remediation Path</w:t>
            </w:r>
          </w:p>
        </w:tc>
      </w:tr>
      <w:tr>
        <w:tc>
          <w:tcPr>
            <w:tcW w:type="dxa" w:w="2045"/>
          </w:tcPr>
          <w:p>
            <w:pPr>
              <w:spacing w:after="0"/>
            </w:pPr>
            <w:r>
              <w:rPr>
                <w:rFonts w:ascii="Arial" w:hAnsi="Arial"/>
                <w:b w:val="0"/>
                <w:sz w:val="14"/>
              </w:rPr>
              <w:t>Responsibility Drift</w:t>
            </w:r>
          </w:p>
        </w:tc>
        <w:tc>
          <w:tcPr>
            <w:tcW w:type="dxa" w:w="2045"/>
          </w:tcPr>
          <w:p>
            <w:pPr>
              <w:spacing w:after="0"/>
            </w:pPr>
            <w:r>
              <w:rPr>
                <w:rFonts w:ascii="Arial" w:hAnsi="Arial"/>
                <w:b w:val="0"/>
                <w:sz w:val="14"/>
              </w:rPr>
              <w:t>Role-responsibility map, agent identity lifecycle record, authority drift detection log</w:t>
            </w:r>
          </w:p>
        </w:tc>
        <w:tc>
          <w:tcPr>
            <w:tcW w:type="dxa" w:w="2045"/>
          </w:tcPr>
          <w:p>
            <w:pPr>
              <w:spacing w:after="0"/>
            </w:pPr>
            <w:r>
              <w:rPr>
                <w:rFonts w:ascii="Arial" w:hAnsi="Arial"/>
                <w:b w:val="0"/>
                <w:sz w:val="14"/>
              </w:rPr>
              <w:t>Role assignment unchanged beyond revalidation period; role holder departed; responsibility gap detected</w:t>
            </w:r>
          </w:p>
        </w:tc>
        <w:tc>
          <w:tcPr>
            <w:tcW w:type="dxa" w:w="2045"/>
          </w:tcPr>
          <w:p>
            <w:pPr>
              <w:spacing w:after="0"/>
            </w:pPr>
            <w:r>
              <w:rPr>
                <w:rFonts w:ascii="Arial" w:hAnsi="Arial"/>
                <w:b w:val="0"/>
                <w:sz w:val="14"/>
              </w:rPr>
              <w:t>MRO-01, MRO-06, MRO-07</w:t>
            </w:r>
          </w:p>
        </w:tc>
        <w:tc>
          <w:tcPr>
            <w:tcW w:type="dxa" w:w="2045"/>
          </w:tcPr>
          <w:p>
            <w:pPr>
              <w:spacing w:after="0"/>
            </w:pPr>
            <w:r>
              <w:rPr>
                <w:rFonts w:ascii="Arial" w:hAnsi="Arial"/>
                <w:b w:val="0"/>
                <w:sz w:val="14"/>
              </w:rPr>
              <w:t>Revalidate role-responsibility map; reassign agent identity; update lifecycle record; document drift remediation</w:t>
            </w:r>
          </w:p>
        </w:tc>
      </w:tr>
      <w:tr>
        <w:tc>
          <w:tcPr>
            <w:tcW w:type="dxa" w:w="2045"/>
          </w:tcPr>
          <w:p>
            <w:pPr>
              <w:spacing w:after="0"/>
            </w:pPr>
            <w:r>
              <w:rPr>
                <w:rFonts w:ascii="Arial" w:hAnsi="Arial"/>
                <w:b w:val="0"/>
                <w:sz w:val="14"/>
              </w:rPr>
              <w:t>Evidence Chain Break</w:t>
            </w:r>
          </w:p>
        </w:tc>
        <w:tc>
          <w:tcPr>
            <w:tcW w:type="dxa" w:w="2045"/>
          </w:tcPr>
          <w:p>
            <w:pPr>
              <w:spacing w:after="0"/>
            </w:pPr>
            <w:r>
              <w:rPr>
                <w:rFonts w:ascii="Arial" w:hAnsi="Arial"/>
                <w:b w:val="0"/>
                <w:sz w:val="14"/>
              </w:rPr>
              <w:t>Evidence partition, accepted outcome state, incident closure record</w:t>
            </w:r>
          </w:p>
        </w:tc>
        <w:tc>
          <w:tcPr>
            <w:tcW w:type="dxa" w:w="2045"/>
          </w:tcPr>
          <w:p>
            <w:pPr>
              <w:spacing w:after="0"/>
            </w:pPr>
            <w:r>
              <w:rPr>
                <w:rFonts w:ascii="Arial" w:hAnsi="Arial"/>
                <w:b w:val="0"/>
                <w:sz w:val="14"/>
              </w:rPr>
              <w:t>Evidence partition integrity check failed; evidence missing for lifecycle phase; accepted outcome lacks supporting evidence</w:t>
            </w:r>
          </w:p>
        </w:tc>
        <w:tc>
          <w:tcPr>
            <w:tcW w:type="dxa" w:w="2045"/>
          </w:tcPr>
          <w:p>
            <w:pPr>
              <w:spacing w:after="0"/>
            </w:pPr>
            <w:r>
              <w:rPr>
                <w:rFonts w:ascii="Arial" w:hAnsi="Arial"/>
                <w:b w:val="0"/>
                <w:sz w:val="14"/>
              </w:rPr>
              <w:t>MRO-08, MRO-16</w:t>
            </w:r>
          </w:p>
        </w:tc>
        <w:tc>
          <w:tcPr>
            <w:tcW w:type="dxa" w:w="2045"/>
          </w:tcPr>
          <w:p>
            <w:pPr>
              <w:spacing w:after="0"/>
            </w:pPr>
            <w:r>
              <w:rPr>
                <w:rFonts w:ascii="Arial" w:hAnsi="Arial"/>
                <w:b w:val="0"/>
                <w:sz w:val="14"/>
              </w:rPr>
              <w:t>Reconstruct evidence chain; validate evidence partition; re-execute acceptance review; document evidence remediation</w:t>
            </w:r>
          </w:p>
        </w:tc>
      </w:tr>
      <w:tr>
        <w:tc>
          <w:tcPr>
            <w:tcW w:type="dxa" w:w="2045"/>
          </w:tcPr>
          <w:p>
            <w:pPr>
              <w:spacing w:after="0"/>
            </w:pPr>
            <w:r>
              <w:rPr>
                <w:rFonts w:ascii="Arial" w:hAnsi="Arial"/>
                <w:b w:val="0"/>
                <w:sz w:val="14"/>
              </w:rPr>
              <w:t>Tool-Action Boundary Violation</w:t>
            </w:r>
          </w:p>
        </w:tc>
        <w:tc>
          <w:tcPr>
            <w:tcW w:type="dxa" w:w="2045"/>
          </w:tcPr>
          <w:p>
            <w:pPr>
              <w:spacing w:after="0"/>
            </w:pPr>
            <w:r>
              <w:rPr>
                <w:rFonts w:ascii="Arial" w:hAnsi="Arial"/>
                <w:b w:val="0"/>
                <w:sz w:val="14"/>
              </w:rPr>
              <w:t>Tool-action liability boundary, authority boundary object, authority drift detection log</w:t>
            </w:r>
          </w:p>
        </w:tc>
        <w:tc>
          <w:tcPr>
            <w:tcW w:type="dxa" w:w="2045"/>
          </w:tcPr>
          <w:p>
            <w:pPr>
              <w:spacing w:after="0"/>
            </w:pPr>
            <w:r>
              <w:rPr>
                <w:rFonts w:ascii="Arial" w:hAnsi="Arial"/>
                <w:b w:val="0"/>
                <w:sz w:val="14"/>
              </w:rPr>
              <w:t>Tool invoked outside delegated scope; tool action exceeded liability boundary; unauthorized tool credential access</w:t>
            </w:r>
          </w:p>
        </w:tc>
        <w:tc>
          <w:tcPr>
            <w:tcW w:type="dxa" w:w="2045"/>
          </w:tcPr>
          <w:p>
            <w:pPr>
              <w:spacing w:after="0"/>
            </w:pPr>
            <w:r>
              <w:rPr>
                <w:rFonts w:ascii="Arial" w:hAnsi="Arial"/>
                <w:b w:val="0"/>
                <w:sz w:val="14"/>
              </w:rPr>
              <w:t>MRO-02, MRO-05, MRO-07</w:t>
            </w:r>
          </w:p>
        </w:tc>
        <w:tc>
          <w:tcPr>
            <w:tcW w:type="dxa" w:w="2045"/>
          </w:tcPr>
          <w:p>
            <w:pPr>
              <w:spacing w:after="0"/>
            </w:pPr>
            <w:r>
              <w:rPr>
                <w:rFonts w:ascii="Arial" w:hAnsi="Arial"/>
                <w:b w:val="0"/>
                <w:sz w:val="14"/>
              </w:rPr>
              <w:t>Halt tool execution; revalidate authority boundary; update tool-action liability boundary; document boundary violation and remediation</w:t>
            </w:r>
          </w:p>
        </w:tc>
      </w:tr>
      <w:tr>
        <w:tc>
          <w:tcPr>
            <w:tcW w:type="dxa" w:w="2045"/>
          </w:tcPr>
          <w:p>
            <w:pPr>
              <w:spacing w:after="0"/>
            </w:pPr>
            <w:r>
              <w:rPr>
                <w:rFonts w:ascii="Arial" w:hAnsi="Arial"/>
                <w:b w:val="0"/>
                <w:sz w:val="14"/>
              </w:rPr>
              <w:t>Human-Role Absence</w:t>
            </w:r>
          </w:p>
        </w:tc>
        <w:tc>
          <w:tcPr>
            <w:tcW w:type="dxa" w:w="2045"/>
          </w:tcPr>
          <w:p>
            <w:pPr>
              <w:spacing w:after="0"/>
            </w:pPr>
            <w:r>
              <w:rPr>
                <w:rFonts w:ascii="Arial" w:hAnsi="Arial"/>
                <w:b w:val="0"/>
                <w:sz w:val="14"/>
              </w:rPr>
              <w:t>Role-responsibility map, accepted outcome state, human review packet</w:t>
            </w:r>
          </w:p>
        </w:tc>
        <w:tc>
          <w:tcPr>
            <w:tcW w:type="dxa" w:w="2045"/>
          </w:tcPr>
          <w:p>
            <w:pPr>
              <w:spacing w:after="0"/>
            </w:pPr>
            <w:r>
              <w:rPr>
                <w:rFonts w:ascii="Arial" w:hAnsi="Arial"/>
                <w:b w:val="0"/>
                <w:sz w:val="14"/>
              </w:rPr>
              <w:t>Human review required but not performed; acceptance decision made without human authority; escalation rule violated</w:t>
            </w:r>
          </w:p>
        </w:tc>
        <w:tc>
          <w:tcPr>
            <w:tcW w:type="dxa" w:w="2045"/>
          </w:tcPr>
          <w:p>
            <w:pPr>
              <w:spacing w:after="0"/>
            </w:pPr>
            <w:r>
              <w:rPr>
                <w:rFonts w:ascii="Arial" w:hAnsi="Arial"/>
                <w:b w:val="0"/>
                <w:sz w:val="14"/>
              </w:rPr>
              <w:t>MRO-01, MRO-04</w:t>
            </w:r>
          </w:p>
        </w:tc>
        <w:tc>
          <w:tcPr>
            <w:tcW w:type="dxa" w:w="2045"/>
          </w:tcPr>
          <w:p>
            <w:pPr>
              <w:spacing w:after="0"/>
            </w:pPr>
            <w:r>
              <w:rPr>
                <w:rFonts w:ascii="Arial" w:hAnsi="Arial"/>
                <w:b w:val="0"/>
                <w:sz w:val="14"/>
              </w:rPr>
              <w:t>Escalate to human authority; re-execute review with human role; update role-responsibility map; document human-role remediation</w:t>
            </w:r>
          </w:p>
        </w:tc>
      </w:tr>
      <w:tr>
        <w:tc>
          <w:tcPr>
            <w:tcW w:type="dxa" w:w="2045"/>
          </w:tcPr>
          <w:p>
            <w:pPr>
              <w:spacing w:after="0"/>
            </w:pPr>
            <w:r>
              <w:rPr>
                <w:rFonts w:ascii="Arial" w:hAnsi="Arial"/>
                <w:b w:val="0"/>
                <w:sz w:val="14"/>
              </w:rPr>
              <w:t>Dispute Backlog</w:t>
            </w:r>
          </w:p>
        </w:tc>
        <w:tc>
          <w:tcPr>
            <w:tcW w:type="dxa" w:w="2045"/>
          </w:tcPr>
          <w:p>
            <w:pPr>
              <w:spacing w:after="0"/>
            </w:pPr>
            <w:r>
              <w:rPr>
                <w:rFonts w:ascii="Arial" w:hAnsi="Arial"/>
                <w:b w:val="0"/>
                <w:sz w:val="14"/>
              </w:rPr>
              <w:t>Dispute resolution record, evidence partition, incident closure record</w:t>
            </w:r>
          </w:p>
        </w:tc>
        <w:tc>
          <w:tcPr>
            <w:tcW w:type="dxa" w:w="2045"/>
          </w:tcPr>
          <w:p>
            <w:pPr>
              <w:spacing w:after="0"/>
            </w:pPr>
            <w:r>
              <w:rPr>
                <w:rFonts w:ascii="Arial" w:hAnsi="Arial"/>
                <w:b w:val="0"/>
                <w:sz w:val="14"/>
              </w:rPr>
              <w:t>Dispute unresolved beyond SLA; dispute escalation path exhausted; dispute closure rate below threshold</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Escalate dispute resolution; engage external authority if needed; update dispute resolution procedure; document backlog remediation</w:t>
            </w:r>
          </w:p>
        </w:tc>
      </w:tr>
      <w:tr>
        <w:tc>
          <w:tcPr>
            <w:tcW w:type="dxa" w:w="2045"/>
          </w:tcPr>
          <w:p>
            <w:pPr>
              <w:spacing w:after="0"/>
            </w:pPr>
            <w:r>
              <w:rPr>
                <w:rFonts w:ascii="Arial" w:hAnsi="Arial"/>
                <w:b w:val="0"/>
                <w:sz w:val="14"/>
              </w:rPr>
              <w:t>Privacy Data-Flow Deviation</w:t>
            </w:r>
          </w:p>
        </w:tc>
        <w:tc>
          <w:tcPr>
            <w:tcW w:type="dxa" w:w="2045"/>
          </w:tcPr>
          <w:p>
            <w:pPr>
              <w:spacing w:after="0"/>
            </w:pPr>
            <w:r>
              <w:rPr>
                <w:rFonts w:ascii="Arial" w:hAnsi="Arial"/>
                <w:b w:val="0"/>
                <w:sz w:val="14"/>
              </w:rPr>
              <w:t>Privacy lifecycle map, data subject rights reconciliation record, processor chain record</w:t>
            </w:r>
          </w:p>
        </w:tc>
        <w:tc>
          <w:tcPr>
            <w:tcW w:type="dxa" w:w="2045"/>
          </w:tcPr>
          <w:p>
            <w:pPr>
              <w:spacing w:after="0"/>
            </w:pPr>
            <w:r>
              <w:rPr>
                <w:rFonts w:ascii="Arial" w:hAnsi="Arial"/>
                <w:b w:val="0"/>
                <w:sz w:val="14"/>
              </w:rPr>
              <w:t>Data processed outside documented flow; processor/subprocessor not in registry; data subject rights request unresolved</w:t>
            </w:r>
          </w:p>
        </w:tc>
        <w:tc>
          <w:tcPr>
            <w:tcW w:type="dxa" w:w="2045"/>
          </w:tcPr>
          <w:p>
            <w:pPr>
              <w:spacing w:after="0"/>
            </w:pPr>
            <w:r>
              <w:rPr>
                <w:rFonts w:ascii="Arial" w:hAnsi="Arial"/>
                <w:b w:val="0"/>
                <w:sz w:val="14"/>
              </w:rPr>
              <w:t>MRO-10, MRO-13, MRO-14</w:t>
            </w:r>
          </w:p>
        </w:tc>
        <w:tc>
          <w:tcPr>
            <w:tcW w:type="dxa" w:w="2045"/>
          </w:tcPr>
          <w:p>
            <w:pPr>
              <w:spacing w:after="0"/>
            </w:pPr>
            <w:r>
              <w:rPr>
                <w:rFonts w:ascii="Arial" w:hAnsi="Arial"/>
                <w:b w:val="0"/>
                <w:sz w:val="14"/>
              </w:rPr>
              <w:t>Halt data processing; revalidate privacy lifecycle map; update processor chain record; resolve data subject rights request; document privacy remediation</w:t>
            </w:r>
          </w:p>
        </w:tc>
      </w:tr>
      <w:tr>
        <w:tc>
          <w:tcPr>
            <w:tcW w:type="dxa" w:w="2045"/>
          </w:tcPr>
          <w:p>
            <w:pPr>
              <w:spacing w:after="0"/>
            </w:pPr>
            <w:r>
              <w:rPr>
                <w:rFonts w:ascii="Arial" w:hAnsi="Arial"/>
                <w:b w:val="0"/>
                <w:sz w:val="14"/>
              </w:rPr>
              <w:t>Vendor Substitution Alert</w:t>
            </w:r>
          </w:p>
        </w:tc>
        <w:tc>
          <w:tcPr>
            <w:tcW w:type="dxa" w:w="2045"/>
          </w:tcPr>
          <w:p>
            <w:pPr>
              <w:spacing w:after="0"/>
            </w:pPr>
            <w:r>
              <w:rPr>
                <w:rFonts w:ascii="Arial" w:hAnsi="Arial"/>
                <w:b w:val="0"/>
                <w:sz w:val="14"/>
              </w:rPr>
              <w:t>Cross-project reuse record, vendor substitution conformance test, model version registry, processor chain record</w:t>
            </w:r>
          </w:p>
        </w:tc>
        <w:tc>
          <w:tcPr>
            <w:tcW w:type="dxa" w:w="2045"/>
          </w:tcPr>
          <w:p>
            <w:pPr>
              <w:spacing w:after="0"/>
            </w:pPr>
            <w:r>
              <w:rPr>
                <w:rFonts w:ascii="Arial" w:hAnsi="Arial"/>
                <w:b w:val="0"/>
                <w:sz w:val="14"/>
              </w:rPr>
              <w:t>Vendor substitution test failed; model version changed without revalidation; processor chain integrity violated</w:t>
            </w:r>
          </w:p>
        </w:tc>
        <w:tc>
          <w:tcPr>
            <w:tcW w:type="dxa" w:w="2045"/>
          </w:tcPr>
          <w:p>
            <w:pPr>
              <w:spacing w:after="0"/>
            </w:pPr>
            <w:r>
              <w:rPr>
                <w:rFonts w:ascii="Arial" w:hAnsi="Arial"/>
                <w:b w:val="0"/>
                <w:sz w:val="14"/>
              </w:rPr>
              <w:t>MRO-09, MRO-15</w:t>
            </w:r>
          </w:p>
        </w:tc>
        <w:tc>
          <w:tcPr>
            <w:tcW w:type="dxa" w:w="2045"/>
          </w:tcPr>
          <w:p>
            <w:pPr>
              <w:spacing w:after="0"/>
            </w:pPr>
            <w:r>
              <w:rPr>
                <w:rFonts w:ascii="Arial" w:hAnsi="Arial"/>
                <w:b w:val="0"/>
                <w:sz w:val="14"/>
              </w:rPr>
              <w:t>Revalidate vendor substitution conformance; update model version registry; revalidate processor chain; document substitution remediation</w:t>
            </w:r>
          </w:p>
        </w:tc>
      </w:tr>
      <w:tr>
        <w:tc>
          <w:tcPr>
            <w:tcW w:type="dxa" w:w="2045"/>
          </w:tcPr>
          <w:p>
            <w:pPr>
              <w:spacing w:after="0"/>
            </w:pPr>
            <w:r>
              <w:rPr>
                <w:rFonts w:ascii="Arial" w:hAnsi="Arial"/>
                <w:b w:val="0"/>
                <w:sz w:val="14"/>
              </w:rPr>
              <w:t>Continuous Improvement Stall</w:t>
            </w:r>
          </w:p>
        </w:tc>
        <w:tc>
          <w:tcPr>
            <w:tcW w:type="dxa" w:w="2045"/>
          </w:tcPr>
          <w:p>
            <w:pPr>
              <w:spacing w:after="0"/>
            </w:pPr>
            <w:r>
              <w:rPr>
                <w:rFonts w:ascii="Arial" w:hAnsi="Arial"/>
                <w:b w:val="0"/>
                <w:sz w:val="14"/>
              </w:rPr>
              <w:t>Monitoring record, incident/remediation closure record</w:t>
            </w:r>
          </w:p>
        </w:tc>
        <w:tc>
          <w:tcPr>
            <w:tcW w:type="dxa" w:w="2045"/>
          </w:tcPr>
          <w:p>
            <w:pPr>
              <w:spacing w:after="0"/>
            </w:pPr>
            <w:r>
              <w:rPr>
                <w:rFonts w:ascii="Arial" w:hAnsi="Arial"/>
                <w:b w:val="0"/>
                <w:sz w:val="14"/>
              </w:rPr>
              <w:t>Feedback loop inactive beyond threshold; drift detected but not remediated; improvement actions not implemented</w:t>
            </w:r>
          </w:p>
        </w:tc>
        <w:tc>
          <w:tcPr>
            <w:tcW w:type="dxa" w:w="2045"/>
          </w:tcPr>
          <w:p>
            <w:pPr>
              <w:spacing w:after="0"/>
            </w:pPr>
            <w:r>
              <w:rPr>
                <w:rFonts w:ascii="Arial" w:hAnsi="Arial"/>
                <w:b w:val="0"/>
                <w:sz w:val="14"/>
              </w:rPr>
              <w:t>RCCS-10, MRO-16</w:t>
            </w:r>
          </w:p>
        </w:tc>
        <w:tc>
          <w:tcPr>
            <w:tcW w:type="dxa" w:w="2045"/>
          </w:tcPr>
          <w:p>
            <w:pPr>
              <w:spacing w:after="0"/>
            </w:pPr>
            <w:r>
              <w:rPr>
                <w:rFonts w:ascii="Arial" w:hAnsi="Arial"/>
                <w:b w:val="0"/>
                <w:sz w:val="14"/>
              </w:rPr>
              <w:t>Reactivate monitoring review; prioritize drift remediation; implement improvement actions; update incident/remediation closure record</w:t>
            </w:r>
          </w:p>
        </w:tc>
      </w:tr>
    </w:tbl>
    <w:p>
      <w:pPr>
        <w:spacing w:after="56"/>
      </w:pPr>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Pr>
        <w:pStyle w:val="Heading3"/>
      </w:pPr>
      <w:r>
        <w:t>10.7.3 Continuous Improvement Note</w:t>
      </w:r>
    </w:p>
    <w:p>
      <w:pPr>
        <w:spacing w:after="56"/>
      </w:pPr>
      <w:r>
        <w:t>Lifecycle monitoring feeds back into ALCS lifecycle records, MRO evidence records, and RCCS coverage assessments. This is the governance loop: authorization -&gt; execution -&gt; evidence -&gt; review -&gt; remediation -&gt; improvement -&gt; re-authorization. Continuous improvement is not a separate MRO. It is the feedback mechanism that ensures lifecycle governance adapts to changing systems, roles, tools, vendors, and regulatory requirements.</w:t>
      </w:r>
    </w:p>
    <w:p>
      <w:pPr>
        <w:spacing w:after="56"/>
      </w:pPr>
      <w:r>
        <w:t>Authority drift detection (MRO-07), evidence partitioning (MRO-08), cross-project reuse compliance (MRO-09), privacy lifecycle mapping (MRO-10), substitution conformance (MRO-15), and incident/remediation closure (MRO-16) together show whether governance structures are degrading and whether remediation is documented, accepted, and integrated into lifecycle records. Without this feedback loop, lifecycle governance becomes static and brittle. With it, lifecycle governance becomes adaptive and resilient.</w:t>
      </w:r>
    </w:p>
    <w:p>
      <w:pPr>
        <w:spacing w:after="56"/>
      </w:pPr>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Pr>
        <w:pStyle w:val="Heading2"/>
      </w:pPr>
      <w:r>
        <w:t>10.8 Chapter Closure and Bridge to Chapter 16</w:t>
      </w:r>
    </w:p>
    <w:p>
      <w:pPr>
        <w:pStyle w:val="Heading3"/>
      </w:pPr>
      <w:r>
        <w:t>10.8.1 What Chapter 10 Has Established</w:t>
      </w:r>
    </w:p>
    <w:p>
      <w:pPr>
        <w:spacing w:after="56"/>
      </w:pPr>
      <w:r>
        <w:t>Chapter 10 has established the enterprise control crosswalk for AI Agent Lifecycle Governance. It has shown how lifecycle governance objects - MROs, RCCS-T/RCCS-M dimensions, ALCS dimensions, and lifecycle records - map into enterprise control language: audit, insurance, procurement, board reporting, model risk management, cybersecurity, incident response, and monitoring.</w:t>
      </w:r>
    </w:p>
    <w:p>
      <w:pPr>
        <w:spacing w:after="56"/>
      </w:pPr>
      <w:r>
        <w:t>The crosswalk demonstrates that lifecycle governance is not an abstract protocol or research model. It is a structured method for producing the evidence that enterprise controls require. RCCS-T, RCCS-M, and ALCS scores can become bounded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Pr>
        <w:spacing w:after="56"/>
      </w:pPr>
      <w:r>
        <w:t>The chapter has provided:</w:t>
      </w:r>
    </w:p>
    <w:p>
      <w:pPr>
        <w:pStyle w:val="ListBullet"/>
        <w:spacing w:after="56"/>
      </w:pPr>
      <w:r>
        <w:t>Enterprise control overlay mapping lifecycle governance to audit, insurance, and board reporting readiness (Section 10.1)</w:t>
      </w:r>
    </w:p>
    <w:p>
      <w:pPr>
        <w:pStyle w:val="ListBullet"/>
        <w:spacing w:after="56"/>
      </w:pPr>
      <w:r>
        <w:t>Enterprise control crosswalk tables mapping control topics to MROs, RCCS-T/RCCS-M/ALCS dimensions, and evidence outputs (Section 10.2)</w:t>
      </w:r>
    </w:p>
    <w:p>
      <w:pPr>
        <w:pStyle w:val="ListBullet"/>
        <w:spacing w:after="56"/>
      </w:pPr>
      <w:r>
        <w:t>Model risk management mapping showing how model changes propagate through lifecycle conformance (Section 10.3)</w:t>
      </w:r>
    </w:p>
    <w:p>
      <w:pPr>
        <w:pStyle w:val="ListBullet"/>
        <w:spacing w:after="56"/>
      </w:pPr>
      <w:r>
        <w:t>Cybersecurity control mapping showing how lifecycle governance supports cybersecurity under attack (Section 10.4)</w:t>
      </w:r>
    </w:p>
    <w:p>
      <w:pPr>
        <w:pStyle w:val="ListBullet"/>
        <w:spacing w:after="56"/>
      </w:pPr>
      <w:r>
        <w:t>Board reporting elements defining structured, auditable lifecycle risk reporting (Section 10.5)</w:t>
      </w:r>
    </w:p>
    <w:p>
      <w:pPr>
        <w:pStyle w:val="ListBullet"/>
        <w:spacing w:after="56"/>
      </w:pPr>
      <w:r>
        <w:t>Procurement scorecard criteria for evaluating vendor lifecycle governance capabilities (Section 10.6)</w:t>
      </w:r>
    </w:p>
    <w:p>
      <w:pPr>
        <w:pStyle w:val="ListBullet"/>
        <w:spacing w:after="56"/>
      </w:pPr>
      <w:r>
        <w:t>Lifecycle monitoring indicators for detecting governance continuity failures (Section 10.7)</w:t>
      </w:r>
    </w:p>
    <w:p>
      <w:pPr>
        <w:pStyle w:val="Heading3"/>
      </w:pPr>
      <w:r>
        <w:t>10.8.2 What Chapter 16 Will Add</w:t>
      </w:r>
    </w:p>
    <w:p>
      <w:pPr>
        <w:spacing w:after="56"/>
      </w:pPr>
      <w:r>
        <w:t>Chapter 10 provides the control language. Chapter 16 provides the boundary to companion papers. Chapter 16 is titled "Boundary to Companion Papers: Evidence, Assurance, and Insurability."</w:t>
      </w:r>
    </w:p>
    <w:p>
      <w:pPr>
        <w:spacing w:after="56"/>
      </w:pPr>
      <w:r>
        <w:t>Chapter 16 will establish:</w:t>
      </w:r>
    </w:p>
    <w:p>
      <w:pPr>
        <w:pStyle w:val="ListBullet"/>
        <w:spacing w:after="56"/>
      </w:pPr>
      <w:r>
        <w:t>The boundary between this white paper and companion papers on evidence-based validation, assurance frameworks, and insurability considerations</w:t>
      </w:r>
    </w:p>
    <w:p>
      <w:pPr>
        <w:pStyle w:val="ListBullet"/>
        <w:spacing w:after="56"/>
      </w:pPr>
      <w:r>
        <w:t>Evidence-based validation patterns that external reviewers, auditors, and insurers can use to validate lifecycle conformance without full raw data disclosure</w:t>
      </w:r>
    </w:p>
    <w:p>
      <w:pPr>
        <w:pStyle w:val="ListBullet"/>
        <w:spacing w:after="56"/>
      </w:pPr>
      <w:r>
        <w:t>Assurance framework mapping showing how lifecycle governance supports ISO 42001, SOC 2, and other assurance standards</w:t>
      </w:r>
    </w:p>
    <w:p>
      <w:pPr>
        <w:pStyle w:val="ListBullet"/>
        <w:spacing w:after="56"/>
      </w:pPr>
      <w:r>
        <w:t>Insurability considerations showing how lifecycle governance evidence supports cyber insurance, professional liability insurance, and AI-specific insurance products</w:t>
      </w:r>
    </w:p>
    <w:p>
      <w:pPr>
        <w:pStyle w:val="ListBullet"/>
        <w:spacing w:after="56"/>
      </w:pPr>
      <w:r>
        <w:t>Companion paper scope definitions clarifying what this white paper establishes and what companion papers will address</w:t>
      </w:r>
    </w:p>
    <w:p>
      <w:pPr>
        <w:spacing w:after="56"/>
      </w:pPr>
      <w:r>
        <w:t>Chapter 16 is the final chapter of this white paper. It does not provide detailed assurance procedures, insurance underwriting models, or certification frameworks. It defines the boundary and provides the bridge to companion work.</w:t>
      </w:r>
    </w:p>
    <w:p>
      <w:pPr>
        <w:pStyle w:val="Heading3"/>
      </w:pPr>
      <w:r>
        <w:t>10.8.3 Chapter 10 Closure Statement</w:t>
      </w:r>
    </w:p>
    <w:p>
      <w:pPr>
        <w:spacing w:after="56"/>
      </w:pPr>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Pr>
        <w:spacing w:after="56"/>
      </w:pPr>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Pr>
        <w:spacing w:after="56"/>
      </w:pPr>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Pr>
        <w:spacing w:after="56"/>
      </w:pPr>
      <w:r>
        <w:t>Chapter 16 will establish the boundary to companion papers and provide the bridge from this white paper to evidence-based validation, assurance frameworks, and insurability considerations.</w:t>
      </w:r>
    </w:p>
    <w:p>
      <w:pPr>
        <w:pStyle w:val="Heading1"/>
      </w:pPr>
      <w:r>
        <w:t>11. Comparative Field and System Positioning</w:t>
      </w:r>
    </w:p>
    <w:p>
      <w:pPr>
        <w:spacing w:after="56"/>
      </w:pPr>
      <w:r>
        <w:t>Version: v0.3.2-FRC-R3</w:t>
      </w:r>
    </w:p>
    <w:p>
      <w:pPr>
        <w:pStyle w:val="Heading2"/>
      </w:pPr>
      <w:r>
        <w:t>11.0 Why System Positioning Matters</w:t>
      </w:r>
    </w:p>
    <w:p>
      <w:pPr>
        <w:spacing w:after="56"/>
      </w:pPr>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Pr>
        <w:spacing w:after="56"/>
      </w:pPr>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Pr>
        <w:spacing w:after="56"/>
      </w:pPr>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Pr>
        <w:spacing w:after="56"/>
      </w:pPr>
      <w:r>
        <w:t>The purpose of this chapter is to prepare the reader for Chapter 12 detailed system mappings by establishing what the comparison evaluates, what it does not evaluate, and how to interpret RCCS-T, RCCS-M, and ALCS positioning in the context of system strengths and lifecycle gaps.</w:t>
      </w:r>
    </w:p>
    <w:p>
      <w:pPr>
        <w:pStyle w:val="Heading2"/>
      </w:pPr>
      <w:r>
        <w:t>11.1 Comparison Method and Non-Ranking Boundary</w:t>
      </w:r>
    </w:p>
    <w:p>
      <w:pPr>
        <w:spacing w:after="56"/>
      </w:pPr>
      <w:r>
        <w:t>The comparison method used in this white paper evaluates systems against RCCS-T, RCCS-M, and ALCS dimensions. RCCS-T measures traditional regulatory compliance coverage: whether a system provides the governance primitives that existing regulation requires. RCCS-M measures MRO-adjusted regulatory coverage: whether those obligations can be expressed through lifecycle responsibility objects. ALCS measures agentic lifecycle conformance: whether a system provides mature lifecycle objects that make agentic responsibility auditable, provable, and transferable across agents, humans, tools, projects, vendors, and organizational boundaries.</w:t>
      </w:r>
    </w:p>
    <w:p>
      <w:pPr>
        <w:spacing w:after="56"/>
      </w:pPr>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Pr>
        <w:spacing w:after="56"/>
      </w:pPr>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Pr>
        <w:spacing w:after="56"/>
      </w:pPr>
      <w:r>
        <w:t>What the comparison evaluates:</w:t>
      </w:r>
    </w:p>
    <w:p>
      <w:pPr>
        <w:pStyle w:val="ListBullet"/>
        <w:spacing w:after="56"/>
      </w:pPr>
      <w:r>
        <w:t>Whether a system defines governance primitives for risk management, data governance, documentation, record-keeping, transparency, human oversight, security, accountability, contestability, and monitoring (RCCS-T dimensions)</w:t>
      </w:r>
    </w:p>
    <w:p>
      <w:pPr>
        <w:pStyle w:val="ListBullet"/>
        <w:spacing w:after="56"/>
      </w:pPr>
      <w:r>
        <w:t>Whether a system can express those obligations through Missing Regulatory Objects and lifecycle responsibility semantics (RCCS-M interpretation)</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the comparison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The comparison uses the evidence hierarchy established in the front matter and harmonized through source review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Pr>
        <w:spacing w:after="56"/>
      </w:pPr>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Pr>
        <w:pStyle w:val="Heading2"/>
      </w:pPr>
      <w:r>
        <w:t>11.2 System Categories in Scope</w:t>
      </w:r>
    </w:p>
    <w:p>
      <w:pPr>
        <w:spacing w:after="56"/>
      </w:pPr>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Pr>
        <w:spacing w:after="56"/>
      </w:pPr>
      <w:r>
        <w:t>The eight systems or categories in scope are:</w:t>
      </w:r>
    </w:p>
    <w:p>
      <w:pPr>
        <w:pStyle w:val="ListNumber"/>
        <w:spacing w:after="56"/>
      </w:pPr>
      <w:r>
        <w:t>MPLP (Multi-Agent Lifecycle Protocol) — A lifecycle protocol path with limited traditional RCCS-T product-platform coverage and strong author-analytical RCCS-M / ALCS alignment, designed to expose lifecycle responsibility objects as first-class protocol primitives.</w:t>
      </w:r>
    </w:p>
    <w:p>
      <w:pPr>
        <w:pStyle w:val="ListNumber"/>
        <w:spacing w:after="56"/>
      </w:pPr>
      <w:r>
        <w:t>IBM watsonx.governance — An enterprise AI governance platform with strong regulatory compliance coverage, model governance, risk management, and policy enforcement capabilities.</w:t>
      </w:r>
    </w:p>
    <w:p>
      <w:pPr>
        <w:pStyle w:val="ListNumber"/>
        <w:spacing w:after="56"/>
      </w:pPr>
      <w:r>
        <w:t>Microsoft Azure AI Foundry — A cloud-native AI platform with model management, responsible AI tooling, content safety, and enterprise integration capabilities.</w:t>
      </w:r>
    </w:p>
    <w:p>
      <w:pPr>
        <w:pStyle w:val="ListNumber"/>
        <w:spacing w:after="56"/>
      </w:pPr>
      <w:r>
        <w:t>AWS Bedrock / Guardrails / AgentCore — A cloud AI service suite with model access, guardrails, agent orchestration, and enterprise security integration.</w:t>
      </w:r>
    </w:p>
    <w:p>
      <w:pPr>
        <w:pStyle w:val="ListNumber"/>
        <w:spacing w:after="56"/>
      </w:pPr>
      <w:r>
        <w:t>Google Vertex AI / ADK / Model Armor — A cloud AI platform with model management, agent development kit, model armor safety controls, and enterprise AI management.</w:t>
      </w:r>
    </w:p>
    <w:p>
      <w:pPr>
        <w:pStyle w:val="ListNumber"/>
        <w:spacing w:after="56"/>
      </w:pPr>
      <w:r>
        <w:t>LangGraph / LangSmith — An open-source agent orchestration framework with observability, tracing, and workflow management capabilities.</w:t>
      </w:r>
    </w:p>
    <w:p>
      <w:pPr>
        <w:pStyle w:val="ListNumber"/>
        <w:spacing w:after="56"/>
      </w:pPr>
      <w:r>
        <w:t>OpenAI Agents SDK — A developer-focused agent framework with model access, tool use, and execution orchestration capabilities.</w:t>
      </w:r>
    </w:p>
    <w:p>
      <w:pPr>
        <w:pStyle w:val="ListNumber"/>
        <w:spacing w:after="56"/>
      </w:pPr>
      <w:r>
        <w:t>CrewAI — An open-source multi-agent collaboration framework with role-based agent design and task orchestration capabilities.</w:t>
      </w:r>
    </w:p>
    <w:p>
      <w:pPr>
        <w:spacing w:after="56"/>
      </w:pPr>
      <w:r>
        <w:t>These systems represent different architectural approaches:</w:t>
      </w:r>
    </w:p>
    <w:p>
      <w:pPr>
        <w:pStyle w:val="ListBullet"/>
        <w:spacing w:after="56"/>
      </w:pPr>
      <w:r>
        <w:t>Enterprise AI governance platforms (IBM watsonx.governance) focus on policy enforcement, risk management, and regulatory compliance coverage across the AI lifecycle.</w:t>
      </w:r>
    </w:p>
    <w:p>
      <w:pPr>
        <w:pStyle w:val="ListBullet"/>
        <w:spacing w:after="56"/>
      </w:pPr>
      <w:r>
        <w:t>Cloud AI platforms (Microsoft Azure AI Foundry, AWS Bedrock, Google Vertex AI) focus on model access, responsible AI tooling, content safety, and enterprise integration.</w:t>
      </w:r>
    </w:p>
    <w:p>
      <w:pPr>
        <w:pStyle w:val="ListBullet"/>
        <w:spacing w:after="56"/>
      </w:pPr>
      <w:r>
        <w:t>Agent orchestration frameworks (LangGraph, OpenAI Agents SDK, CrewAI) focus on agent execution, tool use, workflow management, and observability.</w:t>
      </w:r>
    </w:p>
    <w:p>
      <w:pPr>
        <w:pStyle w:val="ListBullet"/>
        <w:spacing w:after="56"/>
      </w:pPr>
      <w:r>
        <w:t>Lifecycle protocol paths (MPLP) focus on lifecycle responsibility objects, evidence chain, and governance primitives as first-class protocol semantics.</w:t>
      </w:r>
    </w:p>
    <w:p>
      <w:pPr>
        <w:spacing w:after="56"/>
      </w:pPr>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Pr>
        <w:spacing w:after="56"/>
      </w:pPr>
      <w:r>
        <w:t>No new systems will be added to the comparison without explicit owner approval. The comparison is scoped to these eight systems or categories to maintain focus and ensure that detailed mapping in Chapter 12 remains feasible within the white paper's scope.</w:t>
      </w:r>
    </w:p>
    <w:p>
      <w:pPr>
        <w:pStyle w:val="Heading2"/>
      </w:pPr>
      <w:r>
        <w:t>11.3 Comparative Field Positioning Matrix</w:t>
      </w:r>
    </w:p>
    <w:p>
      <w:pPr>
        <w:spacing w:after="56"/>
      </w:pPr>
      <w:r>
        <w:t>The following table provides high-level positioning for each system or category. It identifies the primary strength of each system, its likely RCCS-T posture (traditional regulatory compliance coverage), its likely RCCS-M posture (MRO-adjusted regulatory coverage), its likely ALCS posture (agentic lifecycle conformance), and the main lifecycle gap that Chapter 12 will examine.</w:t>
      </w:r>
    </w:p>
    <w:p>
      <w:pPr>
        <w:keepNext/>
      </w:pPr>
      <w:r>
        <w:rPr>
          <w:b/>
          <w:sz w:val="16"/>
        </w:rPr>
        <w:t>Table T-11-01: Comparative Field Positioning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System / Category</w:t>
            </w:r>
          </w:p>
        </w:tc>
        <w:tc>
          <w:tcPr>
            <w:tcW w:type="dxa" w:w="1704"/>
          </w:tcPr>
          <w:p>
            <w:pPr>
              <w:spacing w:after="0"/>
            </w:pPr>
            <w:r>
              <w:rPr>
                <w:rFonts w:ascii="Arial" w:hAnsi="Arial"/>
                <w:b/>
                <w:sz w:val="12"/>
              </w:rPr>
              <w:t>Primary Strength</w:t>
            </w:r>
          </w:p>
        </w:tc>
        <w:tc>
          <w:tcPr>
            <w:tcW w:type="dxa" w:w="1704"/>
          </w:tcPr>
          <w:p>
            <w:pPr>
              <w:spacing w:after="0"/>
            </w:pPr>
            <w:r>
              <w:rPr>
                <w:rFonts w:ascii="Arial" w:hAnsi="Arial"/>
                <w:b/>
                <w:sz w:val="12"/>
              </w:rPr>
              <w:t>RCCS-T Posture</w:t>
            </w:r>
          </w:p>
        </w:tc>
        <w:tc>
          <w:tcPr>
            <w:tcW w:type="dxa" w:w="1704"/>
          </w:tcPr>
          <w:p>
            <w:pPr>
              <w:spacing w:after="0"/>
            </w:pPr>
            <w:r>
              <w:rPr>
                <w:rFonts w:ascii="Arial" w:hAnsi="Arial"/>
                <w:b/>
                <w:sz w:val="12"/>
              </w:rPr>
              <w:t>RCCS-M Posture</w:t>
            </w:r>
          </w:p>
        </w:tc>
        <w:tc>
          <w:tcPr>
            <w:tcW w:type="dxa" w:w="1704"/>
          </w:tcPr>
          <w:p>
            <w:pPr>
              <w:spacing w:after="0"/>
            </w:pPr>
            <w:r>
              <w:rPr>
                <w:rFonts w:ascii="Arial" w:hAnsi="Arial"/>
                <w:b/>
                <w:sz w:val="12"/>
              </w:rPr>
              <w:t>ALCS Posture</w:t>
            </w:r>
          </w:p>
        </w:tc>
        <w:tc>
          <w:tcPr>
            <w:tcW w:type="dxa" w:w="1704"/>
          </w:tcPr>
          <w:p>
            <w:pPr>
              <w:spacing w:after="0"/>
            </w:pPr>
            <w:r>
              <w:rPr>
                <w:rFonts w:ascii="Arial" w:hAnsi="Arial"/>
                <w:b/>
                <w:sz w:val="12"/>
              </w:rPr>
              <w:t>Main Lifecycle Gap to Examine</w:t>
            </w:r>
          </w:p>
        </w:tc>
      </w:tr>
      <w:tr>
        <w:tc>
          <w:tcPr>
            <w:tcW w:type="dxa" w:w="1704"/>
          </w:tcPr>
          <w:p>
            <w:pPr>
              <w:spacing w:after="0"/>
            </w:pPr>
            <w:r>
              <w:rPr>
                <w:rFonts w:ascii="Arial" w:hAnsi="Arial"/>
                <w:b w:val="0"/>
                <w:sz w:val="12"/>
              </w:rPr>
              <w:t>MPLP</w:t>
            </w:r>
          </w:p>
        </w:tc>
        <w:tc>
          <w:tcPr>
            <w:tcW w:type="dxa" w:w="1704"/>
          </w:tcPr>
          <w:p>
            <w:pPr>
              <w:spacing w:after="0"/>
            </w:pPr>
            <w:r>
              <w:rPr>
                <w:rFonts w:ascii="Arial" w:hAnsi="Arial"/>
                <w:b w:val="0"/>
                <w:sz w:val="12"/>
              </w:rPr>
              <w:t>Lifecycle protocol semantics; governance primitives as first-class objects</w:t>
            </w:r>
          </w:p>
        </w:tc>
        <w:tc>
          <w:tcPr>
            <w:tcW w:type="dxa" w:w="1704"/>
          </w:tcPr>
          <w:p>
            <w:pPr>
              <w:spacing w:after="0"/>
            </w:pPr>
            <w:r>
              <w:rPr>
                <w:rFonts w:ascii="Arial" w:hAnsi="Arial"/>
                <w:b w:val="0"/>
                <w:sz w:val="12"/>
              </w:rPr>
              <w:t>Limited to Moderate (not a product governance platform)</w:t>
            </w:r>
          </w:p>
        </w:tc>
        <w:tc>
          <w:tcPr>
            <w:tcW w:type="dxa" w:w="1704"/>
          </w:tcPr>
          <w:p>
            <w:pPr>
              <w:spacing w:after="0"/>
            </w:pPr>
            <w:r>
              <w:rPr>
                <w:rFonts w:ascii="Arial" w:hAnsi="Arial"/>
                <w:b w:val="0"/>
                <w:sz w:val="12"/>
              </w:rPr>
              <w:t>Strong (protocol semantics map to MRO-like objects)</w:t>
            </w:r>
          </w:p>
        </w:tc>
        <w:tc>
          <w:tcPr>
            <w:tcW w:type="dxa" w:w="1704"/>
          </w:tcPr>
          <w:p>
            <w:pPr>
              <w:spacing w:after="0"/>
            </w:pPr>
            <w:r>
              <w:rPr>
                <w:rFonts w:ascii="Arial" w:hAnsi="Arial"/>
                <w:b w:val="0"/>
                <w:sz w:val="12"/>
              </w:rPr>
              <w:t>Strong (protocol designed for lifecycle responsibility objects)</w:t>
            </w:r>
          </w:p>
        </w:tc>
        <w:tc>
          <w:tcPr>
            <w:tcW w:type="dxa" w:w="1704"/>
          </w:tcPr>
          <w:p>
            <w:pPr>
              <w:spacing w:after="0"/>
            </w:pPr>
            <w:r>
              <w:rPr>
                <w:rFonts w:ascii="Arial" w:hAnsi="Arial"/>
                <w:b w:val="0"/>
                <w:sz w:val="12"/>
              </w:rPr>
              <w:t>Enterprise integration; adoption pathway; implementation maturity</w:t>
            </w:r>
          </w:p>
        </w:tc>
      </w:tr>
      <w:tr>
        <w:tc>
          <w:tcPr>
            <w:tcW w:type="dxa" w:w="1704"/>
          </w:tcPr>
          <w:p>
            <w:pPr>
              <w:spacing w:after="0"/>
            </w:pPr>
            <w:r>
              <w:rPr>
                <w:rFonts w:ascii="Arial" w:hAnsi="Arial"/>
                <w:b w:val="0"/>
                <w:sz w:val="12"/>
              </w:rPr>
              <w:t>IBM watsonx.governance</w:t>
            </w:r>
          </w:p>
        </w:tc>
        <w:tc>
          <w:tcPr>
            <w:tcW w:type="dxa" w:w="1704"/>
          </w:tcPr>
          <w:p>
            <w:pPr>
              <w:spacing w:after="0"/>
            </w:pPr>
            <w:r>
              <w:rPr>
                <w:rFonts w:ascii="Arial" w:hAnsi="Arial"/>
                <w:b w:val="0"/>
                <w:sz w:val="12"/>
              </w:rPr>
              <w:t>Enterprise AI governance; policy enforcement; model risk management; regulatory compliance coverage</w:t>
            </w:r>
          </w:p>
        </w:tc>
        <w:tc>
          <w:tcPr>
            <w:tcW w:type="dxa" w:w="1704"/>
          </w:tcPr>
          <w:p>
            <w:pPr>
              <w:spacing w:after="0"/>
            </w:pPr>
            <w:r>
              <w:rPr>
                <w:rFonts w:ascii="Arial" w:hAnsi="Arial"/>
                <w:b w:val="0"/>
                <w:sz w:val="12"/>
              </w:rPr>
              <w:t>Strong (designed for regulatory compliance)</w:t>
            </w:r>
          </w:p>
        </w:tc>
        <w:tc>
          <w:tcPr>
            <w:tcW w:type="dxa" w:w="1704"/>
          </w:tcPr>
          <w:p>
            <w:pPr>
              <w:spacing w:after="0"/>
            </w:pPr>
            <w:r>
              <w:rPr>
                <w:rFonts w:ascii="Arial" w:hAnsi="Arial"/>
                <w:b w:val="0"/>
                <w:sz w:val="12"/>
              </w:rPr>
              <w:t>Partial to Moderate (lifecycle object semantics require validation)</w:t>
            </w:r>
          </w:p>
        </w:tc>
        <w:tc>
          <w:tcPr>
            <w:tcW w:type="dxa" w:w="1704"/>
          </w:tcPr>
          <w:p>
            <w:pPr>
              <w:spacing w:after="0"/>
            </w:pPr>
            <w:r>
              <w:rPr>
                <w:rFonts w:ascii="Arial" w:hAnsi="Arial"/>
                <w:b w:val="0"/>
                <w:sz w:val="12"/>
              </w:rPr>
              <w:t>Moderate (governance focus, but lifecycle object semantics require validation)</w:t>
            </w:r>
          </w:p>
        </w:tc>
        <w:tc>
          <w:tcPr>
            <w:tcW w:type="dxa" w:w="1704"/>
          </w:tcPr>
          <w:p>
            <w:pPr>
              <w:spacing w:after="0"/>
            </w:pPr>
            <w:r>
              <w:rPr>
                <w:rFonts w:ascii="Arial" w:hAnsi="Arial"/>
                <w:b w:val="0"/>
                <w:sz w:val="12"/>
              </w:rPr>
              <w:t>Agentic lifecycle object exposure; multi-agent responsibility transfer; evidence partitioning</w:t>
            </w:r>
          </w:p>
        </w:tc>
      </w:tr>
      <w:tr>
        <w:tc>
          <w:tcPr>
            <w:tcW w:type="dxa" w:w="1704"/>
          </w:tcPr>
          <w:p>
            <w:pPr>
              <w:spacing w:after="0"/>
            </w:pPr>
            <w:r>
              <w:rPr>
                <w:rFonts w:ascii="Arial" w:hAnsi="Arial"/>
                <w:b w:val="0"/>
                <w:sz w:val="12"/>
              </w:rPr>
              <w:t>Microsoft Azure AI Foundry</w:t>
            </w:r>
          </w:p>
        </w:tc>
        <w:tc>
          <w:tcPr>
            <w:tcW w:type="dxa" w:w="1704"/>
          </w:tcPr>
          <w:p>
            <w:pPr>
              <w:spacing w:after="0"/>
            </w:pPr>
            <w:r>
              <w:rPr>
                <w:rFonts w:ascii="Arial" w:hAnsi="Arial"/>
                <w:b w:val="0"/>
                <w:sz w:val="12"/>
              </w:rPr>
              <w:t>Cloud-native AI platform; responsible AI tooling; content safety; enterprise integration</w:t>
            </w:r>
          </w:p>
        </w:tc>
        <w:tc>
          <w:tcPr>
            <w:tcW w:type="dxa" w:w="1704"/>
          </w:tcPr>
          <w:p>
            <w:pPr>
              <w:spacing w:after="0"/>
            </w:pPr>
            <w:r>
              <w:rPr>
                <w:rFonts w:ascii="Arial" w:hAnsi="Arial"/>
                <w:b w:val="0"/>
                <w:sz w:val="12"/>
              </w:rPr>
              <w:t>Moderate to Strong (responsible AI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(platform capabilities exist, but lifecycle semantics require validation)</w:t>
            </w:r>
          </w:p>
        </w:tc>
        <w:tc>
          <w:tcPr>
            <w:tcW w:type="dxa" w:w="1704"/>
          </w:tcPr>
          <w:p>
            <w:pPr>
              <w:spacing w:after="0"/>
            </w:pPr>
            <w:r>
              <w:rPr>
                <w:rFonts w:ascii="Arial" w:hAnsi="Arial"/>
                <w:b w:val="0"/>
                <w:sz w:val="12"/>
              </w:rPr>
              <w:t>Lifecycle responsibility objects; authority boundary enforcement; accepted outcome compliance</w:t>
            </w:r>
          </w:p>
        </w:tc>
      </w:tr>
      <w:tr>
        <w:tc>
          <w:tcPr>
            <w:tcW w:type="dxa" w:w="1704"/>
          </w:tcPr>
          <w:p>
            <w:pPr>
              <w:spacing w:after="0"/>
            </w:pPr>
            <w:r>
              <w:rPr>
                <w:rFonts w:ascii="Arial" w:hAnsi="Arial"/>
                <w:b w:val="0"/>
                <w:sz w:val="12"/>
              </w:rPr>
              <w:t>AWS Bedrock / Guardrails / AgentCore</w:t>
            </w:r>
          </w:p>
        </w:tc>
        <w:tc>
          <w:tcPr>
            <w:tcW w:type="dxa" w:w="1704"/>
          </w:tcPr>
          <w:p>
            <w:pPr>
              <w:spacing w:after="0"/>
            </w:pPr>
            <w:r>
              <w:rPr>
                <w:rFonts w:ascii="Arial" w:hAnsi="Arial"/>
                <w:b w:val="0"/>
                <w:sz w:val="12"/>
              </w:rPr>
              <w:t>Cloud AI services; guardrails; agent orchestration; enterprise security integration</w:t>
            </w:r>
          </w:p>
        </w:tc>
        <w:tc>
          <w:tcPr>
            <w:tcW w:type="dxa" w:w="1704"/>
          </w:tcPr>
          <w:p>
            <w:pPr>
              <w:spacing w:after="0"/>
            </w:pPr>
            <w:r>
              <w:rPr>
                <w:rFonts w:ascii="Arial" w:hAnsi="Arial"/>
                <w:b w:val="0"/>
                <w:sz w:val="12"/>
              </w:rPr>
              <w:t>Moderate to Strong (guardrails and security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(agent orchestration exists, but lifecycle object semantics require validation)</w:t>
            </w:r>
          </w:p>
        </w:tc>
        <w:tc>
          <w:tcPr>
            <w:tcW w:type="dxa" w:w="1704"/>
          </w:tcPr>
          <w:p>
            <w:pPr>
              <w:spacing w:after="0"/>
            </w:pPr>
            <w:r>
              <w:rPr>
                <w:rFonts w:ascii="Arial" w:hAnsi="Arial"/>
                <w:b w:val="0"/>
                <w:sz w:val="12"/>
              </w:rPr>
              <w:t>Lifecycle responsibility objects; evidence partitioning; responsibility transfer across agents</w:t>
            </w:r>
          </w:p>
        </w:tc>
      </w:tr>
      <w:tr>
        <w:tc>
          <w:tcPr>
            <w:tcW w:type="dxa" w:w="1704"/>
          </w:tcPr>
          <w:p>
            <w:pPr>
              <w:spacing w:after="0"/>
            </w:pPr>
            <w:r>
              <w:rPr>
                <w:rFonts w:ascii="Arial" w:hAnsi="Arial"/>
                <w:b w:val="0"/>
                <w:sz w:val="12"/>
              </w:rPr>
              <w:t>Google Vertex AI / ADK / Model Armor</w:t>
            </w:r>
          </w:p>
        </w:tc>
        <w:tc>
          <w:tcPr>
            <w:tcW w:type="dxa" w:w="1704"/>
          </w:tcPr>
          <w:p>
            <w:pPr>
              <w:spacing w:after="0"/>
            </w:pPr>
            <w:r>
              <w:rPr>
                <w:rFonts w:ascii="Arial" w:hAnsi="Arial"/>
                <w:b w:val="0"/>
                <w:sz w:val="12"/>
              </w:rPr>
              <w:t>Cloud AI platform; agent development kit; model armor safety controls; enterprise AI management</w:t>
            </w:r>
          </w:p>
        </w:tc>
        <w:tc>
          <w:tcPr>
            <w:tcW w:type="dxa" w:w="1704"/>
          </w:tcPr>
          <w:p>
            <w:pPr>
              <w:spacing w:after="0"/>
            </w:pPr>
            <w:r>
              <w:rPr>
                <w:rFonts w:ascii="Arial" w:hAnsi="Arial"/>
                <w:b w:val="0"/>
                <w:sz w:val="12"/>
              </w:rPr>
              <w:t>Moderate to Strong (safety and management focus)</w:t>
            </w:r>
          </w:p>
        </w:tc>
        <w:tc>
          <w:tcPr>
            <w:tcW w:type="dxa" w:w="1704"/>
          </w:tcPr>
          <w:p>
            <w:pPr>
              <w:spacing w:after="0"/>
            </w:pPr>
            <w:r>
              <w:rPr>
                <w:rFonts w:ascii="Arial" w:hAnsi="Arial"/>
                <w:b w:val="0"/>
                <w:sz w:val="12"/>
              </w:rPr>
              <w:t>Partial to Moderate (MRO-level semantics require implementation design)</w:t>
            </w:r>
          </w:p>
        </w:tc>
        <w:tc>
          <w:tcPr>
            <w:tcW w:type="dxa" w:w="1704"/>
          </w:tcPr>
          <w:p>
            <w:pPr>
              <w:spacing w:after="0"/>
            </w:pPr>
            <w:r>
              <w:rPr>
                <w:rFonts w:ascii="Arial" w:hAnsi="Arial"/>
                <w:b w:val="0"/>
                <w:sz w:val="12"/>
              </w:rPr>
              <w:t>Moderate (ADK provides agent primitives, but lifecycle semantics require validation)</w:t>
            </w:r>
          </w:p>
        </w:tc>
        <w:tc>
          <w:tcPr>
            <w:tcW w:type="dxa" w:w="1704"/>
          </w:tcPr>
          <w:p>
            <w:pPr>
              <w:spacing w:after="0"/>
            </w:pPr>
            <w:r>
              <w:rPr>
                <w:rFonts w:ascii="Arial" w:hAnsi="Arial"/>
                <w:b w:val="0"/>
                <w:sz w:val="12"/>
              </w:rPr>
              <w:t>Lifecycle responsibility objects; authority boundary enforcement; privacy lifecycle mapping</w:t>
            </w:r>
          </w:p>
        </w:tc>
      </w:tr>
      <w:tr>
        <w:tc>
          <w:tcPr>
            <w:tcW w:type="dxa" w:w="1704"/>
          </w:tcPr>
          <w:p>
            <w:pPr>
              <w:spacing w:after="0"/>
            </w:pPr>
            <w:r>
              <w:rPr>
                <w:rFonts w:ascii="Arial" w:hAnsi="Arial"/>
                <w:b w:val="0"/>
                <w:sz w:val="12"/>
              </w:rPr>
              <w:t>LangGraph / LangSmith</w:t>
            </w:r>
          </w:p>
        </w:tc>
        <w:tc>
          <w:tcPr>
            <w:tcW w:type="dxa" w:w="1704"/>
          </w:tcPr>
          <w:p>
            <w:pPr>
              <w:spacing w:after="0"/>
            </w:pPr>
            <w:r>
              <w:rPr>
                <w:rFonts w:ascii="Arial" w:hAnsi="Arial"/>
                <w:b w:val="0"/>
                <w:sz w:val="12"/>
              </w:rPr>
              <w:t>Agent orchestration; observability; tracing; workflow management</w:t>
            </w:r>
          </w:p>
        </w:tc>
        <w:tc>
          <w:tcPr>
            <w:tcW w:type="dxa" w:w="1704"/>
          </w:tcPr>
          <w:p>
            <w:pPr>
              <w:spacing w:after="0"/>
            </w:pPr>
            <w:r>
              <w:rPr>
                <w:rFonts w:ascii="Arial" w:hAnsi="Arial"/>
                <w:b w:val="0"/>
                <w:sz w:val="12"/>
              </w:rPr>
              <w:t>Moderate (observability and tracing support governance)</w:t>
            </w:r>
          </w:p>
        </w:tc>
        <w:tc>
          <w:tcPr>
            <w:tcW w:type="dxa" w:w="1704"/>
          </w:tcPr>
          <w:p>
            <w:pPr>
              <w:spacing w:after="0"/>
            </w:pPr>
            <w:r>
              <w:rPr>
                <w:rFonts w:ascii="Arial" w:hAnsi="Arial"/>
                <w:b w:val="0"/>
                <w:sz w:val="12"/>
              </w:rPr>
              <w:t>Moderate (workflow state and traces support MRO-adjacent analysis)</w:t>
            </w:r>
          </w:p>
        </w:tc>
        <w:tc>
          <w:tcPr>
            <w:tcW w:type="dxa" w:w="1704"/>
          </w:tcPr>
          <w:p>
            <w:pPr>
              <w:spacing w:after="0"/>
            </w:pPr>
            <w:r>
              <w:rPr>
                <w:rFonts w:ascii="Arial" w:hAnsi="Arial"/>
                <w:b w:val="0"/>
                <w:sz w:val="12"/>
              </w:rPr>
              <w:t>Moderate (orchestration and tracing exist, but lifecycle object semantics require validation)</w:t>
            </w:r>
          </w:p>
        </w:tc>
        <w:tc>
          <w:tcPr>
            <w:tcW w:type="dxa" w:w="1704"/>
          </w:tcPr>
          <w:p>
            <w:pPr>
              <w:spacing w:after="0"/>
            </w:pPr>
            <w:r>
              <w:rPr>
                <w:rFonts w:ascii="Arial" w:hAnsi="Arial"/>
                <w:b w:val="0"/>
                <w:sz w:val="12"/>
              </w:rPr>
              <w:t>Governance primitives; authority boundary enforcement; accepted outcome compliance; evidence partitioning</w:t>
            </w:r>
          </w:p>
        </w:tc>
      </w:tr>
      <w:tr>
        <w:tc>
          <w:tcPr>
            <w:tcW w:type="dxa" w:w="1704"/>
          </w:tcPr>
          <w:p>
            <w:pPr>
              <w:spacing w:after="0"/>
            </w:pPr>
            <w:r>
              <w:rPr>
                <w:rFonts w:ascii="Arial" w:hAnsi="Arial"/>
                <w:b w:val="0"/>
                <w:sz w:val="12"/>
              </w:rPr>
              <w:t>OpenAI Agents SDK</w:t>
            </w:r>
          </w:p>
        </w:tc>
        <w:tc>
          <w:tcPr>
            <w:tcW w:type="dxa" w:w="1704"/>
          </w:tcPr>
          <w:p>
            <w:pPr>
              <w:spacing w:after="0"/>
            </w:pPr>
            <w:r>
              <w:rPr>
                <w:rFonts w:ascii="Arial" w:hAnsi="Arial"/>
                <w:b w:val="0"/>
                <w:sz w:val="12"/>
              </w:rPr>
              <w:t>Developer-focused agent framework; model access; tool use; execution orchestration</w:t>
            </w:r>
          </w:p>
        </w:tc>
        <w:tc>
          <w:tcPr>
            <w:tcW w:type="dxa" w:w="1704"/>
          </w:tcPr>
          <w:p>
            <w:pPr>
              <w:spacing w:after="0"/>
            </w:pPr>
            <w:r>
              <w:rPr>
                <w:rFonts w:ascii="Arial" w:hAnsi="Arial"/>
                <w:b w:val="0"/>
                <w:sz w:val="12"/>
              </w:rPr>
              <w:t>Low to Moderate (execution focus, governance primitives require validation)</w:t>
            </w:r>
          </w:p>
        </w:tc>
        <w:tc>
          <w:tcPr>
            <w:tcW w:type="dxa" w:w="1704"/>
          </w:tcPr>
          <w:p>
            <w:pPr>
              <w:spacing w:after="0"/>
            </w:pPr>
            <w:r>
              <w:rPr>
                <w:rFonts w:ascii="Arial" w:hAnsi="Arial"/>
                <w:b w:val="0"/>
                <w:sz w:val="12"/>
              </w:rPr>
              <w:t>Partial (SDK primitives can support lifecycle analysis, not full governance)</w:t>
            </w:r>
          </w:p>
        </w:tc>
        <w:tc>
          <w:tcPr>
            <w:tcW w:type="dxa" w:w="1704"/>
          </w:tcPr>
          <w:p>
            <w:pPr>
              <w:spacing w:after="0"/>
            </w:pPr>
            <w:r>
              <w:rPr>
                <w:rFonts w:ascii="Arial" w:hAnsi="Arial"/>
                <w:b w:val="0"/>
                <w:sz w:val="12"/>
              </w:rPr>
              <w:t>Low to Moderate (execution orchestration exists, but lifecycle object semantics require validation)</w:t>
            </w:r>
          </w:p>
        </w:tc>
        <w:tc>
          <w:tcPr>
            <w:tcW w:type="dxa" w:w="1704"/>
          </w:tcPr>
          <w:p>
            <w:pPr>
              <w:spacing w:after="0"/>
            </w:pPr>
            <w:r>
              <w:rPr>
                <w:rFonts w:ascii="Arial" w:hAnsi="Arial"/>
                <w:b w:val="0"/>
                <w:sz w:val="12"/>
              </w:rPr>
              <w:t>Governance primitives; lifecycle responsibility objects; authority boundary enforcement; evidence chain</w:t>
            </w:r>
          </w:p>
        </w:tc>
      </w:tr>
      <w:tr>
        <w:tc>
          <w:tcPr>
            <w:tcW w:type="dxa" w:w="1704"/>
          </w:tcPr>
          <w:p>
            <w:pPr>
              <w:spacing w:after="0"/>
            </w:pPr>
            <w:r>
              <w:rPr>
                <w:rFonts w:ascii="Arial" w:hAnsi="Arial"/>
                <w:b w:val="0"/>
                <w:sz w:val="12"/>
              </w:rPr>
              <w:t>CrewAI</w:t>
            </w:r>
          </w:p>
        </w:tc>
        <w:tc>
          <w:tcPr>
            <w:tcW w:type="dxa" w:w="1704"/>
          </w:tcPr>
          <w:p>
            <w:pPr>
              <w:spacing w:after="0"/>
            </w:pPr>
            <w:r>
              <w:rPr>
                <w:rFonts w:ascii="Arial" w:hAnsi="Arial"/>
                <w:b w:val="0"/>
                <w:sz w:val="12"/>
              </w:rPr>
              <w:t>Multi-agent collaboration; role-based agent design; task orchestration</w:t>
            </w:r>
          </w:p>
        </w:tc>
        <w:tc>
          <w:tcPr>
            <w:tcW w:type="dxa" w:w="1704"/>
          </w:tcPr>
          <w:p>
            <w:pPr>
              <w:spacing w:after="0"/>
            </w:pPr>
            <w:r>
              <w:rPr>
                <w:rFonts w:ascii="Arial" w:hAnsi="Arial"/>
                <w:b w:val="0"/>
                <w:sz w:val="12"/>
              </w:rPr>
              <w:t>Low to Moderate (collaboration focus, governance primitives require validation)</w:t>
            </w:r>
          </w:p>
        </w:tc>
        <w:tc>
          <w:tcPr>
            <w:tcW w:type="dxa" w:w="1704"/>
          </w:tcPr>
          <w:p>
            <w:pPr>
              <w:spacing w:after="0"/>
            </w:pPr>
            <w:r>
              <w:rPr>
                <w:rFonts w:ascii="Arial" w:hAnsi="Arial"/>
                <w:b w:val="0"/>
                <w:sz w:val="12"/>
              </w:rPr>
              <w:t>Partial (role/task primitives can support lifecycle analysis, not full governance)</w:t>
            </w:r>
          </w:p>
        </w:tc>
        <w:tc>
          <w:tcPr>
            <w:tcW w:type="dxa" w:w="1704"/>
          </w:tcPr>
          <w:p>
            <w:pPr>
              <w:spacing w:after="0"/>
            </w:pPr>
            <w:r>
              <w:rPr>
                <w:rFonts w:ascii="Arial" w:hAnsi="Arial"/>
                <w:b w:val="0"/>
                <w:sz w:val="12"/>
              </w:rPr>
              <w:t>Low to Moderate (role-based design exists, but lifecycle object semantics require validation)</w:t>
            </w:r>
          </w:p>
        </w:tc>
        <w:tc>
          <w:tcPr>
            <w:tcW w:type="dxa" w:w="1704"/>
          </w:tcPr>
          <w:p>
            <w:pPr>
              <w:spacing w:after="0"/>
            </w:pPr>
            <w:r>
              <w:rPr>
                <w:rFonts w:ascii="Arial" w:hAnsi="Arial"/>
                <w:b w:val="0"/>
                <w:sz w:val="12"/>
              </w:rPr>
              <w:t>Governance primitives; lifecycle responsibility objects; authority boundary enforcement; evidence chain</w:t>
            </w:r>
          </w:p>
        </w:tc>
      </w:tr>
    </w:tbl>
    <w:p>
      <w:pPr>
        <w:spacing w:after="56"/>
      </w:pPr>
      <w:r>
        <w:t>This table provides initial positioning based on public documentation, system architecture, and stated design goals. Chapter 12 tests these positions through evidence-qualified, provisional system mappings. Where numerical scoring is not fully source-bound, mappings remain qualitative and non-ranking.</w:t>
      </w:r>
    </w:p>
    <w:p>
      <w:pPr>
        <w:spacing w:after="56"/>
      </w:pPr>
      <w:r>
        <w:t>The table shows that systems have different strengths. Enterprise AI governance platforms tend to score higher on RCCS-T because they are designed for policy enforcement, risk management, and regulatory compliance. Lifecycle protocol paths may score lower on RCCS-T when they are not product governance platforms, but higher on RCCS-M and ALCS when they expose lifecycle responsibility objects as first-class protocol primitives. Cloud AI platforms and agent orchestration frameworks tend to show mixed RCCS-T/RCCS-M/ALCS posture because they provide some governance capabilities and some lifecycle primitives, but may not expose full lifecycle responsibility semantics.</w:t>
      </w:r>
    </w:p>
    <w:p>
      <w:pPr>
        <w:spacing w:after="56"/>
      </w:pPr>
      <w:r>
        <w:t>The main lifecycle gaps identified in the table reflect the areas where Chapter 12 will focus detailed evaluation. For systems with strong RCCS-T posture, the gap is often agentic lifecycle object exposure. For systems with strong RCCS-M and ALCS posture, the gap is often enterprise integration and adoption maturity. For systems with mixed posture, the gap is often governance primitives and lifecycle responsibility objects that require validation against public documentation.</w:t>
      </w:r>
    </w:p>
    <w:p>
      <w:pPr>
        <w:pStyle w:val="Heading2"/>
      </w:pPr>
      <w:r>
        <w:t>11.4 Reading the RCCS-T / RCCS-M / ALCS Positioning</w:t>
      </w:r>
    </w:p>
    <w:p>
      <w:pPr>
        <w:spacing w:after="56"/>
      </w:pPr>
      <w:r>
        <w:t>RCCS-T, RCCS-M, and ALCS measure different layers. RCCS-T measures traditional regulatory compliance coverage: whether a system provides the governance primitives that existing regulation requires. RCCS-M measures whether those obligations can be expressed through Missing Regulatory Objects. ALCS measures agentic lifecycle conformance: whether a system provides mature lifecycle objects that make agentic responsibility auditable, provable, and transferable.</w:t>
      </w:r>
    </w:p>
    <w:p>
      <w:pPr>
        <w:spacing w:after="56"/>
      </w:pPr>
      <w:r>
        <w:t>A system can have a strong RCCS-T score and weaker RCCS-M or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A system can have a strong RCCS-M and ALCS score with a lower RCCS-T score. This is also not a contradiction. It means the system may provide strong lifecycle responsibility semantics for human-role-to-MAS mapping, delegated authority boundaries, agent role distinction, accepted outcome compliance, tool-action liability, responsibility transfer, authority drift detection, evidence partitioning, and other lifecycle objects while having less mature productized governance coverage for risk management, documentation, record-keeping, or monitoring.</w:t>
      </w:r>
    </w:p>
    <w:p>
      <w:pPr>
        <w:spacing w:after="56"/>
      </w:pPr>
      <w:r>
        <w:t>The strongest future profile would provide strong RCCS-T, RCCS-M, and ALCS together. This means the system provides the governance primitives that existing regulation requires, expresses those obligations through MRO-like lifecycle objects, and makes agentic responsibility auditable and transferable. Few systems currently achieve this profile because traditional regulatory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Pr>
        <w:spacing w:after="56"/>
      </w:pPr>
      <w:r>
        <w:t>The positioning in Table T-11-01 reflects this fragmentation. Systems with strong RCCS-T posture tend to be enterprise AI governance platforms designed for regulatory compliance. Systems with strong RCCS-M and ALCS posture tend to be lifecycle protocol paths designed for responsibility semantics. Systems with mixed posture tend to be cloud AI platforms or agent orchestration frameworks that provide some governance capabilities and some lifecycle primitives, but may not expose full lifecycle responsibility semantics.</w:t>
      </w:r>
    </w:p>
    <w:p>
      <w:pPr>
        <w:spacing w:after="56"/>
      </w:pPr>
      <w:r>
        <w:t>Chapter 12 tests these positions through evidence-qualified, provisional system mappings. The positioning in this chapter is preliminary and based on public documentation, system architecture, and stated design goals. Detailed evaluation may reveal stronger or weaker capabilities than the preliminary positioning suggests, but system-level mappings remain qualitative and non-ranking unless numerical scoring is explicitly source-bound and approved.</w:t>
      </w:r>
    </w:p>
    <w:p>
      <w:pPr>
        <w:pStyle w:val="Heading2"/>
      </w:pPr>
      <w:r>
        <w:t>11.5 What the Comparison Does Not Claim</w:t>
      </w:r>
    </w:p>
    <w:p>
      <w:pPr>
        <w:spacing w:after="56"/>
      </w:pPr>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Pr>
        <w:spacing w:after="56"/>
      </w:pPr>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RCCS-T, RCCS-M, and ALCS dimensions, not a certification program or procurement recommendation.</w:t>
      </w:r>
    </w:p>
    <w:p>
      <w:pPr>
        <w:spacing w:after="56"/>
      </w:pPr>
      <w:r>
        <w:t>The comparison does not claim:</w:t>
      </w:r>
    </w:p>
    <w:p>
      <w:pPr>
        <w:pStyle w:val="ListBullet"/>
        <w:spacing w:after="56"/>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spacing w:after="56"/>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spacing w:after="56"/>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spacing w:after="56"/>
      </w:pPr>
      <w:r>
        <w:t>Endorsement or criticism: The comparison does not endorse any system as superior or criticize any system as inadequate. It evaluates system capability against RCCS-T, RCCS-M, and ALCS dimensions, not product quality or market fitness.</w:t>
      </w:r>
    </w:p>
    <w:p>
      <w:pPr>
        <w:pStyle w:val="ListBullet"/>
        <w:spacing w:after="56"/>
      </w:pPr>
      <w:r>
        <w:t>Vendor quality judgment: The comparison does not evaluate vendor quality, support, pricing, or business practices. It evaluates system capability to express governance primitives and lifecycle objects based on public documentation.</w:t>
      </w:r>
    </w:p>
    <w:p>
      <w:pPr>
        <w:pStyle w:val="ListBullet"/>
        <w:spacing w:after="56"/>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spacing w:after="56"/>
      </w:pPr>
      <w:r>
        <w:t>Market leadership or developer popularity: The comparison does not evaluate market share, developer adoption, community size, or ecosystem maturity. It evaluates system capability against RCCS-T, RCCS-M, and ALCS dimensions.</w:t>
      </w:r>
    </w:p>
    <w:p>
      <w:pPr>
        <w:spacing w:after="56"/>
      </w:pPr>
      <w:r>
        <w:t>MPLP-specific non-claim discipline:</w:t>
      </w:r>
    </w:p>
    <w:p>
      <w:pPr>
        <w:pStyle w:val="ListBullet"/>
        <w:spacing w:after="56"/>
      </w:pPr>
      <w:r>
        <w:t>MPLP is positioned as a lifecycle protocol path with limited RCCS-T product-platform coverage and strong author-analytical RCCS-M / ALCS alignment. This does not mean MPLP is a required compliance mechanism, a certification program, or a regulatory standard.</w:t>
      </w:r>
    </w:p>
    <w:p>
      <w:pPr>
        <w:pStyle w:val="ListBullet"/>
        <w:spacing w:after="56"/>
      </w:pPr>
      <w:r>
        <w:t>MPLP is not a certification authority. It does not certify that any system is compliant with any regulation.</w:t>
      </w:r>
    </w:p>
    <w:p>
      <w:pPr>
        <w:pStyle w:val="ListBullet"/>
        <w:spacing w:after="56"/>
      </w:pPr>
      <w:r>
        <w:t>MPLP is not a regulator. It does not enforce legal obligations or issue regulatory approvals.</w:t>
      </w:r>
    </w:p>
    <w:p>
      <w:pPr>
        <w:pStyle w:val="ListBullet"/>
        <w:spacing w:after="56"/>
      </w:pPr>
      <w:r>
        <w:t>MPLP is not a conformity assessment body. It does not issue conformity certificates or compliance attestations.</w:t>
      </w:r>
    </w:p>
    <w:p>
      <w:pPr>
        <w:pStyle w:val="ListBullet"/>
        <w:spacing w:after="56"/>
      </w:pPr>
      <w:r>
        <w:t>MPLP may be positioned as a lifecycle protocol path that exposes governance primitives and lifecycle responsibility objects as first-class protocol semantics. This is an architectural observation, not a legal claim or procurement recommendation.</w:t>
      </w:r>
    </w:p>
    <w:p>
      <w:pPr>
        <w:spacing w:after="56"/>
      </w:pPr>
      <w:r>
        <w:t>Validation Lab-specific non-claim discipline:</w:t>
      </w:r>
    </w:p>
    <w:p>
      <w:pPr>
        <w:pStyle w:val="ListBullet"/>
        <w:spacing w:after="56"/>
      </w:pPr>
      <w:r>
        <w:t>The Validation Lab is referenced in Chapter 14 as an evidence-based validation pattern. It is not a certification authority, regulator, or conformity assessment body.</w:t>
      </w:r>
    </w:p>
    <w:p>
      <w:pPr>
        <w:pStyle w:val="ListBullet"/>
        <w:spacing w:after="56"/>
      </w:pPr>
      <w:r>
        <w:t>The Validation Lab does not certify that any system is compliant with any regulation.</w:t>
      </w:r>
    </w:p>
    <w:p>
      <w:pPr>
        <w:pStyle w:val="ListBullet"/>
        <w:spacing w:after="56"/>
      </w:pPr>
      <w:r>
        <w:t>The Validation Lab does not issue audit opinions, legal compliance judgments, or regulatory approvals.</w:t>
      </w:r>
    </w:p>
    <w:p>
      <w:pPr>
        <w:pStyle w:val="ListBullet"/>
        <w:spacing w:after="56"/>
      </w:pPr>
      <w:r>
        <w:t>The Validation Lab is a validation pattern for evidence-based testing, not a certification program.</w:t>
      </w:r>
    </w:p>
    <w:p>
      <w:pPr>
        <w:spacing w:after="56"/>
      </w:pPr>
      <w:r>
        <w:t>The comparison is an analytical framework for comparing systems against RCCS-T, RCCS-M,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Pr>
        <w:pStyle w:val="Heading2"/>
      </w:pPr>
      <w:r>
        <w:t>11.6 Bridge to Detailed System Mappings</w:t>
      </w:r>
    </w:p>
    <w:p>
      <w:pPr>
        <w:spacing w:after="56"/>
      </w:pPr>
      <w:r>
        <w:t>Chapter 12 will provide detailed system mappings for each of the eight systems or categories in scope. For each system, Chapter 12 will evaluate:</w:t>
      </w:r>
    </w:p>
    <w:p>
      <w:pPr>
        <w:pStyle w:val="ListBullet"/>
        <w:spacing w:after="56"/>
      </w:pPr>
      <w:r>
        <w:t>RCCS-T/RCCS-M shared dimension family: Risk Management, Data Governance, Documentation, Record-Keeping, Transparency, Human Oversight, Security, Accountability, Contestability, Monitoring</w:t>
      </w:r>
    </w:p>
    <w:p>
      <w:pPr>
        <w:pStyle w:val="ListBullet"/>
        <w:spacing w:after="56"/>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spacing w:after="56"/>
      </w:pPr>
      <w:r>
        <w:t>Evidence basis: What evidence supports the evaluation (L1, L2, L3, L4, or L5)</w:t>
      </w:r>
    </w:p>
    <w:p>
      <w:pPr>
        <w:pStyle w:val="ListBullet"/>
        <w:spacing w:after="56"/>
      </w:pPr>
      <w:r>
        <w:t>Analytical posture: qualitative RCCS-T/RCCS-M/ALCS mapping strength and evidence level; numerical profiles appear only in the Evaluation Results section when source-qualified and explicitly bounded</w:t>
      </w:r>
    </w:p>
    <w:p>
      <w:pPr>
        <w:pStyle w:val="ListBullet"/>
        <w:spacing w:after="56"/>
      </w:pPr>
      <w:r>
        <w:t>Lifecycle gaps: What lifecycle responsibility objects or governance primitives are missing or require further validation</w:t>
      </w:r>
    </w:p>
    <w:p>
      <w:pPr>
        <w:spacing w:after="56"/>
      </w:pPr>
      <w:r>
        <w:t>Chapter 12 does not create published numerical system assessments, final procurement recommendations, certification, endorsement, or legal compliance judgments. Any numerical worksheet, if used, remains internal analytical support unless explicitly source-bound and approved for publication.</w:t>
      </w:r>
    </w:p>
    <w:p>
      <w:pPr>
        <w:spacing w:after="56"/>
      </w:pPr>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Pr>
        <w:spacing w:after="56"/>
      </w:pPr>
      <w:r>
        <w:t>The positioning in this chapter prepares the reader for Chapter 12 by establishing the comparison method, defining the systems in scope, providing preliminary positioning, and clarifying what the comparison evaluates and what it does not evaluate. Chapter 12 then tests these positions with detailed evidence-qualified mapping across RCCS-T, RCCS-M, and ALCS dimensions.</w:t>
      </w:r>
    </w:p>
    <w:p>
      <w:pPr>
        <w:spacing w:after="56"/>
      </w:pPr>
      <w:r>
        <w:t>Figure F-05 - Lifecycle Conformance Mapping Strength Heatmap</w:t>
      </w:r>
    </w:p>
    <w:p>
      <w:pPr>
        <w:spacing w:after="56"/>
      </w:pPr>
      <w:r>
        <w:t>Figure F-05 is a qualitative, non-ranking map of lifecycle conformance visibility across systems and MRO / ALCS dimensions. It must not be read as a product ranking, procurement recommendation, or final vendor assessment.</w:t>
      </w:r>
    </w:p>
    <w:p>
      <w:pPr>
        <w:keepNext/>
      </w:pPr>
      <w:r>
        <w:rPr>
          <w:b/>
          <w:sz w:val="16"/>
        </w:rPr>
        <w:t>Table T-11-02: Comparison Boundary Table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Comparison Dimension</w:t>
            </w:r>
          </w:p>
        </w:tc>
        <w:tc>
          <w:tcPr>
            <w:tcW w:type="dxa" w:w="3408"/>
          </w:tcPr>
          <w:p>
            <w:pPr>
              <w:spacing w:after="0"/>
            </w:pPr>
            <w:r>
              <w:rPr>
                <w:rFonts w:ascii="Arial" w:hAnsi="Arial"/>
                <w:b/>
                <w:sz w:val="14"/>
              </w:rPr>
              <w:t>What This Paper Evaluates</w:t>
            </w:r>
          </w:p>
        </w:tc>
        <w:tc>
          <w:tcPr>
            <w:tcW w:type="dxa" w:w="3408"/>
          </w:tcPr>
          <w:p>
            <w:pPr>
              <w:spacing w:after="0"/>
            </w:pPr>
            <w:r>
              <w:rPr>
                <w:rFonts w:ascii="Arial" w:hAnsi="Arial"/>
                <w:b/>
                <w:sz w:val="14"/>
              </w:rPr>
              <w:t>What This Paper Does Not Evaluate</w:t>
            </w:r>
          </w:p>
        </w:tc>
      </w:tr>
      <w:tr>
        <w:tc>
          <w:tcPr>
            <w:tcW w:type="dxa" w:w="3408"/>
          </w:tcPr>
          <w:p>
            <w:pPr>
              <w:spacing w:after="0"/>
            </w:pPr>
            <w:r>
              <w:rPr>
                <w:rFonts w:ascii="Arial" w:hAnsi="Arial"/>
                <w:b w:val="0"/>
                <w:sz w:val="14"/>
              </w:rPr>
              <w:t>Regulatory coverage</w:t>
            </w:r>
          </w:p>
        </w:tc>
        <w:tc>
          <w:tcPr>
            <w:tcW w:type="dxa" w:w="3408"/>
          </w:tcPr>
          <w:p>
            <w:pPr>
              <w:spacing w:after="0"/>
            </w:pPr>
            <w:r>
              <w:rPr>
                <w:rFonts w:ascii="Arial" w:hAnsi="Arial"/>
                <w:b w:val="0"/>
                <w:sz w:val="14"/>
              </w:rPr>
              <w:t>Whether a system provides governance primitives for risk management, data governance, documentation, record-keeping, transparency, human oversight, security, accountability, contestability, and monitoring (RCCS-T dimensions), and whether those obligations can be expressed through MROs (RCCS-M interpretation)</w:t>
            </w:r>
          </w:p>
        </w:tc>
        <w:tc>
          <w:tcPr>
            <w:tcW w:type="dxa" w:w="3408"/>
          </w:tcPr>
          <w:p>
            <w:pPr>
              <w:spacing w:after="0"/>
            </w:pPr>
            <w:r>
              <w:rPr>
                <w:rFonts w:ascii="Arial" w:hAnsi="Arial"/>
                <w:b w:val="0"/>
                <w:sz w:val="14"/>
              </w:rPr>
              <w:t>Legal compliance with specific regulations or jurisdictions; conformity assessment; regulatory approval; certification</w:t>
            </w:r>
          </w:p>
        </w:tc>
      </w:tr>
      <w:tr>
        <w:tc>
          <w:tcPr>
            <w:tcW w:type="dxa" w:w="3408"/>
          </w:tcPr>
          <w:p>
            <w:pPr>
              <w:spacing w:after="0"/>
            </w:pPr>
            <w:r>
              <w:rPr>
                <w:rFonts w:ascii="Arial" w:hAnsi="Arial"/>
                <w:b w:val="0"/>
                <w:sz w:val="14"/>
              </w:rPr>
              <w:t>Lifecycle object semantics</w:t>
            </w:r>
          </w:p>
        </w:tc>
        <w:tc>
          <w:tcPr>
            <w:tcW w:type="dxa" w:w="3408"/>
          </w:tcPr>
          <w:p>
            <w:pPr>
              <w:spacing w:after="0"/>
            </w:pPr>
            <w:r>
              <w:rPr>
                <w:rFonts w:ascii="Arial" w:hAnsi="Arial"/>
                <w:b w:val="0"/>
                <w:sz w:val="14"/>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3408"/>
          </w:tcPr>
          <w:p>
            <w:pPr>
              <w:spacing w:after="0"/>
            </w:pPr>
            <w:r>
              <w:rPr>
                <w:rFonts w:ascii="Arial" w:hAnsi="Arial"/>
                <w:b w:val="0"/>
                <w:sz w:val="14"/>
              </w:rPr>
              <w:t>Organizational conformance to legal requirements; deployment context; risk class; how the system is used</w:t>
            </w:r>
          </w:p>
        </w:tc>
      </w:tr>
      <w:tr>
        <w:tc>
          <w:tcPr>
            <w:tcW w:type="dxa" w:w="3408"/>
          </w:tcPr>
          <w:p>
            <w:pPr>
              <w:spacing w:after="0"/>
            </w:pPr>
            <w:r>
              <w:rPr>
                <w:rFonts w:ascii="Arial" w:hAnsi="Arial"/>
                <w:b w:val="0"/>
                <w:sz w:val="14"/>
              </w:rPr>
              <w:t>Evidence basis</w:t>
            </w:r>
          </w:p>
        </w:tc>
        <w:tc>
          <w:tcPr>
            <w:tcW w:type="dxa" w:w="3408"/>
          </w:tcPr>
          <w:p>
            <w:pPr>
              <w:spacing w:after="0"/>
            </w:pPr>
            <w:r>
              <w:rPr>
                <w:rFonts w:ascii="Arial" w:hAnsi="Arial"/>
                <w:b w:val="0"/>
                <w:sz w:val="14"/>
              </w:rPr>
              <w:t>Whether public documentation, API specifications, protocol definitions, or reproducible evidence artifacts support the evaluation; where evidence is weak or unavailable, whether author inference is explicitly disclosed</w:t>
            </w:r>
          </w:p>
        </w:tc>
        <w:tc>
          <w:tcPr>
            <w:tcW w:type="dxa" w:w="3408"/>
          </w:tcPr>
          <w:p>
            <w:pPr>
              <w:spacing w:after="0"/>
            </w:pPr>
            <w:r>
              <w:rPr>
                <w:rFonts w:ascii="Arial" w:hAnsi="Arial"/>
                <w:b w:val="0"/>
                <w:sz w:val="14"/>
              </w:rPr>
              <w:t>Vendor quality; support; pricing; business practices; market leadership; developer popularity; community size; ecosystem maturity</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System capability to express governance primitives and lifecycle objects based on public documentation and evidence-based evaluation</w:t>
            </w:r>
          </w:p>
        </w:tc>
        <w:tc>
          <w:tcPr>
            <w:tcW w:type="dxa" w:w="3408"/>
          </w:tcPr>
          <w:p>
            <w:pPr>
              <w:spacing w:after="0"/>
            </w:pPr>
            <w:r>
              <w:rPr>
                <w:rFonts w:ascii="Arial" w:hAnsi="Arial"/>
                <w:b w:val="0"/>
                <w:sz w:val="14"/>
              </w:rPr>
              <w:t>Product quality; feature completeness; execution performance; developer experience; operational maturity; procurement suitability; vendor relationships; strategic fit</w:t>
            </w:r>
          </w:p>
        </w:tc>
      </w:tr>
      <w:tr>
        <w:tc>
          <w:tcPr>
            <w:tcW w:type="dxa" w:w="3408"/>
          </w:tcPr>
          <w:p>
            <w:pPr>
              <w:spacing w:after="0"/>
            </w:pPr>
            <w:r>
              <w:rPr>
                <w:rFonts w:ascii="Arial" w:hAnsi="Arial"/>
                <w:b w:val="0"/>
                <w:sz w:val="14"/>
              </w:rPr>
              <w:t>Product quality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Execution performance; feature completeness; developer experience; operational maturity; reliability; scalability; usability</w:t>
            </w:r>
          </w:p>
        </w:tc>
      </w:tr>
      <w:tr>
        <w:tc>
          <w:tcPr>
            <w:tcW w:type="dxa" w:w="3408"/>
          </w:tcPr>
          <w:p>
            <w:pPr>
              <w:spacing w:after="0"/>
            </w:pPr>
            <w:r>
              <w:rPr>
                <w:rFonts w:ascii="Arial" w:hAnsi="Arial"/>
                <w:b w:val="0"/>
                <w:sz w:val="14"/>
              </w:rPr>
              <w:t>Procurement suitability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Organizational requirements; budget; technical stack; risk appetite; vendor relationships; strategic priorities; total cost of ownership; support quality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Legal compliance with specific regulations or jurisdictions; legal counsel; compliance review; risk assessment; regulatory examination</w:t>
            </w:r>
          </w:p>
        </w:tc>
      </w:tr>
      <w:tr>
        <w:tc>
          <w:tcPr>
            <w:tcW w:type="dxa" w:w="3408"/>
          </w:tcPr>
          <w:p>
            <w:pPr>
              <w:spacing w:after="0"/>
            </w:pPr>
            <w:r>
              <w:rPr>
                <w:rFonts w:ascii="Arial" w:hAnsi="Arial"/>
                <w:b w:val="0"/>
                <w:sz w:val="14"/>
              </w:rPr>
              <w:t>Certification / endorsement</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Certification; conformity assessment; regulatory approval; endorsement; criticism; vendor quality judgment; market leadership judgment</w:t>
            </w:r>
          </w:p>
        </w:tc>
      </w:tr>
    </w:tbl>
    <w:p>
      <w:pPr>
        <w:spacing w:after="56"/>
      </w:pPr>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Pr>
        <w:pStyle w:val="Heading1"/>
      </w:pPr>
      <w:r>
        <w:t>Chapter 12: Detailed System Mappings</w:t>
      </w:r>
    </w:p>
    <w:p>
      <w:pPr>
        <w:spacing w:after="56"/>
      </w:pPr>
      <w:r>
        <w:t>Version: v0.3.2-FRC-R3</w:t>
      </w:r>
    </w:p>
    <w:p>
      <w:pPr>
        <w:pStyle w:val="Heading2"/>
      </w:pPr>
      <w:r>
        <w:t>12.0 Purpose of Detailed System Mappings</w:t>
      </w:r>
    </w:p>
    <w:p>
      <w:pPr>
        <w:spacing w:after="56"/>
      </w:pPr>
      <w:r>
        <w:t>This chapter performs detailed system mappings for the eight systems introduced in Chapter 11. It evaluates public evidence of governance primitives and lifecycle responsibility objects against RCCS-T, RCCS-M, and ALCS dimensions. The purpose is to make visible which systems provide traditional governance coverage, which systems expose MRO-adjusted lifecycle responsibility semantics, where evidence is strong, where evidence is weak, and where lifecycle gaps remain.</w:t>
      </w:r>
    </w:p>
    <w:p>
      <w:pPr>
        <w:spacing w:after="56"/>
      </w:pPr>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Pr>
        <w:spacing w:after="56"/>
      </w:pPr>
      <w:r>
        <w:t>What this chapter evaluates:</w:t>
      </w:r>
    </w:p>
    <w:p>
      <w:pPr>
        <w:pStyle w:val="ListBullet"/>
        <w:spacing w:after="56"/>
      </w:pPr>
      <w:r>
        <w:t>Whether a system defines governance primitives for risk management, data governance, documentation, record-keeping, transparency, human oversight, security, accountability, contestability, and monitoring (RCCS-T dimensions)</w:t>
      </w:r>
    </w:p>
    <w:p>
      <w:pPr>
        <w:pStyle w:val="ListBullet"/>
        <w:spacing w:after="56"/>
      </w:pPr>
      <w:r>
        <w:t>Whether those governance obligations can be expressed through Missing Regulatory Objects and lifecycle responsibility semantics (RCCS-M interpretation)</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this chapter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Evidence boundary:</w:t>
      </w:r>
    </w:p>
    <w:p>
      <w:pPr>
        <w:pStyle w:val="ListBullet"/>
        <w:spacing w:after="56"/>
      </w:pPr>
      <w:r>
        <w:t>Public documentation may be incomplete. Absence of evidence is not evidence of absence.</w:t>
      </w:r>
    </w:p>
    <w:p>
      <w:pPr>
        <w:pStyle w:val="ListBullet"/>
        <w:spacing w:after="56"/>
      </w:pPr>
      <w:r>
        <w:t>Vendor capability claims require official documentation or are marked as author inference.</w:t>
      </w:r>
    </w:p>
    <w:p>
      <w:pPr>
        <w:pStyle w:val="ListBullet"/>
        <w:spacing w:after="56"/>
      </w:pPr>
      <w:r>
        <w:t>Scores and mappings are analytical and evidence-qualified.</w:t>
      </w:r>
    </w:p>
    <w:p>
      <w:pPr>
        <w:pStyle w:val="ListBullet"/>
        <w:spacing w:after="56"/>
      </w:pPr>
      <w:r>
        <w:t>This is not a certification program. It does not certify that any system is compliant with any regulation.</w:t>
      </w:r>
    </w:p>
    <w:p>
      <w:pPr>
        <w:pStyle w:val="Heading2"/>
      </w:pPr>
      <w:r>
        <w:t>12.1 Mapping Method and Evidence Boundary</w:t>
      </w:r>
    </w:p>
    <w:p>
      <w:pPr>
        <w:spacing w:after="56"/>
      </w:pPr>
      <w:r>
        <w:t>The mapping method evaluates systems against RCCS-T, RCCS-M, and ALCS dimensions using the evidence hierarchy established in Chapter 1 and the scoring rubrics defined in Chapters 7 and 8. RCCS-T captures traditional regulatory/governance coverage. RCCS-M captures MRO-adjusted regulatory coverage. ALCS captures lifecycle responsibility conformance maturity.</w:t>
      </w:r>
    </w:p>
    <w:p>
      <w:pPr>
        <w:pStyle w:val="Heading3"/>
      </w:pPr>
      <w:r>
        <w:t>Evidence Hierarchy</w:t>
      </w:r>
    </w:p>
    <w:p>
      <w:pPr>
        <w:spacing w:after="56"/>
      </w:pPr>
      <w:r>
        <w:t>The evidence hierarchy used in this chapter is:</w:t>
      </w:r>
    </w:p>
    <w:p>
      <w:pPr>
        <w:pStyle w:val="ListBullet"/>
        <w:spacing w:after="56"/>
      </w:pPr>
      <w:r>
        <w:t>L1 — Binding Legal / Regulatory / Standards Text: Legal, regulatory, or formal standards baseline. L1 does not prove product implementation.</w:t>
      </w:r>
    </w:p>
    <w:p>
      <w:pPr>
        <w:pStyle w:val="ListBullet"/>
        <w:spacing w:after="56"/>
      </w:pPr>
      <w:r>
        <w:t>L2 — Official Product, Protocol, API, or Repository Documentation: Official documentation, API docs, developer documentation, protocol specifications, platform architecture docs, or official repository documentation.</w:t>
      </w:r>
    </w:p>
    <w:p>
      <w:pPr>
        <w:pStyle w:val="ListBullet"/>
        <w:spacing w:after="56"/>
      </w:pPr>
      <w:r>
        <w:t>L3 — Independent Audit / Third-Party Evaluation: Third-party audit reports, credible research papers, independent reports, or assurance evidence.</w:t>
      </w:r>
    </w:p>
    <w:p>
      <w:pPr>
        <w:pStyle w:val="ListBullet"/>
        <w:spacing w:after="56"/>
      </w:pPr>
      <w:r>
        <w:t>L4 — Vendor Claim / Marketing Page / Announcement: Vendor white papers, product pages, blogs, announcements, or positioning material.</w:t>
      </w:r>
    </w:p>
    <w:p>
      <w:pPr>
        <w:pStyle w:val="ListBullet"/>
        <w:spacing w:after="56"/>
      </w:pPr>
      <w:r>
        <w:t>L5 — Author Inference / Analytical Interpretation: Author inference, conceptual analysis, or mapping judgment. Explicitly disclosed.</w:t>
      </w:r>
    </w:p>
    <w:p>
      <w:pPr>
        <w:spacing w:after="56"/>
      </w:pPr>
      <w:r>
        <w:t>The canonical evidence multipliers are L1=1.00, L2=0.85, L3=0.75, L4=0.55, and L5=0.35. Protocol specifications are treated as L2 unless they are binding legal or standards text. Mapping a product or protocol feature to RCCS-T, RCCS-M, or ALCS remains an analytical interpretation unless the source directly defines the lifecycle governance object.</w:t>
      </w:r>
    </w:p>
    <w:p>
      <w:pPr>
        <w:pStyle w:val="Heading3"/>
      </w:pPr>
      <w:r>
        <w:t>Evidence Limitation</w:t>
      </w:r>
    </w:p>
    <w:p>
      <w:pPr>
        <w:spacing w:after="56"/>
      </w:pPr>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Pr>
        <w:spacing w:after="56"/>
      </w:pPr>
      <w:r>
        <w:t>This chapter evaluates public evidence available as of May 2026. Vendor capability claims are source-qualified or marked as author inference. Numerical score ranges, where presented in the Evaluation Results section, are provisional analytical profiles with confidence labels and are not rankings, procurement recommendations, certification signals, or legal compliance judgments.</w:t>
      </w:r>
    </w:p>
    <w:p>
      <w:pPr>
        <w:pStyle w:val="Heading3"/>
      </w:pPr>
      <w:r>
        <w:t>Mapping Strength Scale</w:t>
      </w:r>
    </w:p>
    <w:p>
      <w:pPr>
        <w:spacing w:after="56"/>
      </w:pPr>
      <w:r>
        <w:t>Instead of numeric scores for every dimension in this phase, the chapter uses qualitative mapping strength:</w:t>
      </w:r>
    </w:p>
    <w:p>
      <w:pPr>
        <w:pStyle w:val="ListBullet"/>
        <w:spacing w:after="56"/>
      </w:pPr>
      <w:r>
        <w:t>Strong: Public documentation shows clear primitives, API support, or protocol semantics for the dimension.</w:t>
      </w:r>
    </w:p>
    <w:p>
      <w:pPr>
        <w:pStyle w:val="ListBullet"/>
        <w:spacing w:after="56"/>
      </w:pPr>
      <w:r>
        <w:t>Moderate: Public documentation suggests capability exists, but coverage is partial or requires validation.</w:t>
      </w:r>
    </w:p>
    <w:p>
      <w:pPr>
        <w:pStyle w:val="ListBullet"/>
        <w:spacing w:after="56"/>
      </w:pPr>
      <w:r>
        <w:t>Partial: Some evidence exists, but significant gaps or limitations are evident.</w:t>
      </w:r>
    </w:p>
    <w:p>
      <w:pPr>
        <w:pStyle w:val="ListBullet"/>
        <w:spacing w:after="56"/>
      </w:pPr>
      <w:r>
        <w:t>Weak: Minimal evidence or capability is conceptual only.</w:t>
      </w:r>
    </w:p>
    <w:p>
      <w:pPr>
        <w:pStyle w:val="ListBullet"/>
        <w:spacing w:after="56"/>
      </w:pPr>
      <w:r>
        <w:t>Not Evaluated: Insufficient public evidence to evaluate, or outside system scope.</w:t>
      </w:r>
    </w:p>
    <w:p>
      <w:pPr>
        <w:spacing w:after="56"/>
      </w:pPr>
      <w:r>
        <w:t>This chapter uses qualitative mapping strength for dimension-level mapping. Numerical results, where presented in the Evaluation Results section, are published only as provisional analytical score ranges with source confidence labels and explicit non-ranking boundaries.</w:t>
      </w:r>
    </w:p>
    <w:p>
      <w:pPr>
        <w:pStyle w:val="Heading3"/>
      </w:pPr>
      <w:r>
        <w:t>Evidence Basis Table</w:t>
      </w:r>
    </w:p>
    <w:p>
      <w:pPr>
        <w:spacing w:after="56"/>
      </w:pPr>
      <w:r>
        <w:t>The following table defines the evidence scale used in system mappings.</w:t>
      </w:r>
    </w:p>
    <w:p>
      <w:pPr>
        <w:keepNext/>
      </w:pPr>
      <w:r>
        <w:rPr>
          <w:b/>
          <w:sz w:val="16"/>
        </w:rPr>
        <w:t>Table T-12-01: System Mapping Evidence Scale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Use in Mapping</w:t>
            </w:r>
          </w:p>
        </w:tc>
        <w:tc>
          <w:tcPr>
            <w:tcW w:type="dxa" w:w="2556"/>
          </w:tcPr>
          <w:p>
            <w:pPr>
              <w:spacing w:after="0"/>
            </w:pPr>
            <w:r>
              <w:rPr>
                <w:rFonts w:ascii="Arial" w:hAnsi="Arial"/>
                <w:b/>
                <w:sz w:val="14"/>
              </w:rPr>
              <w:t>Limitation</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 regulatory / standards text</w:t>
            </w:r>
          </w:p>
        </w:tc>
        <w:tc>
          <w:tcPr>
            <w:tcW w:type="dxa" w:w="2556"/>
          </w:tcPr>
          <w:p>
            <w:pPr>
              <w:spacing w:after="0"/>
            </w:pPr>
            <w:r>
              <w:rPr>
                <w:rFonts w:ascii="Arial" w:hAnsi="Arial"/>
                <w:b w:val="0"/>
                <w:sz w:val="14"/>
              </w:rPr>
              <w:t>Establishes baseline obligations or framework requirements</w:t>
            </w:r>
          </w:p>
        </w:tc>
        <w:tc>
          <w:tcPr>
            <w:tcW w:type="dxa" w:w="2556"/>
          </w:tcPr>
          <w:p>
            <w:pPr>
              <w:spacing w:after="0"/>
            </w:pPr>
            <w:r>
              <w:rPr>
                <w:rFonts w:ascii="Arial" w:hAnsi="Arial"/>
                <w:b w:val="0"/>
                <w:sz w:val="14"/>
              </w:rPr>
              <w:t>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protocol, API, developer, platform, or repository documentation</w:t>
            </w:r>
          </w:p>
        </w:tc>
        <w:tc>
          <w:tcPr>
            <w:tcW w:type="dxa" w:w="2556"/>
          </w:tcPr>
          <w:p>
            <w:pPr>
              <w:spacing w:after="0"/>
            </w:pPr>
            <w:r>
              <w:rPr>
                <w:rFonts w:ascii="Arial" w:hAnsi="Arial"/>
                <w:b w:val="0"/>
                <w:sz w:val="14"/>
              </w:rPr>
              <w:t>Supports documented product/protocol capability claims</w:t>
            </w:r>
          </w:p>
        </w:tc>
        <w:tc>
          <w:tcPr>
            <w:tcW w:type="dxa" w:w="2556"/>
          </w:tcPr>
          <w:p>
            <w:pPr>
              <w:spacing w:after="0"/>
            </w:pPr>
            <w:r>
              <w:rPr>
                <w:rFonts w:ascii="Arial" w:hAnsi="Arial"/>
                <w:b w:val="0"/>
                <w:sz w:val="14"/>
              </w:rPr>
              <w:t>Does not prove deployment practice, audit success, or legal compliance</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 report, credible research paper, independent report</w:t>
            </w:r>
          </w:p>
        </w:tc>
        <w:tc>
          <w:tcPr>
            <w:tcW w:type="dxa" w:w="2556"/>
          </w:tcPr>
          <w:p>
            <w:pPr>
              <w:spacing w:after="0"/>
            </w:pPr>
            <w:r>
              <w:rPr>
                <w:rFonts w:ascii="Arial" w:hAnsi="Arial"/>
                <w:b w:val="0"/>
                <w:sz w:val="14"/>
              </w:rPr>
              <w:t>Supports independently reviewed implementation or methodology claims</w:t>
            </w:r>
          </w:p>
        </w:tc>
        <w:tc>
          <w:tcPr>
            <w:tcW w:type="dxa" w:w="2556"/>
          </w:tcPr>
          <w:p>
            <w:pPr>
              <w:spacing w:after="0"/>
            </w:pPr>
            <w:r>
              <w:rPr>
                <w:rFonts w:ascii="Arial" w:hAnsi="Arial"/>
                <w:b w:val="0"/>
                <w:sz w:val="14"/>
              </w:rPr>
              <w:t>May lag product updates or have limited scope</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claim, marketing page, blog, announcement</w:t>
            </w:r>
          </w:p>
        </w:tc>
        <w:tc>
          <w:tcPr>
            <w:tcW w:type="dxa" w:w="2556"/>
          </w:tcPr>
          <w:p>
            <w:pPr>
              <w:spacing w:after="0"/>
            </w:pPr>
            <w:r>
              <w:rPr>
                <w:rFonts w:ascii="Arial" w:hAnsi="Arial"/>
                <w:b w:val="0"/>
                <w:sz w:val="14"/>
              </w:rPr>
              <w:t>Supports positioning claims only</w:t>
            </w:r>
          </w:p>
        </w:tc>
        <w:tc>
          <w:tcPr>
            <w:tcW w:type="dxa" w:w="2556"/>
          </w:tcPr>
          <w:p>
            <w:pPr>
              <w:spacing w:after="0"/>
            </w:pPr>
            <w:r>
              <w:rPr>
                <w:rFonts w:ascii="Arial" w:hAnsi="Arial"/>
                <w:b w:val="0"/>
                <w:sz w:val="14"/>
              </w:rPr>
              <w:t>May overstate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mapping judgment</w:t>
            </w:r>
          </w:p>
        </w:tc>
        <w:tc>
          <w:tcPr>
            <w:tcW w:type="dxa" w:w="2556"/>
          </w:tcPr>
          <w:p>
            <w:pPr>
              <w:spacing w:after="0"/>
            </w:pPr>
            <w:r>
              <w:rPr>
                <w:rFonts w:ascii="Arial" w:hAnsi="Arial"/>
                <w:b w:val="0"/>
                <w:sz w:val="14"/>
              </w:rPr>
              <w:t>Supports disclosed analytical interpretation</w:t>
            </w:r>
          </w:p>
        </w:tc>
        <w:tc>
          <w:tcPr>
            <w:tcW w:type="dxa" w:w="2556"/>
          </w:tcPr>
          <w:p>
            <w:pPr>
              <w:spacing w:after="0"/>
            </w:pPr>
            <w:r>
              <w:rPr>
                <w:rFonts w:ascii="Arial" w:hAnsi="Arial"/>
                <w:b w:val="0"/>
                <w:sz w:val="14"/>
              </w:rPr>
              <w:t>Must not be presented as verified product fact</w:t>
            </w:r>
          </w:p>
        </w:tc>
      </w:tr>
    </w:tbl>
    <w:p>
      <w:pPr>
        <w:pStyle w:val="Heading2"/>
      </w:pPr>
      <w:r>
        <w:t>12.2 How to Read System Mapping Tables</w:t>
      </w:r>
    </w:p>
    <w:p>
      <w:pPr>
        <w:spacing w:after="56"/>
      </w:pPr>
      <w:r>
        <w:t>Each system section in this chapter uses the same structure:</w:t>
      </w:r>
    </w:p>
    <w:p>
      <w:pPr>
        <w:pStyle w:val="Heading3"/>
      </w:pPr>
      <w:r>
        <w:t>System Positioning</w:t>
      </w:r>
    </w:p>
    <w:p>
      <w:pPr>
        <w:spacing w:after="56"/>
      </w:pPr>
      <w:r>
        <w:t>Briefly states:</w:t>
      </w:r>
    </w:p>
    <w:p>
      <w:pPr>
        <w:pStyle w:val="ListBullet"/>
        <w:spacing w:after="56"/>
      </w:pPr>
      <w:r>
        <w:t>What the system primarily is</w:t>
      </w:r>
    </w:p>
    <w:p>
      <w:pPr>
        <w:pStyle w:val="ListBullet"/>
        <w:spacing w:after="56"/>
      </w:pPr>
      <w:r>
        <w:t>What it is strong at</w:t>
      </w:r>
    </w:p>
    <w:p>
      <w:pPr>
        <w:pStyle w:val="ListBullet"/>
        <w:spacing w:after="56"/>
      </w:pPr>
      <w:r>
        <w:t>Why it is relevant to RCCS-T / RCCS-M / ALCS</w:t>
      </w:r>
    </w:p>
    <w:p>
      <w:pPr>
        <w:pStyle w:val="ListBullet"/>
        <w:spacing w:after="56"/>
      </w:pPr>
      <w:r>
        <w:t>What this paper does and does not infer</w:t>
      </w:r>
    </w:p>
    <w:p>
      <w:pPr>
        <w:pStyle w:val="Heading3"/>
      </w:pPr>
      <w:r>
        <w:t>Evidence Basis</w:t>
      </w:r>
    </w:p>
    <w:p>
      <w:pPr>
        <w:spacing w:after="56"/>
      </w:pPr>
      <w:r>
        <w:t>Uses citation placeholders and evidence levels. Includes a mini-table: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[Area]</w:t>
            </w:r>
          </w:p>
        </w:tc>
        <w:tc>
          <w:tcPr>
            <w:tcW w:type="dxa" w:w="2556"/>
          </w:tcPr>
          <w:p>
            <w:pPr>
              <w:spacing w:after="0"/>
            </w:pPr>
            <w:r>
              <w:rPr>
                <w:rFonts w:ascii="Arial" w:hAnsi="Arial"/>
                <w:b w:val="0"/>
                <w:sz w:val="14"/>
              </w:rPr>
              <w:t>[Type]</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[source-bound capability surface / narrowed claim / L5 analytical interpretation / explicit non-blocking limitation]</w:t>
            </w:r>
          </w:p>
        </w:tc>
      </w:tr>
    </w:tbl>
    <w:p>
      <w:pPr>
        <w:pStyle w:val="Heading3"/>
      </w:pPr>
      <w:r>
        <w:t>RCCS-T / RCCS-M Mapping Summary</w:t>
      </w:r>
    </w:p>
    <w:p>
      <w:pPr>
        <w:spacing w:after="56"/>
      </w:pPr>
      <w:r>
        <w:t>Compact 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Layer /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[Dimension]</w:t>
            </w:r>
          </w:p>
        </w:tc>
        <w:tc>
          <w:tcPr>
            <w:tcW w:type="dxa" w:w="2556"/>
          </w:tcPr>
          <w:p>
            <w:pPr>
              <w:spacing w:after="0"/>
            </w:pPr>
            <w:r>
              <w:rPr>
                <w:rFonts w:ascii="Arial" w:hAnsi="Arial"/>
                <w:b w:val="0"/>
                <w:sz w:val="14"/>
              </w:rPr>
              <w:t>[Strong/Moderate/Partial/Weak/Not Evaluated]</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ALCS Mapping Summary</w:t>
      </w:r>
    </w:p>
    <w:p>
      <w:pPr>
        <w:spacing w:after="56"/>
      </w:pPr>
      <w:r>
        <w:t>Compact table grouping ALCS dimensions into five areas: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Main Lifecycle Gaps</w:t>
      </w:r>
    </w:p>
    <w:p>
      <w:pPr>
        <w:spacing w:after="56"/>
      </w:pPr>
      <w:r>
        <w:t>Lists 3-5 specific gaps or revalidation needs.</w:t>
      </w:r>
    </w:p>
    <w:p>
      <w:pPr>
        <w:pStyle w:val="Heading3"/>
      </w:pPr>
      <w:r>
        <w:t>Boundary Note</w:t>
      </w:r>
    </w:p>
    <w:p>
      <w:pPr>
        <w:spacing w:after="56"/>
      </w:pPr>
      <w:r>
        <w:t>Each system section closes with:</w:t>
      </w:r>
    </w:p>
    <w:p>
      <w:pPr>
        <w:spacing w:after="56"/>
      </w:pPr>
      <w:r>
        <w:t>This section maps public evidence to RCCS-T/RCCS-M/ALCS dimensions. It is not a legal compliance judgment, procurement recommendation, certification, or endorsement.</w:t>
      </w:r>
    </w:p>
    <w:p>
      <w:pPr>
        <w:pStyle w:val="Heading2"/>
      </w:pPr>
      <w:r>
        <w:t>12.3 MPLP — Lifecycle Protocol Path</w:t>
      </w:r>
    </w:p>
    <w:p>
      <w:pPr>
        <w:pStyle w:val="Heading3"/>
      </w:pPr>
      <w:r>
        <w:t>System Positioning</w:t>
      </w:r>
    </w:p>
    <w:p>
      <w:pPr>
        <w:spacing w:after="56"/>
      </w:pPr>
      <w:r>
        <w:t>MPLP (Multi-Agent Lifecycle Protocol) is a lifecycle protocol path designed to expose lifecycle responsibility objects as first-class protocol primitives. It is relevant to RCCS-T, RCCS-M, and ALCS because its public protocol semantics can be analytically mapped to human-role-to-MAS mapping, delegated authority boundaries, accepted outcome records, responsibility transfer, evidence partitioning, privacy lifecycle mapping, and vendor substitution conformance.</w:t>
      </w:r>
    </w:p>
    <w:p>
      <w:pPr>
        <w:spacing w:after="56"/>
      </w:pPr>
      <w:r>
        <w:t>MPLP is strong at lifecycle protocol semantics. It defines governance primitives and lifecycle objects as protocol-level constructs rather than application-level features. This means MPLP's traditional RCCS-T product-platform coverage may be limited, while its RCCS-M and ALCS posture may be strong where protocol semantics map to MRO-like objects. The GAIC MRO/RCCS-M/ALCS mapping remains an author analytical mapping based on those protocol semantics, not an MPLP official compliance claim.</w:t>
      </w:r>
    </w:p>
    <w:p>
      <w:pPr>
        <w:spacing w:after="56"/>
      </w:pPr>
      <w:r>
        <w:t>What this paper evaluates:</w:t>
      </w:r>
    </w:p>
    <w:p>
      <w:pPr>
        <w:pStyle w:val="ListBullet"/>
        <w:spacing w:after="56"/>
      </w:pPr>
      <w:r>
        <w:t>Whether MPLP protocol specification defines governance primitives and lifecycle objects</w:t>
      </w:r>
    </w:p>
    <w:p>
      <w:pPr>
        <w:pStyle w:val="ListBullet"/>
        <w:spacing w:after="56"/>
      </w:pPr>
      <w:r>
        <w:t>Whether MPLP semantics map to RCCS-T, RCCS-M, and ALCS dimensions</w:t>
      </w:r>
    </w:p>
    <w:p>
      <w:pPr>
        <w:pStyle w:val="ListBullet"/>
        <w:spacing w:after="56"/>
      </w:pPr>
      <w:r>
        <w:t>Whether MPLP provides protocol-level semantics that can support lifecycle responsibility analysis</w:t>
      </w:r>
    </w:p>
    <w:p>
      <w:pPr>
        <w:spacing w:after="56"/>
      </w:pPr>
      <w:r>
        <w:t>What this paper does not infer:</w:t>
      </w:r>
    </w:p>
    <w:p>
      <w:pPr>
        <w:pStyle w:val="ListBullet"/>
        <w:spacing w:after="56"/>
      </w:pPr>
      <w:r>
        <w:t>MPLP is not required for compliance. It is one example of a lifecycle protocol path.</w:t>
      </w:r>
    </w:p>
    <w:p>
      <w:pPr>
        <w:pStyle w:val="ListBullet"/>
        <w:spacing w:after="56"/>
      </w:pPr>
      <w:r>
        <w:t>MPLP is not a certification program. It does not certify systems or organizations.</w:t>
      </w:r>
    </w:p>
    <w:p>
      <w:pPr>
        <w:pStyle w:val="ListBullet"/>
        <w:spacing w:after="56"/>
      </w:pPr>
      <w:r>
        <w:t>MPLP is not a regulator or legal authority. It is a protocol specification.</w:t>
      </w:r>
    </w:p>
    <w:p>
      <w:pPr>
        <w:pStyle w:val="ListBullet"/>
        <w:spacing w:after="56"/>
      </w:pPr>
      <w:r>
        <w:t>MPLP implementation maturity, enterprise integration, and vendor adoption require separate evaluation.</w:t>
      </w:r>
    </w:p>
    <w:p>
      <w:pPr>
        <w:pStyle w:val="ListBullet"/>
        <w:spacing w:after="56"/>
      </w:pPr>
      <w:r>
        <w:t>Validation Lab is a non-certifying evidence adjudication example. Detailed treatment belongs to Chapter 14.</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Claim-level reviewed; mapping remains L5 analytical interpretation where the protocol does not directly prove implementation</w:t>
            </w:r>
          </w:p>
        </w:tc>
      </w:tr>
      <w:tr>
        <w:tc>
          <w:tcPr>
            <w:tcW w:type="dxa" w:w="2556"/>
          </w:tcPr>
          <w:p>
            <w:pPr>
              <w:spacing w:after="0"/>
            </w:pPr>
            <w:r>
              <w:rPr>
                <w:rFonts w:ascii="Arial" w:hAnsi="Arial"/>
                <w:b w:val="0"/>
                <w:sz w:val="14"/>
              </w:rPr>
              <w:t>Lifecycle object semantics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semantic fit remains analytical interpretation</w:t>
            </w:r>
          </w:p>
        </w:tc>
      </w:tr>
      <w:tr>
        <w:tc>
          <w:tcPr>
            <w:tcW w:type="dxa" w:w="2556"/>
          </w:tcPr>
          <w:p>
            <w:pPr>
              <w:spacing w:after="0"/>
            </w:pPr>
            <w:r>
              <w:rPr>
                <w:rFonts w:ascii="Arial" w:hAnsi="Arial"/>
                <w:b w:val="0"/>
                <w:sz w:val="14"/>
              </w:rPr>
              <w:t>Governance primitives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implementation maturity remains unresolved</w:t>
            </w:r>
          </w:p>
        </w:tc>
      </w:tr>
      <w:tr>
        <w:tc>
          <w:tcPr>
            <w:tcW w:type="dxa" w:w="2556"/>
          </w:tcPr>
          <w:p>
            <w:pPr>
              <w:spacing w:after="0"/>
            </w:pPr>
            <w:r>
              <w:rPr>
                <w:rFonts w:ascii="Arial" w:hAnsi="Arial"/>
                <w:b w:val="0"/>
                <w:sz w:val="14"/>
              </w:rPr>
              <w:t>Implementation examples</w:t>
            </w:r>
          </w:p>
        </w:tc>
        <w:tc>
          <w:tcPr>
            <w:tcW w:type="dxa" w:w="2556"/>
          </w:tcPr>
          <w:p>
            <w:pPr>
              <w:spacing w:after="0"/>
            </w:pPr>
            <w:r>
              <w:rPr>
                <w:rFonts w:ascii="Arial" w:hAnsi="Arial"/>
                <w:b w:val="0"/>
                <w:sz w:val="14"/>
              </w:rPr>
              <w:t>Developer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 deployment maturity remains unresolved</w:t>
            </w:r>
          </w:p>
        </w:tc>
      </w:tr>
      <w:tr>
        <w:tc>
          <w:tcPr>
            <w:tcW w:type="dxa" w:w="2556"/>
          </w:tcPr>
          <w:p>
            <w:pPr>
              <w:spacing w:after="0"/>
            </w:pPr>
            <w:r>
              <w:rPr>
                <w:rFonts w:ascii="Arial" w:hAnsi="Arial"/>
                <w:b w:val="0"/>
                <w:sz w:val="14"/>
              </w:rPr>
              <w:t>Validation Lab methodology</w:t>
            </w:r>
          </w:p>
        </w:tc>
        <w:tc>
          <w:tcPr>
            <w:tcW w:type="dxa" w:w="2556"/>
          </w:tcPr>
          <w:p>
            <w:pPr>
              <w:spacing w:after="0"/>
            </w:pPr>
            <w:r>
              <w:rPr>
                <w:rFonts w:ascii="Arial" w:hAnsi="Arial"/>
                <w:b w:val="0"/>
                <w:sz w:val="14"/>
              </w:rPr>
              <w:t>Methodology / lab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support remains boundary-limited; defer to Chapter 14</w:t>
            </w:r>
          </w:p>
        </w:tc>
      </w:tr>
    </w:tbl>
    <w:p>
      <w:pPr>
        <w:spacing w:after="56"/>
      </w:pPr>
      <w:r>
        <w:t>Source references:</w:t>
      </w:r>
    </w:p>
    <w:p>
      <w:pPr>
        <w:pStyle w:val="ListBullet"/>
        <w:spacing w:after="56"/>
      </w:pPr>
      <w:r>
        <w:t>[MPLP-DOCS]</w:t>
      </w:r>
    </w:p>
    <w:p>
      <w:pPr>
        <w:pStyle w:val="ListBullet"/>
        <w:spacing w:after="56"/>
      </w:pPr>
      <w:r>
        <w:t>[MPLP-SPEC]</w:t>
      </w:r>
    </w:p>
    <w:p>
      <w:pPr>
        <w:pStyle w:val="Heading3"/>
      </w:pPr>
      <w:r>
        <w:t>RCCS-T / RCCS-M Mapping Summary</w:t>
      </w:r>
    </w:p>
    <w:p>
      <w:pPr>
        <w:keepNext/>
      </w:pPr>
      <w:r>
        <w:rPr>
          <w:b/>
          <w:sz w:val="16"/>
        </w:rPr>
        <w:t>Table T-12-02: MPLP RCCS-T / RCCS-M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Layer /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RCCS-T overall product-platform coverage</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MPLP is not an enterprise governance SaaS and does not by itself provide full productized governance dashboards, cloud controls, or organizational policy workflows</w:t>
            </w:r>
          </w:p>
        </w:tc>
      </w:tr>
      <w:tr>
        <w:tc>
          <w:tcPr>
            <w:tcW w:type="dxa" w:w="2556"/>
          </w:tcPr>
          <w:p>
            <w:pPr>
              <w:spacing w:after="0"/>
            </w:pPr>
            <w:r>
              <w:rPr>
                <w:rFonts w:ascii="Arial" w:hAnsi="Arial"/>
                <w:b w:val="0"/>
                <w:sz w:val="14"/>
              </w:rPr>
              <w:t>RCCS-M overall MRO-adjusted coverage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semantics map strongly to authority, evidence, accepted-outcome, responsibility-transfer, and substitution objects; mapping remains author analytical where not directly stated</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risk boundaries; implementation maturity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data lineage; implementation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specification provides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chain is core protocol primitive</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transparency primitives; implementation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Delegated authority and accepted outcome are core protocol primitives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security boundaries; implementation requires validation</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Responsibility transfer and evidence partitioning are core protocol primitives</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dispute primitives; implementation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monitoring primitives; implementation requires validation</w:t>
            </w:r>
          </w:p>
        </w:tc>
      </w:tr>
    </w:tbl>
    <w:p>
      <w:pPr>
        <w:pStyle w:val="Heading3"/>
      </w:pPr>
      <w:r>
        <w:t>ALCS Mapping Summary</w:t>
      </w:r>
    </w:p>
    <w:p>
      <w:pPr>
        <w:keepNext/>
      </w:pPr>
      <w:r>
        <w:rPr>
          <w:b/>
          <w:sz w:val="16"/>
        </w:rPr>
        <w:t>Table T-12-03: MPLP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human-role-to-MAS mapping, delegated authority boundary, agent role distinction, accepted outcome compliance</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tool-action liability, responsibility transfer, authority drift detection, MAS evidence partitioning</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cross-project reuse, privacy lifecycle mapping, privacy-preserving validation; implementation requires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evidence minimization, data subject rights reconciliation, processor chain tracking; implementation requires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vendor/model/runtime substitution conformance</w:t>
            </w:r>
          </w:p>
        </w:tc>
      </w:tr>
    </w:tbl>
    <w:p>
      <w:pPr>
        <w:pStyle w:val="Heading3"/>
      </w:pPr>
      <w:r>
        <w:t>Main Lifecycle Gaps</w:t>
      </w:r>
    </w:p>
    <w:p>
      <w:pPr>
        <w:pStyle w:val="ListNumber"/>
        <w:spacing w:after="56"/>
      </w:pPr>
      <w:r>
        <w:t>Implementation Maturity: MPLP protocol specification may be strong, but implementation maturity in production systems requires validation.</w:t>
      </w:r>
    </w:p>
    <w:p>
      <w:pPr>
        <w:pStyle w:val="ListNumber"/>
        <w:spacing w:after="56"/>
      </w:pPr>
      <w:r>
        <w:t>Enterprise Integration: MPLP integration with existing enterprise AI governance platforms, cloud AI platforms, and agent orchestration frameworks requires validation.</w:t>
      </w:r>
    </w:p>
    <w:p>
      <w:pPr>
        <w:pStyle w:val="ListNumber"/>
        <w:spacing w:after="56"/>
      </w:pPr>
      <w:r>
        <w:t>Vendor Adoption: MPLP adoption by vendors, platforms, and frameworks requires validation.</w:t>
      </w:r>
    </w:p>
    <w:p>
      <w:pPr>
        <w:pStyle w:val="ListNumber"/>
        <w:spacing w:after="56"/>
      </w:pPr>
      <w:r>
        <w:t>Operational Deployment Evidence: MPLP deployment in production agentic systems requires validation.</w:t>
      </w:r>
    </w:p>
    <w:p>
      <w:pPr>
        <w:pStyle w:val="ListNumber"/>
        <w:spacing w:after="56"/>
      </w:pPr>
      <w:r>
        <w:t>Regulator / Auditor Familiarity: MPLP familiarity among regulators, auditors, and compliance teams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Pr>
        <w:pStyle w:val="Heading2"/>
      </w:pPr>
      <w:r>
        <w:t>12.4 IBM watsonx.governance — Enterprise AI Governance Platform</w:t>
      </w:r>
    </w:p>
    <w:p>
      <w:pPr>
        <w:pStyle w:val="Heading3"/>
      </w:pPr>
      <w:r>
        <w:t>System Positioning</w:t>
      </w:r>
    </w:p>
    <w:p>
      <w:pPr>
        <w:spacing w:after="56"/>
      </w:pPr>
      <w:r>
        <w:t>IBM watsonx.governance is an enterprise AI governance platform designed for policy enforcement, model risk management, regulatory compliance coverage, and AI lifecycle management. It is relevant to RCCS-T, RCCS-M, and ALCS because it provides enterprise-grade governance capabilities for risk management, data governance, documentation, record-keeping, transparency, human oversight, security, accountability, contestability, and monitoring, while lifecycle responsibility-object coverage remains analytically tested.</w:t>
      </w:r>
    </w:p>
    <w:p>
      <w:pPr>
        <w:spacing w:after="56"/>
      </w:pPr>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Pr>
        <w:spacing w:after="56"/>
      </w:pPr>
      <w:r>
        <w:t>What this paper evaluates:</w:t>
      </w:r>
    </w:p>
    <w:p>
      <w:pPr>
        <w:pStyle w:val="ListBullet"/>
        <w:spacing w:after="56"/>
      </w:pPr>
      <w:r>
        <w:t>Whether IBM watsonx.governance provides governance primitives for the RCCS-T/RCCS-M shared dimension family</w:t>
      </w:r>
    </w:p>
    <w:p>
      <w:pPr>
        <w:pStyle w:val="ListBullet"/>
        <w:spacing w:after="56"/>
      </w:pPr>
      <w:r>
        <w:t>Whether IBM watsonx.governance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IBM watsonx.governance is not evaluated for product quality, market leadership, or procurement suitability.</w:t>
      </w:r>
    </w:p>
    <w:p>
      <w:pPr>
        <w:pStyle w:val="ListBullet"/>
        <w:spacing w:after="56"/>
      </w:pPr>
      <w:r>
        <w:t>ALCS posture requires validation: lifecycle objects for multi-agent responsibility transfer, accepted outcome, tool-action liability, and MAS evidence partitioning require evidence validation.</w:t>
      </w:r>
    </w:p>
    <w:p>
      <w:pPr>
        <w:pStyle w:val="ListBullet"/>
        <w:spacing w:after="56"/>
      </w:pPr>
      <w:r>
        <w:t>Model governance and AI governance are not identical to agentic lifecycle governance.</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AI governance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Policy enforcement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Compliance workflows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Source references:</w:t>
      </w:r>
    </w:p>
    <w:p>
      <w:pPr>
        <w:pStyle w:val="ListBullet"/>
        <w:spacing w:after="56"/>
      </w:pPr>
      <w:r>
        <w:t>[IBM-WATSONX-GOVERNANCE-DOCS]</w:t>
      </w:r>
    </w:p>
    <w:p>
      <w:pPr>
        <w:pStyle w:val="Heading3"/>
      </w:pPr>
      <w:r>
        <w:t>RCCS Mapping Summary</w:t>
      </w:r>
    </w:p>
    <w:p>
      <w:pPr>
        <w:keepNext/>
      </w:pPr>
      <w:r>
        <w:rPr>
          <w:b/>
          <w:sz w:val="16"/>
        </w:rPr>
        <w:t>Table T-12-04: IBM watsonx.governance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AI governance platform designed for risk management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data lineage and governance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policy management</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audit trails and compliance records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workflows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platform with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and responsibility tracking</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and appeal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incident detection</w:t>
            </w:r>
          </w:p>
        </w:tc>
      </w:tr>
    </w:tbl>
    <w:p>
      <w:pPr>
        <w:pStyle w:val="Heading3"/>
      </w:pPr>
      <w:r>
        <w:t>ALCS Mapping Summary</w:t>
      </w:r>
    </w:p>
    <w:p>
      <w:pPr>
        <w:keepNext/>
      </w:pPr>
      <w:r>
        <w:rPr>
          <w:b/>
          <w:sz w:val="16"/>
        </w:rPr>
        <w:t>Table T-12-05: IBM watsonx.governance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Multi-Agent Responsibility Transfer: Whether IBM watsonx.governance tracks responsibility transfer across agents in multi-agent workflows requires validation.</w:t>
      </w:r>
    </w:p>
    <w:p>
      <w:pPr>
        <w:pStyle w:val="ListNumber"/>
        <w:spacing w:after="56"/>
      </w:pPr>
      <w:r>
        <w:t>Accepted Outcome Governance: Whether IBM watsonx.governance separates execution completion from outcome acceptance requires validation.</w:t>
      </w:r>
    </w:p>
    <w:p>
      <w:pPr>
        <w:pStyle w:val="ListNumber"/>
        <w:spacing w:after="56"/>
      </w:pPr>
      <w:r>
        <w:t>Tool-Action Liability Boundary: Whether IBM watsonx.governance records liability boundaries for consequential tool actions requires validation.</w:t>
      </w:r>
    </w:p>
    <w:p>
      <w:pPr>
        <w:pStyle w:val="ListNumber"/>
        <w:spacing w:after="56"/>
      </w:pPr>
      <w:r>
        <w:t>MAS Evidence Partitioning: Whether IBM watsonx.governance partitions evidence by agent, tool, authority, and privacy boundaries requires validation.</w:t>
      </w:r>
    </w:p>
    <w:p>
      <w:pPr>
        <w:pStyle w:val="ListNumber"/>
        <w:spacing w:after="56"/>
      </w:pPr>
      <w:r>
        <w:t>Cross-Project Reuse Controls: Whether IBM watsonx.governance enforces revalidation when workflows are reused across projects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Pr>
        <w:pStyle w:val="Heading2"/>
      </w:pPr>
      <w:r>
        <w:t>12.5 Microsoft Azure AI Foundry — Cloud AI Platform and Enterprise AI Tooling</w:t>
      </w:r>
    </w:p>
    <w:p>
      <w:pPr>
        <w:pStyle w:val="Heading3"/>
      </w:pPr>
      <w:r>
        <w:t>System Positioning</w:t>
      </w:r>
    </w:p>
    <w:p>
      <w:pPr>
        <w:spacing w:after="56"/>
      </w:pPr>
      <w:r>
        <w:t>Microsoft Azure AI Foundry is a cloud-native AI platform designed for model management, responsible AI tooling, content safety, tracing, evaluation, and enterprise integration. It is relevant to RCCS-T, RCCS-M, and ALCS because it provides cloud platform capabilities for risk management, data governance, documentation, record-keeping, transparency, human oversight, security, accountability, and monitoring, while MRO-adjusted lifecycle coverage remains implementation-dependent.</w:t>
      </w:r>
    </w:p>
    <w:p>
      <w:pPr>
        <w:spacing w:after="56"/>
      </w:pPr>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Pr>
        <w:spacing w:after="56"/>
      </w:pPr>
      <w:r>
        <w:t>What this paper evaluates:</w:t>
      </w:r>
    </w:p>
    <w:p>
      <w:pPr>
        <w:pStyle w:val="ListBullet"/>
        <w:spacing w:after="56"/>
      </w:pPr>
      <w:r>
        <w:t>Whether Microsoft Azure AI Foundry provides governance primitives for the RCCS-T/RCCS-M shared dimension family</w:t>
      </w:r>
    </w:p>
    <w:p>
      <w:pPr>
        <w:pStyle w:val="ListBullet"/>
        <w:spacing w:after="56"/>
      </w:pPr>
      <w:r>
        <w:t>Whether Microsoft Azure AI Foundry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Microsoft Azure AI Foundry is not evaluated for product quality, market leadership, or procurement suitability.</w:t>
      </w:r>
    </w:p>
    <w:p>
      <w:pPr>
        <w:pStyle w:val="ListBullet"/>
        <w:spacing w:after="56"/>
      </w:pPr>
      <w:r>
        <w:t>ALCS posture requires validation: authority boundaries, accepted outcomes, MAS evidence partitioning, and responsibility transfer require evidence validation.</w:t>
      </w:r>
    </w:p>
    <w:p>
      <w:pPr>
        <w:pStyle w:val="ListBullet"/>
        <w:spacing w:after="56"/>
      </w:pPr>
      <w:r>
        <w:t>Responsible AI tooling and cloud platform features are not identical to lifecycle responsibility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Responsible AI tooling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Content safety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Tracing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Source references:</w:t>
      </w:r>
    </w:p>
    <w:p>
      <w:pPr>
        <w:pStyle w:val="ListBullet"/>
        <w:spacing w:after="56"/>
      </w:pPr>
      <w:r>
        <w:t>[MICROSOFT-AZURE-AI-FOUNDRY-DOCS]</w:t>
      </w:r>
    </w:p>
    <w:p>
      <w:pPr>
        <w:pStyle w:val="ListBullet"/>
        <w:spacing w:after="56"/>
      </w:pPr>
      <w:r>
        <w:t>[MICROSOFT-RESPONSIBLE-AI-DOCS]</w:t>
      </w:r>
    </w:p>
    <w:p>
      <w:pPr>
        <w:pStyle w:val="Heading3"/>
      </w:pPr>
      <w:r>
        <w:t>RCCS Mapping Summary</w:t>
      </w:r>
    </w:p>
    <w:p>
      <w:pPr>
        <w:keepNext/>
      </w:pPr>
      <w:r>
        <w:rPr>
          <w:b/>
          <w:sz w:val="16"/>
        </w:rPr>
        <w:t>Table T-12-06: Microsoft Azure AI Foundry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tracing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transparency and explainability</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capabilities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T-12-07: Microsoft Azure AI Foundry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Accepted Outcome Compliance: Whether Microsoft Azure AI Foundry separates execution completion from outcome acceptance requires validation.</w:t>
      </w:r>
    </w:p>
    <w:p>
      <w:pPr>
        <w:pStyle w:val="ListNumber"/>
        <w:spacing w:after="56"/>
      </w:pPr>
      <w:r>
        <w:t>Delegated Authority Boundary: Whether Microsoft Azure AI Foundry defines and enforces authority boundaries for agent actions requires validation.</w:t>
      </w:r>
    </w:p>
    <w:p>
      <w:pPr>
        <w:pStyle w:val="ListNumber"/>
        <w:spacing w:after="56"/>
      </w:pPr>
      <w:r>
        <w:t>Cross-Agent Responsibility Transfer: Whether Microsoft Azure AI Foundry tracks responsibility transfer during agent handoffs requires validation.</w:t>
      </w:r>
    </w:p>
    <w:p>
      <w:pPr>
        <w:pStyle w:val="ListNumber"/>
        <w:spacing w:after="56"/>
      </w:pPr>
      <w:r>
        <w:t>Evidence Partitioning: Whether Microsoft Azure AI Foundry partitions evidence by agent, tool, authority, and privacy boundaries requires validation.</w:t>
      </w:r>
    </w:p>
    <w:p>
      <w:pPr>
        <w:pStyle w:val="ListNumber"/>
        <w:spacing w:after="56"/>
      </w:pPr>
      <w:r>
        <w:t>Vendor/Model/Runtime Substitution Conformance: Whether Microsoft Azure AI Foundry enforces conformance revalidation when vendors are substituted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Pr>
        <w:pStyle w:val="Heading2"/>
      </w:pPr>
      <w:r>
        <w:t>12.6 AWS Bedrock / Guardrails / AgentCore — Cloud AI Service Suite</w:t>
      </w:r>
    </w:p>
    <w:p>
      <w:pPr>
        <w:pStyle w:val="Heading3"/>
      </w:pPr>
      <w:r>
        <w:t>System Positioning</w:t>
      </w:r>
    </w:p>
    <w:p>
      <w:pPr>
        <w:spacing w:after="56"/>
      </w:pPr>
      <w:r>
        <w:t>AWS Bedrock / Guardrails / AgentCore is a cloud AI service suite designed for model access, guardrails, agent orchestration, and enterprise security integration. It is relevant to RCCS-T, RCCS-M, and ALCS because it provides cloud service capabilities for guardrails, security, access control, monitoring, and agent orchestration, while lifecycle responsibility-object coverage remains source-qualified and analytical.</w:t>
      </w:r>
    </w:p>
    <w:p>
      <w:pPr>
        <w:spacing w:after="56"/>
      </w:pPr>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Pr>
        <w:spacing w:after="56"/>
      </w:pPr>
      <w:r>
        <w:t>What this paper evaluates:</w:t>
      </w:r>
    </w:p>
    <w:p>
      <w:pPr>
        <w:pStyle w:val="ListBullet"/>
        <w:spacing w:after="56"/>
      </w:pPr>
      <w:r>
        <w:t>Whether AWS Bedrock / Guardrails / AgentCore provides governance primitives for the RCCS-T/RCCS-M shared dimension family</w:t>
      </w:r>
    </w:p>
    <w:p>
      <w:pPr>
        <w:pStyle w:val="ListBullet"/>
        <w:spacing w:after="56"/>
      </w:pPr>
      <w:r>
        <w:t>Whether AWS Bedrock / Guardrails / AgentCore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AWS Bedrock / Guardrails / AgentCore is not evaluated for product quality, market leadership, or procurement suitability.</w:t>
      </w:r>
    </w:p>
    <w:p>
      <w:pPr>
        <w:pStyle w:val="ListBullet"/>
        <w:spacing w:after="56"/>
      </w:pPr>
      <w:r>
        <w:t>ALCS posture requires validation: orchestration and guardrails do not automatically prove lifecycle responsibility semantics.</w:t>
      </w:r>
    </w:p>
    <w:p>
      <w:pPr>
        <w:pStyle w:val="ListBullet"/>
        <w:spacing w:after="56"/>
      </w:pPr>
      <w:r>
        <w:t>Guardrails and tool permission are not identical to delegated authority boundary.</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services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Guardrails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Enterprise security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Source references:</w:t>
      </w:r>
    </w:p>
    <w:p>
      <w:pPr>
        <w:pStyle w:val="ListBullet"/>
        <w:spacing w:after="56"/>
      </w:pPr>
      <w:r>
        <w:t>[AWS-BEDROCK-DOCS]</w:t>
      </w:r>
    </w:p>
    <w:p>
      <w:pPr>
        <w:pStyle w:val="ListBullet"/>
        <w:spacing w:after="56"/>
      </w:pPr>
      <w:r>
        <w:t>[AWS-BEDROCK-GUARDRAILS-DOCS]</w:t>
      </w:r>
    </w:p>
    <w:p>
      <w:pPr>
        <w:pStyle w:val="ListBullet"/>
        <w:spacing w:after="56"/>
      </w:pPr>
      <w:r>
        <w:t>[AWS-AGENTCORE-DOCS]</w:t>
      </w:r>
    </w:p>
    <w:p>
      <w:pPr>
        <w:pStyle w:val="Heading3"/>
      </w:pPr>
      <w:r>
        <w:t>RCCS Mapping Summary</w:t>
      </w:r>
    </w:p>
    <w:p>
      <w:pPr>
        <w:keepNext/>
      </w:pPr>
      <w:r>
        <w:rPr>
          <w:b/>
          <w:sz w:val="16"/>
        </w:rPr>
        <w:t>Table T-12-08: AWS Bedrock / Guardrails / AgentCore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Guardrails provide risk mitigation; broader risk management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capabilities; agentic data governance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capabilities; agentic documentation requires validation</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 agentic record-keeping requires validation</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transparency features;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oversight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T-12-09: AWS Bedrock / Guardrails / AgentCore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guardrails ≠ delegated authority boundary</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Delegated Authority vs IAM/Tool Permission: Whether AWS Bedrock / Guardrails / AgentCore distinguishes delegated authority boundary from IAM and tool permission requires validation.</w:t>
      </w:r>
    </w:p>
    <w:p>
      <w:pPr>
        <w:pStyle w:val="ListNumber"/>
        <w:spacing w:after="56"/>
      </w:pPr>
      <w:r>
        <w:t>Accepted Outcome Governance: Whether AWS Bedrock / Guardrails / AgentCore separates execution completion from outcome acceptance requires validation.</w:t>
      </w:r>
    </w:p>
    <w:p>
      <w:pPr>
        <w:pStyle w:val="ListNumber"/>
        <w:spacing w:after="56"/>
      </w:pPr>
      <w:r>
        <w:t>Tool-Action Liability Boundary: Whether AWS Bedrock / Guardrails / AgentCore records liability boundaries for consequential tool actions requires validation.</w:t>
      </w:r>
    </w:p>
    <w:p>
      <w:pPr>
        <w:pStyle w:val="ListNumber"/>
        <w:spacing w:after="56"/>
      </w:pPr>
      <w:r>
        <w:t>MAS Evidence Partitioning: Whether AWS Bedrock / Guardrails / AgentCore partitions evidence by agent, tool, authority, and privacy boundaries requires validation.</w:t>
      </w:r>
    </w:p>
    <w:p>
      <w:pPr>
        <w:pStyle w:val="ListNumber"/>
        <w:spacing w:after="56"/>
      </w:pPr>
      <w:r>
        <w:t>Incident/Dispute/Remediation Closure: Whether AWS Bedrock / Guardrails / AgentCore provides incident, dispute, and remediation closure mechanisms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Pr>
        <w:pStyle w:val="Heading2"/>
      </w:pPr>
      <w:r>
        <w:t>12.7 Google Vertex AI / ADK / Model Armor — Cloud AI Platform, Agent Development, and Safety Controls</w:t>
      </w:r>
    </w:p>
    <w:p>
      <w:pPr>
        <w:pStyle w:val="Heading3"/>
      </w:pPr>
      <w:r>
        <w:t>System Positioning</w:t>
      </w:r>
    </w:p>
    <w:p>
      <w:pPr>
        <w:spacing w:after="56"/>
      </w:pPr>
      <w:r>
        <w:t>Google Vertex AI / ADK / Model Armor is a cloud AI platform suite designed for model management, agent development tooling, and model/content safety controls. It is relevant to RCCS-T, RCCS-M, and ALCS because it provides cloud platform capabilities for model governance, agent development, safety evaluation, content filtering, and enterprise integration, while MRO-adjusted lifecycle coverage remains evidence-qualified.</w:t>
      </w:r>
    </w:p>
    <w:p>
      <w:pPr>
        <w:spacing w:after="56"/>
      </w:pPr>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Pr>
        <w:spacing w:after="56"/>
      </w:pPr>
      <w:r>
        <w:t>What this paper evaluates:</w:t>
      </w:r>
    </w:p>
    <w:p>
      <w:pPr>
        <w:pStyle w:val="ListBullet"/>
        <w:spacing w:after="56"/>
      </w:pPr>
      <w:r>
        <w:t>Whether Google Vertex AI / ADK / Model Armor provides governance primitives for the RCCS-T/RCCS-M shared dimension family</w:t>
      </w:r>
    </w:p>
    <w:p>
      <w:pPr>
        <w:pStyle w:val="ListBullet"/>
        <w:spacing w:after="56"/>
      </w:pPr>
      <w:r>
        <w:t>Whether Google Vertex AI / ADK / Model Armor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Google Vertex AI / ADK / Model Armor is not evaluated for product quality, market leadership, or procurement suitability.</w:t>
      </w:r>
    </w:p>
    <w:p>
      <w:pPr>
        <w:pStyle w:val="ListBullet"/>
        <w:spacing w:after="56"/>
      </w:pPr>
      <w:r>
        <w:t>ALCS posture requires validation: agent development and model safety controls do not automatically prove lifecycle responsibility semantics.</w:t>
      </w:r>
    </w:p>
    <w:p>
      <w:pPr>
        <w:pStyle w:val="ListBullet"/>
        <w:spacing w:after="56"/>
      </w:pPr>
      <w:r>
        <w:t>Model safety, content safety, and platform governance are not identical to lifecycle responsibility objects.</w:t>
      </w:r>
    </w:p>
    <w:p>
      <w:pPr>
        <w:pStyle w:val="ListBullet"/>
        <w:spacing w:after="56"/>
      </w:pPr>
      <w:r>
        <w:t>ADK agent development primitives are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Development Kit (ADK)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Armor safety controls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evaluation and monitoring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Source references:</w:t>
      </w:r>
    </w:p>
    <w:p>
      <w:pPr>
        <w:pStyle w:val="ListBullet"/>
        <w:spacing w:after="56"/>
      </w:pPr>
      <w:r>
        <w:t>[GOOGLE-VERTEX-AI-DOCS]</w:t>
      </w:r>
    </w:p>
    <w:p>
      <w:pPr>
        <w:pStyle w:val="ListBullet"/>
        <w:spacing w:after="56"/>
      </w:pPr>
      <w:r>
        <w:t>[GOOGLE-ADK-DOCS]</w:t>
      </w:r>
    </w:p>
    <w:p>
      <w:pPr>
        <w:pStyle w:val="ListBullet"/>
        <w:spacing w:after="56"/>
      </w:pPr>
      <w:r>
        <w:t>[GOOGLE-MODEL-ARMOR-DOCS]</w:t>
      </w:r>
    </w:p>
    <w:p>
      <w:pPr>
        <w:pStyle w:val="Heading3"/>
      </w:pPr>
      <w:r>
        <w:t>RCCS Mapping Summary</w:t>
      </w:r>
    </w:p>
    <w:p>
      <w:pPr>
        <w:keepNext/>
      </w:pPr>
      <w:r>
        <w:rPr>
          <w:b/>
          <w:sz w:val="16"/>
        </w:rPr>
        <w:t>Table T-12-10: Google Vertex AI / ADK / Model Armor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Model Armor and evaluation frameworks provide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review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T-12-11: Google Vertex AI / ADK / Model Armor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ADK agent primitives ≠ lifecycle responsibility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Agent Development vs Lifecycle Responsibility: Whether Google ADK agent development primitives map to human-role-to-MAS responsibility semantics requires validation.</w:t>
      </w:r>
    </w:p>
    <w:p>
      <w:pPr>
        <w:pStyle w:val="ListNumber"/>
        <w:spacing w:after="56"/>
      </w:pPr>
      <w:r>
        <w:t>Delegated Authority Boundary: Whether Google Vertex AI / ADK / Model Armor defines and enforces authority boundaries for agent actions requires validation.</w:t>
      </w:r>
    </w:p>
    <w:p>
      <w:pPr>
        <w:pStyle w:val="ListNumber"/>
        <w:spacing w:after="56"/>
      </w:pPr>
      <w:r>
        <w:t>Accepted Outcome Compliance: Whether Google Vertex AI / ADK / Model Armor separates execution completion from outcome acceptance requires validation.</w:t>
      </w:r>
    </w:p>
    <w:p>
      <w:pPr>
        <w:pStyle w:val="ListNumber"/>
        <w:spacing w:after="56"/>
      </w:pPr>
      <w:r>
        <w:t>Model Safety vs Lifecycle Governance: Whether Model Armor safety controls extend to lifecycle responsibility governance requires validation.</w:t>
      </w:r>
    </w:p>
    <w:p>
      <w:pPr>
        <w:pStyle w:val="ListNumber"/>
        <w:spacing w:after="56"/>
      </w:pPr>
      <w:r>
        <w:t>Cross-Agent Responsibility Transfer: Whether Google Vertex AI / ADK / Model Armor tracks responsibility transfer during agent handoffs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Pr>
        <w:pStyle w:val="Heading2"/>
      </w:pPr>
      <w:r>
        <w:t>12.8 LangGraph / LangSmith — Agent Orchestration and Observability Framework</w:t>
      </w:r>
    </w:p>
    <w:p>
      <w:pPr>
        <w:pStyle w:val="Heading3"/>
      </w:pPr>
      <w:r>
        <w:t>System Positioning</w:t>
      </w:r>
    </w:p>
    <w:p>
      <w:pPr>
        <w:spacing w:after="56"/>
      </w:pPr>
      <w:r>
        <w:t>LangGraph / LangSmith is an agent orchestration and observability framework designed for workflow graphs, state management, checkpoints, traces, and observability. It is relevant to RCCS-T, RCCS-M, and ALCS because it provides orchestration and observability capabilities that can support governance, monitoring, transparency, evidence collection, and MRO-adjacent lifecycle analysis.</w:t>
      </w:r>
    </w:p>
    <w:p>
      <w:pPr>
        <w:spacing w:after="56"/>
      </w:pPr>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Pr>
        <w:spacing w:after="56"/>
      </w:pPr>
      <w:r>
        <w:t>What this paper evaluates:</w:t>
      </w:r>
    </w:p>
    <w:p>
      <w:pPr>
        <w:pStyle w:val="ListBullet"/>
        <w:spacing w:after="56"/>
      </w:pPr>
      <w:r>
        <w:t>Whether LangGraph / LangSmith provides governance primitives for the RCCS-T/RCCS-M shared dimension family</w:t>
      </w:r>
    </w:p>
    <w:p>
      <w:pPr>
        <w:pStyle w:val="ListBullet"/>
        <w:spacing w:after="56"/>
      </w:pPr>
      <w:r>
        <w:t>Whether LangGraph / LangSmith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LangGraph / LangSmith is not evaluated for product quality, market leadership, or procurement suitability.</w:t>
      </w:r>
    </w:p>
    <w:p>
      <w:pPr>
        <w:pStyle w:val="ListBullet"/>
        <w:spacing w:after="56"/>
      </w:pPr>
      <w:r>
        <w:t>ALCS posture requires validation: orchestration and observability can support governance but do not automatically provide regulatory compliance coverage.</w:t>
      </w:r>
    </w:p>
    <w:p>
      <w:pPr>
        <w:pStyle w:val="ListBullet"/>
        <w:spacing w:after="56"/>
      </w:pPr>
      <w:r>
        <w:t>Workflow graphs, state, checkpoints, and traces are not identical to lifecycle responsibility objects.</w:t>
      </w:r>
    </w:p>
    <w:p>
      <w:pPr>
        <w:pStyle w:val="ListBullet"/>
        <w:spacing w:after="56"/>
      </w:pPr>
      <w:r>
        <w:t>Observability traces are not identical to MAS evidence partitioning.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Workflow graphs and state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Checkpoints and persistence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Traces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Source references:</w:t>
      </w:r>
    </w:p>
    <w:p>
      <w:pPr>
        <w:pStyle w:val="ListBullet"/>
        <w:spacing w:after="56"/>
      </w:pPr>
      <w:r>
        <w:t>[LANGGRAPH-DOCS]</w:t>
      </w:r>
    </w:p>
    <w:p>
      <w:pPr>
        <w:pStyle w:val="ListBullet"/>
        <w:spacing w:after="56"/>
      </w:pPr>
      <w:r>
        <w:t>[LANGSMITH-DOCS]</w:t>
      </w:r>
    </w:p>
    <w:p>
      <w:pPr>
        <w:pStyle w:val="Heading3"/>
      </w:pPr>
      <w:r>
        <w:t>RCCS Mapping Summary</w:t>
      </w:r>
    </w:p>
    <w:p>
      <w:pPr>
        <w:keepNext/>
      </w:pPr>
      <w:r>
        <w:rPr>
          <w:b/>
          <w:sz w:val="16"/>
        </w:rPr>
        <w:t>Table T-12-12: LangGraph / LangSmith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State management exists;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Workflow graphs and traces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Checkpoints and traces provide record-keeping primitives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Traces and observability provide transparency primitives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provide observability;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Observability and traces provide monitoring primitives</w:t>
            </w:r>
          </w:p>
        </w:tc>
      </w:tr>
    </w:tbl>
    <w:p>
      <w:pPr>
        <w:pStyle w:val="Heading3"/>
      </w:pPr>
      <w:r>
        <w:t>ALCS Mapping Summary</w:t>
      </w:r>
    </w:p>
    <w:p>
      <w:pPr>
        <w:keepNext/>
      </w:pPr>
      <w:r>
        <w:rPr>
          <w:b/>
          <w:sz w:val="16"/>
        </w:rPr>
        <w:t>Table T-12-13: LangGraph / LangSmith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graphs and state provide useful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and state transitions provide useful primitives;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reuse exists; cross-project reuse compliance, privacy lifecycle mapping, privacy-preserving validation require additional governance semantics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Orchestration vs Governance: Whether LangGraph / LangSmith orchestration and observability primitives extend to lifecycle responsibility governance requires validation.</w:t>
      </w:r>
    </w:p>
    <w:p>
      <w:pPr>
        <w:pStyle w:val="ListNumber"/>
        <w:spacing w:after="56"/>
      </w:pPr>
      <w:r>
        <w:t>Traces vs Evidence Partitioning: Whether LangSmith traces map to MAS evidence partitioning with agent, tool, authority, and privacy boundaries requires validation.</w:t>
      </w:r>
    </w:p>
    <w:p>
      <w:pPr>
        <w:pStyle w:val="ListNumber"/>
        <w:spacing w:after="56"/>
      </w:pPr>
      <w:r>
        <w:t>Human-Role-to-MAS Responsibility Mapping: Whether LangGraph / LangSmith maps human roles to MAS responsibility semantics requires validation.</w:t>
      </w:r>
    </w:p>
    <w:p>
      <w:pPr>
        <w:pStyle w:val="ListNumber"/>
        <w:spacing w:after="56"/>
      </w:pPr>
      <w:r>
        <w:t>Delegated Authority Boundary: Whether LangGraph / LangSmith defines and enforces authority boundaries for agent actions requires validation.</w:t>
      </w:r>
    </w:p>
    <w:p>
      <w:pPr>
        <w:pStyle w:val="ListNumber"/>
        <w:spacing w:after="56"/>
      </w:pPr>
      <w:r>
        <w:t>Accepted Outcome Compliance: Whether LangGraph / LangSmith separates execution completion from outcome acceptance requires validation.</w:t>
      </w:r>
    </w:p>
    <w:p>
      <w:pPr>
        <w:pStyle w:val="ListNumber"/>
        <w:spacing w:after="56"/>
      </w:pPr>
      <w:r>
        <w:t>Incident/Dispute/Remediation Closure: Whether LangGraph / LangSmith provides incident, dispute, and remediation closure mechanisms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Pr>
        <w:pStyle w:val="Heading2"/>
      </w:pPr>
      <w:r>
        <w:t>12.9 OpenAI Agents SDK — Developer-Focused Agent Execution Framework</w:t>
      </w:r>
    </w:p>
    <w:p>
      <w:pPr>
        <w:pStyle w:val="Heading3"/>
      </w:pPr>
      <w:r>
        <w:t>System Positioning</w:t>
      </w:r>
    </w:p>
    <w:p>
      <w:pPr>
        <w:spacing w:after="56"/>
      </w:pPr>
      <w:r>
        <w:t>OpenAI Agents SDK is a developer-focused agent execution framework designed for model access, tool use, agent execution patterns, and developer primitives. It is relevant to RCCS-T, RCCS-M, and ALCS because it provides execution capabilities that can support agent workflows, tool actions, observability, and MRO-adjacent lifecycle analysis, while enterprise governance coverage remains outside SDK primitives.</w:t>
      </w:r>
    </w:p>
    <w:p>
      <w:pPr>
        <w:spacing w:after="56"/>
      </w:pPr>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Pr>
        <w:spacing w:after="56"/>
      </w:pPr>
      <w:r>
        <w:t>What this paper evaluates:</w:t>
      </w:r>
    </w:p>
    <w:p>
      <w:pPr>
        <w:pStyle w:val="ListBullet"/>
        <w:spacing w:after="56"/>
      </w:pPr>
      <w:r>
        <w:t>Whether OpenAI Agents SDK provides governance primitives for the RCCS-T/RCCS-M shared dimension family</w:t>
      </w:r>
    </w:p>
    <w:p>
      <w:pPr>
        <w:pStyle w:val="ListBullet"/>
        <w:spacing w:after="56"/>
      </w:pPr>
      <w:r>
        <w:t>Whether OpenAI Agents SDK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OpenAI Agents SDK is not evaluated for product quality, market leadership, or procurement suitability.</w:t>
      </w:r>
    </w:p>
    <w:p>
      <w:pPr>
        <w:pStyle w:val="ListBullet"/>
        <w:spacing w:after="56"/>
      </w:pPr>
      <w:r>
        <w:t>RCCS-T, RCCS-M, and ALCS posture requires validation: execution framework features do not automatically provide enterprise governance, audit readiness, accepted outcome, or lifecycle responsibility semantics.</w:t>
      </w:r>
    </w:p>
    <w:p>
      <w:pPr>
        <w:pStyle w:val="ListBullet"/>
        <w:spacing w:after="56"/>
      </w:pPr>
      <w:r>
        <w:t>Tool calling and agent execution are not identical to tool-action liability boundary.</w:t>
      </w:r>
    </w:p>
    <w:p>
      <w:pPr>
        <w:pStyle w:val="ListBullet"/>
        <w:spacing w:after="56"/>
      </w:pPr>
      <w:r>
        <w:t>Developer primitives are not identical to enterprise lifecycle governance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execution framework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Tool calling and tool use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Model access and APIs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Developer primitives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Source references:</w:t>
      </w:r>
    </w:p>
    <w:p>
      <w:pPr>
        <w:pStyle w:val="ListBullet"/>
        <w:spacing w:after="56"/>
      </w:pPr>
      <w:r>
        <w:t>[OPENAI-AGENTS-SDK-DOCS]</w:t>
      </w:r>
    </w:p>
    <w:p>
      <w:pPr>
        <w:pStyle w:val="ListBullet"/>
        <w:spacing w:after="56"/>
      </w:pPr>
      <w:r>
        <w:t>[OPENAI-TOOLS-DOCS]</w:t>
      </w:r>
    </w:p>
    <w:p>
      <w:pPr>
        <w:pStyle w:val="Heading3"/>
      </w:pPr>
      <w:r>
        <w:t>RCCS Mapping Summary</w:t>
      </w:r>
    </w:p>
    <w:p>
      <w:pPr>
        <w:keepNext/>
      </w:pPr>
      <w:r>
        <w:rPr>
          <w:b/>
          <w:sz w:val="16"/>
        </w:rPr>
        <w:t>Table T-12-14: OpenAI Agents SDK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Developer docs exist; governance documentation requires additional layer</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transparency requires additional governance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API security exists; enterprise security depends on deployment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governance monitoring requires additional layer</w:t>
            </w:r>
          </w:p>
        </w:tc>
      </w:tr>
    </w:tbl>
    <w:p>
      <w:pPr>
        <w:pStyle w:val="Heading3"/>
      </w:pPr>
      <w:r>
        <w:t>ALCS Mapping Summary</w:t>
      </w:r>
    </w:p>
    <w:p>
      <w:pPr>
        <w:keepNext/>
      </w:pPr>
      <w:r>
        <w:rPr>
          <w:b/>
          <w:sz w:val="16"/>
        </w:rPr>
        <w:t>Table T-12-15: OpenAI Agents SDK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provides developer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 calling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vendor/model/runtime substitution conformance requires additional governance layer</w:t>
            </w:r>
          </w:p>
        </w:tc>
      </w:tr>
    </w:tbl>
    <w:p>
      <w:pPr>
        <w:pStyle w:val="Heading3"/>
      </w:pPr>
      <w:r>
        <w:t>Main Lifecycle Gaps</w:t>
      </w:r>
    </w:p>
    <w:p>
      <w:pPr>
        <w:pStyle w:val="ListNumber"/>
        <w:spacing w:after="56"/>
      </w:pPr>
      <w:r>
        <w:t>Execution Framework vs Governance Layer: Whether OpenAI Agents SDK execution primitives extend to lifecycle responsibility governance requires validation.</w:t>
      </w:r>
    </w:p>
    <w:p>
      <w:pPr>
        <w:pStyle w:val="ListNumber"/>
        <w:spacing w:after="56"/>
      </w:pPr>
      <w:r>
        <w:t>Tool Calling vs Tool-Action Liability: Whether OpenAI Agents SDK tool calling maps to tool-action liability boundary requires validation.</w:t>
      </w:r>
    </w:p>
    <w:p>
      <w:pPr>
        <w:pStyle w:val="ListNumber"/>
        <w:spacing w:after="56"/>
      </w:pPr>
      <w:r>
        <w:t>Developer Primitives vs Enterprise Governance: Whether OpenAI Agents SDK developer primitives extend to enterprise governance objects requires validation.</w:t>
      </w:r>
    </w:p>
    <w:p>
      <w:pPr>
        <w:pStyle w:val="ListNumber"/>
        <w:spacing w:after="56"/>
      </w:pPr>
      <w:r>
        <w:t>Delegated Authority Boundary: Whether OpenAI Agents SDK defines and enforces authority boundaries for agent actions requires validation.</w:t>
      </w:r>
    </w:p>
    <w:p>
      <w:pPr>
        <w:pStyle w:val="ListNumber"/>
        <w:spacing w:after="56"/>
      </w:pPr>
      <w:r>
        <w:t>Accepted Outcome Compliance: Whether OpenAI Agents SDK separates execution completion from outcome acceptance requires validation.</w:t>
      </w:r>
    </w:p>
    <w:p>
      <w:pPr>
        <w:pStyle w:val="ListNumber"/>
        <w:spacing w:after="56"/>
      </w:pPr>
      <w:r>
        <w:t>Human Accountability Mapping: Whether OpenAI Agents SDK maps agent actions to human accountability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Pr>
        <w:pStyle w:val="Heading2"/>
      </w:pPr>
      <w:r>
        <w:t>12.10 CrewAI — Multi-Agent Collaboration and Role-Based Orchestration Framework</w:t>
      </w:r>
    </w:p>
    <w:p>
      <w:pPr>
        <w:pStyle w:val="Heading3"/>
      </w:pPr>
      <w:r>
        <w:t>System Positioning</w:t>
      </w:r>
    </w:p>
    <w:p>
      <w:pPr>
        <w:spacing w:after="56"/>
      </w:pPr>
      <w:r>
        <w:t>CrewAI is a multi-agent collaboration and role-based orchestration framework designed for agent role composition, task orchestration, and multi-agent workflows. It is relevant to RCCS-T, RCCS-M, and ALCS because it provides role-based orchestration capabilities that can support agent collaboration, task delegation, workflow management, and MRO-adjacent lifecycle analysis.</w:t>
      </w:r>
    </w:p>
    <w:p>
      <w:pPr>
        <w:spacing w:after="56"/>
      </w:pPr>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Pr>
        <w:spacing w:after="56"/>
      </w:pPr>
      <w:r>
        <w:t>What this paper evaluates:</w:t>
      </w:r>
    </w:p>
    <w:p>
      <w:pPr>
        <w:pStyle w:val="ListBullet"/>
        <w:spacing w:after="56"/>
      </w:pPr>
      <w:r>
        <w:t>Whether CrewAI provides governance primitives for the RCCS-T/RCCS-M shared dimension family</w:t>
      </w:r>
    </w:p>
    <w:p>
      <w:pPr>
        <w:pStyle w:val="ListBullet"/>
        <w:spacing w:after="56"/>
      </w:pPr>
      <w:r>
        <w:t>Whether CrewAI provides lifecycle responsibility objects for ALCS dimensions</w:t>
      </w:r>
    </w:p>
    <w:p>
      <w:pPr>
        <w:pStyle w:val="ListBullet"/>
        <w:spacing w:after="56"/>
      </w:pPr>
      <w:r>
        <w:t>Whether public documentation supports RCCS-T, RCCS-M, and ALCS mapping</w:t>
      </w:r>
    </w:p>
    <w:p>
      <w:pPr>
        <w:spacing w:after="56"/>
      </w:pPr>
      <w:r>
        <w:t>What this paper does not infer:</w:t>
      </w:r>
    </w:p>
    <w:p>
      <w:pPr>
        <w:pStyle w:val="ListBullet"/>
        <w:spacing w:after="56"/>
      </w:pPr>
      <w:r>
        <w:t>CrewAI is not evaluated for product quality, market leadership, or procurement suitability.</w:t>
      </w:r>
    </w:p>
    <w:p>
      <w:pPr>
        <w:pStyle w:val="ListBullet"/>
        <w:spacing w:after="56"/>
      </w:pPr>
      <w:r>
        <w:t>RCCS-T, RCCS-M, and ALCS posture requires validation: agent role labels and task orchestration do not automatically provide governance responsibility semantics.</w:t>
      </w:r>
    </w:p>
    <w:p>
      <w:pPr>
        <w:pStyle w:val="ListBullet"/>
        <w:spacing w:after="56"/>
      </w:pPr>
      <w:r>
        <w:t>Agent role labels are not identical to human accountability roles.</w:t>
      </w:r>
    </w:p>
    <w:p>
      <w:pPr>
        <w:pStyle w:val="ListBullet"/>
        <w:spacing w:after="56"/>
      </w:pPr>
      <w:r>
        <w:t>Role-based orchestration is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Multi-agent collaboration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Role-based orchestration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Task assignment and delegation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 role composition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Source references:</w:t>
      </w:r>
    </w:p>
    <w:p>
      <w:pPr>
        <w:pStyle w:val="ListBullet"/>
        <w:spacing w:after="56"/>
      </w:pPr>
      <w:r>
        <w:t>[CREWAI-DOCS]</w:t>
      </w:r>
    </w:p>
    <w:p>
      <w:pPr>
        <w:pStyle w:val="ListBullet"/>
        <w:spacing w:after="56"/>
      </w:pPr>
      <w:r>
        <w:t>[CREWAI-GITHUB]</w:t>
      </w:r>
    </w:p>
    <w:p>
      <w:pPr>
        <w:pStyle w:val="Heading3"/>
      </w:pPr>
      <w:r>
        <w:t>RCCS Mapping Summary</w:t>
      </w:r>
    </w:p>
    <w:p>
      <w:pPr>
        <w:keepNext/>
      </w:pPr>
      <w:r>
        <w:rPr>
          <w:b/>
          <w:sz w:val="16"/>
        </w:rPr>
        <w:t>Table T-12-16: CrewAI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 and task definitions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Role-based orchestration provides some transparency; governance transparency requires additional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roles exist;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governance monitoring requires additional layer</w:t>
            </w:r>
          </w:p>
        </w:tc>
      </w:tr>
    </w:tbl>
    <w:p>
      <w:pPr>
        <w:pStyle w:val="Heading3"/>
      </w:pPr>
      <w:r>
        <w:t>ALCS Mapping Summary</w:t>
      </w:r>
    </w:p>
    <w:p>
      <w:pPr>
        <w:keepNext/>
      </w:pPr>
      <w:r>
        <w:rPr>
          <w:b/>
          <w:sz w:val="16"/>
        </w:rPr>
        <w:t>Table T-12-17: CrewAI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 labels exist; human-role-to-MAS mapping, delegated authority boundary, agent role vs human role distinction, accepted outcome compliance require additional governance semantics; role labels ≠ accountability roles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Task delegation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Agent Role vs Human Role Distinction: Whether CrewAI agent role labels map to human accountability roles requires validation.</w:t>
      </w:r>
    </w:p>
    <w:p>
      <w:pPr>
        <w:pStyle w:val="ListNumber"/>
        <w:spacing w:after="56"/>
      </w:pPr>
      <w:r>
        <w:t>Human-Role-to-MAS Responsibility Mapping: Whether CrewAI role-based orchestration maps to human-role-to-MAS responsibility semantics requires validation.</w:t>
      </w:r>
    </w:p>
    <w:p>
      <w:pPr>
        <w:pStyle w:val="ListNumber"/>
        <w:spacing w:after="56"/>
      </w:pPr>
      <w:r>
        <w:t>Delegated Authority Boundary: Whether CrewAI defines and enforces authority boundaries for agent actions requires validation.</w:t>
      </w:r>
    </w:p>
    <w:p>
      <w:pPr>
        <w:pStyle w:val="ListNumber"/>
        <w:spacing w:after="56"/>
      </w:pPr>
      <w:r>
        <w:t>Accepted Outcome Compliance: Whether CrewAI separates execution completion from outcome acceptance requires validation.</w:t>
      </w:r>
    </w:p>
    <w:p>
      <w:pPr>
        <w:pStyle w:val="ListNumber"/>
        <w:spacing w:after="56"/>
      </w:pPr>
      <w:r>
        <w:t>Evidence Partitioning: Whether CrewAI partitions evidence by agent, tool, authority, and privacy boundaries requires validation.</w:t>
      </w:r>
    </w:p>
    <w:p>
      <w:pPr>
        <w:pStyle w:val="ListNumber"/>
        <w:spacing w:after="56"/>
      </w:pPr>
      <w:r>
        <w:t>Responsibility Transfer Across Agents: Whether CrewAI tracks responsibility transfer during agent handoffs requires validation.</w:t>
      </w:r>
    </w:p>
    <w:p>
      <w:pPr>
        <w:pStyle w:val="Heading3"/>
      </w:pPr>
      <w:r>
        <w:t>Boundary Note</w:t>
      </w:r>
    </w:p>
    <w:p>
      <w:pPr>
        <w:spacing w:after="56"/>
      </w:pPr>
      <w:r>
        <w:t>This section maps public evidence to RCCS-T/RCCS-M/ALCS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Pr>
        <w:pStyle w:val="Heading2"/>
      </w:pPr>
      <w:r>
        <w:t>12.11 Chapter 12 Synthesis</w:t>
      </w:r>
    </w:p>
    <w:p>
      <w:pPr>
        <w:spacing w:after="56"/>
      </w:pPr>
      <w:r>
        <w:t>This chapter evaluated eight systems against RCCS-T, RCCS-M, and ALCS dimensions using public evidence. The purpose was not to rank systems as best or worst, but to make visible which systems provide which capabilities, where evidence is strong, where evidence is weak, and where lifecycle gaps remain.</w:t>
      </w:r>
    </w:p>
    <w:p>
      <w:pPr>
        <w:pStyle w:val="Heading3"/>
      </w:pPr>
      <w:r>
        <w:t>Synthesis Themes</w:t>
      </w:r>
    </w:p>
    <w:p>
      <w:pPr>
        <w:spacing w:after="56"/>
      </w:pPr>
      <w:r>
        <w:t>1. Enterprise AI governance platforms tend to show stronger RCCS posture.</w:t>
      </w:r>
    </w:p>
    <w:p>
      <w:pPr>
        <w:spacing w:after="56"/>
      </w:pPr>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Pr>
        <w:spacing w:after="56"/>
      </w:pPr>
      <w:r>
        <w:t>2. Cloud AI platforms tend to show moderate-to-strong RCCS-T posture, mixed RCCS-M posture, and partial-to-moderate ALCS posture depending on agent lifecycle object exposure.</w:t>
      </w:r>
    </w:p>
    <w:p>
      <w:pPr>
        <w:spacing w:after="56"/>
      </w:pPr>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RCCS-T posture for cloud AI management, model governance, safety, evaluation, and monitoring. Their RCCS-M posture is more mixed because MRO-adjusted coverage depends on whether platform capabilities expose authority, evidence, accepted-outcome, privacy, substitution, and closure objects. ALCS posture is partial-to-moderate and depends on whether the platform exposes lifecycle responsibility objects for authority boundaries, accepted outcomes, MAS evidence partitioning, and responsibility transfer.</w:t>
      </w:r>
    </w:p>
    <w:p>
      <w:pPr>
        <w:spacing w:after="56"/>
      </w:pPr>
      <w:r>
        <w:t>3. Agent orchestration frameworks tend to show useful execution and observability primitives but require additional lifecycle governance semantics.</w:t>
      </w:r>
    </w:p>
    <w:p>
      <w:pPr>
        <w:spacing w:after="56"/>
      </w:pPr>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Pr>
        <w:spacing w:after="56"/>
      </w:pPr>
      <w:r>
        <w:t>4. Developer agent SDKs tend to show useful execution primitives but require additional enterprise governance layer.</w:t>
      </w:r>
    </w:p>
    <w:p>
      <w:pPr>
        <w:spacing w:after="56"/>
      </w:pPr>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Pr>
        <w:spacing w:after="56"/>
      </w:pPr>
      <w:r>
        <w:t>5. Lifecycle protocol paths tend to show stronger RCCS-M and ALCS semantics but require implementation, adoption, and enterprise integration validation.</w:t>
      </w:r>
    </w:p>
    <w:p>
      <w:pPr>
        <w:spacing w:after="56"/>
      </w:pPr>
      <w:r>
        <w:t>Systems like MPLP are designed to expose lifecycle responsibility objects as first-class protocol primitives. They provide protocol-level semantics for human-role-to-MAS mapping, delegated authority boundaries, accepted outcome records, responsibility transfer, evidence partitioning, privacy lifecycle mapping, and vendor substitution conformance. This makes them relevant for systems that require lifecycle responsibility semantics across agents, tools, vendors, and organizational boundaries. However, MPLP implementation maturity, enterprise integration, vendor adoption, operational deployment evidence, and regulator familiarity require validation.</w:t>
      </w:r>
    </w:p>
    <w:p>
      <w:pPr>
        <w:spacing w:after="56"/>
      </w:pPr>
      <w:r>
        <w:t>6. The field gap is not lack of AI tools. The field gap is lack of explicit lifecycle responsibility objects.</w:t>
      </w:r>
    </w:p>
    <w:p>
      <w:pPr>
        <w:spacing w:after="56"/>
      </w:pPr>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Pr>
        <w:spacing w:after="56"/>
      </w:pPr>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Pr>
        <w:spacing w:after="56"/>
      </w:pPr>
      <w:r>
        <w:t>The comparison supports the core thesis: agentic compliance analysis must include lifecycle responsibility, not only model compliance.</w:t>
      </w:r>
    </w:p>
    <w:p>
      <w:pPr>
        <w:pStyle w:val="Heading3"/>
      </w:pPr>
      <w:r>
        <w:t>Synthesis Matrix</w:t>
      </w:r>
    </w:p>
    <w:p>
      <w:pPr>
        <w:spacing w:after="56"/>
      </w:pPr>
      <w:r>
        <w:t>The following table synthesizes the eight system mappings by system category.</w:t>
      </w:r>
    </w:p>
    <w:p>
      <w:pPr>
        <w:keepNext/>
      </w:pPr>
      <w:r>
        <w:rPr>
          <w:b/>
          <w:sz w:val="16"/>
        </w:rPr>
        <w:t>Table T-12-18: Chapter 12 Synthesis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System Category</w:t>
            </w:r>
          </w:p>
        </w:tc>
        <w:tc>
          <w:tcPr>
            <w:tcW w:type="dxa" w:w="2045"/>
          </w:tcPr>
          <w:p>
            <w:pPr>
              <w:spacing w:after="0"/>
            </w:pPr>
            <w:r>
              <w:rPr>
                <w:rFonts w:ascii="Arial" w:hAnsi="Arial"/>
                <w:b/>
                <w:sz w:val="14"/>
              </w:rPr>
              <w:t>Typical RCCS-T Strength</w:t>
            </w:r>
          </w:p>
        </w:tc>
        <w:tc>
          <w:tcPr>
            <w:tcW w:type="dxa" w:w="2045"/>
          </w:tcPr>
          <w:p>
            <w:pPr>
              <w:spacing w:after="0"/>
            </w:pPr>
            <w:r>
              <w:rPr>
                <w:rFonts w:ascii="Arial" w:hAnsi="Arial"/>
                <w:b/>
                <w:sz w:val="14"/>
              </w:rPr>
              <w:t>Typical RCCS-M / ALCS Posture</w:t>
            </w:r>
          </w:p>
        </w:tc>
        <w:tc>
          <w:tcPr>
            <w:tcW w:type="dxa" w:w="2045"/>
          </w:tcPr>
          <w:p>
            <w:pPr>
              <w:spacing w:after="0"/>
            </w:pPr>
            <w:r>
              <w:rPr>
                <w:rFonts w:ascii="Arial" w:hAnsi="Arial"/>
                <w:b/>
                <w:sz w:val="14"/>
              </w:rPr>
              <w:t>Typical Lifecycle Gap</w:t>
            </w:r>
          </w:p>
        </w:tc>
        <w:tc>
          <w:tcPr>
            <w:tcW w:type="dxa" w:w="2045"/>
          </w:tcPr>
          <w:p>
            <w:pPr>
              <w:spacing w:after="0"/>
            </w:pPr>
            <w:r>
              <w:rPr>
                <w:rFonts w:ascii="Arial" w:hAnsi="Arial"/>
                <w:b/>
                <w:sz w:val="14"/>
              </w:rPr>
              <w:t>Interpretation</w:t>
            </w:r>
          </w:p>
        </w:tc>
      </w:tr>
      <w:tr>
        <w:tc>
          <w:tcPr>
            <w:tcW w:type="dxa" w:w="2045"/>
          </w:tcPr>
          <w:p>
            <w:pPr>
              <w:spacing w:after="0"/>
            </w:pPr>
            <w:r>
              <w:rPr>
                <w:rFonts w:ascii="Arial" w:hAnsi="Arial"/>
                <w:b w:val="0"/>
                <w:sz w:val="14"/>
              </w:rPr>
              <w:t>Lifecycle protocol path (MPLP)</w:t>
            </w:r>
          </w:p>
        </w:tc>
        <w:tc>
          <w:tcPr>
            <w:tcW w:type="dxa" w:w="2045"/>
          </w:tcPr>
          <w:p>
            <w:pPr>
              <w:spacing w:after="0"/>
            </w:pPr>
            <w:r>
              <w:rPr>
                <w:rFonts w:ascii="Arial" w:hAnsi="Arial"/>
                <w:b w:val="0"/>
                <w:sz w:val="14"/>
              </w:rPr>
              <w:t>Limited to partial product-platform coverage</w:t>
            </w:r>
          </w:p>
        </w:tc>
        <w:tc>
          <w:tcPr>
            <w:tcW w:type="dxa" w:w="2045"/>
          </w:tcPr>
          <w:p>
            <w:pPr>
              <w:spacing w:after="0"/>
            </w:pPr>
            <w:r>
              <w:rPr>
                <w:rFonts w:ascii="Arial" w:hAnsi="Arial"/>
                <w:b w:val="0"/>
                <w:sz w:val="14"/>
              </w:rPr>
              <w:t>Strong RCCS-M and ALCS semantic posture for authority boundaries, accepted outcome records, responsibility transfer, evidence partitioning, substitution conformance</w:t>
            </w:r>
          </w:p>
        </w:tc>
        <w:tc>
          <w:tcPr>
            <w:tcW w:type="dxa" w:w="2045"/>
          </w:tcPr>
          <w:p>
            <w:pPr>
              <w:spacing w:after="0"/>
            </w:pPr>
            <w:r>
              <w:rPr>
                <w:rFonts w:ascii="Arial" w:hAnsi="Arial"/>
                <w:b w:val="0"/>
                <w:sz w:val="14"/>
              </w:rPr>
              <w:t>Implementation maturity, enterprise integration, vendor adoption, operational deployment evidence, regulator familiarity</w:t>
            </w:r>
          </w:p>
        </w:tc>
        <w:tc>
          <w:tcPr>
            <w:tcW w:type="dxa" w:w="2045"/>
          </w:tcPr>
          <w:p>
            <w:pPr>
              <w:spacing w:after="0"/>
            </w:pPr>
            <w:r>
              <w:rPr>
                <w:rFonts w:ascii="Arial" w:hAnsi="Arial"/>
                <w:b w:val="0"/>
                <w:sz w:val="14"/>
              </w:rPr>
              <w:t>Relevant to MRO-adjusted lifecycle responsibility semantics; implementation, adoption, and enterprise integration require validation</w:t>
            </w:r>
          </w:p>
        </w:tc>
      </w:tr>
      <w:tr>
        <w:tc>
          <w:tcPr>
            <w:tcW w:type="dxa" w:w="2045"/>
          </w:tcPr>
          <w:p>
            <w:pPr>
              <w:spacing w:after="0"/>
            </w:pPr>
            <w:r>
              <w:rPr>
                <w:rFonts w:ascii="Arial" w:hAnsi="Arial"/>
                <w:b w:val="0"/>
                <w:sz w:val="14"/>
              </w:rPr>
              <w:t>Enterprise AI governance platform (IBM watsonx.governance)</w:t>
            </w:r>
          </w:p>
        </w:tc>
        <w:tc>
          <w:tcPr>
            <w:tcW w:type="dxa" w:w="2045"/>
          </w:tcPr>
          <w:p>
            <w:pPr>
              <w:spacing w:after="0"/>
            </w:pPr>
            <w:r>
              <w:rPr>
                <w:rFonts w:ascii="Arial" w:hAnsi="Arial"/>
                <w:b w:val="0"/>
                <w:sz w:val="14"/>
              </w:rPr>
              <w:t>Strong RCCS-T posture for risk management, data governance, documentation, record-keeping, transparency, human oversight, security, accountability, monitoring</w:t>
            </w:r>
          </w:p>
        </w:tc>
        <w:tc>
          <w:tcPr>
            <w:tcW w:type="dxa" w:w="2045"/>
          </w:tcPr>
          <w:p>
            <w:pPr>
              <w:spacing w:after="0"/>
            </w:pPr>
            <w:r>
              <w:rPr>
                <w:rFonts w:ascii="Arial" w:hAnsi="Arial"/>
                <w:b w:val="0"/>
                <w:sz w:val="14"/>
              </w:rPr>
              <w:t>Partial RCCS-M / ALCS where lifecycle responsibility objects are not explicit</w:t>
            </w:r>
          </w:p>
        </w:tc>
        <w:tc>
          <w:tcPr>
            <w:tcW w:type="dxa" w:w="2045"/>
          </w:tcPr>
          <w:p>
            <w:pPr>
              <w:spacing w:after="0"/>
            </w:pPr>
            <w:r>
              <w:rPr>
                <w:rFonts w:ascii="Arial" w:hAnsi="Arial"/>
                <w:b w:val="0"/>
                <w:sz w:val="14"/>
              </w:rPr>
              <w:t>Multi-agent responsibility transfer, accepted outcome governance, tool-action liability boundary, MAS evidence partitioning, cross-project reuse controls</w:t>
            </w:r>
          </w:p>
        </w:tc>
        <w:tc>
          <w:tcPr>
            <w:tcW w:type="dxa" w:w="2045"/>
          </w:tcPr>
          <w:p>
            <w:pPr>
              <w:spacing w:after="0"/>
            </w:pPr>
            <w:r>
              <w:rPr>
                <w:rFonts w:ascii="Arial" w:hAnsi="Arial"/>
                <w:b w:val="0"/>
                <w:sz w:val="14"/>
              </w:rPr>
              <w:t>Designed for enterprise AI governance; agentic lifecycle objects require validation</w:t>
            </w:r>
          </w:p>
        </w:tc>
      </w:tr>
      <w:tr>
        <w:tc>
          <w:tcPr>
            <w:tcW w:type="dxa" w:w="2045"/>
          </w:tcPr>
          <w:p>
            <w:pPr>
              <w:spacing w:after="0"/>
            </w:pPr>
            <w:r>
              <w:rPr>
                <w:rFonts w:ascii="Arial" w:hAnsi="Arial"/>
                <w:b w:val="0"/>
                <w:sz w:val="14"/>
              </w:rPr>
              <w:t>Cloud AI platform (Microsoft Azure AI Foundry, AWS Bedrock / Guardrails / AgentCore, Google Vertex AI / ADK / Model Armor)</w:t>
            </w:r>
          </w:p>
        </w:tc>
        <w:tc>
          <w:tcPr>
            <w:tcW w:type="dxa" w:w="2045"/>
          </w:tcPr>
          <w:p>
            <w:pPr>
              <w:spacing w:after="0"/>
            </w:pPr>
            <w:r>
              <w:rPr>
                <w:rFonts w:ascii="Arial" w:hAnsi="Arial"/>
                <w:b w:val="0"/>
                <w:sz w:val="14"/>
              </w:rPr>
              <w:t>Moderate-to-strong RCCS-T posture for cloud AI management, model governance, safety, evaluation, monitoring</w:t>
            </w:r>
          </w:p>
        </w:tc>
        <w:tc>
          <w:tcPr>
            <w:tcW w:type="dxa" w:w="2045"/>
          </w:tcPr>
          <w:p>
            <w:pPr>
              <w:spacing w:after="0"/>
            </w:pPr>
            <w:r>
              <w:rPr>
                <w:rFonts w:ascii="Arial" w:hAnsi="Arial"/>
                <w:b w:val="0"/>
                <w:sz w:val="14"/>
              </w:rPr>
              <w:t>Partial-to-moderate RCCS-M / ALCS depending on agent lifecycle object exposure</w:t>
            </w:r>
          </w:p>
        </w:tc>
        <w:tc>
          <w:tcPr>
            <w:tcW w:type="dxa" w:w="2045"/>
          </w:tcPr>
          <w:p>
            <w:pPr>
              <w:spacing w:after="0"/>
            </w:pPr>
            <w:r>
              <w:rPr>
                <w:rFonts w:ascii="Arial" w:hAnsi="Arial"/>
                <w:b w:val="0"/>
                <w:sz w:val="14"/>
              </w:rPr>
              <w:t>Accepted outcome compliance, delegated authority boundary, cross-agent responsibility transfer, evidence partitioning, vendor/model/runtime substitution conformance</w:t>
            </w:r>
          </w:p>
        </w:tc>
        <w:tc>
          <w:tcPr>
            <w:tcW w:type="dxa" w:w="2045"/>
          </w:tcPr>
          <w:p>
            <w:pPr>
              <w:spacing w:after="0"/>
            </w:pPr>
            <w:r>
              <w:rPr>
                <w:rFonts w:ascii="Arial" w:hAnsi="Arial"/>
                <w:b w:val="0"/>
                <w:sz w:val="14"/>
              </w:rPr>
              <w:t>Designed for cloud AI platform capabilities; lifecycle responsibility objects require validation; responsible AI tooling does not equal lifecycle responsibility objects</w:t>
            </w:r>
          </w:p>
        </w:tc>
      </w:tr>
      <w:tr>
        <w:tc>
          <w:tcPr>
            <w:tcW w:type="dxa" w:w="2045"/>
          </w:tcPr>
          <w:p>
            <w:pPr>
              <w:spacing w:after="0"/>
            </w:pPr>
            <w:r>
              <w:rPr>
                <w:rFonts w:ascii="Arial" w:hAnsi="Arial"/>
                <w:b w:val="0"/>
                <w:sz w:val="14"/>
              </w:rPr>
              <w:t>Agent orchestration / observability framework (LangGraph / LangSmith)</w:t>
            </w:r>
          </w:p>
        </w:tc>
        <w:tc>
          <w:tcPr>
            <w:tcW w:type="dxa" w:w="2045"/>
          </w:tcPr>
          <w:p>
            <w:pPr>
              <w:spacing w:after="0"/>
            </w:pPr>
            <w:r>
              <w:rPr>
                <w:rFonts w:ascii="Arial" w:hAnsi="Arial"/>
                <w:b w:val="0"/>
                <w:sz w:val="14"/>
              </w:rPr>
              <w:t>Moderate RCCS-T posture for documentation, record-keeping, transparency, monitoring</w:t>
            </w:r>
          </w:p>
        </w:tc>
        <w:tc>
          <w:tcPr>
            <w:tcW w:type="dxa" w:w="2045"/>
          </w:tcPr>
          <w:p>
            <w:pPr>
              <w:spacing w:after="0"/>
            </w:pPr>
            <w:r>
              <w:rPr>
                <w:rFonts w:ascii="Arial" w:hAnsi="Arial"/>
                <w:b w:val="0"/>
                <w:sz w:val="14"/>
              </w:rPr>
              <w:t>Moderate RCCS-M / ALCS adjacency through graphs, state, checkpoints, traces, observability</w:t>
            </w:r>
          </w:p>
        </w:tc>
        <w:tc>
          <w:tcPr>
            <w:tcW w:type="dxa" w:w="2045"/>
          </w:tcPr>
          <w:p>
            <w:pPr>
              <w:spacing w:after="0"/>
            </w:pPr>
            <w:r>
              <w:rPr>
                <w:rFonts w:ascii="Arial" w:hAnsi="Arial"/>
                <w:b w:val="0"/>
                <w:sz w:val="14"/>
              </w:rPr>
              <w:t>Human-role-to-MAS responsibility mapping, delegated authority boundary, accepted outcome compliance, tool-action liability, responsibility transfer, MAS evidence partitioning</w:t>
            </w:r>
          </w:p>
        </w:tc>
        <w:tc>
          <w:tcPr>
            <w:tcW w:type="dxa" w:w="2045"/>
          </w:tcPr>
          <w:p>
            <w:pPr>
              <w:spacing w:after="0"/>
            </w:pPr>
            <w:r>
              <w:rPr>
                <w:rFonts w:ascii="Arial" w:hAnsi="Arial"/>
                <w:b w:val="0"/>
                <w:sz w:val="14"/>
              </w:rPr>
              <w:t>Designed for agent orchestration and observability; lifecycle responsibility semantics require additional governance layer; orchestration does not equal governance</w:t>
            </w:r>
          </w:p>
        </w:tc>
      </w:tr>
      <w:tr>
        <w:tc>
          <w:tcPr>
            <w:tcW w:type="dxa" w:w="2045"/>
          </w:tcPr>
          <w:p>
            <w:pPr>
              <w:spacing w:after="0"/>
            </w:pPr>
            <w:r>
              <w:rPr>
                <w:rFonts w:ascii="Arial" w:hAnsi="Arial"/>
                <w:b w:val="0"/>
                <w:sz w:val="14"/>
              </w:rPr>
              <w:t>Developer agent SDK (OpenAI Agents SDK)</w:t>
            </w:r>
          </w:p>
        </w:tc>
        <w:tc>
          <w:tcPr>
            <w:tcW w:type="dxa" w:w="2045"/>
          </w:tcPr>
          <w:p>
            <w:pPr>
              <w:spacing w:after="0"/>
            </w:pPr>
            <w:r>
              <w:rPr>
                <w:rFonts w:ascii="Arial" w:hAnsi="Arial"/>
                <w:b w:val="0"/>
                <w:sz w:val="14"/>
              </w:rPr>
              <w:t>Weak-to-moderate RCCS-T posture beyond SDK primitives</w:t>
            </w:r>
          </w:p>
        </w:tc>
        <w:tc>
          <w:tcPr>
            <w:tcW w:type="dxa" w:w="2045"/>
          </w:tcPr>
          <w:p>
            <w:pPr>
              <w:spacing w:after="0"/>
            </w:pPr>
            <w:r>
              <w:rPr>
                <w:rFonts w:ascii="Arial" w:hAnsi="Arial"/>
                <w:b w:val="0"/>
                <w:sz w:val="14"/>
              </w:rPr>
              <w:t>Partial RCCS-M / ALCS where SDK primitives support agents, tools, handoffs, guardrails, tracing, or sessions</w:t>
            </w:r>
          </w:p>
        </w:tc>
        <w:tc>
          <w:tcPr>
            <w:tcW w:type="dxa" w:w="2045"/>
          </w:tcPr>
          <w:p>
            <w:pPr>
              <w:spacing w:after="0"/>
            </w:pPr>
            <w:r>
              <w:rPr>
                <w:rFonts w:ascii="Arial" w:hAnsi="Arial"/>
                <w:b w:val="0"/>
                <w:sz w:val="14"/>
              </w:rPr>
              <w:t>Delegated authority boundary, accepted outcome compliance, tool-action liability, MAS evidence partitioning, human accountability mapping, dispute/remediation closure</w:t>
            </w:r>
          </w:p>
        </w:tc>
        <w:tc>
          <w:tcPr>
            <w:tcW w:type="dxa" w:w="2045"/>
          </w:tcPr>
          <w:p>
            <w:pPr>
              <w:spacing w:after="0"/>
            </w:pPr>
            <w:r>
              <w:rPr>
                <w:rFonts w:ascii="Arial" w:hAnsi="Arial"/>
                <w:b w:val="0"/>
                <w:sz w:val="14"/>
              </w:rPr>
              <w:t>Designed for developer execution primitives; enterprise governance and lifecycle responsibility semantics require additional layer; execution framework does not equal governance layer</w:t>
            </w:r>
          </w:p>
        </w:tc>
      </w:tr>
      <w:tr>
        <w:tc>
          <w:tcPr>
            <w:tcW w:type="dxa" w:w="2045"/>
          </w:tcPr>
          <w:p>
            <w:pPr>
              <w:spacing w:after="0"/>
            </w:pPr>
            <w:r>
              <w:rPr>
                <w:rFonts w:ascii="Arial" w:hAnsi="Arial"/>
                <w:b w:val="0"/>
                <w:sz w:val="14"/>
              </w:rPr>
              <w:t>Multi-agent collaboration framework (CrewAI)</w:t>
            </w:r>
          </w:p>
        </w:tc>
        <w:tc>
          <w:tcPr>
            <w:tcW w:type="dxa" w:w="2045"/>
          </w:tcPr>
          <w:p>
            <w:pPr>
              <w:spacing w:after="0"/>
            </w:pPr>
            <w:r>
              <w:rPr>
                <w:rFonts w:ascii="Arial" w:hAnsi="Arial"/>
                <w:b w:val="0"/>
                <w:sz w:val="14"/>
              </w:rPr>
              <w:t>Weak-to-moderate RCCS-T posture beyond orchestration primitives</w:t>
            </w:r>
          </w:p>
        </w:tc>
        <w:tc>
          <w:tcPr>
            <w:tcW w:type="dxa" w:w="2045"/>
          </w:tcPr>
          <w:p>
            <w:pPr>
              <w:spacing w:after="0"/>
            </w:pPr>
            <w:r>
              <w:rPr>
                <w:rFonts w:ascii="Arial" w:hAnsi="Arial"/>
                <w:b w:val="0"/>
                <w:sz w:val="14"/>
              </w:rPr>
              <w:t>Partial RCCS-M / ALCS where roles, tasks, and collaboration patterns support lifecycle analysis</w:t>
            </w:r>
          </w:p>
        </w:tc>
        <w:tc>
          <w:tcPr>
            <w:tcW w:type="dxa" w:w="2045"/>
          </w:tcPr>
          <w:p>
            <w:pPr>
              <w:spacing w:after="0"/>
            </w:pPr>
            <w:r>
              <w:rPr>
                <w:rFonts w:ascii="Arial" w:hAnsi="Arial"/>
                <w:b w:val="0"/>
                <w:sz w:val="14"/>
              </w:rPr>
              <w:t>Agent role vs human role distinction, human-role-to-MAS responsibility mapping, delegated authority boundary, accepted outcome compliance, evidence partitioning, responsibility transfer</w:t>
            </w:r>
          </w:p>
        </w:tc>
        <w:tc>
          <w:tcPr>
            <w:tcW w:type="dxa" w:w="2045"/>
          </w:tcPr>
          <w:p>
            <w:pPr>
              <w:spacing w:after="0"/>
            </w:pPr>
            <w:r>
              <w:rPr>
                <w:rFonts w:ascii="Arial" w:hAnsi="Arial"/>
                <w:b w:val="0"/>
                <w:sz w:val="14"/>
              </w:rPr>
              <w:t>Designed for multi-agent collaboration; lifecycle responsibility semantics require additional governance layer; role labels do not equal accountability roles</w:t>
            </w:r>
          </w:p>
        </w:tc>
      </w:tr>
    </w:tbl>
    <w:p>
      <w:pPr>
        <w:pStyle w:val="Heading3"/>
      </w:pPr>
      <w:r>
        <w:t>Boundary Restatement</w:t>
      </w:r>
    </w:p>
    <w:p>
      <w:pPr>
        <w:spacing w:after="56"/>
      </w:pPr>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Pr>
        <w:spacing w:after="56"/>
      </w:pPr>
      <w:r>
        <w:t>The synthesis supports the core thesis: agentic compliance analysis must include lifecycle responsibility, not only model compliance. The field gap is not lack of AI tools. The field gap is lack of explicit lifecycle responsibility objects.</w:t>
      </w:r>
    </w:p>
    <w:p>
      <w:pPr>
        <w:pStyle w:val="Heading1"/>
      </w:pPr>
      <w:r>
        <w:t>13. MPLP Deep Mapping, Boundary, and Non-Claim Discipline</w:t>
      </w:r>
    </w:p>
    <w:p>
      <w:pPr>
        <w:spacing w:after="56"/>
      </w:pPr>
      <w:r>
        <w:t>Version: v0.3.2-FRC-R3</w:t>
      </w:r>
    </w:p>
    <w:p>
      <w:pPr>
        <w:pStyle w:val="Heading2"/>
      </w:pPr>
      <w:r>
        <w:t>13.0 Why MPLP Requires Separate Boundary Treatment</w:t>
      </w:r>
    </w:p>
    <w:p>
      <w:pPr>
        <w:spacing w:after="56"/>
      </w:pPr>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Pr>
        <w:spacing w:after="56"/>
      </w:pPr>
      <w:r>
        <w:t>Because MPLP is created by the author of this white paper, the mapping must be more explicit, not less explicit. The correct response to conflict of interest is not silence; it is transparent boundary discipline.</w:t>
      </w:r>
    </w:p>
    <w:p>
      <w:pPr>
        <w:spacing w:after="56"/>
      </w:pPr>
      <w:r>
        <w:t>This chapter maps MPLP's protocol semantics to the Missing Regulatory Objects, RCCS-T, RCCS-M, and ALCS dimensions. Official MPLP documentation was located during claim-level source review, but protocol-to-MRO/RCCS-M/ALCS mapping remains an evidence-qualified analytical interpretation unless the protocol text directly defines the relevant lifecycle object. MPLP mapping remains protocol-level semantic fit, not implementation conformance. The chapter distinguishes protocol-level fit from implementation evidence, deployment maturity, enterprise adoption, auditor acceptance, insurer acceptance, and regulatory recognition. The chapter closes with explicit non-claim discipline to prevent overclaim.</w:t>
      </w:r>
    </w:p>
    <w:p>
      <w:pPr>
        <w:pStyle w:val="Heading2"/>
      </w:pPr>
      <w:r>
        <w:t>13.1 Protocol Proposal vs Product / Framework Benchmark</w:t>
      </w:r>
    </w:p>
    <w:p>
      <w:pPr>
        <w:spacing w:after="56"/>
      </w:pPr>
      <w:r>
        <w:t>MPLP is evaluated in this paper primarily as a protocol-level semantic proposal. Enterprise governance platforms, cloud services, orchestration frameworks, and developer SDKs are evaluated as product, platform, framework, or implementation surfaces. These are not identical maturity categories.</w:t>
      </w:r>
    </w:p>
    <w:p>
      <w:pPr>
        <w:spacing w:after="56"/>
      </w:pPr>
      <w:r>
        <w:t>A protocol proposal should be assessed by whether it defines necessary semantic objects, whether object boundaries are clear, whether independent implementations could target the same semantics, and whether conformance evidence can be generated and validated. A product or platform should also be assessed by deployment features, enterprise controls, operational tooling, market adoption, third-party implementation evidence, support maturity, and integration depth.</w:t>
      </w:r>
    </w:p>
    <w:p>
      <w:pPr>
        <w:spacing w:after="56"/>
      </w:pPr>
      <w:r>
        <w:t>This distinction explains the RCCS-T / RCCS-M / ALCS profile difference. Enterprise product platforms may score stronger on RCCS-T because they expose productized governance surfaces such as dashboards, policy workflows, documentation management, cloud controls, and monitoring consoles. MPLP may score stronger on RCCS-M and ALCS because it is designed around protocol-level lifecycle responsibility semantics: authority boundaries, responsibility transfer, accepted outcomes, evidence partitioning, substitution conformance, and remediation closure.</w:t>
      </w:r>
    </w:p>
    <w:p>
      <w:pPr>
        <w:spacing w:after="56"/>
      </w:pPr>
      <w:r>
        <w:t>MPLP's high RCCS-M / ALCS alignment should not be read as market adoption proof, independent validation, certification, deployment maturity, or procurement superiority. It is design alignment with the proposed lifecycle object layer. The central question is therefore whether those lifecycle responsibility objects are necessary for Agent/MAS governance. If they are necessary, a protocol designed around them should score strongly under models that measure them. If they are not necessary, the critique should show how agentic work can be governed without them.</w:t>
      </w:r>
    </w:p>
    <w:p>
      <w:pPr>
        <w:pStyle w:val="Heading2"/>
      </w:pPr>
      <w:r>
        <w:t>13.2 Interoperability and Specification Boundary</w:t>
      </w:r>
    </w:p>
    <w:p>
      <w:pPr>
        <w:spacing w:after="56"/>
      </w:pPr>
      <w:r>
        <w:t>This white paper defines the regulatory object gap, the MRO object model, the RCCS-T / RCCS-M / ALCS evaluation logic, the lifecycle responsibility governance need, and the protocol-level adequacy argument. It is closer to the protocol problem-statement and semantic object layer than to a complete wire-level interoperability specification.</w:t>
      </w:r>
    </w:p>
    <w:p>
      <w:pPr>
        <w:spacing w:after="56"/>
      </w:pPr>
      <w:r>
        <w:t>This paper does not fully define the complete wire format, serialization grammar, all validation rules, full cross-system exchange semantics, or a complete third-party conformance test suite. Those belong to MPLP technical specification work, schema definition, Cognitive OS runtime mapping, and Validation Lab evidence/conformance evaluation.</w:t>
      </w:r>
    </w:p>
    <w:p>
      <w:pPr>
        <w:spacing w:after="56"/>
      </w:pPr>
      <w:r>
        <w:t>This boundary does not weaken the necessity argument. It separates agenda-setting governance theory and semantic object modeling from implementation-level protocol specification. A protocol path becomes more mature when its object model, schemas, validator rules, runtime mappings, test fixtures, and third-party conformance evidence become independently implementable and reviewable.</w:t>
      </w:r>
    </w:p>
    <w:p>
      <w:pPr>
        <w:pStyle w:val="Heading2"/>
      </w:pPr>
      <w:r>
        <w:t>13.3 What MPLP Is and Is Not</w:t>
      </w:r>
    </w:p>
    <w:p>
      <w:pPr>
        <w:spacing w:after="56"/>
      </w:pPr>
      <w:r>
        <w:t>MPLP is a lifecycle protocol path for expressing agentic responsibility objects. It is not a certification program, regulator, legal authority, cloud platform, procurement recommendation, or exclusive compliance method.</w:t>
      </w:r>
    </w:p>
    <w:p>
      <w:pPr>
        <w:keepNext/>
      </w:pPr>
      <w:r>
        <w:rPr>
          <w:b/>
          <w:sz w:val="16"/>
        </w:rPr>
        <w:t>Table T-13-01: MPLP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Protocol identity</w:t>
            </w:r>
          </w:p>
        </w:tc>
        <w:tc>
          <w:tcPr>
            <w:tcW w:type="dxa" w:w="3408"/>
          </w:tcPr>
          <w:p>
            <w:pPr>
              <w:spacing w:after="0"/>
            </w:pPr>
            <w:r>
              <w:rPr>
                <w:rFonts w:ascii="Arial" w:hAnsi="Arial"/>
                <w:b w:val="0"/>
                <w:sz w:val="14"/>
              </w:rPr>
              <w:t>MPLP is a lifecycle protocol path for expressing agentic responsibility objects</w:t>
            </w:r>
          </w:p>
        </w:tc>
        <w:tc>
          <w:tcPr>
            <w:tcW w:type="dxa" w:w="3408"/>
          </w:tcPr>
          <w:p>
            <w:pPr>
              <w:spacing w:after="0"/>
            </w:pPr>
            <w:r>
              <w:rPr>
                <w:rFonts w:ascii="Arial" w:hAnsi="Arial"/>
                <w:b w:val="0"/>
                <w:sz w:val="14"/>
              </w:rPr>
              <w:t>MPLP is the official standard; MPLP is required for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MPLP may show limited RCCS-T product-platform coverage while mapping strongly to RCCS-M and ALCS because those profiles measure lifecycle responsibility semantics</w:t>
            </w:r>
          </w:p>
        </w:tc>
        <w:tc>
          <w:tcPr>
            <w:tcW w:type="dxa" w:w="3408"/>
          </w:tcPr>
          <w:p>
            <w:pPr>
              <w:spacing w:after="0"/>
            </w:pPr>
            <w:r>
              <w:rPr>
                <w:rFonts w:ascii="Arial" w:hAnsi="Arial"/>
                <w:b w:val="0"/>
                <w:sz w:val="14"/>
              </w:rPr>
              <w:t>MPLP issues compliance certificates;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issues system certificates</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w:t>
            </w:r>
          </w:p>
        </w:tc>
      </w:tr>
      <w:tr>
        <w:tc>
          <w:tcPr>
            <w:tcW w:type="dxa" w:w="3408"/>
          </w:tcPr>
          <w:p>
            <w:pPr>
              <w:spacing w:after="0"/>
            </w:pPr>
            <w:r>
              <w:rPr>
                <w:rFonts w:ascii="Arial" w:hAnsi="Arial"/>
                <w:b w:val="0"/>
                <w:sz w:val="14"/>
              </w:rPr>
              <w:t>Vendor status</w:t>
            </w:r>
          </w:p>
        </w:tc>
        <w:tc>
          <w:tcPr>
            <w:tcW w:type="dxa" w:w="3408"/>
          </w:tcPr>
          <w:p>
            <w:pPr>
              <w:spacing w:after="0"/>
            </w:pPr>
            <w:r>
              <w:rPr>
                <w:rFonts w:ascii="Arial" w:hAnsi="Arial"/>
                <w:b w:val="0"/>
                <w:sz w:val="14"/>
              </w:rPr>
              <w:t>MPLP is a protocol specification</w:t>
            </w:r>
          </w:p>
        </w:tc>
        <w:tc>
          <w:tcPr>
            <w:tcW w:type="dxa" w:w="3408"/>
          </w:tcPr>
          <w:p>
            <w:pPr>
              <w:spacing w:after="0"/>
            </w:pPr>
            <w:r>
              <w:rPr>
                <w:rFonts w:ascii="Arial" w:hAnsi="Arial"/>
                <w:b w:val="0"/>
                <w:sz w:val="14"/>
              </w:rPr>
              <w:t>MPLP is a cloud platform; MPLP is a vendor product</w:t>
            </w:r>
          </w:p>
        </w:tc>
      </w:tr>
      <w:tr>
        <w:tc>
          <w:tcPr>
            <w:tcW w:type="dxa" w:w="3408"/>
          </w:tcPr>
          <w:p>
            <w:pPr>
              <w:spacing w:after="0"/>
            </w:pPr>
            <w:r>
              <w:rPr>
                <w:rFonts w:ascii="Arial" w:hAnsi="Arial"/>
                <w:b w:val="0"/>
                <w:sz w:val="14"/>
              </w:rPr>
              <w:t>Implementation maturity</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is production-ready; MPLP proves deployment maturity</w:t>
            </w:r>
          </w:p>
        </w:tc>
      </w:tr>
      <w:tr>
        <w:tc>
          <w:tcPr>
            <w:tcW w:type="dxa" w:w="3408"/>
          </w:tcPr>
          <w:p>
            <w:pPr>
              <w:spacing w:after="0"/>
            </w:pPr>
            <w:r>
              <w:rPr>
                <w:rFonts w:ascii="Arial" w:hAnsi="Arial"/>
                <w:b w:val="0"/>
                <w:sz w:val="14"/>
              </w:rPr>
              <w:t>Validation Lab relationship</w:t>
            </w:r>
          </w:p>
        </w:tc>
        <w:tc>
          <w:tcPr>
            <w:tcW w:type="dxa" w:w="3408"/>
          </w:tcPr>
          <w:p>
            <w:pPr>
              <w:spacing w:after="0"/>
            </w:pPr>
            <w:r>
              <w:rPr>
                <w:rFonts w:ascii="Arial" w:hAnsi="Arial"/>
                <w:b w:val="0"/>
                <w:sz w:val="14"/>
              </w:rPr>
              <w:t>Validation Lab may be referenced separately as a non-certifying evidence adjudication example</w:t>
            </w:r>
          </w:p>
        </w:tc>
        <w:tc>
          <w:tcPr>
            <w:tcW w:type="dxa" w:w="3408"/>
          </w:tcPr>
          <w:p>
            <w:pPr>
              <w:spacing w:after="0"/>
            </w:pPr>
            <w:r>
              <w:rPr>
                <w:rFonts w:ascii="Arial" w:hAnsi="Arial"/>
                <w:b w:val="0"/>
                <w:sz w:val="14"/>
              </w:rPr>
              <w:t>Validation Lab issues compliance certificates; Validation Lab is a certification authority</w:t>
            </w:r>
          </w:p>
        </w:tc>
      </w:tr>
      <w:tr>
        <w:tc>
          <w:tcPr>
            <w:tcW w:type="dxa" w:w="3408"/>
          </w:tcPr>
          <w:p>
            <w:pPr>
              <w:spacing w:after="0"/>
            </w:pPr>
            <w:r>
              <w:rPr>
                <w:rFonts w:ascii="Arial" w:hAnsi="Arial"/>
                <w:b w:val="0"/>
                <w:sz w:val="14"/>
              </w:rPr>
              <w:t>Industry adoption</w:t>
            </w:r>
          </w:p>
        </w:tc>
        <w:tc>
          <w:tcPr>
            <w:tcW w:type="dxa" w:w="3408"/>
          </w:tcPr>
          <w:p>
            <w:pPr>
              <w:spacing w:after="0"/>
            </w:pPr>
            <w:r>
              <w:rPr>
                <w:rFonts w:ascii="Arial" w:hAnsi="Arial"/>
                <w:b w:val="0"/>
                <w:sz w:val="14"/>
              </w:rPr>
              <w:t>MPLP adoption requires market validation</w:t>
            </w:r>
          </w:p>
        </w:tc>
        <w:tc>
          <w:tcPr>
            <w:tcW w:type="dxa" w:w="3408"/>
          </w:tcPr>
          <w:p>
            <w:pPr>
              <w:spacing w:after="0"/>
            </w:pPr>
            <w:r>
              <w:rPr>
                <w:rFonts w:ascii="Arial" w:hAnsi="Arial"/>
                <w:b w:val="0"/>
                <w:sz w:val="14"/>
              </w:rPr>
              <w:t>MPLP is industry-standard; MPLP is regulator-approved</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the only solution</w:t>
            </w:r>
          </w:p>
        </w:tc>
      </w:tr>
    </w:tbl>
    <w:p>
      <w:pPr>
        <w:pStyle w:val="Heading2"/>
      </w:pPr>
      <w:r>
        <w:t>13.4 MPLP as a Lifecycle Protocol Path</w:t>
      </w:r>
    </w:p>
    <w:p>
      <w:pPr>
        <w:spacing w:after="56"/>
      </w:pPr>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Pr>
        <w:spacing w:after="56"/>
      </w:pPr>
      <w:r>
        <w:t>Protocol semantics can define what must be represented, but implementations determine whether those semantics are operationally enforced. A protocol path can support governance, but does not replace organizational controls.</w:t>
      </w:r>
    </w:p>
    <w:p>
      <w:pPr>
        <w:spacing w:after="56"/>
      </w:pPr>
      <w:r>
        <w:t>Canonical boundary: MPLP defines protocol semantics; deployment determines operational control.</w:t>
      </w:r>
    </w:p>
    <w:p>
      <w:pPr>
        <w:spacing w:after="56"/>
      </w:pPr>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Pr>
        <w:pStyle w:val="Heading2"/>
      </w:pPr>
      <w:r>
        <w:t>13.5 MPLP Mapping to the 16 Missing Regulatory Objects</w:t>
      </w:r>
    </w:p>
    <w:p>
      <w:pPr>
        <w:spacing w:after="56"/>
      </w:pPr>
      <w:r>
        <w:t>The following table maps MPLP protocol semantics to the sixteen Missing Regulatory Objects defined in Chapter 6. Mapping strength reflects protocol-level semantic fit, not deployment conformance.</w:t>
      </w:r>
    </w:p>
    <w:p>
      <w:pPr>
        <w:keepNext/>
      </w:pPr>
      <w:r>
        <w:rPr>
          <w:b/>
          <w:sz w:val="16"/>
        </w:rPr>
        <w:t>Table T-13-02: MPLP Mapping to the Sixteen Missing Regulatory Objects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w:t>
            </w:r>
          </w:p>
        </w:tc>
        <w:tc>
          <w:tcPr>
            <w:tcW w:type="dxa" w:w="2556"/>
          </w:tcPr>
          <w:p>
            <w:pPr>
              <w:spacing w:after="0"/>
            </w:pPr>
            <w:r>
              <w:rPr>
                <w:rFonts w:ascii="Arial" w:hAnsi="Arial"/>
                <w:b/>
                <w:sz w:val="14"/>
              </w:rPr>
              <w:t>MPLP Mapping Strength</w:t>
            </w:r>
          </w:p>
        </w:tc>
        <w:tc>
          <w:tcPr>
            <w:tcW w:type="dxa" w:w="2556"/>
          </w:tcPr>
          <w:p>
            <w:pPr>
              <w:spacing w:after="0"/>
            </w:pPr>
            <w:r>
              <w:rPr>
                <w:rFonts w:ascii="Arial" w:hAnsi="Arial"/>
                <w:b/>
                <w:sz w:val="14"/>
              </w:rPr>
              <w:t>Protocol-Level Relevance</w:t>
            </w:r>
          </w:p>
        </w:tc>
        <w:tc>
          <w:tcPr>
            <w:tcW w:type="dxa" w:w="2556"/>
          </w:tcPr>
          <w:p>
            <w:pPr>
              <w:spacing w:after="0"/>
            </w:pPr>
            <w:r>
              <w:rPr>
                <w:rFonts w:ascii="Arial" w:hAnsi="Arial"/>
                <w:b/>
                <w:sz w:val="14"/>
              </w:rPr>
              <w:t>Implementation / Evidence Limit</w:t>
            </w:r>
          </w:p>
        </w:tc>
      </w:tr>
      <w:tr>
        <w:tc>
          <w:tcPr>
            <w:tcW w:type="dxa" w:w="2556"/>
          </w:tcPr>
          <w:p>
            <w:pPr>
              <w:spacing w:after="0"/>
            </w:pPr>
            <w:r>
              <w:rPr>
                <w:rFonts w:ascii="Arial" w:hAnsi="Arial"/>
                <w:b w:val="0"/>
                <w:sz w:val="14"/>
              </w:rPr>
              <w:t>MRO-01: Human Role to 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 Trace semantics support human-to-agent responsibility mapping</w:t>
            </w:r>
          </w:p>
        </w:tc>
        <w:tc>
          <w:tcPr>
            <w:tcW w:type="dxa" w:w="2556"/>
          </w:tcPr>
          <w:p>
            <w:pPr>
              <w:spacing w:after="0"/>
            </w:pPr>
            <w:r>
              <w:rPr>
                <w:rFonts w:ascii="Arial" w:hAnsi="Arial"/>
                <w:b w:val="0"/>
                <w:sz w:val="14"/>
              </w:rPr>
              <w:t>Requires implementation conformance; requires enterprise role integration</w:t>
            </w:r>
          </w:p>
        </w:tc>
      </w:tr>
      <w:tr>
        <w:tc>
          <w:tcPr>
            <w:tcW w:type="dxa" w:w="2556"/>
          </w:tcPr>
          <w:p>
            <w:pPr>
              <w:spacing w:after="0"/>
            </w:pPr>
            <w:r>
              <w:rPr>
                <w:rFonts w:ascii="Arial" w:hAnsi="Arial"/>
                <w:b w:val="0"/>
                <w:sz w:val="14"/>
              </w:rPr>
              <w:t>MRO-02: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boundary semantics support delegation scope definition</w:t>
            </w:r>
          </w:p>
        </w:tc>
        <w:tc>
          <w:tcPr>
            <w:tcW w:type="dxa" w:w="2556"/>
          </w:tcPr>
          <w:p>
            <w:pPr>
              <w:spacing w:after="0"/>
            </w:pPr>
            <w:r>
              <w:rPr>
                <w:rFonts w:ascii="Arial" w:hAnsi="Arial"/>
                <w:b w:val="0"/>
                <w:sz w:val="14"/>
              </w:rPr>
              <w:t>Requires operational policy; requires runtime enforcement validation</w:t>
            </w:r>
          </w:p>
        </w:tc>
      </w:tr>
      <w:tr>
        <w:tc>
          <w:tcPr>
            <w:tcW w:type="dxa" w:w="2556"/>
          </w:tcPr>
          <w:p>
            <w:pPr>
              <w:spacing w:after="0"/>
            </w:pPr>
            <w:r>
              <w:rPr>
                <w:rFonts w:ascii="Arial" w:hAnsi="Arial"/>
                <w:b w:val="0"/>
                <w:sz w:val="14"/>
              </w:rPr>
              <w:t>MRO-03: Agent Role is not Human Role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 from human roles</w:t>
            </w:r>
          </w:p>
        </w:tc>
        <w:tc>
          <w:tcPr>
            <w:tcW w:type="dxa" w:w="2556"/>
          </w:tcPr>
          <w:p>
            <w:pPr>
              <w:spacing w:after="0"/>
            </w:pPr>
            <w:r>
              <w:rPr>
                <w:rFonts w:ascii="Arial" w:hAnsi="Arial"/>
                <w:b w:val="0"/>
                <w:sz w:val="14"/>
              </w:rPr>
              <w:t>Requires governance interpretation; requires organizational adoption</w:t>
            </w:r>
          </w:p>
        </w:tc>
      </w:tr>
      <w:tr>
        <w:tc>
          <w:tcPr>
            <w:tcW w:type="dxa" w:w="2556"/>
          </w:tcPr>
          <w:p>
            <w:pPr>
              <w:spacing w:after="0"/>
            </w:pPr>
            <w:r>
              <w:rPr>
                <w:rFonts w:ascii="Arial" w:hAnsi="Arial"/>
                <w:b w:val="0"/>
                <w:sz w:val="14"/>
              </w:rPr>
              <w:t>MRO-04: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support accepted outcome states</w:t>
            </w:r>
          </w:p>
        </w:tc>
        <w:tc>
          <w:tcPr>
            <w:tcW w:type="dxa" w:w="2556"/>
          </w:tcPr>
          <w:p>
            <w:pPr>
              <w:spacing w:after="0"/>
            </w:pPr>
            <w:r>
              <w:rPr>
                <w:rFonts w:ascii="Arial" w:hAnsi="Arial"/>
                <w:b w:val="0"/>
                <w:sz w:val="14"/>
              </w:rPr>
              <w:t>Requires review workflow integration; requires acceptance authority mapping</w:t>
            </w:r>
          </w:p>
        </w:tc>
      </w:tr>
      <w:tr>
        <w:tc>
          <w:tcPr>
            <w:tcW w:type="dxa" w:w="2556"/>
          </w:tcPr>
          <w:p>
            <w:pPr>
              <w:spacing w:after="0"/>
            </w:pPr>
            <w:r>
              <w:rPr>
                <w:rFonts w:ascii="Arial" w:hAnsi="Arial"/>
                <w:b w:val="0"/>
                <w:sz w:val="14"/>
              </w:rPr>
              <w:t>MRO-05: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support liability boundary records</w:t>
            </w:r>
          </w:p>
        </w:tc>
        <w:tc>
          <w:tcPr>
            <w:tcW w:type="dxa" w:w="2556"/>
          </w:tcPr>
          <w:p>
            <w:pPr>
              <w:spacing w:after="0"/>
            </w:pPr>
            <w:r>
              <w:rPr>
                <w:rFonts w:ascii="Arial" w:hAnsi="Arial"/>
                <w:b w:val="0"/>
                <w:sz w:val="14"/>
              </w:rPr>
              <w:t>Requires tool integration; requires liability policy definition</w:t>
            </w:r>
          </w:p>
        </w:tc>
      </w:tr>
      <w:tr>
        <w:tc>
          <w:tcPr>
            <w:tcW w:type="dxa" w:w="2556"/>
          </w:tcPr>
          <w:p>
            <w:pPr>
              <w:spacing w:after="0"/>
            </w:pPr>
            <w:r>
              <w:rPr>
                <w:rFonts w:ascii="Arial" w:hAnsi="Arial"/>
                <w:b w:val="0"/>
                <w:sz w:val="14"/>
              </w:rPr>
              <w:t>MRO-06: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support responsibility transfer records</w:t>
            </w:r>
          </w:p>
        </w:tc>
        <w:tc>
          <w:tcPr>
            <w:tcW w:type="dxa" w:w="2556"/>
          </w:tcPr>
          <w:p>
            <w:pPr>
              <w:spacing w:after="0"/>
            </w:pPr>
            <w:r>
              <w:rPr>
                <w:rFonts w:ascii="Arial" w:hAnsi="Arial"/>
                <w:b w:val="0"/>
                <w:sz w:val="14"/>
              </w:rPr>
              <w:t>Requires multi-agent integration; requires constraint inheritance validation</w:t>
            </w:r>
          </w:p>
        </w:tc>
      </w:tr>
      <w:tr>
        <w:tc>
          <w:tcPr>
            <w:tcW w:type="dxa" w:w="2556"/>
          </w:tcPr>
          <w:p>
            <w:pPr>
              <w:spacing w:after="0"/>
            </w:pPr>
            <w:r>
              <w:rPr>
                <w:rFonts w:ascii="Arial" w:hAnsi="Arial"/>
                <w:b w:val="0"/>
                <w:sz w:val="14"/>
              </w:rPr>
              <w:t>MRO-07: Authority Drift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integration; requires drift alert policy</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partitioned evidence chains</w:t>
            </w:r>
          </w:p>
        </w:tc>
        <w:tc>
          <w:tcPr>
            <w:tcW w:type="dxa" w:w="2556"/>
          </w:tcPr>
          <w:p>
            <w:pPr>
              <w:spacing w:after="0"/>
            </w:pPr>
            <w:r>
              <w:rPr>
                <w:rFonts w:ascii="Arial" w:hAnsi="Arial"/>
                <w:b w:val="0"/>
                <w:sz w:val="14"/>
              </w:rPr>
              <w:t>Requires evidence export; requires partition policy definition</w:t>
            </w:r>
          </w:p>
        </w:tc>
      </w:tr>
      <w:tr>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MRO-10: Privacy / 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integration; requires GDPR interpretation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MRO-14: Third-Party Processor / 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 integration; requires chain documentation</w:t>
            </w:r>
          </w:p>
        </w:tc>
      </w:tr>
      <w:tr>
        <w:tc>
          <w:tcPr>
            <w:tcW w:type="dxa" w:w="2556"/>
          </w:tcPr>
          <w:p>
            <w:pPr>
              <w:spacing w:after="0"/>
            </w:pPr>
            <w:r>
              <w:rPr>
                <w:rFonts w:ascii="Arial" w:hAnsi="Arial"/>
                <w:b w:val="0"/>
                <w:sz w:val="14"/>
              </w:rPr>
              <w:t>MRO-15: Vendor / Model / 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Closure semantics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bl>
    <w:p>
      <w:pPr>
        <w:spacing w:after="56"/>
      </w:pPr>
      <w:r>
        <w:t>Key: Strong = protocol semantics directly express the required object; Moderate = protocol semantics can support the object with additional policy/integration; Partial = protocol semantics provide foundation but require significant additional work.</w:t>
      </w:r>
    </w:p>
    <w:p>
      <w:pPr>
        <w:pStyle w:val="Heading2"/>
      </w:pPr>
      <w:r>
        <w:t>13.6 MPLP Mapping to RCCS-T and RCCS-M</w:t>
      </w:r>
    </w:p>
    <w:p>
      <w:pPr>
        <w:spacing w:after="56"/>
      </w:pPr>
      <w:r>
        <w:t>MPLP should not be read as weak merely because it is not an enterprise governance SaaS. The paper distinguishes two regulatory-coverage profiles. RCCS-T measures traditional productized governance coverage: risk dashboards, organizational policy workflows, cloud security controls, documentation management, monitoring, and compliance operations. MPLP may be limited on that product-platform layer. RCCS-M measures whether regulatory obligations can be expressed through Missing Regulatory Objects. MPLP may map strongly on that layer because its protocol semantics are designed around lifecycle responsibility objects.</w:t>
      </w:r>
    </w:p>
    <w:p>
      <w:pPr>
        <w:spacing w:after="56"/>
      </w:pPr>
      <w:r>
        <w:t>MPLP can support RCCS-M where protocol semantics create evidence, accountability, traceability, accepted-outcome records, authority boundaries, responsibility transfer, and substitution conformance. However, MPLP alone does not satisfy either RCCS-T or RCCS-M in deployment. Both profiles still depend on implementation, organizational controls, deployment environment, security operations, data governance policy, and legal interpretation.</w:t>
      </w:r>
    </w:p>
    <w:p>
      <w:pPr>
        <w:keepNext/>
      </w:pPr>
      <w:r>
        <w:rPr>
          <w:b/>
          <w:sz w:val="16"/>
        </w:rPr>
        <w:t>Table T-13-03: MPLP Mapping to RCCS-T and RCCS-M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Why MPLP May Help</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RCCS-T overall product-platform coverage</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Protocol semantics may support governance evidence, but MPLP is not a productized governance dashboard or cloud compliance platform</w:t>
            </w:r>
          </w:p>
        </w:tc>
        <w:tc>
          <w:tcPr>
            <w:tcW w:type="dxa" w:w="2556"/>
          </w:tcPr>
          <w:p>
            <w:pPr>
              <w:spacing w:after="0"/>
            </w:pPr>
            <w:r>
              <w:rPr>
                <w:rFonts w:ascii="Arial" w:hAnsi="Arial"/>
                <w:b w:val="0"/>
                <w:sz w:val="14"/>
              </w:rPr>
              <w:t>Requires product implementation, enterprise integration, organizational policy workflow, and operational controls</w:t>
            </w:r>
          </w:p>
        </w:tc>
      </w:tr>
      <w:tr>
        <w:tc>
          <w:tcPr>
            <w:tcW w:type="dxa" w:w="2556"/>
          </w:tcPr>
          <w:p>
            <w:pPr>
              <w:spacing w:after="0"/>
            </w:pPr>
            <w:r>
              <w:rPr>
                <w:rFonts w:ascii="Arial" w:hAnsi="Arial"/>
                <w:b w:val="0"/>
                <w:sz w:val="14"/>
              </w:rPr>
              <w:t>RCCS-M overall MRO-adjusted coverage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Protocol semantics map strongly to MRO-like authority, evidence, accepted-outcome, transfer, and substitution objects</w:t>
            </w:r>
          </w:p>
        </w:tc>
        <w:tc>
          <w:tcPr>
            <w:tcW w:type="dxa" w:w="2556"/>
          </w:tcPr>
          <w:p>
            <w:pPr>
              <w:spacing w:after="0"/>
            </w:pPr>
            <w:r>
              <w:rPr>
                <w:rFonts w:ascii="Arial" w:hAnsi="Arial"/>
                <w:b w:val="0"/>
                <w:sz w:val="14"/>
              </w:rPr>
              <w:t>Author analytical mapping where not directly stated; requires implementation conformance</w:t>
            </w:r>
          </w:p>
        </w:tc>
      </w:tr>
      <w:tr>
        <w:tc>
          <w:tcPr>
            <w:tcW w:type="dxa" w:w="2556"/>
          </w:tcPr>
          <w:p>
            <w:pPr>
              <w:spacing w:after="0"/>
            </w:pPr>
            <w:r>
              <w:rPr>
                <w:rFonts w:ascii="Arial" w:hAnsi="Arial"/>
                <w:b w:val="0"/>
                <w:sz w:val="14"/>
              </w:rPr>
              <w:t>RCCS-01: 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support risk documentation and evidence</w:t>
            </w:r>
          </w:p>
        </w:tc>
        <w:tc>
          <w:tcPr>
            <w:tcW w:type="dxa" w:w="2556"/>
          </w:tcPr>
          <w:p>
            <w:pPr>
              <w:spacing w:after="0"/>
            </w:pPr>
            <w:r>
              <w:rPr>
                <w:rFonts w:ascii="Arial" w:hAnsi="Arial"/>
                <w:b w:val="0"/>
                <w:sz w:val="14"/>
              </w:rPr>
              <w:t>Requires organizational risk management process; requires risk assessment integration</w:t>
            </w:r>
          </w:p>
        </w:tc>
      </w:tr>
      <w:tr>
        <w:tc>
          <w:tcPr>
            <w:tcW w:type="dxa" w:w="2556"/>
          </w:tcPr>
          <w:p>
            <w:pPr>
              <w:spacing w:after="0"/>
            </w:pPr>
            <w:r>
              <w:rPr>
                <w:rFonts w:ascii="Arial" w:hAnsi="Arial"/>
                <w:b w:val="0"/>
                <w:sz w:val="14"/>
              </w:rPr>
              <w:t>RCCS-02: 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data lineage and lifecycle tracking</w:t>
            </w:r>
          </w:p>
        </w:tc>
        <w:tc>
          <w:tcPr>
            <w:tcW w:type="dxa" w:w="2556"/>
          </w:tcPr>
          <w:p>
            <w:pPr>
              <w:spacing w:after="0"/>
            </w:pPr>
            <w:r>
              <w:rPr>
                <w:rFonts w:ascii="Arial" w:hAnsi="Arial"/>
                <w:b w:val="0"/>
                <w:sz w:val="14"/>
              </w:rPr>
              <w:t>Requires data governance policy; requires data quality controls</w:t>
            </w:r>
          </w:p>
        </w:tc>
      </w:tr>
      <w:tr>
        <w:tc>
          <w:tcPr>
            <w:tcW w:type="dxa" w:w="2556"/>
          </w:tcPr>
          <w:p>
            <w:pPr>
              <w:spacing w:after="0"/>
            </w:pPr>
            <w:r>
              <w:rPr>
                <w:rFonts w:ascii="Arial" w:hAnsi="Arial"/>
                <w:b w:val="0"/>
                <w:sz w:val="14"/>
              </w:rPr>
              <w:t>RCCS-03: 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generate lifecycle documentation</w:t>
            </w:r>
          </w:p>
        </w:tc>
        <w:tc>
          <w:tcPr>
            <w:tcW w:type="dxa" w:w="2556"/>
          </w:tcPr>
          <w:p>
            <w:pPr>
              <w:spacing w:after="0"/>
            </w:pPr>
            <w:r>
              <w:rPr>
                <w:rFonts w:ascii="Arial" w:hAnsi="Arial"/>
                <w:b w:val="0"/>
                <w:sz w:val="14"/>
              </w:rPr>
              <w:t>Requires documentation standards; requires version control integration</w:t>
            </w:r>
          </w:p>
        </w:tc>
      </w:tr>
      <w:tr>
        <w:tc>
          <w:tcPr>
            <w:tcW w:type="dxa" w:w="2556"/>
          </w:tcPr>
          <w:p>
            <w:pPr>
              <w:spacing w:after="0"/>
            </w:pPr>
            <w:r>
              <w:rPr>
                <w:rFonts w:ascii="Arial" w:hAnsi="Arial"/>
                <w:b w:val="0"/>
                <w:sz w:val="14"/>
              </w:rPr>
              <w:t>RCCS-04: 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audit trail generation</w:t>
            </w:r>
          </w:p>
        </w:tc>
        <w:tc>
          <w:tcPr>
            <w:tcW w:type="dxa" w:w="2556"/>
          </w:tcPr>
          <w:p>
            <w:pPr>
              <w:spacing w:after="0"/>
            </w:pPr>
            <w:r>
              <w:rPr>
                <w:rFonts w:ascii="Arial" w:hAnsi="Arial"/>
                <w:b w:val="0"/>
                <w:sz w:val="14"/>
              </w:rPr>
              <w:t>Requires evidence retention policy; requires tamper-evident storage</w:t>
            </w:r>
          </w:p>
        </w:tc>
      </w:tr>
      <w:tr>
        <w:tc>
          <w:tcPr>
            <w:tcW w:type="dxa" w:w="2556"/>
          </w:tcPr>
          <w:p>
            <w:pPr>
              <w:spacing w:after="0"/>
            </w:pPr>
            <w:r>
              <w:rPr>
                <w:rFonts w:ascii="Arial" w:hAnsi="Arial"/>
                <w:b w:val="0"/>
                <w:sz w:val="14"/>
              </w:rPr>
              <w:t>RCCS-05: 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explainability and disclosure</w:t>
            </w:r>
          </w:p>
        </w:tc>
        <w:tc>
          <w:tcPr>
            <w:tcW w:type="dxa" w:w="2556"/>
          </w:tcPr>
          <w:p>
            <w:pPr>
              <w:spacing w:after="0"/>
            </w:pPr>
            <w:r>
              <w:rPr>
                <w:rFonts w:ascii="Arial" w:hAnsi="Arial"/>
                <w:b w:val="0"/>
                <w:sz w:val="14"/>
              </w:rPr>
              <w:t>Requires transparency policy; requires disclosure workflow</w:t>
            </w:r>
          </w:p>
        </w:tc>
      </w:tr>
      <w:tr>
        <w:tc>
          <w:tcPr>
            <w:tcW w:type="dxa" w:w="2556"/>
          </w:tcPr>
          <w:p>
            <w:pPr>
              <w:spacing w:after="0"/>
            </w:pPr>
            <w:r>
              <w:rPr>
                <w:rFonts w:ascii="Arial" w:hAnsi="Arial"/>
                <w:b w:val="0"/>
                <w:sz w:val="14"/>
              </w:rPr>
              <w:t>RCCS-06: 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Role semantics support human review and approval workflows</w:t>
            </w:r>
          </w:p>
        </w:tc>
        <w:tc>
          <w:tcPr>
            <w:tcW w:type="dxa" w:w="2556"/>
          </w:tcPr>
          <w:p>
            <w:pPr>
              <w:spacing w:after="0"/>
            </w:pPr>
            <w:r>
              <w:rPr>
                <w:rFonts w:ascii="Arial" w:hAnsi="Arial"/>
                <w:b w:val="0"/>
                <w:sz w:val="14"/>
              </w:rPr>
              <w:t>Requires human oversight policy; requires escalation rules</w:t>
            </w:r>
          </w:p>
        </w:tc>
      </w:tr>
      <w:tr>
        <w:tc>
          <w:tcPr>
            <w:tcW w:type="dxa" w:w="2556"/>
          </w:tcPr>
          <w:p>
            <w:pPr>
              <w:spacing w:after="0"/>
            </w:pPr>
            <w:r>
              <w:rPr>
                <w:rFonts w:ascii="Arial" w:hAnsi="Arial"/>
                <w:b w:val="0"/>
                <w:sz w:val="14"/>
              </w:rPr>
              <w:t>RCCS-07: Security</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Protocol semantics require security implementation</w:t>
            </w:r>
          </w:p>
        </w:tc>
        <w:tc>
          <w:tcPr>
            <w:tcW w:type="dxa" w:w="2556"/>
          </w:tcPr>
          <w:p>
            <w:pPr>
              <w:spacing w:after="0"/>
            </w:pPr>
            <w:r>
              <w:rPr>
                <w:rFonts w:ascii="Arial" w:hAnsi="Arial"/>
                <w:b w:val="0"/>
                <w:sz w:val="14"/>
              </w:rPr>
              <w:t>Requires security controls; requires access management; requires encryption</w:t>
            </w:r>
          </w:p>
        </w:tc>
      </w:tr>
      <w:tr>
        <w:tc>
          <w:tcPr>
            <w:tcW w:type="dxa" w:w="2556"/>
          </w:tcPr>
          <w:p>
            <w:pPr>
              <w:spacing w:after="0"/>
            </w:pPr>
            <w:r>
              <w:rPr>
                <w:rFonts w:ascii="Arial" w:hAnsi="Arial"/>
                <w:b w:val="0"/>
                <w:sz w:val="14"/>
              </w:rPr>
              <w:t>RCCS-08: 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Trace semantics support responsibility assignment and tracking</w:t>
            </w:r>
          </w:p>
        </w:tc>
        <w:tc>
          <w:tcPr>
            <w:tcW w:type="dxa" w:w="2556"/>
          </w:tcPr>
          <w:p>
            <w:pPr>
              <w:spacing w:after="0"/>
            </w:pPr>
            <w:r>
              <w:rPr>
                <w:rFonts w:ascii="Arial" w:hAnsi="Arial"/>
                <w:b w:val="0"/>
                <w:sz w:val="14"/>
              </w:rPr>
              <w:t>Requires accountability policy; requires organizational adoption</w:t>
            </w:r>
          </w:p>
        </w:tc>
      </w:tr>
      <w:tr>
        <w:tc>
          <w:tcPr>
            <w:tcW w:type="dxa" w:w="2556"/>
          </w:tcPr>
          <w:p>
            <w:pPr>
              <w:spacing w:after="0"/>
            </w:pPr>
            <w:r>
              <w:rPr>
                <w:rFonts w:ascii="Arial" w:hAnsi="Arial"/>
                <w:b w:val="0"/>
                <w:sz w:val="14"/>
              </w:rPr>
              <w:t>RCCS-09: 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 dispute semantics can support challenge and appeal</w:t>
            </w:r>
          </w:p>
        </w:tc>
        <w:tc>
          <w:tcPr>
            <w:tcW w:type="dxa" w:w="2556"/>
          </w:tcPr>
          <w:p>
            <w:pPr>
              <w:spacing w:after="0"/>
            </w:pPr>
            <w:r>
              <w:rPr>
                <w:rFonts w:ascii="Arial" w:hAnsi="Arial"/>
                <w:b w:val="0"/>
                <w:sz w:val="14"/>
              </w:rPr>
              <w:t>Requires dispute resolution workflow; requires remediation policy</w:t>
            </w:r>
          </w:p>
        </w:tc>
      </w:tr>
      <w:tr>
        <w:tc>
          <w:tcPr>
            <w:tcW w:type="dxa" w:w="2556"/>
          </w:tcPr>
          <w:p>
            <w:pPr>
              <w:spacing w:after="0"/>
            </w:pPr>
            <w:r>
              <w:rPr>
                <w:rFonts w:ascii="Arial" w:hAnsi="Arial"/>
                <w:b w:val="0"/>
                <w:sz w:val="14"/>
              </w:rPr>
              <w:t>RCCS-10: 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continuous monitoring</w:t>
            </w:r>
          </w:p>
        </w:tc>
        <w:tc>
          <w:tcPr>
            <w:tcW w:type="dxa" w:w="2556"/>
          </w:tcPr>
          <w:p>
            <w:pPr>
              <w:spacing w:after="0"/>
            </w:pPr>
            <w:r>
              <w:rPr>
                <w:rFonts w:ascii="Arial" w:hAnsi="Arial"/>
                <w:b w:val="0"/>
                <w:sz w:val="14"/>
              </w:rPr>
              <w:t>Requires monitoring infrastructure; requires alert policy; requires incident response</w:t>
            </w:r>
          </w:p>
        </w:tc>
      </w:tr>
    </w:tbl>
    <w:p>
      <w:pPr>
        <w:pStyle w:val="Heading2"/>
      </w:pPr>
      <w:r>
        <w:t>13.7 MPLP Mapping to ALCS</w:t>
      </w:r>
    </w:p>
    <w:p>
      <w:pPr>
        <w:spacing w:after="56"/>
      </w:pPr>
      <w:r>
        <w:t>Because ALCS measures lifecycle responsibility objects, MPLP may map strongly to many ALCS dimensions. However, high protocol-level fit is not the same as deployment conformance.</w:t>
      </w:r>
    </w:p>
    <w:p>
      <w:pPr>
        <w:spacing w:after="56"/>
      </w:pPr>
      <w:r>
        <w:t>A strong ALCS semantic fit means the protocol can express the required lifecycle object. It does not mean any given implementation has enforced, audited, or operationalized that object.</w:t>
      </w:r>
    </w:p>
    <w:p>
      <w:pPr>
        <w:keepNext/>
      </w:pPr>
      <w:r>
        <w:rPr>
          <w:b/>
          <w:sz w:val="16"/>
        </w:rPr>
        <w:t>Table T-13-04: MPLP Mapping to ALCS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Protocol-Level Fit</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ALCS-01: Human-Role-to-MAS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semantics directly express human-to-agent responsibility mapping</w:t>
            </w:r>
          </w:p>
        </w:tc>
        <w:tc>
          <w:tcPr>
            <w:tcW w:type="dxa" w:w="2556"/>
          </w:tcPr>
          <w:p>
            <w:pPr>
              <w:spacing w:after="0"/>
            </w:pPr>
            <w:r>
              <w:rPr>
                <w:rFonts w:ascii="Arial" w:hAnsi="Arial"/>
                <w:b w:val="0"/>
                <w:sz w:val="14"/>
              </w:rPr>
              <w:t>Requires enterprise role integration; requires organizational adoption</w:t>
            </w:r>
          </w:p>
        </w:tc>
      </w:tr>
      <w:tr>
        <w:tc>
          <w:tcPr>
            <w:tcW w:type="dxa" w:w="2556"/>
          </w:tcPr>
          <w:p>
            <w:pPr>
              <w:spacing w:after="0"/>
            </w:pPr>
            <w:r>
              <w:rPr>
                <w:rFonts w:ascii="Arial" w:hAnsi="Arial"/>
                <w:b w:val="0"/>
                <w:sz w:val="14"/>
              </w:rPr>
              <w:t>ALCS-02: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semantics directly express delegation boundaries</w:t>
            </w:r>
          </w:p>
        </w:tc>
        <w:tc>
          <w:tcPr>
            <w:tcW w:type="dxa" w:w="2556"/>
          </w:tcPr>
          <w:p>
            <w:pPr>
              <w:spacing w:after="0"/>
            </w:pPr>
            <w:r>
              <w:rPr>
                <w:rFonts w:ascii="Arial" w:hAnsi="Arial"/>
                <w:b w:val="0"/>
                <w:sz w:val="14"/>
              </w:rPr>
              <w:t>Requires operational enforcement; requires runtime validation</w:t>
            </w:r>
          </w:p>
        </w:tc>
      </w:tr>
      <w:tr>
        <w:tc>
          <w:tcPr>
            <w:tcW w:type="dxa" w:w="2556"/>
          </w:tcPr>
          <w:p>
            <w:pPr>
              <w:spacing w:after="0"/>
            </w:pPr>
            <w:r>
              <w:rPr>
                <w:rFonts w:ascii="Arial" w:hAnsi="Arial"/>
                <w:b w:val="0"/>
                <w:sz w:val="14"/>
              </w:rPr>
              <w:t>ALCS-03: Agent Role vs Human Role Distinction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w:t>
            </w:r>
          </w:p>
        </w:tc>
        <w:tc>
          <w:tcPr>
            <w:tcW w:type="dxa" w:w="2556"/>
          </w:tcPr>
          <w:p>
            <w:pPr>
              <w:spacing w:after="0"/>
            </w:pPr>
            <w:r>
              <w:rPr>
                <w:rFonts w:ascii="Arial" w:hAnsi="Arial"/>
                <w:b w:val="0"/>
                <w:sz w:val="14"/>
              </w:rPr>
              <w:t>Requires governance interpretation; requires role policy</w:t>
            </w:r>
          </w:p>
        </w:tc>
      </w:tr>
      <w:tr>
        <w:tc>
          <w:tcPr>
            <w:tcW w:type="dxa" w:w="2556"/>
          </w:tcPr>
          <w:p>
            <w:pPr>
              <w:spacing w:after="0"/>
            </w:pPr>
            <w:r>
              <w:rPr>
                <w:rFonts w:ascii="Arial" w:hAnsi="Arial"/>
                <w:b w:val="0"/>
                <w:sz w:val="14"/>
              </w:rPr>
              <w:t>ALCS-04: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directly express accepted outcome states</w:t>
            </w:r>
          </w:p>
        </w:tc>
        <w:tc>
          <w:tcPr>
            <w:tcW w:type="dxa" w:w="2556"/>
          </w:tcPr>
          <w:p>
            <w:pPr>
              <w:spacing w:after="0"/>
            </w:pPr>
            <w:r>
              <w:rPr>
                <w:rFonts w:ascii="Arial" w:hAnsi="Arial"/>
                <w:b w:val="0"/>
                <w:sz w:val="14"/>
              </w:rPr>
              <w:t>Requires acceptance workflow; requires review authority mapping</w:t>
            </w:r>
          </w:p>
        </w:tc>
      </w:tr>
      <w:tr>
        <w:tc>
          <w:tcPr>
            <w:tcW w:type="dxa" w:w="2556"/>
          </w:tcPr>
          <w:p>
            <w:pPr>
              <w:spacing w:after="0"/>
            </w:pPr>
            <w:r>
              <w:rPr>
                <w:rFonts w:ascii="Arial" w:hAnsi="Arial"/>
                <w:b w:val="0"/>
                <w:sz w:val="14"/>
              </w:rPr>
              <w:t>ALCS-05: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express liability boundaries</w:t>
            </w:r>
          </w:p>
        </w:tc>
        <w:tc>
          <w:tcPr>
            <w:tcW w:type="dxa" w:w="2556"/>
          </w:tcPr>
          <w:p>
            <w:pPr>
              <w:spacing w:after="0"/>
            </w:pPr>
            <w:r>
              <w:rPr>
                <w:rFonts w:ascii="Arial" w:hAnsi="Arial"/>
                <w:b w:val="0"/>
                <w:sz w:val="14"/>
              </w:rPr>
              <w:t>Requires tool integration; requires liability policy</w:t>
            </w:r>
          </w:p>
        </w:tc>
      </w:tr>
      <w:tr>
        <w:tc>
          <w:tcPr>
            <w:tcW w:type="dxa" w:w="2556"/>
          </w:tcPr>
          <w:p>
            <w:pPr>
              <w:spacing w:after="0"/>
            </w:pPr>
            <w:r>
              <w:rPr>
                <w:rFonts w:ascii="Arial" w:hAnsi="Arial"/>
                <w:b w:val="0"/>
                <w:sz w:val="14"/>
              </w:rPr>
              <w:t>ALCS-06: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directly express responsibility transfer</w:t>
            </w:r>
          </w:p>
        </w:tc>
        <w:tc>
          <w:tcPr>
            <w:tcW w:type="dxa" w:w="2556"/>
          </w:tcPr>
          <w:p>
            <w:pPr>
              <w:spacing w:after="0"/>
            </w:pPr>
            <w:r>
              <w:rPr>
                <w:rFonts w:ascii="Arial" w:hAnsi="Arial"/>
                <w:b w:val="0"/>
                <w:sz w:val="14"/>
              </w:rPr>
              <w:t>Requires multi-agent integration; requires constraint inheritance</w:t>
            </w:r>
          </w:p>
        </w:tc>
      </w:tr>
      <w:tr>
        <w:tc>
          <w:tcPr>
            <w:tcW w:type="dxa" w:w="2556"/>
          </w:tcPr>
          <w:p>
            <w:pPr>
              <w:spacing w:after="0"/>
            </w:pPr>
            <w:r>
              <w:rPr>
                <w:rFonts w:ascii="Arial" w:hAnsi="Arial"/>
                <w:b w:val="0"/>
                <w:sz w:val="14"/>
              </w:rPr>
              <w:t>ALCS-07: Authority Drift Detection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requires drift policy</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ALCS-10: Privacy/GDPR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requires GDPR interpretation</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ALCS-14: Third-Party Processor/Subprocessor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agreements; requires chain documentation</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bl>
    <w:p>
      <w:pPr>
        <w:pStyle w:val="Heading2"/>
      </w:pPr>
      <w:r>
        <w:t>13.8 Implementation, Adoption, and Evidence Limits</w:t>
      </w:r>
    </w:p>
    <w:p>
      <w:pPr>
        <w:spacing w:after="56"/>
      </w:pPr>
      <w:r>
        <w:t>MPLP can define lifecycle governance semantics, but the paper must not treat protocol design as equivalent to real-world conformance. The following table distinguishes protocol semantics from operational evidence.</w:t>
      </w:r>
    </w:p>
    <w:p>
      <w:pPr>
        <w:keepNext/>
      </w:pPr>
      <w:r>
        <w:rPr>
          <w:b/>
          <w:sz w:val="16"/>
        </w:rPr>
        <w:t>Table T-13-05: Protocol Semantics vs Operational Evidence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What It Can Prove</w:t>
            </w:r>
          </w:p>
        </w:tc>
        <w:tc>
          <w:tcPr>
            <w:tcW w:type="dxa" w:w="2556"/>
          </w:tcPr>
          <w:p>
            <w:pPr>
              <w:spacing w:after="0"/>
            </w:pPr>
            <w:r>
              <w:rPr>
                <w:rFonts w:ascii="Arial" w:hAnsi="Arial"/>
                <w:b/>
                <w:sz w:val="14"/>
              </w:rPr>
              <w:t>What It Cannot Prove Alone</w:t>
            </w:r>
          </w:p>
        </w:tc>
        <w:tc>
          <w:tcPr>
            <w:tcW w:type="dxa" w:w="2556"/>
          </w:tcPr>
          <w:p>
            <w:pPr>
              <w:spacing w:after="0"/>
            </w:pPr>
            <w:r>
              <w:rPr>
                <w:rFonts w:ascii="Arial" w:hAnsi="Arial"/>
                <w:b/>
                <w:sz w:val="14"/>
              </w:rPr>
              <w:t>Evidence Needed</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Semantic completeness; object definitions; protocol rules</w:t>
            </w:r>
          </w:p>
        </w:tc>
        <w:tc>
          <w:tcPr>
            <w:tcW w:type="dxa" w:w="2556"/>
          </w:tcPr>
          <w:p>
            <w:pPr>
              <w:spacing w:after="0"/>
            </w:pPr>
            <w:r>
              <w:rPr>
                <w:rFonts w:ascii="Arial" w:hAnsi="Arial"/>
                <w:b w:val="0"/>
                <w:sz w:val="14"/>
              </w:rPr>
              <w:t>Deployment conformance; operational effectiveness; legal compliance</w:t>
            </w:r>
          </w:p>
        </w:tc>
        <w:tc>
          <w:tcPr>
            <w:tcW w:type="dxa" w:w="2556"/>
          </w:tcPr>
          <w:p>
            <w:pPr>
              <w:spacing w:after="0"/>
            </w:pPr>
            <w:r>
              <w:rPr>
                <w:rFonts w:ascii="Arial" w:hAnsi="Arial"/>
                <w:b w:val="0"/>
                <w:sz w:val="14"/>
              </w:rPr>
              <w:t>Formal protocol specification; protocol documentation</w:t>
            </w:r>
          </w:p>
        </w:tc>
      </w:tr>
      <w:tr>
        <w:tc>
          <w:tcPr>
            <w:tcW w:type="dxa" w:w="2556"/>
          </w:tcPr>
          <w:p>
            <w:pPr>
              <w:spacing w:after="0"/>
            </w:pPr>
            <w:r>
              <w:rPr>
                <w:rFonts w:ascii="Arial" w:hAnsi="Arial"/>
                <w:b w:val="0"/>
                <w:sz w:val="14"/>
              </w:rPr>
              <w:t>Reference implementation</w:t>
            </w:r>
          </w:p>
        </w:tc>
        <w:tc>
          <w:tcPr>
            <w:tcW w:type="dxa" w:w="2556"/>
          </w:tcPr>
          <w:p>
            <w:pPr>
              <w:spacing w:after="0"/>
            </w:pPr>
            <w:r>
              <w:rPr>
                <w:rFonts w:ascii="Arial" w:hAnsi="Arial"/>
                <w:b w:val="0"/>
                <w:sz w:val="14"/>
              </w:rPr>
              <w:t>Protocol implementation feasibility; basic functionality</w:t>
            </w:r>
          </w:p>
        </w:tc>
        <w:tc>
          <w:tcPr>
            <w:tcW w:type="dxa" w:w="2556"/>
          </w:tcPr>
          <w:p>
            <w:pPr>
              <w:spacing w:after="0"/>
            </w:pPr>
            <w:r>
              <w:rPr>
                <w:rFonts w:ascii="Arial" w:hAnsi="Arial"/>
                <w:b w:val="0"/>
                <w:sz w:val="14"/>
              </w:rPr>
              <w:t>Production readiness; enterprise integration; security hardening</w:t>
            </w:r>
          </w:p>
        </w:tc>
        <w:tc>
          <w:tcPr>
            <w:tcW w:type="dxa" w:w="2556"/>
          </w:tcPr>
          <w:p>
            <w:pPr>
              <w:spacing w:after="0"/>
            </w:pPr>
            <w:r>
              <w:rPr>
                <w:rFonts w:ascii="Arial" w:hAnsi="Arial"/>
                <w:b w:val="0"/>
                <w:sz w:val="14"/>
              </w:rPr>
              <w:t>Reference implementation code; test results</w:t>
            </w:r>
          </w:p>
        </w:tc>
      </w:tr>
      <w:tr>
        <w:tc>
          <w:tcPr>
            <w:tcW w:type="dxa" w:w="2556"/>
          </w:tcPr>
          <w:p>
            <w:pPr>
              <w:spacing w:after="0"/>
            </w:pPr>
            <w:r>
              <w:rPr>
                <w:rFonts w:ascii="Arial" w:hAnsi="Arial"/>
                <w:b w:val="0"/>
                <w:sz w:val="14"/>
              </w:rPr>
              <w:t>Runtime integration</w:t>
            </w:r>
          </w:p>
        </w:tc>
        <w:tc>
          <w:tcPr>
            <w:tcW w:type="dxa" w:w="2556"/>
          </w:tcPr>
          <w:p>
            <w:pPr>
              <w:spacing w:after="0"/>
            </w:pPr>
            <w:r>
              <w:rPr>
                <w:rFonts w:ascii="Arial" w:hAnsi="Arial"/>
                <w:b w:val="0"/>
                <w:sz w:val="14"/>
              </w:rPr>
              <w:t>Integration with agent runtimes; tool integration; workflow execution</w:t>
            </w:r>
          </w:p>
        </w:tc>
        <w:tc>
          <w:tcPr>
            <w:tcW w:type="dxa" w:w="2556"/>
          </w:tcPr>
          <w:p>
            <w:pPr>
              <w:spacing w:after="0"/>
            </w:pPr>
            <w:r>
              <w:rPr>
                <w:rFonts w:ascii="Arial" w:hAnsi="Arial"/>
                <w:b w:val="0"/>
                <w:sz w:val="14"/>
              </w:rPr>
              <w:t>Enterprise policy enforcement; organizational adoption; audit acceptance</w:t>
            </w:r>
          </w:p>
        </w:tc>
        <w:tc>
          <w:tcPr>
            <w:tcW w:type="dxa" w:w="2556"/>
          </w:tcPr>
          <w:p>
            <w:pPr>
              <w:spacing w:after="0"/>
            </w:pPr>
            <w:r>
              <w:rPr>
                <w:rFonts w:ascii="Arial" w:hAnsi="Arial"/>
                <w:b w:val="0"/>
                <w:sz w:val="14"/>
              </w:rPr>
              <w:t>Integration documentation; runtime logs</w:t>
            </w:r>
          </w:p>
        </w:tc>
      </w:tr>
      <w:tr>
        <w:tc>
          <w:tcPr>
            <w:tcW w:type="dxa" w:w="2556"/>
          </w:tcPr>
          <w:p>
            <w:pPr>
              <w:spacing w:after="0"/>
            </w:pPr>
            <w:r>
              <w:rPr>
                <w:rFonts w:ascii="Arial" w:hAnsi="Arial"/>
                <w:b w:val="0"/>
                <w:sz w:val="14"/>
              </w:rPr>
              <w:t>Enterprise deployment</w:t>
            </w:r>
          </w:p>
        </w:tc>
        <w:tc>
          <w:tcPr>
            <w:tcW w:type="dxa" w:w="2556"/>
          </w:tcPr>
          <w:p>
            <w:pPr>
              <w:spacing w:after="0"/>
            </w:pPr>
            <w:r>
              <w:rPr>
                <w:rFonts w:ascii="Arial" w:hAnsi="Arial"/>
                <w:b w:val="0"/>
                <w:sz w:val="14"/>
              </w:rPr>
              <w:t>Operational deployment; policy enforcement; organizational controls</w:t>
            </w:r>
          </w:p>
        </w:tc>
        <w:tc>
          <w:tcPr>
            <w:tcW w:type="dxa" w:w="2556"/>
          </w:tcPr>
          <w:p>
            <w:pPr>
              <w:spacing w:after="0"/>
            </w:pPr>
            <w:r>
              <w:rPr>
                <w:rFonts w:ascii="Arial" w:hAnsi="Arial"/>
                <w:b w:val="0"/>
                <w:sz w:val="14"/>
              </w:rPr>
              <w:t>Legal compliance; regulatory acceptance; insurer acceptance</w:t>
            </w:r>
          </w:p>
        </w:tc>
        <w:tc>
          <w:tcPr>
            <w:tcW w:type="dxa" w:w="2556"/>
          </w:tcPr>
          <w:p>
            <w:pPr>
              <w:spacing w:after="0"/>
            </w:pPr>
            <w:r>
              <w:rPr>
                <w:rFonts w:ascii="Arial" w:hAnsi="Arial"/>
                <w:b w:val="0"/>
                <w:sz w:val="14"/>
              </w:rPr>
              <w:t>Deployment evidence; policy documentation; operational logs</w:t>
            </w:r>
          </w:p>
        </w:tc>
      </w:tr>
      <w:tr>
        <w:tc>
          <w:tcPr>
            <w:tcW w:type="dxa" w:w="2556"/>
          </w:tcPr>
          <w:p>
            <w:pPr>
              <w:spacing w:after="0"/>
            </w:pPr>
            <w:r>
              <w:rPr>
                <w:rFonts w:ascii="Arial" w:hAnsi="Arial"/>
                <w:b w:val="0"/>
                <w:sz w:val="14"/>
              </w:rPr>
              <w:t>Validation evidence</w:t>
            </w:r>
          </w:p>
        </w:tc>
        <w:tc>
          <w:tcPr>
            <w:tcW w:type="dxa" w:w="2556"/>
          </w:tcPr>
          <w:p>
            <w:pPr>
              <w:spacing w:after="0"/>
            </w:pPr>
            <w:r>
              <w:rPr>
                <w:rFonts w:ascii="Arial" w:hAnsi="Arial"/>
                <w:b w:val="0"/>
                <w:sz w:val="14"/>
              </w:rPr>
              <w:t>Independent validation; evidence quality; conformance testing</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Validation reports; test results; conformance evidence</w:t>
            </w:r>
          </w:p>
        </w:tc>
      </w:tr>
      <w:tr>
        <w:tc>
          <w:tcPr>
            <w:tcW w:type="dxa" w:w="2556"/>
          </w:tcPr>
          <w:p>
            <w:pPr>
              <w:spacing w:after="0"/>
            </w:pPr>
            <w:r>
              <w:rPr>
                <w:rFonts w:ascii="Arial" w:hAnsi="Arial"/>
                <w:b w:val="0"/>
                <w:sz w:val="14"/>
              </w:rPr>
              <w:t>Third-party review</w:t>
            </w:r>
          </w:p>
        </w:tc>
        <w:tc>
          <w:tcPr>
            <w:tcW w:type="dxa" w:w="2556"/>
          </w:tcPr>
          <w:p>
            <w:pPr>
              <w:spacing w:after="0"/>
            </w:pPr>
            <w:r>
              <w:rPr>
                <w:rFonts w:ascii="Arial" w:hAnsi="Arial"/>
                <w:b w:val="0"/>
                <w:sz w:val="14"/>
              </w:rPr>
              <w:t>Independent assessment; peer review; expert evaluation</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Review reports; assessment documentation</w:t>
            </w:r>
          </w:p>
        </w:tc>
      </w:tr>
      <w:tr>
        <w:tc>
          <w:tcPr>
            <w:tcW w:type="dxa" w:w="2556"/>
          </w:tcPr>
          <w:p>
            <w:pPr>
              <w:spacing w:after="0"/>
            </w:pPr>
            <w:r>
              <w:rPr>
                <w:rFonts w:ascii="Arial" w:hAnsi="Arial"/>
                <w:b w:val="0"/>
                <w:sz w:val="14"/>
              </w:rPr>
              <w:t>Regulatory / audit / insurance acceptance</w:t>
            </w:r>
          </w:p>
        </w:tc>
        <w:tc>
          <w:tcPr>
            <w:tcW w:type="dxa" w:w="2556"/>
          </w:tcPr>
          <w:p>
            <w:pPr>
              <w:spacing w:after="0"/>
            </w:pPr>
            <w:r>
              <w:rPr>
                <w:rFonts w:ascii="Arial" w:hAnsi="Arial"/>
                <w:b w:val="0"/>
                <w:sz w:val="14"/>
              </w:rPr>
              <w:t>Regulator recognition; auditor acceptance; insurer acceptance</w:t>
            </w:r>
          </w:p>
        </w:tc>
        <w:tc>
          <w:tcPr>
            <w:tcW w:type="dxa" w:w="2556"/>
          </w:tcPr>
          <w:p>
            <w:pPr>
              <w:spacing w:after="0"/>
            </w:pPr>
            <w:r>
              <w:rPr>
                <w:rFonts w:ascii="Arial" w:hAnsi="Arial"/>
                <w:b w:val="0"/>
                <w:sz w:val="14"/>
              </w:rPr>
              <w:t>Automatic compliance; guaranteed insurability</w:t>
            </w:r>
          </w:p>
        </w:tc>
        <w:tc>
          <w:tcPr>
            <w:tcW w:type="dxa" w:w="2556"/>
          </w:tcPr>
          <w:p>
            <w:pPr>
              <w:spacing w:after="0"/>
            </w:pPr>
            <w:r>
              <w:rPr>
                <w:rFonts w:ascii="Arial" w:hAnsi="Arial"/>
                <w:b w:val="0"/>
                <w:sz w:val="14"/>
              </w:rPr>
              <w:t>Regulatory guidance; audit opinions; insurance policies</w:t>
            </w:r>
          </w:p>
        </w:tc>
      </w:tr>
    </w:tbl>
    <w:p>
      <w:pPr>
        <w:spacing w:after="56"/>
      </w:pPr>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Pr>
        <w:pStyle w:val="Heading2"/>
      </w:pPr>
      <w:r>
        <w:t>13.9 MPLP Non-Claim Discipline</w:t>
      </w:r>
    </w:p>
    <w:p>
      <w:pPr>
        <w:spacing w:after="56"/>
      </w:pPr>
      <w:r>
        <w:t>The following table explicitly restates forbidden claims to prevent overclaim.</w:t>
      </w:r>
    </w:p>
    <w:p>
      <w:pPr>
        <w:keepNext/>
      </w:pPr>
      <w:r>
        <w:rPr>
          <w:b/>
          <w:sz w:val="16"/>
        </w:rPr>
        <w:t>Table T-13-06: MPLP Non-Claim Discipline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Permitted Statement</w:t>
            </w:r>
          </w:p>
        </w:tc>
        <w:tc>
          <w:tcPr>
            <w:tcW w:type="dxa" w:w="3408"/>
          </w:tcPr>
          <w:p>
            <w:pPr>
              <w:spacing w:after="0"/>
            </w:pPr>
            <w:r>
              <w:rPr>
                <w:rFonts w:ascii="Arial" w:hAnsi="Arial"/>
                <w:b/>
                <w:sz w:val="14"/>
              </w:rPr>
              <w:t>Prohibited Statement</w:t>
            </w:r>
          </w:p>
        </w:tc>
      </w:tr>
      <w:tr>
        <w:tc>
          <w:tcPr>
            <w:tcW w:type="dxa" w:w="3408"/>
          </w:tcPr>
          <w:p>
            <w:pPr>
              <w:spacing w:after="0"/>
            </w:pPr>
            <w:r>
              <w:rPr>
                <w:rFonts w:ascii="Arial" w:hAnsi="Arial"/>
                <w:b w:val="0"/>
                <w:sz w:val="14"/>
              </w:rPr>
              <w:t>Compliance</w:t>
            </w:r>
          </w:p>
        </w:tc>
        <w:tc>
          <w:tcPr>
            <w:tcW w:type="dxa" w:w="3408"/>
          </w:tcPr>
          <w:p>
            <w:pPr>
              <w:spacing w:after="0"/>
            </w:pPr>
            <w:r>
              <w:rPr>
                <w:rFonts w:ascii="Arial" w:hAnsi="Arial"/>
                <w:b w:val="0"/>
                <w:sz w:val="14"/>
              </w:rPr>
              <w:t>MPLP is one lifecycle protocol path; MPLP may express lifecycle responsibility objects</w:t>
            </w:r>
          </w:p>
        </w:tc>
        <w:tc>
          <w:tcPr>
            <w:tcW w:type="dxa" w:w="3408"/>
          </w:tcPr>
          <w:p>
            <w:pPr>
              <w:spacing w:after="0"/>
            </w:pPr>
            <w:r>
              <w:rPr>
                <w:rFonts w:ascii="Arial" w:hAnsi="Arial"/>
                <w:b w:val="0"/>
                <w:sz w:val="14"/>
              </w:rPr>
              <w:t>MPLP is required for compliance; MPLP issues compliance certificates;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issues system certificates; MPLP guarantees compliance</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 MPLP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MPLP adoption requires regulatory interpretation</w:t>
            </w:r>
          </w:p>
        </w:tc>
        <w:tc>
          <w:tcPr>
            <w:tcW w:type="dxa" w:w="3408"/>
          </w:tcPr>
          <w:p>
            <w:pPr>
              <w:spacing w:after="0"/>
            </w:pPr>
            <w:r>
              <w:rPr>
                <w:rFonts w:ascii="Arial" w:hAnsi="Arial"/>
                <w:b w:val="0"/>
                <w:sz w:val="14"/>
              </w:rPr>
              <w:t>MPLP is regulator-approved; MPLP is the official standard; MPLP is mandated by regulation</w:t>
            </w:r>
          </w:p>
        </w:tc>
      </w:tr>
      <w:tr>
        <w:tc>
          <w:tcPr>
            <w:tcW w:type="dxa" w:w="3408"/>
          </w:tcPr>
          <w:p>
            <w:pPr>
              <w:spacing w:after="0"/>
            </w:pPr>
            <w:r>
              <w:rPr>
                <w:rFonts w:ascii="Arial" w:hAnsi="Arial"/>
                <w:b w:val="0"/>
                <w:sz w:val="14"/>
              </w:rPr>
              <w:t>Enterprise readiness</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proves enterprise readiness; MPLP is production-ready; MPLP guarantees operational effectiveness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may serve as a non-certifying evidence adjudication example</w:t>
            </w:r>
          </w:p>
        </w:tc>
        <w:tc>
          <w:tcPr>
            <w:tcW w:type="dxa" w:w="3408"/>
          </w:tcPr>
          <w:p>
            <w:pPr>
              <w:spacing w:after="0"/>
            </w:pPr>
            <w:r>
              <w:rPr>
                <w:rFonts w:ascii="Arial" w:hAnsi="Arial"/>
                <w:b w:val="0"/>
                <w:sz w:val="14"/>
              </w:rPr>
              <w:t>Validation Lab issues compliance certificates; Validation Lab is a certification authority; Validation Lab proves legal compliance</w:t>
            </w:r>
          </w:p>
        </w:tc>
      </w:tr>
      <w:tr>
        <w:tc>
          <w:tcPr>
            <w:tcW w:type="dxa" w:w="3408"/>
          </w:tcPr>
          <w:p>
            <w:pPr>
              <w:spacing w:after="0"/>
            </w:pPr>
            <w:r>
              <w:rPr>
                <w:rFonts w:ascii="Arial" w:hAnsi="Arial"/>
                <w:b w:val="0"/>
                <w:sz w:val="14"/>
              </w:rPr>
              <w:t>RCCS-T/RCCS-M/ALCS</w:t>
            </w:r>
          </w:p>
        </w:tc>
        <w:tc>
          <w:tcPr>
            <w:tcW w:type="dxa" w:w="3408"/>
          </w:tcPr>
          <w:p>
            <w:pPr>
              <w:spacing w:after="0"/>
            </w:pPr>
            <w:r>
              <w:rPr>
                <w:rFonts w:ascii="Arial" w:hAnsi="Arial"/>
                <w:b w:val="0"/>
                <w:sz w:val="14"/>
              </w:rPr>
              <w:t>MPLP may have limited RCCS-T product-platform coverage while mapping strongly to RCCS-M and ALCS dimensions; actual deployment requires implementation evidence</w:t>
            </w:r>
          </w:p>
        </w:tc>
        <w:tc>
          <w:tcPr>
            <w:tcW w:type="dxa" w:w="3408"/>
          </w:tcPr>
          <w:p>
            <w:pPr>
              <w:spacing w:after="0"/>
            </w:pPr>
            <w:r>
              <w:rPr>
                <w:rFonts w:ascii="Arial" w:hAnsi="Arial"/>
                <w:b w:val="0"/>
                <w:sz w:val="14"/>
              </w:rPr>
              <w:t>RCCS-T/RCCS-M/ALCS proves legal compliance; high MPLP alignment guarantees compliance; MPLP satisfies all scoring requirements</w:t>
            </w:r>
          </w:p>
        </w:tc>
      </w:tr>
      <w:tr>
        <w:tc>
          <w:tcPr>
            <w:tcW w:type="dxa" w:w="3408"/>
          </w:tcPr>
          <w:p>
            <w:pPr>
              <w:spacing w:after="0"/>
            </w:pPr>
            <w:r>
              <w:rPr>
                <w:rFonts w:ascii="Arial" w:hAnsi="Arial"/>
                <w:b w:val="0"/>
                <w:sz w:val="14"/>
              </w:rPr>
              <w:t>Market adoption</w:t>
            </w:r>
          </w:p>
        </w:tc>
        <w:tc>
          <w:tcPr>
            <w:tcW w:type="dxa" w:w="3408"/>
          </w:tcPr>
          <w:p>
            <w:pPr>
              <w:spacing w:after="0"/>
            </w:pPr>
            <w:r>
              <w:rPr>
                <w:rFonts w:ascii="Arial" w:hAnsi="Arial"/>
                <w:b w:val="0"/>
                <w:sz w:val="14"/>
              </w:rPr>
              <w:t>MPLP adoption requires market validation and organizational acceptance</w:t>
            </w:r>
          </w:p>
        </w:tc>
        <w:tc>
          <w:tcPr>
            <w:tcW w:type="dxa" w:w="3408"/>
          </w:tcPr>
          <w:p>
            <w:pPr>
              <w:spacing w:after="0"/>
            </w:pPr>
            <w:r>
              <w:rPr>
                <w:rFonts w:ascii="Arial" w:hAnsi="Arial"/>
                <w:b w:val="0"/>
                <w:sz w:val="14"/>
              </w:rPr>
              <w:t>MPLP is industry-standard; MPLP is universally adopted; MPLP is the only solution</w:t>
            </w:r>
          </w:p>
        </w:tc>
      </w:tr>
      <w:tr>
        <w:tc>
          <w:tcPr>
            <w:tcW w:type="dxa" w:w="3408"/>
          </w:tcPr>
          <w:p>
            <w:pPr>
              <w:spacing w:after="0"/>
            </w:pPr>
            <w:r>
              <w:rPr>
                <w:rFonts w:ascii="Arial" w:hAnsi="Arial"/>
                <w:b w:val="0"/>
                <w:sz w:val="14"/>
              </w:rPr>
              <w:t>System comparison</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superior; systems without MPLP fail compliance</w:t>
            </w:r>
          </w:p>
        </w:tc>
      </w:tr>
    </w:tbl>
    <w:p>
      <w:pPr>
        <w:pStyle w:val="Heading2"/>
      </w:pPr>
      <w:r>
        <w:t>13.10 Bridge to Evidence-Based Validation Pattern</w:t>
      </w:r>
    </w:p>
    <w:p>
      <w:pPr>
        <w:spacing w:after="56"/>
      </w:pPr>
      <w:r>
        <w:t>Chapter 13 has mapped MPLP's protocol semantics to lifecycle responsibility objects. Chapter 14 will discuss evidence-based validation patterns and will treat Validation Lab only as a non-certifying evidence adjudication example.</w:t>
      </w:r>
    </w:p>
    <w:p>
      <w:pPr>
        <w:spacing w:after="56"/>
      </w:pPr>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Pr>
        <w:spacing w:after="56"/>
      </w:pPr>
      <w:r>
        <w:t>The bridge from protocol semantics (Chapter 13) to validation patterns (Chapter 14) is the recognition that protocol-level fit must be validated through evidence, not assumed through design. MPLP's strong RCCS-M and ALCS mapping creates validation opportunities, but validation itself requires independent evidence, not protocol authority. The roadmap from this paper therefore runs from MRO necessity and RCCS-M/ALCS adequacy modeling to MPLP technical specification, Cognitive OS runtime mapping, and Validation Lab-style evidence/conformance evaluation.</w:t>
      </w:r>
    </w:p>
    <w:p>
      <w:pPr>
        <w:pStyle w:val="Heading1"/>
      </w:pPr>
      <w:r>
        <w:t>14. Evidence-Based Validation Pattern for AI Agent Lifecycle Governance</w:t>
      </w:r>
    </w:p>
    <w:p>
      <w:pPr>
        <w:spacing w:after="56"/>
      </w:pPr>
      <w:r>
        <w:t>Version: v0.3.2-FRC-R3</w:t>
      </w:r>
    </w:p>
    <w:p>
      <w:pPr>
        <w:pStyle w:val="Heading2"/>
      </w:pPr>
      <w:r>
        <w:t>14.0 Why Evidence-Based Validation Matters for AI Agent Lifecycle Governance</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reviewable validation, which may be performed by internal governance teams, auditors, validation providers, or other qualified reviewers depending on context.</w:t>
      </w:r>
    </w:p>
    <w:p>
      <w:pPr>
        <w:spacing w:after="56"/>
      </w:pPr>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Pr>
        <w:spacing w:after="56"/>
      </w:pPr>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Pr>
        <w:spacing w:after="56"/>
      </w:pPr>
      <w:r>
        <w:t>Validation Lab is referenced in this chapter as one non-certifying evidence adjudication example at the level of public-surface evidence.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Pr>
        <w:pStyle w:val="Heading2"/>
      </w:pPr>
      <w:r>
        <w:t>14.1 Evidence-Based Validation Pattern Overview</w:t>
      </w:r>
    </w:p>
    <w:p>
      <w:pPr>
        <w:spacing w:after="56"/>
      </w:pPr>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Pr>
        <w:spacing w:after="56"/>
      </w:pPr>
      <w:r>
        <w:t>Pattern boundary: The pattern validates that lifecycle responsibility objects exist, are structured correctly, and satisfy predefined governance rules. It does not validate business logic correctness, model accuracy, legal compliance, or regulatory approval.</w:t>
      </w:r>
    </w:p>
    <w:p>
      <w:pPr>
        <w:pStyle w:val="Heading3"/>
      </w:pPr>
      <w:r>
        <w:t>RCCS-M Evidence Confidence Role</w:t>
      </w:r>
    </w:p>
    <w:p>
      <w:pPr>
        <w:spacing w:after="56"/>
      </w:pPr>
      <w:r>
        <w:t>RCCS-M does not only ask whether a policy, feature, dashboard, or validation workflow exists. It asks whether regulatory obligations are represented as MRO-backed lifecycle responsibility objects. Evidence packs, hash manifests, traces, evidence pointers, disclosure profiles, redaction profiles, and replay procedures can raise RCCS-M evidence confidence when they show object-level responsibility coverage: authority boundaries, role-to-responsibility mappings, accepted outcome states, partitioned evidence chains, privacy lifecycle boundaries, substitution conformance records, and remediation closure records.</w:t>
      </w:r>
    </w:p>
    <w:p>
      <w:pPr>
        <w:spacing w:after="56"/>
      </w:pPr>
      <w:r>
        <w:t>Evidence-Based Validation is therefore a validation pattern for RCCS-M evidence confidence, not a certification path. It can support the evidence-confidence side of RCCS-M scoring when validation records show that MRO-adjusted lifecycle objects exist and can be reviewed. It does not make RCCS-M current law, legally binding, regulator-approved, or independently sufficient for compliance. Validation Lab remains a non-certifying public-surface example; validation evidence may support RCCS-M scoring confidence but does not prove legal compliance, regulatory approval, certification, or operational effectiveness.</w:t>
      </w:r>
    </w:p>
    <w:p>
      <w:pPr>
        <w:spacing w:after="56"/>
      </w:pPr>
      <w:r>
        <w:t>Figure F-08 - Evidence-Based Validation Pattern Flow</w:t>
      </w:r>
    </w:p>
    <w:p>
      <w:pPr>
        <w:spacing w:after="56"/>
      </w:pPr>
      <w:r>
        <w:t>Organization -&gt; Evidence Pack -&gt; Hash Manifest -&gt; Validation Provider -&gt; Ruleset Identity -&gt; Evidence Pointers -&gt; Verdict Hash -&gt; Disclosure / Redaction Profile -&gt; Replay / Recheck Procedure</w:t>
      </w:r>
    </w:p>
    <w:p>
      <w:pPr>
        <w:spacing w:after="56"/>
      </w:pPr>
      <w:r>
        <w:t>Figure F-08 shows the evidence-based validation pattern flow. Organizations generate evidence packs containing lifecycle responsibility objects. Hash manifests provide tamper-evident integrity. Validation providers or qualified reviewers apply predefined rulesets to evidence pointers and return verdict records or hashes. Disclosure and redaction profiles support privacy-preserving validation. Replay and recheck procedures support repeatable validation. The figure is a methodology pattern, not a certification process, legal compliance proof, or regulatory approval path.</w:t>
      </w:r>
    </w:p>
    <w:p>
      <w:pPr>
        <w:pStyle w:val="Heading2"/>
      </w:pPr>
      <w:r>
        <w:t>14.2 Methodology Components Mapping</w:t>
      </w:r>
    </w:p>
    <w:p>
      <w:pPr>
        <w:spacing w:after="56"/>
      </w:pPr>
      <w:r>
        <w:t>The evidence-based validation pattern consists of eight core components. Each component maps to specific Missing Regulatory Objects and ALCS dimensions.</w:t>
      </w:r>
    </w:p>
    <w:p>
      <w:pPr>
        <w:keepNext/>
      </w:pPr>
      <w:r>
        <w:rPr>
          <w:b/>
          <w:sz w:val="16"/>
        </w:rPr>
        <w:t>Table T-14-01: Evidence-Based Validation Pattern Components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Component</w:t>
            </w:r>
          </w:p>
        </w:tc>
        <w:tc>
          <w:tcPr>
            <w:tcW w:type="dxa" w:w="2045"/>
          </w:tcPr>
          <w:p>
            <w:pPr>
              <w:spacing w:after="0"/>
            </w:pPr>
            <w:r>
              <w:rPr>
                <w:rFonts w:ascii="Arial" w:hAnsi="Arial"/>
                <w:b/>
                <w:sz w:val="14"/>
              </w:rPr>
              <w:t>Purpose</w:t>
            </w:r>
          </w:p>
        </w:tc>
        <w:tc>
          <w:tcPr>
            <w:tcW w:type="dxa" w:w="2045"/>
          </w:tcPr>
          <w:p>
            <w:pPr>
              <w:spacing w:after="0"/>
            </w:pPr>
            <w:r>
              <w:rPr>
                <w:rFonts w:ascii="Arial" w:hAnsi="Arial"/>
                <w:b/>
                <w:sz w:val="14"/>
              </w:rPr>
              <w:t>Lifecycle Responsibility Object</w:t>
            </w:r>
          </w:p>
        </w:tc>
        <w:tc>
          <w:tcPr>
            <w:tcW w:type="dxa" w:w="2045"/>
          </w:tcPr>
          <w:p>
            <w:pPr>
              <w:spacing w:after="0"/>
            </w:pPr>
            <w:r>
              <w:rPr>
                <w:rFonts w:ascii="Arial" w:hAnsi="Arial"/>
                <w:b/>
                <w:sz w:val="14"/>
              </w:rPr>
              <w:t>Relevant MROs</w:t>
            </w:r>
          </w:p>
        </w:tc>
        <w:tc>
          <w:tcPr>
            <w:tcW w:type="dxa" w:w="2045"/>
          </w:tcPr>
          <w:p>
            <w:pPr>
              <w:spacing w:after="0"/>
            </w:pPr>
            <w:r>
              <w:rPr>
                <w:rFonts w:ascii="Arial" w:hAnsi="Arial"/>
                <w:b/>
                <w:sz w:val="14"/>
              </w:rPr>
              <w:t>Relevant ALCS Dimensions</w:t>
            </w:r>
          </w:p>
        </w:tc>
      </w:tr>
      <w:tr>
        <w:tc>
          <w:tcPr>
            <w:tcW w:type="dxa" w:w="2045"/>
          </w:tcPr>
          <w:p>
            <w:pPr>
              <w:spacing w:after="0"/>
            </w:pPr>
            <w:r>
              <w:rPr>
                <w:rFonts w:ascii="Arial" w:hAnsi="Arial"/>
                <w:b w:val="0"/>
                <w:sz w:val="14"/>
              </w:rPr>
              <w:t>Evidence Pack</w:t>
            </w:r>
          </w:p>
        </w:tc>
        <w:tc>
          <w:tcPr>
            <w:tcW w:type="dxa" w:w="2045"/>
          </w:tcPr>
          <w:p>
            <w:pPr>
              <w:spacing w:after="0"/>
            </w:pPr>
            <w:r>
              <w:rPr>
                <w:rFonts w:ascii="Arial" w:hAnsi="Arial"/>
                <w:b w:val="0"/>
                <w:sz w:val="14"/>
              </w:rPr>
              <w:t>Container for lifecycle responsibility objects (role mappings, delegation boundaries, accepted outcomes, evidence chains, handoff records)</w:t>
            </w:r>
          </w:p>
        </w:tc>
        <w:tc>
          <w:tcPr>
            <w:tcW w:type="dxa" w:w="2045"/>
          </w:tcPr>
          <w:p>
            <w:pPr>
              <w:spacing w:after="0"/>
            </w:pPr>
            <w:r>
              <w:rPr>
                <w:rFonts w:ascii="Arial" w:hAnsi="Arial"/>
                <w:b w:val="0"/>
                <w:sz w:val="14"/>
              </w:rPr>
              <w:t>All lifecycle responsibility objects</w:t>
            </w:r>
          </w:p>
        </w:tc>
        <w:tc>
          <w:tcPr>
            <w:tcW w:type="dxa" w:w="2045"/>
          </w:tcPr>
          <w:p>
            <w:pPr>
              <w:spacing w:after="0"/>
            </w:pPr>
            <w:r>
              <w:rPr>
                <w:rFonts w:ascii="Arial" w:hAnsi="Arial"/>
                <w:b w:val="0"/>
                <w:sz w:val="14"/>
              </w:rPr>
              <w:t>MRO-08: MAS Evidence Partitioning</w:t>
            </w:r>
          </w:p>
        </w:tc>
        <w:tc>
          <w:tcPr>
            <w:tcW w:type="dxa" w:w="2045"/>
          </w:tcPr>
          <w:p>
            <w:pPr>
              <w:spacing w:after="0"/>
            </w:pPr>
            <w:r>
              <w:rPr>
                <w:rFonts w:ascii="Arial" w:hAnsi="Arial"/>
                <w:b w:val="0"/>
                <w:sz w:val="14"/>
              </w:rPr>
              <w:t>ALCS-08: MAS Evidence Partitioning</w:t>
            </w:r>
          </w:p>
        </w:tc>
      </w:tr>
      <w:tr>
        <w:tc>
          <w:tcPr>
            <w:tcW w:type="dxa" w:w="2045"/>
          </w:tcPr>
          <w:p>
            <w:pPr>
              <w:spacing w:after="0"/>
            </w:pPr>
            <w:r>
              <w:rPr>
                <w:rFonts w:ascii="Arial" w:hAnsi="Arial"/>
                <w:b w:val="0"/>
                <w:sz w:val="14"/>
              </w:rPr>
              <w:t>Hash Manifest</w:t>
            </w:r>
          </w:p>
        </w:tc>
        <w:tc>
          <w:tcPr>
            <w:tcW w:type="dxa" w:w="2045"/>
          </w:tcPr>
          <w:p>
            <w:pPr>
              <w:spacing w:after="0"/>
            </w:pPr>
            <w:r>
              <w:rPr>
                <w:rFonts w:ascii="Arial" w:hAnsi="Arial"/>
                <w:b w:val="0"/>
                <w:sz w:val="14"/>
              </w:rPr>
              <w:t>Tamper-evident integrity for evidence pack contents</w:t>
            </w:r>
          </w:p>
        </w:tc>
        <w:tc>
          <w:tcPr>
            <w:tcW w:type="dxa" w:w="2045"/>
          </w:tcPr>
          <w:p>
            <w:pPr>
              <w:spacing w:after="0"/>
            </w:pPr>
            <w:r>
              <w:rPr>
                <w:rFonts w:ascii="Arial" w:hAnsi="Arial"/>
                <w:b w:val="0"/>
                <w:sz w:val="14"/>
              </w:rPr>
              <w:t>Evidence integrity and non-repudiation</w:t>
            </w:r>
          </w:p>
        </w:tc>
        <w:tc>
          <w:tcPr>
            <w:tcW w:type="dxa" w:w="2045"/>
          </w:tcPr>
          <w:p>
            <w:pPr>
              <w:spacing w:after="0"/>
            </w:pPr>
            <w:r>
              <w:rPr>
                <w:rFonts w:ascii="Arial" w:hAnsi="Arial"/>
                <w:b w:val="0"/>
                <w:sz w:val="14"/>
              </w:rPr>
              <w:t>MRO-08: MAS Evidence Partitioning; MRO-12: Evidence Minimization and Selective Disclosure</w:t>
            </w:r>
          </w:p>
        </w:tc>
        <w:tc>
          <w:tcPr>
            <w:tcW w:type="dxa" w:w="2045"/>
          </w:tcPr>
          <w:p>
            <w:pPr>
              <w:spacing w:after="0"/>
            </w:pPr>
            <w:r>
              <w:rPr>
                <w:rFonts w:ascii="Arial" w:hAnsi="Arial"/>
                <w:b w:val="0"/>
                <w:sz w:val="14"/>
              </w:rPr>
              <w:t>ALCS-08: MAS Evidence Partitioning; ALCS-12: Evidence Minimization and Selective Disclosure</w:t>
            </w:r>
          </w:p>
        </w:tc>
      </w:tr>
      <w:tr>
        <w:tc>
          <w:tcPr>
            <w:tcW w:type="dxa" w:w="2045"/>
          </w:tcPr>
          <w:p>
            <w:pPr>
              <w:spacing w:after="0"/>
            </w:pPr>
            <w:r>
              <w:rPr>
                <w:rFonts w:ascii="Arial" w:hAnsi="Arial"/>
                <w:b w:val="0"/>
                <w:sz w:val="14"/>
              </w:rPr>
              <w:t>Ruleset Identity</w:t>
            </w:r>
          </w:p>
        </w:tc>
        <w:tc>
          <w:tcPr>
            <w:tcW w:type="dxa" w:w="2045"/>
          </w:tcPr>
          <w:p>
            <w:pPr>
              <w:spacing w:after="0"/>
            </w:pPr>
            <w:r>
              <w:rPr>
                <w:rFonts w:ascii="Arial" w:hAnsi="Arial"/>
                <w:b w:val="0"/>
                <w:sz w:val="14"/>
              </w:rPr>
              <w:t>Predefined governance rules applied to evidence (e.g., "role mapping must exist", "delegation boundary must be explicit")</w:t>
            </w:r>
          </w:p>
        </w:tc>
        <w:tc>
          <w:tcPr>
            <w:tcW w:type="dxa" w:w="2045"/>
          </w:tcPr>
          <w:p>
            <w:pPr>
              <w:spacing w:after="0"/>
            </w:pPr>
            <w:r>
              <w:rPr>
                <w:rFonts w:ascii="Arial" w:hAnsi="Arial"/>
                <w:b w:val="0"/>
                <w:sz w:val="14"/>
              </w:rPr>
              <w:t>Governance rule conformance</w:t>
            </w:r>
          </w:p>
        </w:tc>
        <w:tc>
          <w:tcPr>
            <w:tcW w:type="dxa" w:w="2045"/>
          </w:tcPr>
          <w:p>
            <w:pPr>
              <w:spacing w:after="0"/>
            </w:pPr>
            <w:r>
              <w:rPr>
                <w:rFonts w:ascii="Arial" w:hAnsi="Arial"/>
                <w:b w:val="0"/>
                <w:sz w:val="14"/>
              </w:rPr>
              <w:t>MRO-11: Privacy-Preserving Third-Party Validation</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Evidence Pointers</w:t>
            </w:r>
          </w:p>
        </w:tc>
        <w:tc>
          <w:tcPr>
            <w:tcW w:type="dxa" w:w="2045"/>
          </w:tcPr>
          <w:p>
            <w:pPr>
              <w:spacing w:after="0"/>
            </w:pPr>
            <w:r>
              <w:rPr>
                <w:rFonts w:ascii="Arial" w:hAnsi="Arial"/>
                <w:b w:val="0"/>
                <w:sz w:val="14"/>
              </w:rPr>
              <w:t>References to specific evidence objects within the evidence pack (supports selective disclosure)</w:t>
            </w:r>
          </w:p>
        </w:tc>
        <w:tc>
          <w:tcPr>
            <w:tcW w:type="dxa" w:w="2045"/>
          </w:tcPr>
          <w:p>
            <w:pPr>
              <w:spacing w:after="0"/>
            </w:pPr>
            <w:r>
              <w:rPr>
                <w:rFonts w:ascii="Arial" w:hAnsi="Arial"/>
                <w:b w:val="0"/>
                <w:sz w:val="14"/>
              </w:rPr>
              <w:t>Selective disclosure and privacy-preserving validation</w:t>
            </w:r>
          </w:p>
        </w:tc>
        <w:tc>
          <w:tcPr>
            <w:tcW w:type="dxa" w:w="2045"/>
          </w:tcPr>
          <w:p>
            <w:pPr>
              <w:spacing w:after="0"/>
            </w:pPr>
            <w:r>
              <w:rPr>
                <w:rFonts w:ascii="Arial" w:hAnsi="Arial"/>
                <w:b w:val="0"/>
                <w:sz w:val="14"/>
              </w:rPr>
              <w:t>MRO-11: Privacy-Preserving Third-Party Validation; MRO-12: Evidence Minimization and Selective Disclosure</w:t>
            </w:r>
          </w:p>
        </w:tc>
        <w:tc>
          <w:tcPr>
            <w:tcW w:type="dxa" w:w="2045"/>
          </w:tcPr>
          <w:p>
            <w:pPr>
              <w:spacing w:after="0"/>
            </w:pPr>
            <w:r>
              <w:rPr>
                <w:rFonts w:ascii="Arial" w:hAnsi="Arial"/>
                <w:b w:val="0"/>
                <w:sz w:val="14"/>
              </w:rPr>
              <w:t>ALCS-11: Privacy-Preserving Third-Party Validation; ALCS-12: Evidence Minimization and Selective Disclosure</w:t>
            </w:r>
          </w:p>
        </w:tc>
      </w:tr>
      <w:tr>
        <w:tc>
          <w:tcPr>
            <w:tcW w:type="dxa" w:w="2045"/>
          </w:tcPr>
          <w:p>
            <w:pPr>
              <w:spacing w:after="0"/>
            </w:pPr>
            <w:r>
              <w:rPr>
                <w:rFonts w:ascii="Arial" w:hAnsi="Arial"/>
                <w:b w:val="0"/>
                <w:sz w:val="14"/>
              </w:rPr>
              <w:t>Verdict Hash</w:t>
            </w:r>
          </w:p>
        </w:tc>
        <w:tc>
          <w:tcPr>
            <w:tcW w:type="dxa" w:w="2045"/>
          </w:tcPr>
          <w:p>
            <w:pPr>
              <w:spacing w:after="0"/>
            </w:pPr>
            <w:r>
              <w:rPr>
                <w:rFonts w:ascii="Arial" w:hAnsi="Arial"/>
                <w:b w:val="0"/>
                <w:sz w:val="14"/>
              </w:rPr>
              <w:t>Cryptographic hash of validation result (pass/fail/partial) without exposing evidence details</w:t>
            </w:r>
          </w:p>
        </w:tc>
        <w:tc>
          <w:tcPr>
            <w:tcW w:type="dxa" w:w="2045"/>
          </w:tcPr>
          <w:p>
            <w:pPr>
              <w:spacing w:after="0"/>
            </w:pPr>
            <w:r>
              <w:rPr>
                <w:rFonts w:ascii="Arial" w:hAnsi="Arial"/>
                <w:b w:val="0"/>
                <w:sz w:val="14"/>
              </w:rPr>
              <w:t>Privacy-preserving validation result</w:t>
            </w:r>
          </w:p>
        </w:tc>
        <w:tc>
          <w:tcPr>
            <w:tcW w:type="dxa" w:w="2045"/>
          </w:tcPr>
          <w:p>
            <w:pPr>
              <w:spacing w:after="0"/>
            </w:pPr>
            <w:r>
              <w:rPr>
                <w:rFonts w:ascii="Arial" w:hAnsi="Arial"/>
                <w:b w:val="0"/>
                <w:sz w:val="14"/>
              </w:rPr>
              <w:t>MRO-11: Privacy-Preserving Third-Party Validation; MRO-16: Incident, Dispute, and Remediation Closure</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Disclosure Profile</w:t>
            </w:r>
          </w:p>
        </w:tc>
        <w:tc>
          <w:tcPr>
            <w:tcW w:type="dxa" w:w="2045"/>
          </w:tcPr>
          <w:p>
            <w:pPr>
              <w:spacing w:after="0"/>
            </w:pPr>
            <w:r>
              <w:rPr>
                <w:rFonts w:ascii="Arial" w:hAnsi="Arial"/>
                <w:b w:val="0"/>
                <w:sz w:val="14"/>
              </w:rPr>
              <w:t>Policy defining what evidence can be disclosed to validation provider</w:t>
            </w:r>
          </w:p>
        </w:tc>
        <w:tc>
          <w:tcPr>
            <w:tcW w:type="dxa" w:w="2045"/>
          </w:tcPr>
          <w:p>
            <w:pPr>
              <w:spacing w:after="0"/>
            </w:pPr>
            <w:r>
              <w:rPr>
                <w:rFonts w:ascii="Arial" w:hAnsi="Arial"/>
                <w:b w:val="0"/>
                <w:sz w:val="14"/>
              </w:rPr>
              <w:t>Privacy and data minimization policy</w:t>
            </w:r>
          </w:p>
        </w:tc>
        <w:tc>
          <w:tcPr>
            <w:tcW w:type="dxa" w:w="2045"/>
          </w:tcPr>
          <w:p>
            <w:pPr>
              <w:spacing w:after="0"/>
            </w:pPr>
            <w:r>
              <w:rPr>
                <w:rFonts w:ascii="Arial" w:hAnsi="Arial"/>
                <w:b w:val="0"/>
                <w:sz w:val="14"/>
              </w:rPr>
              <w:t>MRO-12: Evidence Minimization and Selective Disclosure; MRO-13: Data Subject Rights vs Evidence Retention</w:t>
            </w:r>
          </w:p>
        </w:tc>
        <w:tc>
          <w:tcPr>
            <w:tcW w:type="dxa" w:w="2045"/>
          </w:tcPr>
          <w:p>
            <w:pPr>
              <w:spacing w:after="0"/>
            </w:pPr>
            <w:r>
              <w:rPr>
                <w:rFonts w:ascii="Arial" w:hAnsi="Arial"/>
                <w:b w:val="0"/>
                <w:sz w:val="14"/>
              </w:rPr>
              <w:t>ALCS-12: Evidence Minimization and Selective Disclosure; ALCS-13: Data Subject Rights vs Evidence Retention</w:t>
            </w:r>
          </w:p>
        </w:tc>
      </w:tr>
      <w:tr>
        <w:tc>
          <w:tcPr>
            <w:tcW w:type="dxa" w:w="2045"/>
          </w:tcPr>
          <w:p>
            <w:pPr>
              <w:spacing w:after="0"/>
            </w:pPr>
            <w:r>
              <w:rPr>
                <w:rFonts w:ascii="Arial" w:hAnsi="Arial"/>
                <w:b w:val="0"/>
                <w:sz w:val="14"/>
              </w:rPr>
              <w:t>Redaction Profile</w:t>
            </w:r>
          </w:p>
        </w:tc>
        <w:tc>
          <w:tcPr>
            <w:tcW w:type="dxa" w:w="2045"/>
          </w:tcPr>
          <w:p>
            <w:pPr>
              <w:spacing w:after="0"/>
            </w:pPr>
            <w:r>
              <w:rPr>
                <w:rFonts w:ascii="Arial" w:hAnsi="Arial"/>
                <w:b w:val="0"/>
                <w:sz w:val="14"/>
              </w:rPr>
              <w:t>Policy defining what evidence must be redacted before disclosure</w:t>
            </w:r>
          </w:p>
        </w:tc>
        <w:tc>
          <w:tcPr>
            <w:tcW w:type="dxa" w:w="2045"/>
          </w:tcPr>
          <w:p>
            <w:pPr>
              <w:spacing w:after="0"/>
            </w:pPr>
            <w:r>
              <w:rPr>
                <w:rFonts w:ascii="Arial" w:hAnsi="Arial"/>
                <w:b w:val="0"/>
                <w:sz w:val="14"/>
              </w:rPr>
              <w:t>Privacy and data subject rights</w:t>
            </w:r>
          </w:p>
        </w:tc>
        <w:tc>
          <w:tcPr>
            <w:tcW w:type="dxa" w:w="2045"/>
          </w:tcPr>
          <w:p>
            <w:pPr>
              <w:spacing w:after="0"/>
            </w:pPr>
            <w:r>
              <w:rPr>
                <w:rFonts w:ascii="Arial" w:hAnsi="Arial"/>
                <w:b w:val="0"/>
                <w:sz w:val="14"/>
              </w:rPr>
              <w:t>MRO-13: Data Subject Rights vs Evidence Retention</w:t>
            </w:r>
          </w:p>
        </w:tc>
        <w:tc>
          <w:tcPr>
            <w:tcW w:type="dxa" w:w="2045"/>
          </w:tcPr>
          <w:p>
            <w:pPr>
              <w:spacing w:after="0"/>
            </w:pPr>
            <w:r>
              <w:rPr>
                <w:rFonts w:ascii="Arial" w:hAnsi="Arial"/>
                <w:b w:val="0"/>
                <w:sz w:val="14"/>
              </w:rPr>
              <w:t>ALCS-13: Data Subject Rights vs Evidence Retention</w:t>
            </w:r>
          </w:p>
        </w:tc>
      </w:tr>
      <w:tr>
        <w:tc>
          <w:tcPr>
            <w:tcW w:type="dxa" w:w="2045"/>
          </w:tcPr>
          <w:p>
            <w:pPr>
              <w:spacing w:after="0"/>
            </w:pPr>
            <w:r>
              <w:rPr>
                <w:rFonts w:ascii="Arial" w:hAnsi="Arial"/>
                <w:b w:val="0"/>
                <w:sz w:val="14"/>
              </w:rPr>
              <w:t>Replay / Recheck Procedure</w:t>
            </w:r>
          </w:p>
        </w:tc>
        <w:tc>
          <w:tcPr>
            <w:tcW w:type="dxa" w:w="2045"/>
          </w:tcPr>
          <w:p>
            <w:pPr>
              <w:spacing w:after="0"/>
            </w:pPr>
            <w:r>
              <w:rPr>
                <w:rFonts w:ascii="Arial" w:hAnsi="Arial"/>
                <w:b w:val="0"/>
                <w:sz w:val="14"/>
              </w:rPr>
              <w:t>Procedure for re-validating evidence after system changes or policy updates</w:t>
            </w:r>
          </w:p>
        </w:tc>
        <w:tc>
          <w:tcPr>
            <w:tcW w:type="dxa" w:w="2045"/>
          </w:tcPr>
          <w:p>
            <w:pPr>
              <w:spacing w:after="0"/>
            </w:pPr>
            <w:r>
              <w:rPr>
                <w:rFonts w:ascii="Arial" w:hAnsi="Arial"/>
                <w:b w:val="0"/>
                <w:sz w:val="14"/>
              </w:rPr>
              <w:t>Continuous validation and substitution conformance</w:t>
            </w:r>
          </w:p>
        </w:tc>
        <w:tc>
          <w:tcPr>
            <w:tcW w:type="dxa" w:w="2045"/>
          </w:tcPr>
          <w:p>
            <w:pPr>
              <w:spacing w:after="0"/>
            </w:pPr>
            <w:r>
              <w:rPr>
                <w:rFonts w:ascii="Arial" w:hAnsi="Arial"/>
                <w:b w:val="0"/>
                <w:sz w:val="14"/>
              </w:rPr>
              <w:t>MRO-15: Vendor/Model/Runtime Substitution Conformance; MRO-16: Incident, Dispute, and Remediation Closure</w:t>
            </w:r>
          </w:p>
        </w:tc>
        <w:tc>
          <w:tcPr>
            <w:tcW w:type="dxa" w:w="2045"/>
          </w:tcPr>
          <w:p>
            <w:pPr>
              <w:spacing w:after="0"/>
            </w:pPr>
            <w:r>
              <w:rPr>
                <w:rFonts w:ascii="Arial" w:hAnsi="Arial"/>
                <w:b w:val="0"/>
                <w:sz w:val="14"/>
              </w:rPr>
              <w:t>ALCS-15: Vendor/Model/Runtime Substitution Conformance</w:t>
            </w:r>
          </w:p>
        </w:tc>
      </w:tr>
    </w:tbl>
    <w:p>
      <w:pPr>
        <w:spacing w:after="56"/>
      </w:pPr>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Pr>
        <w:pStyle w:val="Heading2"/>
      </w:pPr>
      <w:r>
        <w:t>14.3 What This Pattern Does Not Prove</w:t>
      </w:r>
    </w:p>
    <w:p>
      <w:pPr>
        <w:spacing w:after="56"/>
      </w:pPr>
      <w:r>
        <w:t>The evidence-based validation pattern validates lifecycle responsibility object conformance. It does not validate legal compliance, regulatory approval, business logic correctness, model accuracy, or operational effectiveness.</w:t>
      </w:r>
    </w:p>
    <w:p>
      <w:pPr>
        <w:keepNext/>
      </w:pPr>
      <w:r>
        <w:rPr>
          <w:b/>
          <w:sz w:val="16"/>
        </w:rPr>
        <w:t>Table T-14-02: Evidence-Based Validation Pattern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What the Pattern Can Validate</w:t>
            </w:r>
          </w:p>
        </w:tc>
        <w:tc>
          <w:tcPr>
            <w:tcW w:type="dxa" w:w="3408"/>
          </w:tcPr>
          <w:p>
            <w:pPr>
              <w:spacing w:after="0"/>
            </w:pPr>
            <w:r>
              <w:rPr>
                <w:rFonts w:ascii="Arial" w:hAnsi="Arial"/>
                <w:b/>
                <w:sz w:val="14"/>
              </w:rPr>
              <w:t>What the Pattern Cannot Validate</w:t>
            </w:r>
          </w:p>
        </w:tc>
        <w:tc>
          <w:tcPr>
            <w:tcW w:type="dxa" w:w="3408"/>
          </w:tcPr>
          <w:p>
            <w:pPr>
              <w:spacing w:after="0"/>
            </w:pPr>
            <w:r>
              <w:rPr>
                <w:rFonts w:ascii="Arial" w:hAnsi="Arial"/>
                <w:b/>
                <w:sz w:val="14"/>
              </w:rPr>
              <w:t>Why the Boundary Exists</w:t>
            </w:r>
          </w:p>
        </w:tc>
      </w:tr>
      <w:tr>
        <w:tc>
          <w:tcPr>
            <w:tcW w:type="dxa" w:w="3408"/>
          </w:tcPr>
          <w:p>
            <w:pPr>
              <w:spacing w:after="0"/>
            </w:pPr>
            <w:r>
              <w:rPr>
                <w:rFonts w:ascii="Arial" w:hAnsi="Arial"/>
                <w:b w:val="0"/>
                <w:sz w:val="14"/>
              </w:rPr>
              <w:t>Lifecycle responsibility objects exist (role mappings, delegation boundaries, accepted outcomes, evidence chains, handoff records)</w:t>
            </w:r>
          </w:p>
        </w:tc>
        <w:tc>
          <w:tcPr>
            <w:tcW w:type="dxa" w:w="3408"/>
          </w:tcPr>
          <w:p>
            <w:pPr>
              <w:spacing w:after="0"/>
            </w:pPr>
            <w:r>
              <w:rPr>
                <w:rFonts w:ascii="Arial" w:hAnsi="Arial"/>
                <w:b w:val="0"/>
                <w:sz w:val="14"/>
              </w:rPr>
              <w:t>Legal compliance with specific regulations (EU AI Act, GDPR, HIPAA, SOX, etc.)</w:t>
            </w:r>
          </w:p>
        </w:tc>
        <w:tc>
          <w:tcPr>
            <w:tcW w:type="dxa" w:w="3408"/>
          </w:tcPr>
          <w:p>
            <w:pPr>
              <w:spacing w:after="0"/>
            </w:pPr>
            <w:r>
              <w:rPr>
                <w:rFonts w:ascii="Arial" w:hAnsi="Arial"/>
                <w:b w:val="0"/>
                <w:sz w:val="14"/>
              </w:rPr>
              <w:t>Legal compliance requires legal interpretation, not technical validation</w:t>
            </w:r>
          </w:p>
        </w:tc>
      </w:tr>
      <w:tr>
        <w:tc>
          <w:tcPr>
            <w:tcW w:type="dxa" w:w="3408"/>
          </w:tcPr>
          <w:p>
            <w:pPr>
              <w:spacing w:after="0"/>
            </w:pPr>
            <w:r>
              <w:rPr>
                <w:rFonts w:ascii="Arial" w:hAnsi="Arial"/>
                <w:b w:val="0"/>
                <w:sz w:val="14"/>
              </w:rPr>
              <w:t>Lifecycle responsibility objects are structured correctly according to predefined rulesets</w:t>
            </w:r>
          </w:p>
        </w:tc>
        <w:tc>
          <w:tcPr>
            <w:tcW w:type="dxa" w:w="3408"/>
          </w:tcPr>
          <w:p>
            <w:pPr>
              <w:spacing w:after="0"/>
            </w:pPr>
            <w:r>
              <w:rPr>
                <w:rFonts w:ascii="Arial" w:hAnsi="Arial"/>
                <w:b w:val="0"/>
                <w:sz w:val="14"/>
              </w:rPr>
              <w:t>Regulatory approval or regulator acceptance</w:t>
            </w:r>
          </w:p>
        </w:tc>
        <w:tc>
          <w:tcPr>
            <w:tcW w:type="dxa" w:w="3408"/>
          </w:tcPr>
          <w:p>
            <w:pPr>
              <w:spacing w:after="0"/>
            </w:pPr>
            <w:r>
              <w:rPr>
                <w:rFonts w:ascii="Arial" w:hAnsi="Arial"/>
                <w:b w:val="0"/>
                <w:sz w:val="14"/>
              </w:rPr>
              <w:t>Regulatory approval is a legal/administrative process, not a technical validation process</w:t>
            </w:r>
          </w:p>
        </w:tc>
      </w:tr>
      <w:tr>
        <w:tc>
          <w:tcPr>
            <w:tcW w:type="dxa" w:w="3408"/>
          </w:tcPr>
          <w:p>
            <w:pPr>
              <w:spacing w:after="0"/>
            </w:pPr>
            <w:r>
              <w:rPr>
                <w:rFonts w:ascii="Arial" w:hAnsi="Arial"/>
                <w:b w:val="0"/>
                <w:sz w:val="14"/>
              </w:rPr>
              <w:t>Evidence chains are complete and tamper-evident</w:t>
            </w:r>
          </w:p>
        </w:tc>
        <w:tc>
          <w:tcPr>
            <w:tcW w:type="dxa" w:w="3408"/>
          </w:tcPr>
          <w:p>
            <w:pPr>
              <w:spacing w:after="0"/>
            </w:pPr>
            <w:r>
              <w:rPr>
                <w:rFonts w:ascii="Arial" w:hAnsi="Arial"/>
                <w:b w:val="0"/>
                <w:sz w:val="14"/>
              </w:rPr>
              <w:t>Business logic correctness or operational effectiveness</w:t>
            </w:r>
          </w:p>
        </w:tc>
        <w:tc>
          <w:tcPr>
            <w:tcW w:type="dxa" w:w="3408"/>
          </w:tcPr>
          <w:p>
            <w:pPr>
              <w:spacing w:after="0"/>
            </w:pPr>
            <w:r>
              <w:rPr>
                <w:rFonts w:ascii="Arial" w:hAnsi="Arial"/>
                <w:b w:val="0"/>
                <w:sz w:val="14"/>
              </w:rPr>
              <w:t>Business logic validation requires domain expertise and operational testing</w:t>
            </w:r>
          </w:p>
        </w:tc>
      </w:tr>
      <w:tr>
        <w:tc>
          <w:tcPr>
            <w:tcW w:type="dxa" w:w="3408"/>
          </w:tcPr>
          <w:p>
            <w:pPr>
              <w:spacing w:after="0"/>
            </w:pPr>
            <w:r>
              <w:rPr>
                <w:rFonts w:ascii="Arial" w:hAnsi="Arial"/>
                <w:b w:val="0"/>
                <w:sz w:val="14"/>
              </w:rPr>
              <w:t>Delegation boundaries are explicit and documented</w:t>
            </w:r>
          </w:p>
        </w:tc>
        <w:tc>
          <w:tcPr>
            <w:tcW w:type="dxa" w:w="3408"/>
          </w:tcPr>
          <w:p>
            <w:pPr>
              <w:spacing w:after="0"/>
            </w:pPr>
            <w:r>
              <w:rPr>
                <w:rFonts w:ascii="Arial" w:hAnsi="Arial"/>
                <w:b w:val="0"/>
                <w:sz w:val="14"/>
              </w:rPr>
              <w:t>Model accuracy, model fairness, or model safety</w:t>
            </w:r>
          </w:p>
        </w:tc>
        <w:tc>
          <w:tcPr>
            <w:tcW w:type="dxa" w:w="3408"/>
          </w:tcPr>
          <w:p>
            <w:pPr>
              <w:spacing w:after="0"/>
            </w:pPr>
            <w:r>
              <w:rPr>
                <w:rFonts w:ascii="Arial" w:hAnsi="Arial"/>
                <w:b w:val="0"/>
                <w:sz w:val="14"/>
              </w:rPr>
              <w:t>Model validation requires model-specific testing and domain expertise</w:t>
            </w:r>
          </w:p>
        </w:tc>
      </w:tr>
      <w:tr>
        <w:tc>
          <w:tcPr>
            <w:tcW w:type="dxa" w:w="3408"/>
          </w:tcPr>
          <w:p>
            <w:pPr>
              <w:spacing w:after="0"/>
            </w:pPr>
            <w:r>
              <w:rPr>
                <w:rFonts w:ascii="Arial" w:hAnsi="Arial"/>
                <w:b w:val="0"/>
                <w:sz w:val="14"/>
              </w:rPr>
              <w:t>Handoff records exist and are traceable</w:t>
            </w:r>
          </w:p>
        </w:tc>
        <w:tc>
          <w:tcPr>
            <w:tcW w:type="dxa" w:w="3408"/>
          </w:tcPr>
          <w:p>
            <w:pPr>
              <w:spacing w:after="0"/>
            </w:pPr>
            <w:r>
              <w:rPr>
                <w:rFonts w:ascii="Arial" w:hAnsi="Arial"/>
                <w:b w:val="0"/>
                <w:sz w:val="14"/>
              </w:rPr>
              <w:t>Enterprise policy enforcement or organizational controls</w:t>
            </w:r>
          </w:p>
        </w:tc>
        <w:tc>
          <w:tcPr>
            <w:tcW w:type="dxa" w:w="3408"/>
          </w:tcPr>
          <w:p>
            <w:pPr>
              <w:spacing w:after="0"/>
            </w:pPr>
            <w:r>
              <w:rPr>
                <w:rFonts w:ascii="Arial" w:hAnsi="Arial"/>
                <w:b w:val="0"/>
                <w:sz w:val="14"/>
              </w:rPr>
              <w:t>Policy enforcement requires organizational governance, not technical validation</w:t>
            </w:r>
          </w:p>
        </w:tc>
      </w:tr>
      <w:tr>
        <w:tc>
          <w:tcPr>
            <w:tcW w:type="dxa" w:w="3408"/>
          </w:tcPr>
          <w:p>
            <w:pPr>
              <w:spacing w:after="0"/>
            </w:pPr>
            <w:r>
              <w:rPr>
                <w:rFonts w:ascii="Arial" w:hAnsi="Arial"/>
                <w:b w:val="0"/>
                <w:sz w:val="14"/>
              </w:rPr>
              <w:t>Evidence minimization and selective disclosure policies are applied</w:t>
            </w:r>
          </w:p>
        </w:tc>
        <w:tc>
          <w:tcPr>
            <w:tcW w:type="dxa" w:w="3408"/>
          </w:tcPr>
          <w:p>
            <w:pPr>
              <w:spacing w:after="0"/>
            </w:pPr>
            <w:r>
              <w:rPr>
                <w:rFonts w:ascii="Arial" w:hAnsi="Arial"/>
                <w:b w:val="0"/>
                <w:sz w:val="14"/>
              </w:rPr>
              <w:t>Data subject rights compliance or GDPR Article 17 (right to erasure) reconciliation</w:t>
            </w:r>
          </w:p>
        </w:tc>
        <w:tc>
          <w:tcPr>
            <w:tcW w:type="dxa" w:w="3408"/>
          </w:tcPr>
          <w:p>
            <w:pPr>
              <w:spacing w:after="0"/>
            </w:pPr>
            <w:r>
              <w:rPr>
                <w:rFonts w:ascii="Arial" w:hAnsi="Arial"/>
                <w:b w:val="0"/>
                <w:sz w:val="14"/>
              </w:rPr>
              <w:t>Data subject rights require legal interpretation and case-by-case analysis</w:t>
            </w:r>
          </w:p>
        </w:tc>
      </w:tr>
      <w:tr>
        <w:tc>
          <w:tcPr>
            <w:tcW w:type="dxa" w:w="3408"/>
          </w:tcPr>
          <w:p>
            <w:pPr>
              <w:spacing w:after="0"/>
            </w:pPr>
            <w:r>
              <w:rPr>
                <w:rFonts w:ascii="Arial" w:hAnsi="Arial"/>
                <w:b w:val="0"/>
                <w:sz w:val="14"/>
              </w:rPr>
              <w:t>Substitution conformance can be re-validated after system changes</w:t>
            </w:r>
          </w:p>
        </w:tc>
        <w:tc>
          <w:tcPr>
            <w:tcW w:type="dxa" w:w="3408"/>
          </w:tcPr>
          <w:p>
            <w:pPr>
              <w:spacing w:after="0"/>
            </w:pPr>
            <w:r>
              <w:rPr>
                <w:rFonts w:ascii="Arial" w:hAnsi="Arial"/>
                <w:b w:val="0"/>
                <w:sz w:val="14"/>
              </w:rPr>
              <w:t>Incident resolution, dispute resolution, or remediation closure</w:t>
            </w:r>
          </w:p>
        </w:tc>
        <w:tc>
          <w:tcPr>
            <w:tcW w:type="dxa" w:w="3408"/>
          </w:tcPr>
          <w:p>
            <w:pPr>
              <w:spacing w:after="0"/>
            </w:pPr>
            <w:r>
              <w:rPr>
                <w:rFonts w:ascii="Arial" w:hAnsi="Arial"/>
                <w:b w:val="0"/>
                <w:sz w:val="14"/>
              </w:rPr>
              <w:t>Incident and dispute resolution require organizational process and legal authority</w:t>
            </w:r>
          </w:p>
        </w:tc>
      </w:tr>
    </w:tbl>
    <w:p>
      <w:pPr>
        <w:spacing w:after="56"/>
      </w:pPr>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Pr>
        <w:pStyle w:val="Heading2"/>
      </w:pPr>
      <w:r>
        <w:t>14.4 Validation Lab as Non-Certifying Evidence Adjudication Example</w:t>
      </w:r>
    </w:p>
    <w:p>
      <w:pPr>
        <w:spacing w:after="56"/>
      </w:pPr>
      <w:r>
        <w:t>Validation Lab is one example of how the evidence-based validation pattern can be operationalized. Validation Lab is referenced only at the level of public-surface evidence and as a non-certifying example. This paper does not rely on Validation Lab as independent audit evidence or as proof of legal compliance. Validation Lab is not a certification program, certification authority, regulator, legal authority, or conformity assessment body. It does not certify compliance, does not prove legal compliance, and does not guarantee regulatory approval.</w:t>
      </w:r>
    </w:p>
    <w:p>
      <w:pPr>
        <w:spacing w:after="56"/>
      </w:pPr>
      <w:r>
        <w:t>Validation Lab boundary statement:</w:t>
      </w:r>
    </w:p>
    <w:p>
      <w:pPr>
        <w:spacing w:after="56"/>
      </w:pPr>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Pr>
        <w:spacing w:after="56"/>
      </w:pPr>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Pr>
        <w:keepNext/>
      </w:pPr>
      <w:r>
        <w:rPr>
          <w:b/>
          <w:sz w:val="16"/>
        </w:rPr>
        <w:t>Table T-14-03: Validation Lab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Validation identity</w:t>
            </w:r>
          </w:p>
        </w:tc>
        <w:tc>
          <w:tcPr>
            <w:tcW w:type="dxa" w:w="3408"/>
          </w:tcPr>
          <w:p>
            <w:pPr>
              <w:spacing w:after="0"/>
            </w:pPr>
            <w:r>
              <w:rPr>
                <w:rFonts w:ascii="Arial" w:hAnsi="Arial"/>
                <w:b w:val="0"/>
                <w:sz w:val="14"/>
              </w:rPr>
              <w:t>Validation Lab is a non-certifying evidence adjudication example</w:t>
            </w:r>
          </w:p>
        </w:tc>
        <w:tc>
          <w:tcPr>
            <w:tcW w:type="dxa" w:w="3408"/>
          </w:tcPr>
          <w:p>
            <w:pPr>
              <w:spacing w:after="0"/>
            </w:pPr>
            <w:r>
              <w:rPr>
                <w:rFonts w:ascii="Arial" w:hAnsi="Arial"/>
                <w:b w:val="0"/>
                <w:sz w:val="14"/>
              </w:rPr>
              <w:t>Validation Lab is a certification authority or issuer of compliance certificates</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Validation Lab adjudicates evidence against predefined rulesets</w:t>
            </w:r>
          </w:p>
        </w:tc>
        <w:tc>
          <w:tcPr>
            <w:tcW w:type="dxa" w:w="3408"/>
          </w:tcPr>
          <w:p>
            <w:pPr>
              <w:spacing w:after="0"/>
            </w:pPr>
            <w:r>
              <w:rPr>
                <w:rFonts w:ascii="Arial" w:hAnsi="Arial"/>
                <w:b w:val="0"/>
                <w:sz w:val="14"/>
              </w:rPr>
              <w:t>Validation Lab proves legal compliance; Validation Lab guarantees regulatory approval</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Validation Lab does not certify compliance</w:t>
            </w:r>
          </w:p>
        </w:tc>
        <w:tc>
          <w:tcPr>
            <w:tcW w:type="dxa" w:w="3408"/>
          </w:tcPr>
          <w:p>
            <w:pPr>
              <w:spacing w:after="0"/>
            </w:pPr>
            <w:r>
              <w:rPr>
                <w:rFonts w:ascii="Arial" w:hAnsi="Arial"/>
                <w:b w:val="0"/>
                <w:sz w:val="14"/>
              </w:rPr>
              <w:t>Validation Lab is a certification program; Validation Lab is a conformity assessment body</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Validation Lab does not provide legal opinions</w:t>
            </w:r>
          </w:p>
        </w:tc>
        <w:tc>
          <w:tcPr>
            <w:tcW w:type="dxa" w:w="3408"/>
          </w:tcPr>
          <w:p>
            <w:pPr>
              <w:spacing w:after="0"/>
            </w:pPr>
            <w:r>
              <w:rPr>
                <w:rFonts w:ascii="Arial" w:hAnsi="Arial"/>
                <w:b w:val="0"/>
                <w:sz w:val="14"/>
              </w:rPr>
              <w:t>Validation Lab is a legal authority; Validation Lab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Validation Lab requires regulatory interpretation by organizations</w:t>
            </w:r>
          </w:p>
        </w:tc>
        <w:tc>
          <w:tcPr>
            <w:tcW w:type="dxa" w:w="3408"/>
          </w:tcPr>
          <w:p>
            <w:pPr>
              <w:spacing w:after="0"/>
            </w:pPr>
            <w:r>
              <w:rPr>
                <w:rFonts w:ascii="Arial" w:hAnsi="Arial"/>
                <w:b w:val="0"/>
                <w:sz w:val="14"/>
              </w:rPr>
              <w:t>Validation Lab is regulator-approved; Validation Lab is the official compliance standard</w:t>
            </w:r>
          </w:p>
        </w:tc>
      </w:tr>
      <w:tr>
        <w:tc>
          <w:tcPr>
            <w:tcW w:type="dxa" w:w="3408"/>
          </w:tcPr>
          <w:p>
            <w:pPr>
              <w:spacing w:after="0"/>
            </w:pPr>
            <w:r>
              <w:rPr>
                <w:rFonts w:ascii="Arial" w:hAnsi="Arial"/>
                <w:b w:val="0"/>
                <w:sz w:val="14"/>
              </w:rPr>
              <w:t>Market positioning</w:t>
            </w:r>
          </w:p>
        </w:tc>
        <w:tc>
          <w:tcPr>
            <w:tcW w:type="dxa" w:w="3408"/>
          </w:tcPr>
          <w:p>
            <w:pPr>
              <w:spacing w:after="0"/>
            </w:pPr>
            <w:r>
              <w:rPr>
                <w:rFonts w:ascii="Arial" w:hAnsi="Arial"/>
                <w:b w:val="0"/>
                <w:sz w:val="14"/>
              </w:rPr>
              <w:t>Validation Lab is one example of evidence-based validation</w:t>
            </w:r>
          </w:p>
        </w:tc>
        <w:tc>
          <w:tcPr>
            <w:tcW w:type="dxa" w:w="3408"/>
          </w:tcPr>
          <w:p>
            <w:pPr>
              <w:spacing w:after="0"/>
            </w:pPr>
            <w:r>
              <w:rPr>
                <w:rFonts w:ascii="Arial" w:hAnsi="Arial"/>
                <w:b w:val="0"/>
                <w:sz w:val="14"/>
              </w:rPr>
              <w:t>Validation Lab is the only validation path; Validation Lab is industry-standard</w:t>
            </w:r>
          </w:p>
        </w:tc>
      </w:tr>
      <w:tr>
        <w:tc>
          <w:tcPr>
            <w:tcW w:type="dxa" w:w="3408"/>
          </w:tcPr>
          <w:p>
            <w:pPr>
              <w:spacing w:after="0"/>
            </w:pPr>
            <w:r>
              <w:rPr>
                <w:rFonts w:ascii="Arial" w:hAnsi="Arial"/>
                <w:b w:val="0"/>
                <w:sz w:val="14"/>
              </w:rPr>
              <w:t>Evidence adjudication</w:t>
            </w:r>
          </w:p>
        </w:tc>
        <w:tc>
          <w:tcPr>
            <w:tcW w:type="dxa" w:w="3408"/>
          </w:tcPr>
          <w:p>
            <w:pPr>
              <w:spacing w:after="0"/>
            </w:pPr>
            <w:r>
              <w:rPr>
                <w:rFonts w:ascii="Arial" w:hAnsi="Arial"/>
                <w:b w:val="0"/>
                <w:sz w:val="14"/>
              </w:rPr>
              <w:t>Validation Lab adjudicates evidence conformance to rulesets</w:t>
            </w:r>
          </w:p>
        </w:tc>
        <w:tc>
          <w:tcPr>
            <w:tcW w:type="dxa" w:w="3408"/>
          </w:tcPr>
          <w:p>
            <w:pPr>
              <w:spacing w:after="0"/>
            </w:pPr>
            <w:r>
              <w:rPr>
                <w:rFonts w:ascii="Arial" w:hAnsi="Arial"/>
                <w:b w:val="0"/>
                <w:sz w:val="14"/>
              </w:rPr>
              <w:t>Validation Lab proves operational effectiveness; Validation Lab guarantees insurability</w:t>
            </w:r>
          </w:p>
        </w:tc>
      </w:tr>
    </w:tbl>
    <w:p>
      <w:pPr>
        <w:spacing w:after="56"/>
      </w:pPr>
      <w:r>
        <w:t>Other validation providers, internal audit teams, or enterprise governance functions can implement the evidence-based validation pattern. Validation Lab is one example, not the exclusive implementation.</w:t>
      </w:r>
    </w:p>
    <w:p>
      <w:pPr>
        <w:pStyle w:val="Heading2"/>
      </w:pPr>
      <w:r>
        <w:t>14.5 Mapping to Missing Regulatory Objects and ALCS</w:t>
      </w:r>
    </w:p>
    <w:p>
      <w:pPr>
        <w:spacing w:after="56"/>
      </w:pPr>
      <w:r>
        <w:t>The evidence-based validation pattern directly supports five Missing Regulatory Objects and five ALCS dimensions.</w:t>
      </w:r>
    </w:p>
    <w:p>
      <w:pPr>
        <w:keepNext/>
      </w:pPr>
      <w:r>
        <w:rPr>
          <w:b/>
          <w:sz w:val="16"/>
        </w:rPr>
        <w:t>Table T-14-04: Evidence-Based Validation Pattern Mapping to MROs and ALCS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 / 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How the Pattern Supports</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support partitioned evidence chains</w:t>
            </w:r>
          </w:p>
        </w:tc>
        <w:tc>
          <w:tcPr>
            <w:tcW w:type="dxa" w:w="2556"/>
          </w:tcPr>
          <w:p>
            <w:pPr>
              <w:spacing w:after="0"/>
            </w:pPr>
            <w:r>
              <w:rPr>
                <w:rFonts w:ascii="Arial" w:hAnsi="Arial"/>
                <w:b w:val="0"/>
                <w:sz w:val="14"/>
              </w:rPr>
              <w:t>Requires evidence export policy; requires partition rules definition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directly express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directly express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substitution conformance validation</w:t>
            </w:r>
          </w:p>
        </w:tc>
        <w:tc>
          <w:tcPr>
            <w:tcW w:type="dxa" w:w="2556"/>
          </w:tcPr>
          <w:p>
            <w:pPr>
              <w:spacing w:after="0"/>
            </w:pPr>
            <w:r>
              <w:rPr>
                <w:rFonts w:ascii="Arial" w:hAnsi="Arial"/>
                <w:b w:val="0"/>
                <w:sz w:val="14"/>
              </w:rPr>
              <w:t>Requires substitution testing; requires conformance validation</w:t>
            </w:r>
          </w:p>
        </w:tc>
      </w:tr>
    </w:tbl>
    <w:p>
      <w:pPr>
        <w:spacing w:after="56"/>
      </w:pPr>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Pr>
        <w:pStyle w:val="Heading2"/>
      </w:pPr>
      <w:r>
        <w:t>14.6 Bridge to Enterprise Failure Scenarios</w:t>
      </w:r>
    </w:p>
    <w:p>
      <w:pPr>
        <w:spacing w:after="56"/>
      </w:pPr>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Pr>
        <w:spacing w:after="56"/>
      </w:pPr>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Pr>
        <w:pStyle w:val="ListBullet"/>
        <w:spacing w:after="56"/>
      </w:pPr>
      <w:r>
        <w:t>Organizational controls are not enforced</w:t>
      </w:r>
    </w:p>
    <w:p>
      <w:pPr>
        <w:pStyle w:val="ListBullet"/>
        <w:spacing w:after="56"/>
      </w:pPr>
      <w:r>
        <w:t>Human oversight is not operationalized</w:t>
      </w:r>
    </w:p>
    <w:p>
      <w:pPr>
        <w:pStyle w:val="ListBullet"/>
        <w:spacing w:after="56"/>
      </w:pPr>
      <w:r>
        <w:t>Incident response is not timely</w:t>
      </w:r>
    </w:p>
    <w:p>
      <w:pPr>
        <w:pStyle w:val="ListBullet"/>
        <w:spacing w:after="56"/>
      </w:pPr>
      <w:r>
        <w:t>Remediation is not effective</w:t>
      </w:r>
    </w:p>
    <w:p>
      <w:pPr>
        <w:pStyle w:val="ListBullet"/>
        <w:spacing w:after="56"/>
      </w:pPr>
      <w:r>
        <w:t>Authority drift is not detected</w:t>
      </w:r>
    </w:p>
    <w:p>
      <w:pPr>
        <w:pStyle w:val="ListBullet"/>
        <w:spacing w:after="56"/>
      </w:pPr>
      <w:r>
        <w:t>Evidence retention conflicts with data subject rights</w:t>
      </w:r>
    </w:p>
    <w:p>
      <w:pPr>
        <w:pStyle w:val="ListBullet"/>
        <w:spacing w:after="56"/>
      </w:pPr>
      <w:r>
        <w:t>Substitution conformance is not re-validated after system changes</w:t>
      </w:r>
    </w:p>
    <w:p>
      <w:pPr>
        <w:spacing w:after="56"/>
      </w:pPr>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Pr>
        <w:pStyle w:val="Heading1"/>
      </w:pPr>
      <w:r>
        <w:t>15. Enterprise Failure Scenarios</w:t>
      </w:r>
    </w:p>
    <w:p>
      <w:pPr>
        <w:spacing w:after="56"/>
      </w:pPr>
      <w:r>
        <w:t>Version: v0.3.2-FRC-R3</w:t>
      </w:r>
    </w:p>
    <w:p>
      <w:pPr>
        <w:pStyle w:val="Heading2"/>
      </w:pPr>
      <w:r>
        <w:t>15.0 Why Enterprise Failure Scenarios Matter</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Pr>
        <w:spacing w:after="56"/>
      </w:pPr>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Pr>
        <w:spacing w:after="56"/>
      </w:pPr>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Pr>
        <w:spacing w:after="56"/>
      </w:pPr>
      <w:r>
        <w:t>The scenarios in this chapter are illustrative and hypothetical. They do not describe real company incidents, assert actual legal violations, or claim that any specific vendor, platform, or organization failed.</w:t>
      </w:r>
    </w:p>
    <w:p>
      <w:pPr>
        <w:spacing w:after="56"/>
      </w:pPr>
      <w:r>
        <w:t>The goal is not to claim that lifecycle governance eliminates all risk. The goal is to demonstrate that lifecycle governance gaps create predictable failure patterns that enterprises must address.</w:t>
      </w:r>
    </w:p>
    <w:p>
      <w:pPr>
        <w:pStyle w:val="Heading3"/>
      </w:pPr>
      <w:r>
        <w:t>Failure Scenarios as RCCS-M Pressure Tests</w:t>
      </w:r>
    </w:p>
    <w:p>
      <w:pPr>
        <w:spacing w:after="56"/>
      </w:pPr>
      <w:r>
        <w:t>The eight scenarios in this chapter are RCCS-M pressure-test examples. They are not real enterprise incidents, RCCS-T traditional governance examples, legal violation claims, or vendor failure claims. They show where traditional governance controls may appear present while MRO-adjusted lifecycle responsibility coverage still fails.</w:t>
      </w:r>
    </w:p>
    <w:p>
      <w:pPr>
        <w:spacing w:after="56"/>
      </w:pPr>
      <w:r>
        <w:t>For example, a system may have a review screen, logs, documentation, access controls, or monitoring dashboard and therefore show some RCCS-T coverage. RCCS-M asks a different question: can the same regulatory obligation be expressed through inspectable lifecycle responsibility objects? The scenarios pressure-test that question across authority boundary, evidence partitioning, accepted outcome, cross-project reuse, privacy validation, processor chain, vendor/runtime substitution, and remediation closure. The point is not to recalculate scores in this chapter; the point is to show why RCCS-M needs MRO-backed evidence rather than generic control visibility.</w:t>
      </w:r>
    </w:p>
    <w:p>
      <w:pPr>
        <w:spacing w:after="56"/>
      </w:pPr>
      <w:r>
        <w:t>Figure F-09 - Enterprise Failure Scenario Chain</w:t>
      </w:r>
    </w:p>
    <w:p>
      <w:pPr>
        <w:spacing w:after="56"/>
      </w:pPr>
      <w:r>
        <w:t>Trigger or Workflow Change -&gt; Missing Lifecycle Object -&gt; Evidence Gap -&gt; Enterprise Consequence -&gt; Remediation Closure</w:t>
      </w:r>
    </w:p>
    <w:p>
      <w:pPr>
        <w:spacing w:after="56"/>
      </w:pPr>
      <w:r>
        <w:t>Figure F-09 shows how a localized agentic workflow trigger can become an enterprise failure pattern when the lifecycle object is missing or weak. The figure is an analytical chain, not an incident probability model, legal conclusion, or claim that all agentic failures follow the same sequence.</w:t>
      </w:r>
    </w:p>
    <w:p>
      <w:pPr>
        <w:pStyle w:val="Heading2"/>
      </w:pPr>
      <w:r>
        <w:t>15.1 Failure Mode Categories</w:t>
      </w:r>
    </w:p>
    <w:p>
      <w:pPr>
        <w:spacing w:after="56"/>
      </w:pPr>
      <w:r>
        <w:t>Enterprise failure scenarios fall into four categories based on where the lifecycle governance gap occurs.</w:t>
      </w:r>
    </w:p>
    <w:p>
      <w:pPr>
        <w:keepNext/>
      </w:pPr>
      <w:r>
        <w:rPr>
          <w:b/>
          <w:sz w:val="16"/>
        </w:rPr>
        <w:t>Table T-15-01: Failure Mode Categories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Category</w:t>
            </w:r>
          </w:p>
        </w:tc>
        <w:tc>
          <w:tcPr>
            <w:tcW w:type="dxa" w:w="2045"/>
          </w:tcPr>
          <w:p>
            <w:pPr>
              <w:spacing w:after="0"/>
            </w:pPr>
            <w:r>
              <w:rPr>
                <w:rFonts w:ascii="Arial" w:hAnsi="Arial"/>
                <w:b/>
                <w:sz w:val="14"/>
              </w:rPr>
              <w:t>Failure Pattern</w:t>
            </w:r>
          </w:p>
        </w:tc>
        <w:tc>
          <w:tcPr>
            <w:tcW w:type="dxa" w:w="2045"/>
          </w:tcPr>
          <w:p>
            <w:pPr>
              <w:spacing w:after="0"/>
            </w:pPr>
            <w:r>
              <w:rPr>
                <w:rFonts w:ascii="Arial" w:hAnsi="Arial"/>
                <w:b/>
                <w:sz w:val="14"/>
              </w:rPr>
              <w:t>Primary MROs</w:t>
            </w:r>
          </w:p>
        </w:tc>
        <w:tc>
          <w:tcPr>
            <w:tcW w:type="dxa" w:w="2045"/>
          </w:tcPr>
          <w:p>
            <w:pPr>
              <w:spacing w:after="0"/>
            </w:pPr>
            <w:r>
              <w:rPr>
                <w:rFonts w:ascii="Arial" w:hAnsi="Arial"/>
                <w:b/>
                <w:sz w:val="14"/>
              </w:rPr>
              <w:t>Primary ALCS</w:t>
            </w:r>
          </w:p>
        </w:tc>
        <w:tc>
          <w:tcPr>
            <w:tcW w:type="dxa" w:w="2045"/>
          </w:tcPr>
          <w:p>
            <w:pPr>
              <w:spacing w:after="0"/>
            </w:pPr>
            <w:r>
              <w:rPr>
                <w:rFonts w:ascii="Arial" w:hAnsi="Arial"/>
                <w:b/>
                <w:sz w:val="14"/>
              </w:rPr>
              <w:t>Enterprise Risk</w:t>
            </w:r>
          </w:p>
        </w:tc>
      </w:tr>
      <w:tr>
        <w:tc>
          <w:tcPr>
            <w:tcW w:type="dxa" w:w="2045"/>
          </w:tcPr>
          <w:p>
            <w:pPr>
              <w:spacing w:after="0"/>
            </w:pPr>
            <w:r>
              <w:rPr>
                <w:rFonts w:ascii="Arial" w:hAnsi="Arial"/>
                <w:b w:val="0"/>
                <w:sz w:val="14"/>
              </w:rPr>
              <w:t>Authority and Boundary Failures</w:t>
            </w:r>
          </w:p>
        </w:tc>
        <w:tc>
          <w:tcPr>
            <w:tcW w:type="dxa" w:w="2045"/>
          </w:tcPr>
          <w:p>
            <w:pPr>
              <w:spacing w:after="0"/>
            </w:pPr>
            <w:r>
              <w:rPr>
                <w:rFonts w:ascii="Arial" w:hAnsi="Arial"/>
                <w:b w:val="0"/>
                <w:sz w:val="14"/>
              </w:rPr>
              <w:t>Agent exceeds delegated authority; moves from advising to committing; operates without explicit human authorization</w:t>
            </w:r>
          </w:p>
        </w:tc>
        <w:tc>
          <w:tcPr>
            <w:tcW w:type="dxa" w:w="2045"/>
          </w:tcPr>
          <w:p>
            <w:pPr>
              <w:spacing w:after="0"/>
            </w:pPr>
            <w:r>
              <w:rPr>
                <w:rFonts w:ascii="Arial" w:hAnsi="Arial"/>
                <w:b w:val="0"/>
                <w:sz w:val="14"/>
              </w:rPr>
              <w:t>MRO-02: Delegated Authority Boundary; MRO-05: Tool-Action Liability Boundary; MRO-07: Authority Drift</w:t>
            </w:r>
          </w:p>
        </w:tc>
        <w:tc>
          <w:tcPr>
            <w:tcW w:type="dxa" w:w="2045"/>
          </w:tcPr>
          <w:p>
            <w:pPr>
              <w:spacing w:after="0"/>
            </w:pPr>
            <w:r>
              <w:rPr>
                <w:rFonts w:ascii="Arial" w:hAnsi="Arial"/>
                <w:b w:val="0"/>
                <w:sz w:val="14"/>
              </w:rPr>
              <w:t>ALCS-02: Delegated Authority Boundary; ALCS-04: Accepted Outcome Compliance; ALCS-07: Authority Drift Detection</w:t>
            </w:r>
          </w:p>
        </w:tc>
        <w:tc>
          <w:tcPr>
            <w:tcW w:type="dxa" w:w="2045"/>
          </w:tcPr>
          <w:p>
            <w:pPr>
              <w:spacing w:after="0"/>
            </w:pPr>
            <w:r>
              <w:rPr>
                <w:rFonts w:ascii="Arial" w:hAnsi="Arial"/>
                <w:b w:val="0"/>
                <w:sz w:val="14"/>
              </w:rPr>
              <w:t>Unauthorized actions; liability disputes; potential regulatory non-compliance depending on deployment context; customer harm</w:t>
            </w:r>
          </w:p>
        </w:tc>
      </w:tr>
      <w:tr>
        <w:tc>
          <w:tcPr>
            <w:tcW w:type="dxa" w:w="2045"/>
          </w:tcPr>
          <w:p>
            <w:pPr>
              <w:spacing w:after="0"/>
            </w:pPr>
            <w:r>
              <w:rPr>
                <w:rFonts w:ascii="Arial" w:hAnsi="Arial"/>
                <w:b w:val="0"/>
                <w:sz w:val="14"/>
              </w:rPr>
              <w:t>Evidence and Traceability Failures</w:t>
            </w:r>
          </w:p>
        </w:tc>
        <w:tc>
          <w:tcPr>
            <w:tcW w:type="dxa" w:w="2045"/>
          </w:tcPr>
          <w:p>
            <w:pPr>
              <w:spacing w:after="0"/>
            </w:pPr>
            <w:r>
              <w:rPr>
                <w:rFonts w:ascii="Arial" w:hAnsi="Arial"/>
                <w:b w:val="0"/>
                <w:sz w:val="14"/>
              </w:rPr>
              <w:t>Organization has logs but cannot reconstruct authority, plan version, human confirmation, tool action, and accepted outcome; evidence chain is incomplete or non-partitioned</w:t>
            </w:r>
          </w:p>
        </w:tc>
        <w:tc>
          <w:tcPr>
            <w:tcW w:type="dxa" w:w="2045"/>
          </w:tcPr>
          <w:p>
            <w:pPr>
              <w:spacing w:after="0"/>
            </w:pPr>
            <w:r>
              <w:rPr>
                <w:rFonts w:ascii="Arial" w:hAnsi="Arial"/>
                <w:b w:val="0"/>
                <w:sz w:val="14"/>
              </w:rPr>
              <w:t>MRO-08: MAS Evidence Partitioning; MRO-11: Privacy-Preserving Third-Party Validation; MRO-12: Evidence Minimization and Selective Disclosure</w:t>
            </w:r>
          </w:p>
        </w:tc>
        <w:tc>
          <w:tcPr>
            <w:tcW w:type="dxa" w:w="2045"/>
          </w:tcPr>
          <w:p>
            <w:pPr>
              <w:spacing w:after="0"/>
            </w:pPr>
            <w:r>
              <w:rPr>
                <w:rFonts w:ascii="Arial" w:hAnsi="Arial"/>
                <w:b w:val="0"/>
                <w:sz w:val="14"/>
              </w:rPr>
              <w:t>ALCS-08: MAS Evidence Partitioning; ALCS-11: Privacy-Preserving Third-Party Validation; ALCS-12: Evidence Minimization and Selective Disclosure</w:t>
            </w:r>
          </w:p>
        </w:tc>
        <w:tc>
          <w:tcPr>
            <w:tcW w:type="dxa" w:w="2045"/>
          </w:tcPr>
          <w:p>
            <w:pPr>
              <w:spacing w:after="0"/>
            </w:pPr>
            <w:r>
              <w:rPr>
                <w:rFonts w:ascii="Arial" w:hAnsi="Arial"/>
                <w:b w:val="0"/>
                <w:sz w:val="14"/>
              </w:rPr>
              <w:t>Audit-readiness failure or audit challenge; dispute resolution failure; regulatory investigation challenge; inability to demonstrate conformance</w:t>
            </w:r>
          </w:p>
        </w:tc>
      </w:tr>
      <w:tr>
        <w:tc>
          <w:tcPr>
            <w:tcW w:type="dxa" w:w="2045"/>
          </w:tcPr>
          <w:p>
            <w:pPr>
              <w:spacing w:after="0"/>
            </w:pPr>
            <w:r>
              <w:rPr>
                <w:rFonts w:ascii="Arial" w:hAnsi="Arial"/>
                <w:b w:val="0"/>
                <w:sz w:val="14"/>
              </w:rPr>
              <w:t>Responsibility and Acceptance Failures</w:t>
            </w:r>
          </w:p>
        </w:tc>
        <w:tc>
          <w:tcPr>
            <w:tcW w:type="dxa" w:w="2045"/>
          </w:tcPr>
          <w:p>
            <w:pPr>
              <w:spacing w:after="0"/>
            </w:pPr>
            <w:r>
              <w:rPr>
                <w:rFonts w:ascii="Arial" w:hAnsi="Arial"/>
                <w:b w:val="0"/>
                <w:sz w:val="14"/>
              </w:rPr>
              <w:t>Orchestrator marks task complete but no accountable human role accepts the result under evidence; execution completion ≠ accepted outcome</w:t>
            </w:r>
          </w:p>
        </w:tc>
        <w:tc>
          <w:tcPr>
            <w:tcW w:type="dxa" w:w="2045"/>
          </w:tcPr>
          <w:p>
            <w:pPr>
              <w:spacing w:after="0"/>
            </w:pPr>
            <w:r>
              <w:rPr>
                <w:rFonts w:ascii="Arial" w:hAnsi="Arial"/>
                <w:b w:val="0"/>
                <w:sz w:val="14"/>
              </w:rPr>
              <w:t>MRO-01: Human Role to MAS Responsibility Mapping; MRO-04: Accepted Outcome Compliance; MRO-16: Incident, Dispute, and Remediation Closure</w:t>
            </w:r>
          </w:p>
        </w:tc>
        <w:tc>
          <w:tcPr>
            <w:tcW w:type="dxa" w:w="2045"/>
          </w:tcPr>
          <w:p>
            <w:pPr>
              <w:spacing w:after="0"/>
            </w:pPr>
            <w:r>
              <w:rPr>
                <w:rFonts w:ascii="Arial" w:hAnsi="Arial"/>
                <w:b w:val="0"/>
                <w:sz w:val="14"/>
              </w:rPr>
              <w:t>ALCS-01: Human-Role-to-MAS Responsibility Mapping; ALCS-04: Accepted Outcome Compliance; ALCS-06: Responsibility Transfer Across Agents</w:t>
            </w:r>
          </w:p>
        </w:tc>
        <w:tc>
          <w:tcPr>
            <w:tcW w:type="dxa" w:w="2045"/>
          </w:tcPr>
          <w:p>
            <w:pPr>
              <w:spacing w:after="0"/>
            </w:pPr>
            <w:r>
              <w:rPr>
                <w:rFonts w:ascii="Arial" w:hAnsi="Arial"/>
                <w:b w:val="0"/>
                <w:sz w:val="14"/>
              </w:rPr>
              <w:t>Accountability gaps; no responsible party for outcomes; remediation delays; customer disputes without resolution path</w:t>
            </w:r>
          </w:p>
        </w:tc>
      </w:tr>
      <w:tr>
        <w:tc>
          <w:tcPr>
            <w:tcW w:type="dxa" w:w="2045"/>
          </w:tcPr>
          <w:p>
            <w:pPr>
              <w:spacing w:after="0"/>
            </w:pPr>
            <w:r>
              <w:rPr>
                <w:rFonts w:ascii="Arial" w:hAnsi="Arial"/>
                <w:b w:val="0"/>
                <w:sz w:val="14"/>
              </w:rPr>
              <w:t>Integration and Substitution Failures</w:t>
            </w:r>
          </w:p>
        </w:tc>
        <w:tc>
          <w:tcPr>
            <w:tcW w:type="dxa" w:w="2045"/>
          </w:tcPr>
          <w:p>
            <w:pPr>
              <w:spacing w:after="0"/>
            </w:pPr>
            <w:r>
              <w:rPr>
                <w:rFonts w:ascii="Arial" w:hAnsi="Arial"/>
                <w:b w:val="0"/>
                <w:sz w:val="14"/>
              </w:rPr>
              <w:t>Cross-project reuse without reset; vendor/model/runtime substitution without conformance validation; processor chain without responsibility mapping</w:t>
            </w:r>
          </w:p>
        </w:tc>
        <w:tc>
          <w:tcPr>
            <w:tcW w:type="dxa" w:w="2045"/>
          </w:tcPr>
          <w:p>
            <w:pPr>
              <w:spacing w:after="0"/>
            </w:pPr>
            <w:r>
              <w:rPr>
                <w:rFonts w:ascii="Arial" w:hAnsi="Arial"/>
                <w:b w:val="0"/>
                <w:sz w:val="14"/>
              </w:rPr>
              <w:t>MRO-09: Cross-Project Reuse Compliance; MRO-10: Privacy/GDPR Lifecycle Mapping; MRO-14: Third-Party Processor/Subprocessor Chain; MRO-15: Vendor/Model/Runtime Substitution Conformance</w:t>
            </w:r>
          </w:p>
        </w:tc>
        <w:tc>
          <w:tcPr>
            <w:tcW w:type="dxa" w:w="2045"/>
          </w:tcPr>
          <w:p>
            <w:pPr>
              <w:spacing w:after="0"/>
            </w:pPr>
            <w:r>
              <w:rPr>
                <w:rFonts w:ascii="Arial" w:hAnsi="Arial"/>
                <w:b w:val="0"/>
                <w:sz w:val="14"/>
              </w:rPr>
              <w:t>ALCS-09: Cross-Project Reuse Compliance; ALCS-10: Privacy/GDPR Lifecycle Mapping; ALCS-14: Third-Party Processor/Subprocessor Chain; ALCS-15: Vendor/Model/Runtime Substitution Conformance</w:t>
            </w:r>
          </w:p>
        </w:tc>
        <w:tc>
          <w:tcPr>
            <w:tcW w:type="dxa" w:w="2045"/>
          </w:tcPr>
          <w:p>
            <w:pPr>
              <w:spacing w:after="0"/>
            </w:pPr>
            <w:r>
              <w:rPr>
                <w:rFonts w:ascii="Arial" w:hAnsi="Arial"/>
                <w:b w:val="0"/>
                <w:sz w:val="14"/>
              </w:rPr>
              <w:t>Privacy risks; compliance drift; vendor lock-in; substitution-induced failures; processor chain liability disputes</w:t>
            </w:r>
          </w:p>
        </w:tc>
      </w:tr>
    </w:tbl>
    <w:p>
      <w:pPr>
        <w:spacing w:after="56"/>
      </w:pPr>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Pr>
        <w:pStyle w:val="Heading2"/>
      </w:pPr>
      <w:r>
        <w:t>15.2 Lifecycle Governance Gap -&gt; Enterprise Failure Mapping</w:t>
      </w:r>
    </w:p>
    <w:p>
      <w:pPr>
        <w:spacing w:after="56"/>
      </w:pPr>
      <w:r>
        <w:t>The following table maps missing or weak lifecycle objects to enterprise failures, required investigation evidence, and likely consequences.</w:t>
      </w:r>
    </w:p>
    <w:p>
      <w:pPr>
        <w:keepNext/>
      </w:pPr>
      <w:r>
        <w:rPr>
          <w:b/>
          <w:sz w:val="16"/>
        </w:rPr>
        <w:t>Table T-15-02: Lifecycle Governance Gap to Failure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Missing Object</w:t>
            </w:r>
          </w:p>
        </w:tc>
        <w:tc>
          <w:tcPr>
            <w:tcW w:type="dxa" w:w="2556"/>
          </w:tcPr>
          <w:p>
            <w:pPr>
              <w:spacing w:after="0"/>
            </w:pPr>
            <w:r>
              <w:rPr>
                <w:rFonts w:ascii="Arial" w:hAnsi="Arial"/>
                <w:b/>
                <w:sz w:val="14"/>
              </w:rPr>
              <w:t>What Fails</w:t>
            </w:r>
          </w:p>
        </w:tc>
        <w:tc>
          <w:tcPr>
            <w:tcW w:type="dxa" w:w="2556"/>
          </w:tcPr>
          <w:p>
            <w:pPr>
              <w:spacing w:after="0"/>
            </w:pPr>
            <w:r>
              <w:rPr>
                <w:rFonts w:ascii="Arial" w:hAnsi="Arial"/>
                <w:b/>
                <w:sz w:val="14"/>
              </w:rPr>
              <w:t>What Evidence Is Needed</w:t>
            </w:r>
          </w:p>
        </w:tc>
        <w:tc>
          <w:tcPr>
            <w:tcW w:type="dxa" w:w="2556"/>
          </w:tcPr>
          <w:p>
            <w:pPr>
              <w:spacing w:after="0"/>
            </w:pPr>
            <w:r>
              <w:rPr>
                <w:rFonts w:ascii="Arial" w:hAnsi="Arial"/>
                <w:b/>
                <w:sz w:val="14"/>
              </w:rPr>
              <w:t>Likely Enterprise Consequence</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No accountable human role for agent outcomes; execution logs exist but responsibility assignment does not</w:t>
            </w:r>
          </w:p>
        </w:tc>
        <w:tc>
          <w:tcPr>
            <w:tcW w:type="dxa" w:w="2556"/>
          </w:tcPr>
          <w:p>
            <w:pPr>
              <w:spacing w:after="0"/>
            </w:pPr>
            <w:r>
              <w:rPr>
                <w:rFonts w:ascii="Arial" w:hAnsi="Arial"/>
                <w:b w:val="0"/>
                <w:sz w:val="14"/>
              </w:rPr>
              <w:t>Role assignment records; delegation records; acceptance records; escalation records</w:t>
            </w:r>
          </w:p>
        </w:tc>
        <w:tc>
          <w:tcPr>
            <w:tcW w:type="dxa" w:w="2556"/>
          </w:tcPr>
          <w:p>
            <w:pPr>
              <w:spacing w:after="0"/>
            </w:pPr>
            <w:r>
              <w:rPr>
                <w:rFonts w:ascii="Arial" w:hAnsi="Arial"/>
                <w:b w:val="0"/>
                <w:sz w:val="14"/>
              </w:rPr>
              <w:t>Accountability gaps; no responsible party when outcomes are disputed; potential regulatory non-compliance depending on deployment context (for example, human oversight obligations requiring legal review)</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Agent moves from advising to committing; agent performs tool actions without explicit authorization; authority scope is implicit or undocumented</w:t>
            </w:r>
          </w:p>
        </w:tc>
        <w:tc>
          <w:tcPr>
            <w:tcW w:type="dxa" w:w="2556"/>
          </w:tcPr>
          <w:p>
            <w:pPr>
              <w:spacing w:after="0"/>
            </w:pPr>
            <w:r>
              <w:rPr>
                <w:rFonts w:ascii="Arial" w:hAnsi="Arial"/>
                <w:b w:val="0"/>
                <w:sz w:val="14"/>
              </w:rPr>
              <w:t>Authority grant records; tool-action authorization records; boundary violation alerts; human confirmation records</w:t>
            </w:r>
          </w:p>
        </w:tc>
        <w:tc>
          <w:tcPr>
            <w:tcW w:type="dxa" w:w="2556"/>
          </w:tcPr>
          <w:p>
            <w:pPr>
              <w:spacing w:after="0"/>
            </w:pPr>
            <w:r>
              <w:rPr>
                <w:rFonts w:ascii="Arial" w:hAnsi="Arial"/>
                <w:b w:val="0"/>
                <w:sz w:val="14"/>
              </w:rPr>
              <w:t>Unauthorized actions; liability disputes; customer harm; potential regulatory non-compliance depending on deployment context; reputational damage</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Orchestrator marks task complete but no human accepts the result; execution completion ≠ accepted outcome</w:t>
            </w:r>
          </w:p>
        </w:tc>
        <w:tc>
          <w:tcPr>
            <w:tcW w:type="dxa" w:w="2556"/>
          </w:tcPr>
          <w:p>
            <w:pPr>
              <w:spacing w:after="0"/>
            </w:pPr>
            <w:r>
              <w:rPr>
                <w:rFonts w:ascii="Arial" w:hAnsi="Arial"/>
                <w:b w:val="0"/>
                <w:sz w:val="14"/>
              </w:rPr>
              <w:t>Acceptance records; review records; outcome validation records; rejection/escalation records</w:t>
            </w:r>
          </w:p>
        </w:tc>
        <w:tc>
          <w:tcPr>
            <w:tcW w:type="dxa" w:w="2556"/>
          </w:tcPr>
          <w:p>
            <w:pPr>
              <w:spacing w:after="0"/>
            </w:pPr>
            <w:r>
              <w:rPr>
                <w:rFonts w:ascii="Arial" w:hAnsi="Arial"/>
                <w:b w:val="0"/>
                <w:sz w:val="14"/>
              </w:rPr>
              <w:t>No accepted outcome state; disputes without resolution path; audit-readiness failure or audit challenge; inability to demonstrate conformance</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Agent uses tool (API call, database write, email send, payment initiation) but no liability boundary record exists</w:t>
            </w:r>
          </w:p>
        </w:tc>
        <w:tc>
          <w:tcPr>
            <w:tcW w:type="dxa" w:w="2556"/>
          </w:tcPr>
          <w:p>
            <w:pPr>
              <w:spacing w:after="0"/>
            </w:pPr>
            <w:r>
              <w:rPr>
                <w:rFonts w:ascii="Arial" w:hAnsi="Arial"/>
                <w:b w:val="0"/>
                <w:sz w:val="14"/>
              </w:rPr>
              <w:t>Tool-action logs; authorization records; liability assignment records; tool provider agreements</w:t>
            </w:r>
          </w:p>
        </w:tc>
        <w:tc>
          <w:tcPr>
            <w:tcW w:type="dxa" w:w="2556"/>
          </w:tcPr>
          <w:p>
            <w:pPr>
              <w:spacing w:after="0"/>
            </w:pPr>
            <w:r>
              <w:rPr>
                <w:rFonts w:ascii="Arial" w:hAnsi="Arial"/>
                <w:b w:val="0"/>
                <w:sz w:val="14"/>
              </w:rPr>
              <w:t>Liability disputes; unclear responsibility for tool-induced harm; vendor disputes; insurance claim failures</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Multi-agent handoff occurs but no responsibility transfer record exists; constraint inheritance is not validated</w:t>
            </w:r>
          </w:p>
        </w:tc>
        <w:tc>
          <w:tcPr>
            <w:tcW w:type="dxa" w:w="2556"/>
          </w:tcPr>
          <w:p>
            <w:pPr>
              <w:spacing w:after="0"/>
            </w:pPr>
            <w:r>
              <w:rPr>
                <w:rFonts w:ascii="Arial" w:hAnsi="Arial"/>
                <w:b w:val="0"/>
                <w:sz w:val="14"/>
              </w:rPr>
              <w:t>Handoff records; constraint transfer records; responsibility acceptance records; handoff validation logs</w:t>
            </w:r>
          </w:p>
        </w:tc>
        <w:tc>
          <w:tcPr>
            <w:tcW w:type="dxa" w:w="2556"/>
          </w:tcPr>
          <w:p>
            <w:pPr>
              <w:spacing w:after="0"/>
            </w:pPr>
            <w:r>
              <w:rPr>
                <w:rFonts w:ascii="Arial" w:hAnsi="Arial"/>
                <w:b w:val="0"/>
                <w:sz w:val="14"/>
              </w:rPr>
              <w:t>Accountability gaps across agent boundaries; constraint violations; handoff-induced failures; no responsible party for multi-agent outcomes</w:t>
            </w:r>
          </w:p>
        </w:tc>
      </w:tr>
      <w:tr>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Agent authority expands over time without explicit reauthorization; model updates or prompt changes alter agent behavior without authority review</w:t>
            </w:r>
          </w:p>
        </w:tc>
        <w:tc>
          <w:tcPr>
            <w:tcW w:type="dxa" w:w="2556"/>
          </w:tcPr>
          <w:p>
            <w:pPr>
              <w:spacing w:after="0"/>
            </w:pPr>
            <w:r>
              <w:rPr>
                <w:rFonts w:ascii="Arial" w:hAnsi="Arial"/>
                <w:b w:val="0"/>
                <w:sz w:val="14"/>
              </w:rPr>
              <w:t>Authority baseline records; drift detection logs; reauthorization records; behavior change alerts</w:t>
            </w:r>
          </w:p>
        </w:tc>
        <w:tc>
          <w:tcPr>
            <w:tcW w:type="dxa" w:w="2556"/>
          </w:tcPr>
          <w:p>
            <w:pPr>
              <w:spacing w:after="0"/>
            </w:pPr>
            <w:r>
              <w:rPr>
                <w:rFonts w:ascii="Arial" w:hAnsi="Arial"/>
                <w:b w:val="0"/>
                <w:sz w:val="14"/>
              </w:rPr>
              <w:t>Unauthorized authority expansion; potential regulatory non-compliance depending on deployment context; customer harm; liability disputes</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Organization has logs but cannot partition evidence by project, customer, jurisdiction, or data subject; evidence export is not selective</w:t>
            </w:r>
          </w:p>
        </w:tc>
        <w:tc>
          <w:tcPr>
            <w:tcW w:type="dxa" w:w="2556"/>
          </w:tcPr>
          <w:p>
            <w:pPr>
              <w:spacing w:after="0"/>
            </w:pPr>
            <w:r>
              <w:rPr>
                <w:rFonts w:ascii="Arial" w:hAnsi="Arial"/>
                <w:b w:val="0"/>
                <w:sz w:val="14"/>
              </w:rPr>
              <w:t>Partitioned evidence chains; evidence export logs; partition policy records; selective disclosure records</w:t>
            </w:r>
          </w:p>
        </w:tc>
        <w:tc>
          <w:tcPr>
            <w:tcW w:type="dxa" w:w="2556"/>
          </w:tcPr>
          <w:p>
            <w:pPr>
              <w:spacing w:after="0"/>
            </w:pPr>
            <w:r>
              <w:rPr>
                <w:rFonts w:ascii="Arial" w:hAnsi="Arial"/>
                <w:b w:val="0"/>
                <w:sz w:val="14"/>
              </w:rPr>
              <w:t>Audit-readiness failure or audit challenge; privacy risks; inability to respond to data subject requests; regulatory investigation challenge</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Prompt, memory, role, workflow, or trace-derived pattern is reused across regulated contexts without reset or reauthorization</w:t>
            </w:r>
          </w:p>
        </w:tc>
        <w:tc>
          <w:tcPr>
            <w:tcW w:type="dxa" w:w="2556"/>
          </w:tcPr>
          <w:p>
            <w:pPr>
              <w:spacing w:after="0"/>
            </w:pPr>
            <w:r>
              <w:rPr>
                <w:rFonts w:ascii="Arial" w:hAnsi="Arial"/>
                <w:b w:val="0"/>
                <w:sz w:val="14"/>
              </w:rPr>
              <w:t>Reuse records; reset validation records; reauthorization records; context boundary records</w:t>
            </w:r>
          </w:p>
        </w:tc>
        <w:tc>
          <w:tcPr>
            <w:tcW w:type="dxa" w:w="2556"/>
          </w:tcPr>
          <w:p>
            <w:pPr>
              <w:spacing w:after="0"/>
            </w:pPr>
            <w:r>
              <w:rPr>
                <w:rFonts w:ascii="Arial" w:hAnsi="Arial"/>
                <w:b w:val="0"/>
                <w:sz w:val="14"/>
              </w:rPr>
              <w:t>Privacy risks; compliance drift; cross-contamination of regulated contexts; potential regulatory non-compliance depending on deployment context</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Data flow, retention, and subject rights are not mapped to agent lifecycle; evidence retention conflicts with data subject rights</w:t>
            </w:r>
          </w:p>
        </w:tc>
        <w:tc>
          <w:tcPr>
            <w:tcW w:type="dxa" w:w="2556"/>
          </w:tcPr>
          <w:p>
            <w:pPr>
              <w:spacing w:after="0"/>
            </w:pPr>
            <w:r>
              <w:rPr>
                <w:rFonts w:ascii="Arial" w:hAnsi="Arial"/>
                <w:b w:val="0"/>
                <w:sz w:val="14"/>
              </w:rPr>
              <w:t>Data flow records; retention policy records; data subject rights workflow records; evidence minimization records</w:t>
            </w:r>
          </w:p>
        </w:tc>
        <w:tc>
          <w:tcPr>
            <w:tcW w:type="dxa" w:w="2556"/>
          </w:tcPr>
          <w:p>
            <w:pPr>
              <w:spacing w:after="0"/>
            </w:pPr>
            <w:r>
              <w:rPr>
                <w:rFonts w:ascii="Arial" w:hAnsi="Arial"/>
                <w:b w:val="0"/>
                <w:sz w:val="14"/>
              </w:rPr>
              <w:t>Privacy risks; potential GDPR compliance issue requiring legal review; data subject rights disputes; potential regulatory exposure</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Enterprise sends raw traces or sensitive evidence to a reviewer, creating a privacy/security incident during validation</w:t>
            </w:r>
          </w:p>
        </w:tc>
        <w:tc>
          <w:tcPr>
            <w:tcW w:type="dxa" w:w="2556"/>
          </w:tcPr>
          <w:p>
            <w:pPr>
              <w:spacing w:after="0"/>
            </w:pPr>
            <w:r>
              <w:rPr>
                <w:rFonts w:ascii="Arial" w:hAnsi="Arial"/>
                <w:b w:val="0"/>
                <w:sz w:val="14"/>
              </w:rPr>
              <w:t>Validation evidence records; disclosure policy records; redaction records; validation protocol records</w:t>
            </w:r>
          </w:p>
        </w:tc>
        <w:tc>
          <w:tcPr>
            <w:tcW w:type="dxa" w:w="2556"/>
          </w:tcPr>
          <w:p>
            <w:pPr>
              <w:spacing w:after="0"/>
            </w:pPr>
            <w:r>
              <w:rPr>
                <w:rFonts w:ascii="Arial" w:hAnsi="Arial"/>
                <w:b w:val="0"/>
                <w:sz w:val="14"/>
              </w:rPr>
              <w:t>Privacy risks; security incidents; potential regulatory non-compliance depending on deployment context; customer trust loss</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Organization retains excessive evidence or discloses evidence without minimization policy</w:t>
            </w:r>
          </w:p>
        </w:tc>
        <w:tc>
          <w:tcPr>
            <w:tcW w:type="dxa" w:w="2556"/>
          </w:tcPr>
          <w:p>
            <w:pPr>
              <w:spacing w:after="0"/>
            </w:pPr>
            <w:r>
              <w:rPr>
                <w:rFonts w:ascii="Arial" w:hAnsi="Arial"/>
                <w:b w:val="0"/>
                <w:sz w:val="14"/>
              </w:rPr>
              <w:t>Retention policy records; disclosure policy records; minimization records; selective disclosure logs</w:t>
            </w:r>
          </w:p>
        </w:tc>
        <w:tc>
          <w:tcPr>
            <w:tcW w:type="dxa" w:w="2556"/>
          </w:tcPr>
          <w:p>
            <w:pPr>
              <w:spacing w:after="0"/>
            </w:pPr>
            <w:r>
              <w:rPr>
                <w:rFonts w:ascii="Arial" w:hAnsi="Arial"/>
                <w:b w:val="0"/>
                <w:sz w:val="14"/>
              </w:rPr>
              <w:t>Privacy risks; potential regulatory non-compliance depending on deployment context; excessive data retention risk; disclosure-induced harm</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Model provider, vector DB, CRM API, workflow tool, monitoring platform, and cloud runtime are all involved, but no processor/subprocessor responsibility chain exists</w:t>
            </w:r>
          </w:p>
        </w:tc>
        <w:tc>
          <w:tcPr>
            <w:tcW w:type="dxa" w:w="2556"/>
          </w:tcPr>
          <w:p>
            <w:pPr>
              <w:spacing w:after="0"/>
            </w:pPr>
            <w:r>
              <w:rPr>
                <w:rFonts w:ascii="Arial" w:hAnsi="Arial"/>
                <w:b w:val="0"/>
                <w:sz w:val="14"/>
              </w:rPr>
              <w:t>Processor agreements; subprocessor chain records; responsibility assignment records; data flow records</w:t>
            </w:r>
          </w:p>
        </w:tc>
        <w:tc>
          <w:tcPr>
            <w:tcW w:type="dxa" w:w="2556"/>
          </w:tcPr>
          <w:p>
            <w:pPr>
              <w:spacing w:after="0"/>
            </w:pPr>
            <w:r>
              <w:rPr>
                <w:rFonts w:ascii="Arial" w:hAnsi="Arial"/>
                <w:b w:val="0"/>
                <w:sz w:val="14"/>
              </w:rPr>
              <w:t>Processor chain liability disputes; potential GDPR Article 28 processor-chain issue requiring legal review; vendor disputes; unclear responsibility for processor-induced harm</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Team switches model, runtime, vector store, or tool provider; execution still works but evidence, authority, privacy, and replay semantics degrade</w:t>
            </w:r>
          </w:p>
        </w:tc>
        <w:tc>
          <w:tcPr>
            <w:tcW w:type="dxa" w:w="2556"/>
          </w:tcPr>
          <w:p>
            <w:pPr>
              <w:spacing w:after="0"/>
            </w:pPr>
            <w:r>
              <w:rPr>
                <w:rFonts w:ascii="Arial" w:hAnsi="Arial"/>
                <w:b w:val="0"/>
                <w:sz w:val="14"/>
              </w:rPr>
              <w:t>Substitution records; conformance validation records; regression testing records; evidence integrity validation records</w:t>
            </w:r>
          </w:p>
        </w:tc>
        <w:tc>
          <w:tcPr>
            <w:tcW w:type="dxa" w:w="2556"/>
          </w:tcPr>
          <w:p>
            <w:pPr>
              <w:spacing w:after="0"/>
            </w:pPr>
            <w:r>
              <w:rPr>
                <w:rFonts w:ascii="Arial" w:hAnsi="Arial"/>
                <w:b w:val="0"/>
                <w:sz w:val="14"/>
              </w:rPr>
              <w:t>Compliance drift; evidence chain degradation; authority boundary violations; privacy risks; audit-readiness failure or audit challenge</w:t>
            </w:r>
          </w:p>
        </w:tc>
      </w:tr>
      <w:tr>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Engineering fixes a prompt or workflow bug, but no responsibility owner, affected outcome list, evidence review, customer impact assessment, or accepted closure state exists</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c>
          <w:tcPr>
            <w:tcW w:type="dxa" w:w="2556"/>
          </w:tcPr>
          <w:p>
            <w:pPr>
              <w:spacing w:after="0"/>
            </w:pPr>
            <w:r>
              <w:rPr>
                <w:rFonts w:ascii="Arial" w:hAnsi="Arial"/>
                <w:b w:val="0"/>
                <w:sz w:val="14"/>
              </w:rPr>
              <w:t>Remediation delays; no closure state; customer disputes without resolution; regulatory investigation challenge; reputational damage</w:t>
            </w:r>
          </w:p>
        </w:tc>
      </w:tr>
    </w:tbl>
    <w:p>
      <w:pPr>
        <w:spacing w:after="56"/>
      </w:pPr>
      <w:r>
        <w:t>Interpretation: This mapping shows that lifecycle governance gaps create predictable enterprise failure patterns. Missing objects may lead to accountability gaps, audit-readiness failures or audit challenges, privacy risks, liability disputes, and potential regulatory non-compliance depending on deployment context. Investigation requires specific evidence artifacts that ordinary orchestration logs do not provide.</w:t>
      </w:r>
    </w:p>
    <w:p>
      <w:pPr>
        <w:pStyle w:val="Heading2"/>
      </w:pPr>
      <w:r>
        <w:t>15.3 Failure Scenario Examples</w:t>
      </w:r>
    </w:p>
    <w:p>
      <w:pPr>
        <w:spacing w:after="56"/>
      </w:pPr>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Pr>
        <w:pStyle w:val="Heading3"/>
      </w:pPr>
      <w:r>
        <w:t>Scenario 1: Authority Boundary Failure</w:t>
      </w:r>
    </w:p>
    <w:p>
      <w:pPr>
        <w:spacing w:after="56"/>
      </w:pPr>
      <w:r>
        <w:t>Failure Trigger:</w:t>
      </w:r>
    </w:p>
    <w:p>
      <w:pPr>
        <w:spacing w:after="56"/>
      </w:pPr>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Pr>
        <w:spacing w:after="56"/>
      </w:pPr>
      <w:r>
        <w:t>Missing Lifecycle Object:</w:t>
      </w:r>
    </w:p>
    <w:p>
      <w:pPr>
        <w:spacing w:after="56"/>
      </w:pPr>
      <w:r>
        <w:t>Delegated Authority Boundary (MRO-02); Authority Drift Detection (MRO-07); Tool-Action Liability Boundary (MRO-05)</w:t>
      </w:r>
    </w:p>
    <w:p>
      <w:pPr>
        <w:spacing w:after="56"/>
      </w:pPr>
      <w:r>
        <w:t>Relevant ALCS Dimensions:</w:t>
      </w:r>
    </w:p>
    <w:p>
      <w:pPr>
        <w:spacing w:after="56"/>
      </w:pPr>
      <w:r>
        <w:t>ALCS-02: Delegated Authority Boundary; ALCS-07: Authority Drift Detection; ALCS-04: Accepted Outcome Compliance</w:t>
      </w:r>
    </w:p>
    <w:p>
      <w:pPr>
        <w:spacing w:after="56"/>
      </w:pPr>
      <w:r>
        <w:t>Enterprise Consequence:</w:t>
      </w:r>
    </w:p>
    <w:p>
      <w:pPr>
        <w:spacing w:after="56"/>
      </w:pPr>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Pr>
        <w:spacing w:after="56"/>
      </w:pPr>
      <w:r>
        <w:t>Investigation Evidence Needed:</w:t>
      </w:r>
    </w:p>
    <w:p>
      <w:pPr>
        <w:pStyle w:val="ListBullet"/>
        <w:spacing w:after="56"/>
      </w:pPr>
      <w:r>
        <w:t>Authority grant records showing original delegation scope (draft only, not send)</w:t>
      </w:r>
    </w:p>
    <w:p>
      <w:pPr>
        <w:pStyle w:val="ListBullet"/>
        <w:spacing w:after="56"/>
      </w:pPr>
      <w:r>
        <w:t>Tool-action logs showing when agent began sending emails directly</w:t>
      </w:r>
    </w:p>
    <w:p>
      <w:pPr>
        <w:pStyle w:val="ListBullet"/>
        <w:spacing w:after="56"/>
      </w:pPr>
      <w:r>
        <w:t>Drift detection logs (if any) showing authority expansion</w:t>
      </w:r>
    </w:p>
    <w:p>
      <w:pPr>
        <w:pStyle w:val="ListBullet"/>
        <w:spacing w:after="56"/>
      </w:pPr>
      <w:r>
        <w:t>Human confirmation records (absent for the disputed action)</w:t>
      </w:r>
    </w:p>
    <w:p>
      <w:pPr>
        <w:pStyle w:val="ListBullet"/>
        <w:spacing w:after="56"/>
      </w:pPr>
      <w:r>
        <w:t>Acceptance records (absent because no human accepted the outcome)</w:t>
      </w:r>
    </w:p>
    <w:p>
      <w:pPr>
        <w:spacing w:after="56"/>
      </w:pPr>
      <w:r>
        <w:t>Remediation Pattern:</w:t>
      </w:r>
    </w:p>
    <w:p>
      <w:pPr>
        <w:pStyle w:val="ListBullet"/>
        <w:spacing w:after="56"/>
      </w:pPr>
      <w:r>
        <w:t>Implement explicit authority boundary enforcement at tool-action layer</w:t>
      </w:r>
    </w:p>
    <w:p>
      <w:pPr>
        <w:pStyle w:val="ListBullet"/>
        <w:spacing w:after="56"/>
      </w:pPr>
      <w:r>
        <w:t>Add drift detection monitoring for authority scope changes</w:t>
      </w:r>
    </w:p>
    <w:p>
      <w:pPr>
        <w:pStyle w:val="ListBullet"/>
        <w:spacing w:after="56"/>
      </w:pPr>
      <w:r>
        <w:t>Require human confirmation for all tool actions that commit the enterprise</w:t>
      </w:r>
    </w:p>
    <w:p>
      <w:pPr>
        <w:pStyle w:val="ListBullet"/>
        <w:spacing w:after="56"/>
      </w:pPr>
      <w:r>
        <w:t>Add authority reauthorization workflow when agent behavior changes</w:t>
      </w:r>
    </w:p>
    <w:p>
      <w:pPr>
        <w:pStyle w:val="ListBullet"/>
        <w:spacing w:after="56"/>
      </w:pPr>
      <w:r>
        <w:t>Implement accepted outcome compliance workflow</w:t>
      </w:r>
    </w:p>
    <w:p>
      <w:pPr>
        <w:spacing w:after="56"/>
      </w:pPr>
      <w:r>
        <w:t>Relevant MROs: MRO-02, MRO-05, MRO-07</w:t>
      </w:r>
    </w:p>
    <w:p>
      <w:pPr>
        <w:spacing w:after="56"/>
      </w:pPr>
      <w:r>
        <w:t>Relevant ALCS: ALCS-02, ALCS-04, ALCS-07</w:t>
      </w:r>
    </w:p>
    <w:p>
      <w:pPr>
        <w:pStyle w:val="Heading3"/>
      </w:pPr>
      <w:r>
        <w:t>Scenario 2: Evidence Chain Failure</w:t>
      </w:r>
    </w:p>
    <w:p>
      <w:pPr>
        <w:spacing w:after="56"/>
      </w:pPr>
      <w:r>
        <w:t>Failure Trigger:</w:t>
      </w:r>
    </w:p>
    <w:p>
      <w:pPr>
        <w:spacing w:after="56"/>
      </w:pPr>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Pr>
        <w:spacing w:after="56"/>
      </w:pPr>
      <w:r>
        <w:t>Missing Lifecycle Object:</w:t>
      </w:r>
    </w:p>
    <w:p>
      <w:pPr>
        <w:spacing w:after="56"/>
      </w:pPr>
      <w:r>
        <w:t>MAS Evidence Partitioning (MRO-08); Privacy-Preserving Third-Party Validation (MRO-11); Evidence Minimization and Selective Disclosure (MRO-12)</w:t>
      </w:r>
    </w:p>
    <w:p>
      <w:pPr>
        <w:spacing w:after="56"/>
      </w:pPr>
      <w:r>
        <w:t>Relevant ALCS Dimensions:</w:t>
      </w:r>
    </w:p>
    <w:p>
      <w:pPr>
        <w:spacing w:after="56"/>
      </w:pPr>
      <w:r>
        <w:t>ALCS-08: MAS Evidence Partitioning; ALCS-11: Privacy-Preserving Third-Party Validation; ALCS-12: Evidence Minimization and Selective Disclosure</w:t>
      </w:r>
    </w:p>
    <w:p>
      <w:pPr>
        <w:spacing w:after="56"/>
      </w:pPr>
      <w:r>
        <w:t>Enterprise Consequence:</w:t>
      </w:r>
    </w:p>
    <w:p>
      <w:pPr>
        <w:spacing w:after="56"/>
      </w:pPr>
      <w:r>
        <w:t>Audit-readiness failure or audit challenge. Regulatory investigation challenge. Potential regulatory exposure. Inability to demonstrate conformance. Customer disputes cannot be resolved because evidence chain is incomplete. Reputational damage.</w:t>
      </w:r>
    </w:p>
    <w:p>
      <w:pPr>
        <w:spacing w:after="56"/>
      </w:pPr>
      <w:r>
        <w:t>Investigation Evidence Needed:</w:t>
      </w:r>
    </w:p>
    <w:p>
      <w:pPr>
        <w:pStyle w:val="ListBullet"/>
        <w:spacing w:after="56"/>
      </w:pPr>
      <w:r>
        <w:t>Partitioned evidence chain showing authority -&gt; plan -&gt; confirmation -&gt; tool action -&gt; evidence -&gt; review -&gt; accepted outcome</w:t>
      </w:r>
    </w:p>
    <w:p>
      <w:pPr>
        <w:pStyle w:val="ListBullet"/>
        <w:spacing w:after="56"/>
      </w:pPr>
      <w:r>
        <w:t>Evidence export records showing selective disclosure to auditor</w:t>
      </w:r>
    </w:p>
    <w:p>
      <w:pPr>
        <w:pStyle w:val="ListBullet"/>
        <w:spacing w:after="56"/>
      </w:pPr>
      <w:r>
        <w:t>Retention policy records showing evidence minimization</w:t>
      </w:r>
    </w:p>
    <w:p>
      <w:pPr>
        <w:pStyle w:val="ListBullet"/>
        <w:spacing w:after="56"/>
      </w:pPr>
      <w:r>
        <w:t>Validation protocol records (if third-party validation was used)</w:t>
      </w:r>
    </w:p>
    <w:p>
      <w:pPr>
        <w:spacing w:after="56"/>
      </w:pPr>
      <w:r>
        <w:t>Remediation Pattern:</w:t>
      </w:r>
    </w:p>
    <w:p>
      <w:pPr>
        <w:pStyle w:val="ListBullet"/>
        <w:spacing w:after="56"/>
      </w:pPr>
      <w:r>
        <w:t>Implement MAS evidence partitioning at lifecycle object boundaries</w:t>
      </w:r>
    </w:p>
    <w:p>
      <w:pPr>
        <w:pStyle w:val="ListBullet"/>
        <w:spacing w:after="56"/>
      </w:pPr>
      <w:r>
        <w:t>Add evidence export capability with selective disclosure</w:t>
      </w:r>
    </w:p>
    <w:p>
      <w:pPr>
        <w:pStyle w:val="ListBullet"/>
        <w:spacing w:after="56"/>
      </w:pPr>
      <w:r>
        <w:t>Implement retention policy aligned with evidence minimization</w:t>
      </w:r>
    </w:p>
    <w:p>
      <w:pPr>
        <w:pStyle w:val="ListBullet"/>
        <w:spacing w:after="56"/>
      </w:pPr>
      <w:r>
        <w:t>Add privacy-preserving validation protocol for third-party review</w:t>
      </w:r>
    </w:p>
    <w:p>
      <w:pPr>
        <w:pStyle w:val="ListBullet"/>
        <w:spacing w:after="56"/>
      </w:pPr>
      <w:r>
        <w:t>Implement evidence chain integrity validation</w:t>
      </w:r>
    </w:p>
    <w:p>
      <w:pPr>
        <w:spacing w:after="56"/>
      </w:pPr>
      <w:r>
        <w:t>Relevant MROs: MRO-08, MRO-11, MRO-12</w:t>
      </w:r>
    </w:p>
    <w:p>
      <w:pPr>
        <w:spacing w:after="56"/>
      </w:pPr>
      <w:r>
        <w:t>Relevant ALCS: ALCS-08, ALCS-11, ALCS-12</w:t>
      </w:r>
    </w:p>
    <w:p>
      <w:pPr>
        <w:pStyle w:val="Heading3"/>
      </w:pPr>
      <w:r>
        <w:t>Scenario 3: Accepted Outcome Failure</w:t>
      </w:r>
    </w:p>
    <w:p>
      <w:pPr>
        <w:spacing w:after="56"/>
      </w:pPr>
      <w:r>
        <w:t>Failure Trigger:</w:t>
      </w:r>
    </w:p>
    <w:p>
      <w:pPr>
        <w:spacing w:after="56"/>
      </w:pPr>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Pr>
        <w:spacing w:after="56"/>
      </w:pPr>
      <w:r>
        <w:t>Missing Lifecycle Object:</w:t>
      </w:r>
    </w:p>
    <w:p>
      <w:pPr>
        <w:spacing w:after="56"/>
      </w:pPr>
      <w:r>
        <w:t>Human-Role-to-MAS Responsibility Mapping (MRO-01); Accepted Outcome Compliance (MRO-04); Incident, Dispute, and Remediation Closure (MRO-16)</w:t>
      </w:r>
    </w:p>
    <w:p>
      <w:pPr>
        <w:spacing w:after="56"/>
      </w:pPr>
      <w:r>
        <w:t>Relevant ALCS Dimensions:</w:t>
      </w:r>
    </w:p>
    <w:p>
      <w:pPr>
        <w:spacing w:after="56"/>
      </w:pPr>
      <w:r>
        <w:t>ALCS-01: Human-Role-to-MAS Responsibility Mapping; ALCS-04: Accepted Outcome Compliance; ALCS-06: Responsibility Transfer Across Agents</w:t>
      </w:r>
    </w:p>
    <w:p>
      <w:pPr>
        <w:spacing w:after="56"/>
      </w:pPr>
      <w:r>
        <w:t>Enterprise Consequence:</w:t>
      </w:r>
    </w:p>
    <w:p>
      <w:pPr>
        <w:spacing w:after="56"/>
      </w:pPr>
      <w:r>
        <w:t>No responsible party for the disputed outcome. Customer dispute cannot be resolved because no acceptance record exists. Remediation is delayed because no owner is assigned. Regulatory investigation reveals accountability gap. Reputational damage.</w:t>
      </w:r>
    </w:p>
    <w:p>
      <w:pPr>
        <w:spacing w:after="56"/>
      </w:pPr>
      <w:r>
        <w:t>Investigation Evidence Needed:</w:t>
      </w:r>
    </w:p>
    <w:p>
      <w:pPr>
        <w:pStyle w:val="ListBullet"/>
        <w:spacing w:after="56"/>
      </w:pPr>
      <w:r>
        <w:t>Role assignment records showing which human role should accept outcomes</w:t>
      </w:r>
    </w:p>
    <w:p>
      <w:pPr>
        <w:pStyle w:val="ListBullet"/>
        <w:spacing w:after="56"/>
      </w:pPr>
      <w:r>
        <w:t>Acceptance records (absent)</w:t>
      </w:r>
    </w:p>
    <w:p>
      <w:pPr>
        <w:pStyle w:val="ListBullet"/>
        <w:spacing w:after="56"/>
      </w:pPr>
      <w:r>
        <w:t>Review records (absent)</w:t>
      </w:r>
    </w:p>
    <w:p>
      <w:pPr>
        <w:pStyle w:val="ListBullet"/>
        <w:spacing w:after="56"/>
      </w:pPr>
      <w:r>
        <w:t>Escalation records (absent because no acceptance workflow exists)</w:t>
      </w:r>
    </w:p>
    <w:p>
      <w:pPr>
        <w:pStyle w:val="ListBullet"/>
        <w:spacing w:after="56"/>
      </w:pPr>
      <w:r>
        <w:t>Remediation ownership records (absent)</w:t>
      </w:r>
    </w:p>
    <w:p>
      <w:pPr>
        <w:spacing w:after="56"/>
      </w:pPr>
      <w:r>
        <w:t>Remediation Pattern:</w:t>
      </w:r>
    </w:p>
    <w:p>
      <w:pPr>
        <w:pStyle w:val="ListBullet"/>
        <w:spacing w:after="56"/>
      </w:pPr>
      <w:r>
        <w:t>Implement human-role-to-MAS responsibility mapping</w:t>
      </w:r>
    </w:p>
    <w:p>
      <w:pPr>
        <w:pStyle w:val="ListBullet"/>
        <w:spacing w:after="56"/>
      </w:pPr>
      <w:r>
        <w:t>Add accepted outcome compliance workflow requiring explicit human acceptance</w:t>
      </w:r>
    </w:p>
    <w:p>
      <w:pPr>
        <w:pStyle w:val="ListBullet"/>
        <w:spacing w:after="56"/>
      </w:pPr>
      <w:r>
        <w:t>Implement review and escalation workflow for disputed outcomes</w:t>
      </w:r>
    </w:p>
    <w:p>
      <w:pPr>
        <w:pStyle w:val="ListBullet"/>
        <w:spacing w:after="56"/>
      </w:pPr>
      <w:r>
        <w:t>Add remediation ownership assignment</w:t>
      </w:r>
    </w:p>
    <w:p>
      <w:pPr>
        <w:pStyle w:val="ListBullet"/>
        <w:spacing w:after="56"/>
      </w:pPr>
      <w:r>
        <w:t>Implement incident and dispute closure workflow</w:t>
      </w:r>
    </w:p>
    <w:p>
      <w:pPr>
        <w:spacing w:after="56"/>
      </w:pPr>
      <w:r>
        <w:t>Relevant MROs: MRO-01, MRO-04, MRO-16</w:t>
      </w:r>
    </w:p>
    <w:p>
      <w:pPr>
        <w:spacing w:after="56"/>
      </w:pPr>
      <w:r>
        <w:t>Relevant ALCS: ALCS-01, ALCS-04, ALCS-06</w:t>
      </w:r>
    </w:p>
    <w:p>
      <w:pPr>
        <w:pStyle w:val="Heading3"/>
      </w:pPr>
      <w:r>
        <w:t>Scenario 4: Cross-Project Reuse Failure</w:t>
      </w:r>
    </w:p>
    <w:p>
      <w:pPr>
        <w:spacing w:after="56"/>
      </w:pPr>
      <w:r>
        <w:t>Failure Trigger:</w:t>
      </w:r>
    </w:p>
    <w:p>
      <w:pPr>
        <w:spacing w:after="56"/>
      </w:pPr>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Pr>
        <w:spacing w:after="56"/>
      </w:pPr>
      <w:r>
        <w:t>Missing Lifecycle Object:</w:t>
      </w:r>
    </w:p>
    <w:p>
      <w:pPr>
        <w:spacing w:after="56"/>
      </w:pPr>
      <w:r>
        <w:t>Cross-Project Reuse Compliance (MRO-09); Privacy/GDPR Lifecycle Mapping (MRO-10); Vendor/Model/Runtime Substitution Conformance (MRO-15)</w:t>
      </w:r>
    </w:p>
    <w:p>
      <w:pPr>
        <w:spacing w:after="56"/>
      </w:pPr>
      <w:r>
        <w:t>Relevant ALCS Dimensions:</w:t>
      </w:r>
    </w:p>
    <w:p>
      <w:pPr>
        <w:spacing w:after="56"/>
      </w:pPr>
      <w:r>
        <w:t>ALCS-09: Cross-Project Reuse Compliance; ALCS-10: Privacy/GDPR Lifecycle Mapping; ALCS-14: Third-Party Processor/Subprocessor Chain</w:t>
      </w:r>
    </w:p>
    <w:p>
      <w:pPr>
        <w:spacing w:after="56"/>
      </w:pPr>
      <w:r>
        <w:t>Enterprise Consequence:</w:t>
      </w:r>
    </w:p>
    <w:p>
      <w:pPr>
        <w:spacing w:after="56"/>
      </w:pPr>
      <w:r>
        <w:t>Privacy risk. Potential HIPAA compliance issue requiring legal review. Potential regulatory exposure. Customer trust loss. Cross-contamination of regulated and non-regulated contexts. Reputational damage.</w:t>
      </w:r>
    </w:p>
    <w:p>
      <w:pPr>
        <w:spacing w:after="56"/>
      </w:pPr>
      <w:r>
        <w:t>Investigation Evidence Needed:</w:t>
      </w:r>
    </w:p>
    <w:p>
      <w:pPr>
        <w:pStyle w:val="ListBullet"/>
        <w:spacing w:after="56"/>
      </w:pPr>
      <w:r>
        <w:t>Reuse records showing when and how the pattern was reused</w:t>
      </w:r>
    </w:p>
    <w:p>
      <w:pPr>
        <w:pStyle w:val="ListBullet"/>
        <w:spacing w:after="56"/>
      </w:pPr>
      <w:r>
        <w:t>Reset validation records (absent)</w:t>
      </w:r>
    </w:p>
    <w:p>
      <w:pPr>
        <w:pStyle w:val="ListBullet"/>
        <w:spacing w:after="56"/>
      </w:pPr>
      <w:r>
        <w:t>Reauthorization records (absent)</w:t>
      </w:r>
    </w:p>
    <w:p>
      <w:pPr>
        <w:pStyle w:val="ListBullet"/>
        <w:spacing w:after="56"/>
      </w:pPr>
      <w:r>
        <w:t>Context boundary records (absent)</w:t>
      </w:r>
    </w:p>
    <w:p>
      <w:pPr>
        <w:pStyle w:val="ListBullet"/>
        <w:spacing w:after="56"/>
      </w:pPr>
      <w:r>
        <w:t>Privacy impact assessment records (absent)</w:t>
      </w:r>
    </w:p>
    <w:p>
      <w:pPr>
        <w:spacing w:after="56"/>
      </w:pPr>
      <w:r>
        <w:t>Remediation Pattern:</w:t>
      </w:r>
    </w:p>
    <w:p>
      <w:pPr>
        <w:pStyle w:val="ListBullet"/>
        <w:spacing w:after="56"/>
      </w:pPr>
      <w:r>
        <w:t>Implement cross-project reuse compliance workflow requiring reset and reauthorization</w:t>
      </w:r>
    </w:p>
    <w:p>
      <w:pPr>
        <w:pStyle w:val="ListBullet"/>
        <w:spacing w:after="56"/>
      </w:pPr>
      <w:r>
        <w:t>Add context boundary validation for regulated projects</w:t>
      </w:r>
    </w:p>
    <w:p>
      <w:pPr>
        <w:pStyle w:val="ListBullet"/>
        <w:spacing w:after="56"/>
      </w:pPr>
      <w:r>
        <w:t>Implement privacy/GDPR lifecycle mapping for data flow</w:t>
      </w:r>
    </w:p>
    <w:p>
      <w:pPr>
        <w:pStyle w:val="ListBullet"/>
        <w:spacing w:after="56"/>
      </w:pPr>
      <w:r>
        <w:t>Add reuse policy enforcement at project boundaries</w:t>
      </w:r>
    </w:p>
    <w:p>
      <w:pPr>
        <w:pStyle w:val="ListBullet"/>
        <w:spacing w:after="56"/>
      </w:pPr>
      <w:r>
        <w:t>Implement substitution conformance validation</w:t>
      </w:r>
    </w:p>
    <w:p>
      <w:pPr>
        <w:spacing w:after="56"/>
      </w:pPr>
      <w:r>
        <w:t>Relevant MROs: MRO-09, MRO-10, MRO-15</w:t>
      </w:r>
    </w:p>
    <w:p>
      <w:pPr>
        <w:spacing w:after="56"/>
      </w:pPr>
      <w:r>
        <w:t>Relevant ALCS: ALCS-09, ALCS-10, ALCS-14</w:t>
      </w:r>
    </w:p>
    <w:p>
      <w:pPr>
        <w:pStyle w:val="Heading3"/>
      </w:pPr>
      <w:r>
        <w:t>Scenario 5: Privacy Validation Failure</w:t>
      </w:r>
    </w:p>
    <w:p>
      <w:pPr>
        <w:spacing w:after="56"/>
      </w:pPr>
      <w:r>
        <w:t>Failure Trigger:</w:t>
      </w:r>
    </w:p>
    <w:p>
      <w:pPr>
        <w:spacing w:after="56"/>
      </w:pPr>
      <w:r>
        <w:t>An enterprise sends raw agent traces, including customer PII and proprietary business logic, to a third-party reviewer for compliance validation. The reviewer is not a processor under a data processing agreement. The data transfer creates a privacy risk and potential security incident.</w:t>
      </w:r>
    </w:p>
    <w:p>
      <w:pPr>
        <w:spacing w:after="56"/>
      </w:pPr>
      <w:r>
        <w:t>Missing Lifecycle Object:</w:t>
      </w:r>
    </w:p>
    <w:p>
      <w:pPr>
        <w:spacing w:after="56"/>
      </w:pPr>
      <w:r>
        <w:t>Privacy/GDPR Lifecycle Mapping (MRO-10); Privacy-Preserving Third-Party Validation (MRO-11); Evidence Minimization and Selective Disclosure (MRO-12); Data Subject Rights vs Evidence Retention (MRO-13)</w:t>
      </w:r>
    </w:p>
    <w:p>
      <w:pPr>
        <w:spacing w:after="56"/>
      </w:pPr>
      <w:r>
        <w:t>Relevant ALCS Dimensions:</w:t>
      </w:r>
    </w:p>
    <w:p>
      <w:pPr>
        <w:spacing w:after="56"/>
      </w:pPr>
      <w:r>
        <w:t>ALCS-10: Privacy/GDPR Lifecycle Mapping; ALCS-11: Privacy-Preserving Third-Party Validation; ALCS-12: Evidence Minimization and Selective Disclosure; ALCS-13: Data Subject Rights vs Evidence Retention</w:t>
      </w:r>
    </w:p>
    <w:p>
      <w:pPr>
        <w:spacing w:after="56"/>
      </w:pPr>
      <w:r>
        <w:t>Enterprise Consequence:</w:t>
      </w:r>
    </w:p>
    <w:p>
      <w:pPr>
        <w:spacing w:after="56"/>
      </w:pPr>
      <w:r>
        <w:t>Privacy risk. Potential GDPR Article 28 processor-chain issue requiring legal review. Security incident. Regulatory investigation challenge. Customer trust loss. Potential regulatory exposure. Reputational damage.</w:t>
      </w:r>
    </w:p>
    <w:p>
      <w:pPr>
        <w:spacing w:after="56"/>
      </w:pPr>
      <w:r>
        <w:t>Investigation Evidence Needed:</w:t>
      </w:r>
    </w:p>
    <w:p>
      <w:pPr>
        <w:pStyle w:val="ListBullet"/>
        <w:spacing w:after="56"/>
      </w:pPr>
      <w:r>
        <w:t>Validation evidence transfer records</w:t>
      </w:r>
    </w:p>
    <w:p>
      <w:pPr>
        <w:pStyle w:val="ListBullet"/>
        <w:spacing w:after="56"/>
      </w:pPr>
      <w:r>
        <w:t>Data processing agreement records (absent)</w:t>
      </w:r>
    </w:p>
    <w:p>
      <w:pPr>
        <w:pStyle w:val="ListBullet"/>
        <w:spacing w:after="56"/>
      </w:pPr>
      <w:r>
        <w:t>Disclosure policy records (absent)</w:t>
      </w:r>
    </w:p>
    <w:p>
      <w:pPr>
        <w:pStyle w:val="ListBullet"/>
        <w:spacing w:after="56"/>
      </w:pPr>
      <w:r>
        <w:t>Redaction records (absent)</w:t>
      </w:r>
    </w:p>
    <w:p>
      <w:pPr>
        <w:pStyle w:val="ListBullet"/>
        <w:spacing w:after="56"/>
      </w:pPr>
      <w:r>
        <w:t>Evidence minimization records (absent)</w:t>
      </w:r>
    </w:p>
    <w:p>
      <w:pPr>
        <w:pStyle w:val="ListBullet"/>
        <w:spacing w:after="56"/>
      </w:pPr>
      <w:r>
        <w:t>Validation protocol records (absent)</w:t>
      </w:r>
    </w:p>
    <w:p>
      <w:pPr>
        <w:spacing w:after="56"/>
      </w:pPr>
      <w:r>
        <w:t>Remediation Pattern:</w:t>
      </w:r>
    </w:p>
    <w:p>
      <w:pPr>
        <w:pStyle w:val="ListBullet"/>
        <w:spacing w:after="56"/>
      </w:pPr>
      <w:r>
        <w:t>Implement privacy-preserving third-party validation protocol (e.g., evidence-based validation pattern from Chapter 14)</w:t>
      </w:r>
    </w:p>
    <w:p>
      <w:pPr>
        <w:pStyle w:val="ListBullet"/>
        <w:spacing w:after="56"/>
      </w:pPr>
      <w:r>
        <w:t>Add disclosure policy requiring evidence minimization and selective disclosure</w:t>
      </w:r>
    </w:p>
    <w:p>
      <w:pPr>
        <w:pStyle w:val="ListBullet"/>
        <w:spacing w:after="56"/>
      </w:pPr>
      <w:r>
        <w:t>Implement redaction profile for sensitive data</w:t>
      </w:r>
    </w:p>
    <w:p>
      <w:pPr>
        <w:pStyle w:val="ListBullet"/>
        <w:spacing w:after="56"/>
      </w:pPr>
      <w:r>
        <w:t>Add data processing agreement requirement for validation providers</w:t>
      </w:r>
    </w:p>
    <w:p>
      <w:pPr>
        <w:pStyle w:val="ListBullet"/>
        <w:spacing w:after="56"/>
      </w:pPr>
      <w:r>
        <w:t>Implement validation protocol with hash manifests and verdict hashes instead of raw trace transfer</w:t>
      </w:r>
    </w:p>
    <w:p>
      <w:pPr>
        <w:spacing w:after="56"/>
      </w:pPr>
      <w:r>
        <w:t>Relevant MROs: MRO-10, MRO-11, MRO-12, MRO-13</w:t>
      </w:r>
    </w:p>
    <w:p>
      <w:pPr>
        <w:spacing w:after="56"/>
      </w:pPr>
      <w:r>
        <w:t>Relevant ALCS: ALCS-10, ALCS-11, ALCS-12, ALCS-13</w:t>
      </w:r>
    </w:p>
    <w:p>
      <w:pPr>
        <w:pStyle w:val="Heading3"/>
      </w:pPr>
      <w:r>
        <w:t>Scenario 6: Processor Chain Failure</w:t>
      </w:r>
    </w:p>
    <w:p>
      <w:pPr>
        <w:spacing w:after="56"/>
      </w:pPr>
      <w:r>
        <w:t>Failure Trigger:</w:t>
      </w:r>
    </w:p>
    <w:p>
      <w:pPr>
        <w:spacing w:after="56"/>
      </w:pPr>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Pr>
        <w:spacing w:after="56"/>
      </w:pPr>
      <w:r>
        <w:t>Missing Lifecycle Object:</w:t>
      </w:r>
    </w:p>
    <w:p>
      <w:pPr>
        <w:spacing w:after="56"/>
      </w:pPr>
      <w:r>
        <w:t>Third-Party Processor/Subprocessor Chain (MRO-14); Tool-Action Liability Boundary (MRO-05); MAS Evidence Partitioning (MRO-08)</w:t>
      </w:r>
    </w:p>
    <w:p>
      <w:pPr>
        <w:spacing w:after="56"/>
      </w:pPr>
      <w:r>
        <w:t>Relevant ALCS Dimensions:</w:t>
      </w:r>
    </w:p>
    <w:p>
      <w:pPr>
        <w:spacing w:after="56"/>
      </w:pPr>
      <w:r>
        <w:t>ALCS-14: Third-Party Processor/Subprocessor Chain; ALCS-04: Accepted Outcome Compliance; ALCS-08: MAS Evidence Partitioning</w:t>
      </w:r>
    </w:p>
    <w:p>
      <w:pPr>
        <w:spacing w:after="56"/>
      </w:pPr>
      <w:r>
        <w:t>Enterprise Consequence:</w:t>
      </w:r>
    </w:p>
    <w:p>
      <w:pPr>
        <w:spacing w:after="56"/>
      </w:pPr>
      <w:r>
        <w:t>Processor chain liability dispute. Potential GDPR Article 28 processor-chain issue requiring legal review. Unclear responsibility for breach. Vendor disputes. Insurance claim challenge. Regulatory investigation challenge. Customer trust loss. Reputational damage.</w:t>
      </w:r>
    </w:p>
    <w:p>
      <w:pPr>
        <w:spacing w:after="56"/>
      </w:pPr>
      <w:r>
        <w:t>Investigation Evidence Needed:</w:t>
      </w:r>
    </w:p>
    <w:p>
      <w:pPr>
        <w:pStyle w:val="ListBullet"/>
        <w:spacing w:after="56"/>
      </w:pPr>
      <w:r>
        <w:t>Processor agreements with each vendor</w:t>
      </w:r>
    </w:p>
    <w:p>
      <w:pPr>
        <w:pStyle w:val="ListBullet"/>
        <w:spacing w:after="56"/>
      </w:pPr>
      <w:r>
        <w:t>Subprocessor chain records showing data flow</w:t>
      </w:r>
    </w:p>
    <w:p>
      <w:pPr>
        <w:pStyle w:val="ListBullet"/>
        <w:spacing w:after="56"/>
      </w:pPr>
      <w:r>
        <w:t>Responsibility assignment records for each processor</w:t>
      </w:r>
    </w:p>
    <w:p>
      <w:pPr>
        <w:pStyle w:val="ListBullet"/>
        <w:spacing w:after="56"/>
      </w:pPr>
      <w:r>
        <w:t>Tool-action logs showing which processor handled which data</w:t>
      </w:r>
    </w:p>
    <w:p>
      <w:pPr>
        <w:pStyle w:val="ListBullet"/>
        <w:spacing w:after="56"/>
      </w:pPr>
      <w:r>
        <w:t>Evidence partitioning records showing processor boundaries</w:t>
      </w:r>
    </w:p>
    <w:p>
      <w:pPr>
        <w:spacing w:after="56"/>
      </w:pPr>
      <w:r>
        <w:t>Remediation Pattern:</w:t>
      </w:r>
    </w:p>
    <w:p>
      <w:pPr>
        <w:pStyle w:val="ListBullet"/>
        <w:spacing w:after="56"/>
      </w:pPr>
      <w:r>
        <w:t>Implement third-party processor/subprocessor chain mapping</w:t>
      </w:r>
    </w:p>
    <w:p>
      <w:pPr>
        <w:pStyle w:val="ListBullet"/>
        <w:spacing w:after="56"/>
      </w:pPr>
      <w:r>
        <w:t>Add processor agreements with GDPR Article 28 mapping and legal review</w:t>
      </w:r>
    </w:p>
    <w:p>
      <w:pPr>
        <w:pStyle w:val="ListBullet"/>
        <w:spacing w:after="56"/>
      </w:pPr>
      <w:r>
        <w:t>Implement responsibility assignment for each processor</w:t>
      </w:r>
    </w:p>
    <w:p>
      <w:pPr>
        <w:pStyle w:val="ListBullet"/>
        <w:spacing w:after="56"/>
      </w:pPr>
      <w:r>
        <w:t>Add tool-action liability boundary records</w:t>
      </w:r>
    </w:p>
    <w:p>
      <w:pPr>
        <w:pStyle w:val="ListBullet"/>
        <w:spacing w:after="56"/>
      </w:pPr>
      <w:r>
        <w:t>Implement evidence partitioning at processor boundaries</w:t>
      </w:r>
    </w:p>
    <w:p>
      <w:pPr>
        <w:spacing w:after="56"/>
      </w:pPr>
      <w:r>
        <w:t>Relevant MROs: MRO-14, MRO-05, MRO-08</w:t>
      </w:r>
    </w:p>
    <w:p>
      <w:pPr>
        <w:spacing w:after="56"/>
      </w:pPr>
      <w:r>
        <w:t>Relevant ALCS: ALCS-14, ALCS-04, ALCS-08</w:t>
      </w:r>
    </w:p>
    <w:p>
      <w:pPr>
        <w:pStyle w:val="Heading3"/>
      </w:pPr>
      <w:r>
        <w:t>Scenario 7: Vendor / Runtime Substitution Failure</w:t>
      </w:r>
    </w:p>
    <w:p>
      <w:pPr>
        <w:spacing w:after="56"/>
      </w:pPr>
      <w:r>
        <w:t>Failure Trigger:</w:t>
      </w:r>
    </w:p>
    <w:p>
      <w:pPr>
        <w:spacing w:after="56"/>
      </w:pPr>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Pr>
        <w:spacing w:after="56"/>
      </w:pPr>
      <w:r>
        <w:t>Missing Lifecycle Object:</w:t>
      </w:r>
    </w:p>
    <w:p>
      <w:pPr>
        <w:spacing w:after="56"/>
      </w:pPr>
      <w:r>
        <w:t>Vendor/Model/Runtime Substitution Conformance (MRO-15); MAS Evidence Partitioning (MRO-08); Privacy/GDPR Lifecycle Mapping (MRO-10)</w:t>
      </w:r>
    </w:p>
    <w:p>
      <w:pPr>
        <w:spacing w:after="56"/>
      </w:pPr>
      <w:r>
        <w:t>Relevant ALCS Dimensions:</w:t>
      </w:r>
    </w:p>
    <w:p>
      <w:pPr>
        <w:spacing w:after="56"/>
      </w:pPr>
      <w:r>
        <w:t>ALCS-15: Vendor/Model/Runtime Substitution Conformance; ALCS-08: MAS Evidence Partitioning; ALCS-11: Privacy-Preserving Third-Party Validation</w:t>
      </w:r>
    </w:p>
    <w:p>
      <w:pPr>
        <w:spacing w:after="56"/>
      </w:pPr>
      <w:r>
        <w:t>Enterprise Consequence:</w:t>
      </w:r>
    </w:p>
    <w:p>
      <w:pPr>
        <w:spacing w:after="56"/>
      </w:pPr>
      <w:r>
        <w:t>Compliance drift. Evidence chain degradation. Authority boundary violations. Privacy risks. Audit-readiness failure or audit challenge. Inability to demonstrate conformance after substitution. Reputational damage.</w:t>
      </w:r>
    </w:p>
    <w:p>
      <w:pPr>
        <w:spacing w:after="56"/>
      </w:pPr>
      <w:r>
        <w:t>Investigation Evidence Needed:</w:t>
      </w:r>
    </w:p>
    <w:p>
      <w:pPr>
        <w:pStyle w:val="ListBullet"/>
        <w:spacing w:after="56"/>
      </w:pPr>
      <w:r>
        <w:t>Substitution records showing when and why the model was changed</w:t>
      </w:r>
    </w:p>
    <w:p>
      <w:pPr>
        <w:pStyle w:val="ListBullet"/>
        <w:spacing w:after="56"/>
      </w:pPr>
      <w:r>
        <w:t>Conformance validation records (absent)</w:t>
      </w:r>
    </w:p>
    <w:p>
      <w:pPr>
        <w:pStyle w:val="ListBullet"/>
        <w:spacing w:after="56"/>
      </w:pPr>
      <w:r>
        <w:t>Regression testing records (absent)</w:t>
      </w:r>
    </w:p>
    <w:p>
      <w:pPr>
        <w:pStyle w:val="ListBullet"/>
        <w:spacing w:after="56"/>
      </w:pPr>
      <w:r>
        <w:t>Evidence integrity validation records (absent)</w:t>
      </w:r>
    </w:p>
    <w:p>
      <w:pPr>
        <w:pStyle w:val="ListBullet"/>
        <w:spacing w:after="56"/>
      </w:pPr>
      <w:r>
        <w:t>Authority boundary validation records (absent)</w:t>
      </w:r>
    </w:p>
    <w:p>
      <w:pPr>
        <w:spacing w:after="56"/>
      </w:pPr>
      <w:r>
        <w:t>Remediation Pattern:</w:t>
      </w:r>
    </w:p>
    <w:p>
      <w:pPr>
        <w:pStyle w:val="ListBullet"/>
        <w:spacing w:after="56"/>
      </w:pPr>
      <w:r>
        <w:t>Implement vendor/model/runtime substitution conformance workflow</w:t>
      </w:r>
    </w:p>
    <w:p>
      <w:pPr>
        <w:pStyle w:val="ListBullet"/>
        <w:spacing w:after="56"/>
      </w:pPr>
      <w:r>
        <w:t>Add conformance validation testing before substitution</w:t>
      </w:r>
    </w:p>
    <w:p>
      <w:pPr>
        <w:pStyle w:val="ListBullet"/>
        <w:spacing w:after="56"/>
      </w:pPr>
      <w:r>
        <w:t>Implement regression testing for evidence chain integrity</w:t>
      </w:r>
    </w:p>
    <w:p>
      <w:pPr>
        <w:pStyle w:val="ListBullet"/>
        <w:spacing w:after="56"/>
      </w:pPr>
      <w:r>
        <w:t>Add authority boundary validation after substitution</w:t>
      </w:r>
    </w:p>
    <w:p>
      <w:pPr>
        <w:pStyle w:val="ListBullet"/>
        <w:spacing w:after="56"/>
      </w:pPr>
      <w:r>
        <w:t>Implement privacy-preserving validation protocol compatibility testing</w:t>
      </w:r>
    </w:p>
    <w:p>
      <w:pPr>
        <w:spacing w:after="56"/>
      </w:pPr>
      <w:r>
        <w:t>Relevant MROs: MRO-15, MRO-08, MRO-10</w:t>
      </w:r>
    </w:p>
    <w:p>
      <w:pPr>
        <w:spacing w:after="56"/>
      </w:pPr>
      <w:r>
        <w:t>Relevant ALCS: ALCS-15, ALCS-08, ALCS-11</w:t>
      </w:r>
    </w:p>
    <w:p>
      <w:pPr>
        <w:pStyle w:val="Heading3"/>
      </w:pPr>
      <w:r>
        <w:t>Scenario 8: Remediation Closure Failure</w:t>
      </w:r>
    </w:p>
    <w:p>
      <w:pPr>
        <w:spacing w:after="56"/>
      </w:pPr>
      <w:r>
        <w:t>Failure Trigger:</w:t>
      </w:r>
    </w:p>
    <w:p>
      <w:pPr>
        <w:spacing w:after="56"/>
      </w:pPr>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Pr>
        <w:spacing w:after="56"/>
      </w:pPr>
      <w:r>
        <w:t>Missing Lifecycle Object:</w:t>
      </w:r>
    </w:p>
    <w:p>
      <w:pPr>
        <w:spacing w:after="56"/>
      </w:pPr>
      <w:r>
        <w:t>Incident, Dispute, and Remediation Closure (MRO-16); Accepted Outcome Compliance (MRO-04); MAS Evidence Partitioning (MRO-08)</w:t>
      </w:r>
    </w:p>
    <w:p>
      <w:pPr>
        <w:spacing w:after="56"/>
      </w:pPr>
      <w:r>
        <w:t>Relevant ALCS Dimensions:</w:t>
      </w:r>
    </w:p>
    <w:p>
      <w:pPr>
        <w:spacing w:after="56"/>
      </w:pPr>
      <w:r>
        <w:t>ALCS-04: Accepted Outcome Compliance; ALCS-08: MAS Evidence Partitioning; ALCS-06: Responsibility Transfer Across Agents</w:t>
      </w:r>
    </w:p>
    <w:p>
      <w:pPr>
        <w:spacing w:after="56"/>
      </w:pPr>
      <w:r>
        <w:t>Enterprise Consequence:</w:t>
      </w:r>
    </w:p>
    <w:p>
      <w:pPr>
        <w:spacing w:after="56"/>
      </w:pPr>
      <w:r>
        <w:t>Remediation delays. No closure state. Customer disputes without resolution. Regulatory investigation failure. Reputational damage. Inability to demonstrate that remediation was completed.</w:t>
      </w:r>
    </w:p>
    <w:p>
      <w:pPr>
        <w:spacing w:after="56"/>
      </w:pPr>
      <w:r>
        <w:t>Investigation Evidence Needed:</w:t>
      </w:r>
    </w:p>
    <w:p>
      <w:pPr>
        <w:pStyle w:val="ListBullet"/>
        <w:spacing w:after="56"/>
      </w:pPr>
      <w:r>
        <w:t>Incident records showing when the bug was discovered</w:t>
      </w:r>
    </w:p>
    <w:p>
      <w:pPr>
        <w:pStyle w:val="ListBullet"/>
        <w:spacing w:after="56"/>
      </w:pPr>
      <w:r>
        <w:t>Affected outcome records (absent)</w:t>
      </w:r>
    </w:p>
    <w:p>
      <w:pPr>
        <w:pStyle w:val="ListBullet"/>
        <w:spacing w:after="56"/>
      </w:pPr>
      <w:r>
        <w:t>Remediation records showing the fix</w:t>
      </w:r>
    </w:p>
    <w:p>
      <w:pPr>
        <w:pStyle w:val="ListBullet"/>
        <w:spacing w:after="56"/>
      </w:pPr>
      <w:r>
        <w:t>Closure acceptance records (absent)</w:t>
      </w:r>
    </w:p>
    <w:p>
      <w:pPr>
        <w:pStyle w:val="ListBullet"/>
        <w:spacing w:after="56"/>
      </w:pPr>
      <w:r>
        <w:t>Customer impact assessment records (absent)</w:t>
      </w:r>
    </w:p>
    <w:p>
      <w:pPr>
        <w:pStyle w:val="ListBullet"/>
        <w:spacing w:after="56"/>
      </w:pPr>
      <w:r>
        <w:t>Evidence review records (absent)</w:t>
      </w:r>
    </w:p>
    <w:p>
      <w:pPr>
        <w:spacing w:after="56"/>
      </w:pPr>
      <w:r>
        <w:t>Remediation Pattern:</w:t>
      </w:r>
    </w:p>
    <w:p>
      <w:pPr>
        <w:pStyle w:val="ListBullet"/>
        <w:spacing w:after="56"/>
      </w:pPr>
      <w:r>
        <w:t>Implement incident, dispute, and remediation closure workflow</w:t>
      </w:r>
    </w:p>
    <w:p>
      <w:pPr>
        <w:pStyle w:val="ListBullet"/>
        <w:spacing w:after="56"/>
      </w:pPr>
      <w:r>
        <w:t>Add responsible owner assignment for remediation</w:t>
      </w:r>
    </w:p>
    <w:p>
      <w:pPr>
        <w:pStyle w:val="ListBullet"/>
        <w:spacing w:after="56"/>
      </w:pPr>
      <w:r>
        <w:t>Implement affected outcome list generation</w:t>
      </w:r>
    </w:p>
    <w:p>
      <w:pPr>
        <w:pStyle w:val="ListBullet"/>
        <w:spacing w:after="56"/>
      </w:pPr>
      <w:r>
        <w:t>Add evidence review workflow for affected outcomes</w:t>
      </w:r>
    </w:p>
    <w:p>
      <w:pPr>
        <w:pStyle w:val="ListBullet"/>
        <w:spacing w:after="56"/>
      </w:pPr>
      <w:r>
        <w:t>Implement customer impact assessment</w:t>
      </w:r>
    </w:p>
    <w:p>
      <w:pPr>
        <w:pStyle w:val="ListBullet"/>
        <w:spacing w:after="56"/>
      </w:pPr>
      <w:r>
        <w:t>Add accepted closure state requiring explicit acceptance by responsible owner</w:t>
      </w:r>
    </w:p>
    <w:p>
      <w:pPr>
        <w:spacing w:after="56"/>
      </w:pPr>
      <w:r>
        <w:t>Relevant MROs: MRO-16, MRO-04, MRO-08</w:t>
      </w:r>
    </w:p>
    <w:p>
      <w:pPr>
        <w:spacing w:after="56"/>
      </w:pPr>
      <w:r>
        <w:t>Relevant ALCS: ALCS-04, ALCS-08, ALCS-06</w:t>
      </w:r>
    </w:p>
    <w:p>
      <w:pPr>
        <w:pStyle w:val="Heading2"/>
      </w:pPr>
      <w:r>
        <w:t>15.4 Remediation and Prevention Patterns</w:t>
      </w:r>
    </w:p>
    <w:p>
      <w:pPr>
        <w:spacing w:after="56"/>
      </w:pPr>
      <w:r>
        <w:t>The following table summarizes remediation and prevention patterns for the eight failure scenarios.</w:t>
      </w:r>
    </w:p>
    <w:p>
      <w:pPr>
        <w:keepNext/>
      </w:pPr>
      <w:r>
        <w:rPr>
          <w:b/>
          <w:sz w:val="16"/>
        </w:rPr>
        <w:t>Table T-15-03: Failure Scenario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Scenario</w:t>
            </w:r>
          </w:p>
        </w:tc>
        <w:tc>
          <w:tcPr>
            <w:tcW w:type="dxa" w:w="2045"/>
          </w:tcPr>
          <w:p>
            <w:pPr>
              <w:spacing w:after="0"/>
            </w:pPr>
            <w:r>
              <w:rPr>
                <w:rFonts w:ascii="Arial" w:hAnsi="Arial"/>
                <w:b/>
                <w:sz w:val="14"/>
              </w:rPr>
              <w:t>Failure Trigger</w:t>
            </w:r>
          </w:p>
        </w:tc>
        <w:tc>
          <w:tcPr>
            <w:tcW w:type="dxa" w:w="2045"/>
          </w:tcPr>
          <w:p>
            <w:pPr>
              <w:spacing w:after="0"/>
            </w:pPr>
            <w:r>
              <w:rPr>
                <w:rFonts w:ascii="Arial" w:hAnsi="Arial"/>
                <w:b/>
                <w:sz w:val="14"/>
              </w:rPr>
              <w:t>Missing Lifecycle Object</w:t>
            </w:r>
          </w:p>
        </w:tc>
        <w:tc>
          <w:tcPr>
            <w:tcW w:type="dxa" w:w="2045"/>
          </w:tcPr>
          <w:p>
            <w:pPr>
              <w:spacing w:after="0"/>
            </w:pPr>
            <w:r>
              <w:rPr>
                <w:rFonts w:ascii="Arial" w:hAnsi="Arial"/>
                <w:b/>
                <w:sz w:val="14"/>
              </w:rPr>
              <w:t>Investigation Evidence</w:t>
            </w:r>
          </w:p>
        </w:tc>
        <w:tc>
          <w:tcPr>
            <w:tcW w:type="dxa" w:w="2045"/>
          </w:tcPr>
          <w:p>
            <w:pPr>
              <w:spacing w:after="0"/>
            </w:pPr>
            <w:r>
              <w:rPr>
                <w:rFonts w:ascii="Arial" w:hAnsi="Arial"/>
                <w:b/>
                <w:sz w:val="14"/>
              </w:rPr>
              <w:t>Remediation Pattern</w:t>
            </w:r>
          </w:p>
        </w:tc>
      </w:tr>
      <w:tr>
        <w:tc>
          <w:tcPr>
            <w:tcW w:type="dxa" w:w="2045"/>
          </w:tcPr>
          <w:p>
            <w:pPr>
              <w:spacing w:after="0"/>
            </w:pPr>
            <w:r>
              <w:rPr>
                <w:rFonts w:ascii="Arial" w:hAnsi="Arial"/>
                <w:b w:val="0"/>
                <w:sz w:val="14"/>
              </w:rPr>
              <w:t>Authority Boundary Failure</w:t>
            </w:r>
          </w:p>
        </w:tc>
        <w:tc>
          <w:tcPr>
            <w:tcW w:type="dxa" w:w="2045"/>
          </w:tcPr>
          <w:p>
            <w:pPr>
              <w:spacing w:after="0"/>
            </w:pPr>
            <w:r>
              <w:rPr>
                <w:rFonts w:ascii="Arial" w:hAnsi="Arial"/>
                <w:b w:val="0"/>
                <w:sz w:val="14"/>
              </w:rPr>
              <w:t>Agent exceeds delegated authority; moves from advising to committing without human confirmation</w:t>
            </w:r>
          </w:p>
        </w:tc>
        <w:tc>
          <w:tcPr>
            <w:tcW w:type="dxa" w:w="2045"/>
          </w:tcPr>
          <w:p>
            <w:pPr>
              <w:spacing w:after="0"/>
            </w:pPr>
            <w:r>
              <w:rPr>
                <w:rFonts w:ascii="Arial" w:hAnsi="Arial"/>
                <w:b w:val="0"/>
                <w:sz w:val="14"/>
              </w:rPr>
              <w:t>Delegated Authority Boundary; Authority Drift Detection; Tool-Action Liability Boundary</w:t>
            </w:r>
          </w:p>
        </w:tc>
        <w:tc>
          <w:tcPr>
            <w:tcW w:type="dxa" w:w="2045"/>
          </w:tcPr>
          <w:p>
            <w:pPr>
              <w:spacing w:after="0"/>
            </w:pPr>
            <w:r>
              <w:rPr>
                <w:rFonts w:ascii="Arial" w:hAnsi="Arial"/>
                <w:b w:val="0"/>
                <w:sz w:val="14"/>
              </w:rPr>
              <w:t>Authority grant records; tool-action logs; drift detection logs; human confirmation records; acceptance records</w:t>
            </w:r>
          </w:p>
        </w:tc>
        <w:tc>
          <w:tcPr>
            <w:tcW w:type="dxa" w:w="2045"/>
          </w:tcPr>
          <w:p>
            <w:pPr>
              <w:spacing w:after="0"/>
            </w:pPr>
            <w:r>
              <w:rPr>
                <w:rFonts w:ascii="Arial" w:hAnsi="Arial"/>
                <w:b w:val="0"/>
                <w:sz w:val="14"/>
              </w:rPr>
              <w:t>Implement authority boundary enforcement; add drift detection; require human confirmation for commitments; add reauthorization workflow</w:t>
            </w:r>
          </w:p>
        </w:tc>
      </w:tr>
      <w:tr>
        <w:tc>
          <w:tcPr>
            <w:tcW w:type="dxa" w:w="2045"/>
          </w:tcPr>
          <w:p>
            <w:pPr>
              <w:spacing w:after="0"/>
            </w:pPr>
            <w:r>
              <w:rPr>
                <w:rFonts w:ascii="Arial" w:hAnsi="Arial"/>
                <w:b w:val="0"/>
                <w:sz w:val="14"/>
              </w:rPr>
              <w:t>Evidence Chain Failure</w:t>
            </w:r>
          </w:p>
        </w:tc>
        <w:tc>
          <w:tcPr>
            <w:tcW w:type="dxa" w:w="2045"/>
          </w:tcPr>
          <w:p>
            <w:pPr>
              <w:spacing w:after="0"/>
            </w:pPr>
            <w:r>
              <w:rPr>
                <w:rFonts w:ascii="Arial" w:hAnsi="Arial"/>
                <w:b w:val="0"/>
                <w:sz w:val="14"/>
              </w:rPr>
              <w:t>Organization has logs but cannot reconstruct authority, plan, confirmation, tool action, and accepted outcome</w:t>
            </w:r>
          </w:p>
        </w:tc>
        <w:tc>
          <w:tcPr>
            <w:tcW w:type="dxa" w:w="2045"/>
          </w:tcPr>
          <w:p>
            <w:pPr>
              <w:spacing w:after="0"/>
            </w:pPr>
            <w:r>
              <w:rPr>
                <w:rFonts w:ascii="Arial" w:hAnsi="Arial"/>
                <w:b w:val="0"/>
                <w:sz w:val="14"/>
              </w:rPr>
              <w:t>MAS Evidence Partitioning; Privacy-Preserving Third-Party Validation; Evidence Minimization</w:t>
            </w:r>
          </w:p>
        </w:tc>
        <w:tc>
          <w:tcPr>
            <w:tcW w:type="dxa" w:w="2045"/>
          </w:tcPr>
          <w:p>
            <w:pPr>
              <w:spacing w:after="0"/>
            </w:pPr>
            <w:r>
              <w:rPr>
                <w:rFonts w:ascii="Arial" w:hAnsi="Arial"/>
                <w:b w:val="0"/>
                <w:sz w:val="14"/>
              </w:rPr>
              <w:t>Partitioned evidence chain; evidence export records; retention policy records; validation protocol records</w:t>
            </w:r>
          </w:p>
        </w:tc>
        <w:tc>
          <w:tcPr>
            <w:tcW w:type="dxa" w:w="2045"/>
          </w:tcPr>
          <w:p>
            <w:pPr>
              <w:spacing w:after="0"/>
            </w:pPr>
            <w:r>
              <w:rPr>
                <w:rFonts w:ascii="Arial" w:hAnsi="Arial"/>
                <w:b w:val="0"/>
                <w:sz w:val="14"/>
              </w:rPr>
              <w:t>Implement MAS evidence partitioning; add evidence export with selective disclosure; add privacy-preserving validation protocol</w:t>
            </w:r>
          </w:p>
        </w:tc>
      </w:tr>
      <w:tr>
        <w:tc>
          <w:tcPr>
            <w:tcW w:type="dxa" w:w="2045"/>
          </w:tcPr>
          <w:p>
            <w:pPr>
              <w:spacing w:after="0"/>
            </w:pPr>
            <w:r>
              <w:rPr>
                <w:rFonts w:ascii="Arial" w:hAnsi="Arial"/>
                <w:b w:val="0"/>
                <w:sz w:val="14"/>
              </w:rPr>
              <w:t>Accepted Outcome Failure</w:t>
            </w:r>
          </w:p>
        </w:tc>
        <w:tc>
          <w:tcPr>
            <w:tcW w:type="dxa" w:w="2045"/>
          </w:tcPr>
          <w:p>
            <w:pPr>
              <w:spacing w:after="0"/>
            </w:pPr>
            <w:r>
              <w:rPr>
                <w:rFonts w:ascii="Arial" w:hAnsi="Arial"/>
                <w:b w:val="0"/>
                <w:sz w:val="14"/>
              </w:rPr>
              <w:t>Orchestrator marks task complete but no human accepts the result</w:t>
            </w:r>
          </w:p>
        </w:tc>
        <w:tc>
          <w:tcPr>
            <w:tcW w:type="dxa" w:w="2045"/>
          </w:tcPr>
          <w:p>
            <w:pPr>
              <w:spacing w:after="0"/>
            </w:pPr>
            <w:r>
              <w:rPr>
                <w:rFonts w:ascii="Arial" w:hAnsi="Arial"/>
                <w:b w:val="0"/>
                <w:sz w:val="14"/>
              </w:rPr>
              <w:t>Human-Role-to-MAS Responsibility Mapping; Accepted Outcome Compliance; Incident/Dispute/Remediation Closure</w:t>
            </w:r>
          </w:p>
        </w:tc>
        <w:tc>
          <w:tcPr>
            <w:tcW w:type="dxa" w:w="2045"/>
          </w:tcPr>
          <w:p>
            <w:pPr>
              <w:spacing w:after="0"/>
            </w:pPr>
            <w:r>
              <w:rPr>
                <w:rFonts w:ascii="Arial" w:hAnsi="Arial"/>
                <w:b w:val="0"/>
                <w:sz w:val="14"/>
              </w:rPr>
              <w:t>Role assignment records; acceptance records; review records; escalation records; remediation ownership records</w:t>
            </w:r>
          </w:p>
        </w:tc>
        <w:tc>
          <w:tcPr>
            <w:tcW w:type="dxa" w:w="2045"/>
          </w:tcPr>
          <w:p>
            <w:pPr>
              <w:spacing w:after="0"/>
            </w:pPr>
            <w:r>
              <w:rPr>
                <w:rFonts w:ascii="Arial" w:hAnsi="Arial"/>
                <w:b w:val="0"/>
                <w:sz w:val="14"/>
              </w:rPr>
              <w:t>Implement human-role-to-MAS responsibility mapping; add accepted outcome compliance workflow; add review and escalation workflow</w:t>
            </w:r>
          </w:p>
        </w:tc>
      </w:tr>
      <w:tr>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Prompt, memory, or workflow reused across regulated contexts without reset or reauthorization</w:t>
            </w:r>
          </w:p>
        </w:tc>
        <w:tc>
          <w:tcPr>
            <w:tcW w:type="dxa" w:w="2045"/>
          </w:tcPr>
          <w:p>
            <w:pPr>
              <w:spacing w:after="0"/>
            </w:pPr>
            <w:r>
              <w:rPr>
                <w:rFonts w:ascii="Arial" w:hAnsi="Arial"/>
                <w:b w:val="0"/>
                <w:sz w:val="14"/>
              </w:rPr>
              <w:t>Cross-Project Reuse Compliance; Privacy/GDPR Lifecycle Mapping; Vendor/Model/Runtime Substitution Conformance</w:t>
            </w:r>
          </w:p>
        </w:tc>
        <w:tc>
          <w:tcPr>
            <w:tcW w:type="dxa" w:w="2045"/>
          </w:tcPr>
          <w:p>
            <w:pPr>
              <w:spacing w:after="0"/>
            </w:pPr>
            <w:r>
              <w:rPr>
                <w:rFonts w:ascii="Arial" w:hAnsi="Arial"/>
                <w:b w:val="0"/>
                <w:sz w:val="14"/>
              </w:rPr>
              <w:t>Reuse records; reset validation records; reauthorization records; context boundary records; privacy impact assessment records</w:t>
            </w:r>
          </w:p>
        </w:tc>
        <w:tc>
          <w:tcPr>
            <w:tcW w:type="dxa" w:w="2045"/>
          </w:tcPr>
          <w:p>
            <w:pPr>
              <w:spacing w:after="0"/>
            </w:pPr>
            <w:r>
              <w:rPr>
                <w:rFonts w:ascii="Arial" w:hAnsi="Arial"/>
                <w:b w:val="0"/>
                <w:sz w:val="14"/>
              </w:rPr>
              <w:t>Implement cross-project reuse compliance workflow; add context boundary validation; add privacy/GDPR lifecycle mapping</w:t>
            </w:r>
          </w:p>
        </w:tc>
      </w:tr>
      <w:tr>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Enterprise sends raw traces with PII to third-party reviewer without data processing agreement</w:t>
            </w:r>
          </w:p>
        </w:tc>
        <w:tc>
          <w:tcPr>
            <w:tcW w:type="dxa" w:w="2045"/>
          </w:tcPr>
          <w:p>
            <w:pPr>
              <w:spacing w:after="0"/>
            </w:pPr>
            <w:r>
              <w:rPr>
                <w:rFonts w:ascii="Arial" w:hAnsi="Arial"/>
                <w:b w:val="0"/>
                <w:sz w:val="14"/>
              </w:rPr>
              <w:t>Privacy/GDPR Lifecycle Mapping; Privacy-Preserving Third-Party Validation; Evidence Minimization; Data Subject Rights</w:t>
            </w:r>
          </w:p>
        </w:tc>
        <w:tc>
          <w:tcPr>
            <w:tcW w:type="dxa" w:w="2045"/>
          </w:tcPr>
          <w:p>
            <w:pPr>
              <w:spacing w:after="0"/>
            </w:pPr>
            <w:r>
              <w:rPr>
                <w:rFonts w:ascii="Arial" w:hAnsi="Arial"/>
                <w:b w:val="0"/>
                <w:sz w:val="14"/>
              </w:rPr>
              <w:t>Validation evidence transfer records; data processing agreement records; disclosure policy records; redaction records</w:t>
            </w:r>
          </w:p>
        </w:tc>
        <w:tc>
          <w:tcPr>
            <w:tcW w:type="dxa" w:w="2045"/>
          </w:tcPr>
          <w:p>
            <w:pPr>
              <w:spacing w:after="0"/>
            </w:pPr>
            <w:r>
              <w:rPr>
                <w:rFonts w:ascii="Arial" w:hAnsi="Arial"/>
                <w:b w:val="0"/>
                <w:sz w:val="14"/>
              </w:rPr>
              <w:t>Implement privacy-preserving validation protocol; add disclosure policy with evidence minimization; add redaction profile; require data processing agreements</w:t>
            </w:r>
          </w:p>
        </w:tc>
      </w:tr>
      <w:tr>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Multi-vendor workflow but no processor/subprocessor responsibility chain exists</w:t>
            </w:r>
          </w:p>
        </w:tc>
        <w:tc>
          <w:tcPr>
            <w:tcW w:type="dxa" w:w="2045"/>
          </w:tcPr>
          <w:p>
            <w:pPr>
              <w:spacing w:after="0"/>
            </w:pPr>
            <w:r>
              <w:rPr>
                <w:rFonts w:ascii="Arial" w:hAnsi="Arial"/>
                <w:b w:val="0"/>
                <w:sz w:val="14"/>
              </w:rPr>
              <w:t>Third-Party Processor/Subprocessor Chain; Tool-Action Liability Boundary; MAS Evidence Partitioning</w:t>
            </w:r>
          </w:p>
        </w:tc>
        <w:tc>
          <w:tcPr>
            <w:tcW w:type="dxa" w:w="2045"/>
          </w:tcPr>
          <w:p>
            <w:pPr>
              <w:spacing w:after="0"/>
            </w:pPr>
            <w:r>
              <w:rPr>
                <w:rFonts w:ascii="Arial" w:hAnsi="Arial"/>
                <w:b w:val="0"/>
                <w:sz w:val="14"/>
              </w:rPr>
              <w:t>Processor agreements; subprocessor chain records; responsibility assignment records; tool-action logs; evidence partitioning records</w:t>
            </w:r>
          </w:p>
        </w:tc>
        <w:tc>
          <w:tcPr>
            <w:tcW w:type="dxa" w:w="2045"/>
          </w:tcPr>
          <w:p>
            <w:pPr>
              <w:spacing w:after="0"/>
            </w:pPr>
            <w:r>
              <w:rPr>
                <w:rFonts w:ascii="Arial" w:hAnsi="Arial"/>
                <w:b w:val="0"/>
                <w:sz w:val="14"/>
              </w:rPr>
              <w:t>Implement processor/subprocessor chain mapping; add processor agreements with GDPR Article 28 mapping and legal review; add responsibility assignment</w:t>
            </w:r>
          </w:p>
        </w:tc>
      </w:tr>
      <w:tr>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Model/runtime substitution degrades evidence, authority, and privacy semantics</w:t>
            </w:r>
          </w:p>
        </w:tc>
        <w:tc>
          <w:tcPr>
            <w:tcW w:type="dxa" w:w="2045"/>
          </w:tcPr>
          <w:p>
            <w:pPr>
              <w:spacing w:after="0"/>
            </w:pPr>
            <w:r>
              <w:rPr>
                <w:rFonts w:ascii="Arial" w:hAnsi="Arial"/>
                <w:b w:val="0"/>
                <w:sz w:val="14"/>
              </w:rPr>
              <w:t>Vendor/Model/Runtime Substitution Conformance; MAS Evidence Partitioning; Privacy/GDPR Lifecycle Mapping</w:t>
            </w:r>
          </w:p>
        </w:tc>
        <w:tc>
          <w:tcPr>
            <w:tcW w:type="dxa" w:w="2045"/>
          </w:tcPr>
          <w:p>
            <w:pPr>
              <w:spacing w:after="0"/>
            </w:pPr>
            <w:r>
              <w:rPr>
                <w:rFonts w:ascii="Arial" w:hAnsi="Arial"/>
                <w:b w:val="0"/>
                <w:sz w:val="14"/>
              </w:rPr>
              <w:t>Substitution records; conformance validation records; regression testing records; evidence integrity validation records</w:t>
            </w:r>
          </w:p>
        </w:tc>
        <w:tc>
          <w:tcPr>
            <w:tcW w:type="dxa" w:w="2045"/>
          </w:tcPr>
          <w:p>
            <w:pPr>
              <w:spacing w:after="0"/>
            </w:pPr>
            <w:r>
              <w:rPr>
                <w:rFonts w:ascii="Arial" w:hAnsi="Arial"/>
                <w:b w:val="0"/>
                <w:sz w:val="14"/>
              </w:rPr>
              <w:t>Implement substitution conformance workflow; add conformance validation testing; add regression testing for evidence chain integrity</w:t>
            </w:r>
          </w:p>
        </w:tc>
      </w:tr>
      <w:tr>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Bug fixed but no responsible owner, affected outcome list, evidence review, or accepted closure state</w:t>
            </w:r>
          </w:p>
        </w:tc>
        <w:tc>
          <w:tcPr>
            <w:tcW w:type="dxa" w:w="2045"/>
          </w:tcPr>
          <w:p>
            <w:pPr>
              <w:spacing w:after="0"/>
            </w:pPr>
            <w:r>
              <w:rPr>
                <w:rFonts w:ascii="Arial" w:hAnsi="Arial"/>
                <w:b w:val="0"/>
                <w:sz w:val="14"/>
              </w:rPr>
              <w:t>Incident/Dispute/Remediation Closure; Accepted Outcome Compliance; MAS Evidence Partitioning</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Implement incident/dispute/remediation closure workflow; add responsible owner assignment; add affected outcome list generation; add closure acceptance</w:t>
            </w:r>
          </w:p>
        </w:tc>
      </w:tr>
    </w:tbl>
    <w:p>
      <w:pPr>
        <w:keepNext/>
      </w:pPr>
      <w:r>
        <w:rPr>
          <w:b/>
          <w:sz w:val="16"/>
        </w:rPr>
        <w:t>Table T-15-04: Prevention and Remediation Patterns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w:t>
            </w:r>
          </w:p>
        </w:tc>
        <w:tc>
          <w:tcPr>
            <w:tcW w:type="dxa" w:w="2045"/>
          </w:tcPr>
          <w:p>
            <w:pPr>
              <w:spacing w:after="0"/>
            </w:pPr>
            <w:r>
              <w:rPr>
                <w:rFonts w:ascii="Arial" w:hAnsi="Arial"/>
                <w:b/>
                <w:sz w:val="14"/>
              </w:rPr>
              <w:t>Prevents Which Failure</w:t>
            </w:r>
          </w:p>
        </w:tc>
        <w:tc>
          <w:tcPr>
            <w:tcW w:type="dxa" w:w="2045"/>
          </w:tcPr>
          <w:p>
            <w:pPr>
              <w:spacing w:after="0"/>
            </w:pPr>
            <w:r>
              <w:rPr>
                <w:rFonts w:ascii="Arial" w:hAnsi="Arial"/>
                <w:b/>
                <w:sz w:val="14"/>
              </w:rPr>
              <w:t>Required Object</w:t>
            </w:r>
          </w:p>
        </w:tc>
        <w:tc>
          <w:tcPr>
            <w:tcW w:type="dxa" w:w="2045"/>
          </w:tcPr>
          <w:p>
            <w:pPr>
              <w:spacing w:after="0"/>
            </w:pPr>
            <w:r>
              <w:rPr>
                <w:rFonts w:ascii="Arial" w:hAnsi="Arial"/>
                <w:b/>
                <w:sz w:val="14"/>
              </w:rPr>
              <w:t>Operational Owner</w:t>
            </w:r>
          </w:p>
        </w:tc>
        <w:tc>
          <w:tcPr>
            <w:tcW w:type="dxa" w:w="2045"/>
          </w:tcPr>
          <w:p>
            <w:pPr>
              <w:spacing w:after="0"/>
            </w:pPr>
            <w:r>
              <w:rPr>
                <w:rFonts w:ascii="Arial" w:hAnsi="Arial"/>
                <w:b/>
                <w:sz w:val="14"/>
              </w:rPr>
              <w:t>Evidence Artifact</w:t>
            </w:r>
          </w:p>
        </w:tc>
      </w:tr>
      <w:tr>
        <w:tc>
          <w:tcPr>
            <w:tcW w:type="dxa" w:w="2045"/>
          </w:tcPr>
          <w:p>
            <w:pPr>
              <w:spacing w:after="0"/>
            </w:pPr>
            <w:r>
              <w:rPr>
                <w:rFonts w:ascii="Arial" w:hAnsi="Arial"/>
                <w:b w:val="0"/>
                <w:sz w:val="14"/>
              </w:rPr>
              <w:t>Authority Boundary Enforcement</w:t>
            </w:r>
          </w:p>
        </w:tc>
        <w:tc>
          <w:tcPr>
            <w:tcW w:type="dxa" w:w="2045"/>
          </w:tcPr>
          <w:p>
            <w:pPr>
              <w:spacing w:after="0"/>
            </w:pPr>
            <w:r>
              <w:rPr>
                <w:rFonts w:ascii="Arial" w:hAnsi="Arial"/>
                <w:b w:val="0"/>
                <w:sz w:val="14"/>
              </w:rPr>
              <w:t>Authority Boundary Failure; Authority Drift</w:t>
            </w:r>
          </w:p>
        </w:tc>
        <w:tc>
          <w:tcPr>
            <w:tcW w:type="dxa" w:w="2045"/>
          </w:tcPr>
          <w:p>
            <w:pPr>
              <w:spacing w:after="0"/>
            </w:pPr>
            <w:r>
              <w:rPr>
                <w:rFonts w:ascii="Arial" w:hAnsi="Arial"/>
                <w:b w:val="0"/>
                <w:sz w:val="14"/>
              </w:rPr>
              <w:t>Delegated Authority Boundary (MRO-02); Authority Drift Detection (MRO-07)</w:t>
            </w:r>
          </w:p>
        </w:tc>
        <w:tc>
          <w:tcPr>
            <w:tcW w:type="dxa" w:w="2045"/>
          </w:tcPr>
          <w:p>
            <w:pPr>
              <w:spacing w:after="0"/>
            </w:pPr>
            <w:r>
              <w:rPr>
                <w:rFonts w:ascii="Arial" w:hAnsi="Arial"/>
                <w:b w:val="0"/>
                <w:sz w:val="14"/>
              </w:rPr>
              <w:t>Governance team; agent operations team</w:t>
            </w:r>
          </w:p>
        </w:tc>
        <w:tc>
          <w:tcPr>
            <w:tcW w:type="dxa" w:w="2045"/>
          </w:tcPr>
          <w:p>
            <w:pPr>
              <w:spacing w:after="0"/>
            </w:pPr>
            <w:r>
              <w:rPr>
                <w:rFonts w:ascii="Arial" w:hAnsi="Arial"/>
                <w:b w:val="0"/>
                <w:sz w:val="14"/>
              </w:rPr>
              <w:t>Authority grant records; boundary violation alerts; drift detection logs</w:t>
            </w:r>
          </w:p>
        </w:tc>
      </w:tr>
      <w:tr>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Evidence Chain Failure; Processor Chain Failure</w:t>
            </w:r>
          </w:p>
        </w:tc>
        <w:tc>
          <w:tcPr>
            <w:tcW w:type="dxa" w:w="2045"/>
          </w:tcPr>
          <w:p>
            <w:pPr>
              <w:spacing w:after="0"/>
            </w:pPr>
            <w:r>
              <w:rPr>
                <w:rFonts w:ascii="Arial" w:hAnsi="Arial"/>
                <w:b w:val="0"/>
                <w:sz w:val="14"/>
              </w:rPr>
              <w:t>MAS Evidence Partitioning (MRO-08)</w:t>
            </w:r>
          </w:p>
        </w:tc>
        <w:tc>
          <w:tcPr>
            <w:tcW w:type="dxa" w:w="2045"/>
          </w:tcPr>
          <w:p>
            <w:pPr>
              <w:spacing w:after="0"/>
            </w:pPr>
            <w:r>
              <w:rPr>
                <w:rFonts w:ascii="Arial" w:hAnsi="Arial"/>
                <w:b w:val="0"/>
                <w:sz w:val="14"/>
              </w:rPr>
              <w:t>Data governance team; compliance team</w:t>
            </w:r>
          </w:p>
        </w:tc>
        <w:tc>
          <w:tcPr>
            <w:tcW w:type="dxa" w:w="2045"/>
          </w:tcPr>
          <w:p>
            <w:pPr>
              <w:spacing w:after="0"/>
            </w:pPr>
            <w:r>
              <w:rPr>
                <w:rFonts w:ascii="Arial" w:hAnsi="Arial"/>
                <w:b w:val="0"/>
                <w:sz w:val="14"/>
              </w:rPr>
              <w:t>Partitioned evidence chains; evidence export logs; partition policy records</w:t>
            </w:r>
          </w:p>
        </w:tc>
      </w:tr>
      <w:tr>
        <w:tc>
          <w:tcPr>
            <w:tcW w:type="dxa" w:w="2045"/>
          </w:tcPr>
          <w:p>
            <w:pPr>
              <w:spacing w:after="0"/>
            </w:pPr>
            <w:r>
              <w:rPr>
                <w:rFonts w:ascii="Arial" w:hAnsi="Arial"/>
                <w:b w:val="0"/>
                <w:sz w:val="14"/>
              </w:rPr>
              <w:t>Accepted Outcome Compliance Workflow</w:t>
            </w:r>
          </w:p>
        </w:tc>
        <w:tc>
          <w:tcPr>
            <w:tcW w:type="dxa" w:w="2045"/>
          </w:tcPr>
          <w:p>
            <w:pPr>
              <w:spacing w:after="0"/>
            </w:pPr>
            <w:r>
              <w:rPr>
                <w:rFonts w:ascii="Arial" w:hAnsi="Arial"/>
                <w:b w:val="0"/>
                <w:sz w:val="14"/>
              </w:rPr>
              <w:t>Accepted Outcome Failure; Remediation Closure Failure</w:t>
            </w:r>
          </w:p>
        </w:tc>
        <w:tc>
          <w:tcPr>
            <w:tcW w:type="dxa" w:w="2045"/>
          </w:tcPr>
          <w:p>
            <w:pPr>
              <w:spacing w:after="0"/>
            </w:pPr>
            <w:r>
              <w:rPr>
                <w:rFonts w:ascii="Arial" w:hAnsi="Arial"/>
                <w:b w:val="0"/>
                <w:sz w:val="14"/>
              </w:rPr>
              <w:t>Accepted Outcome Compliance (MRO-04); Human-Role-to-MAS Responsibility Mapping (MRO-01)</w:t>
            </w:r>
          </w:p>
        </w:tc>
        <w:tc>
          <w:tcPr>
            <w:tcW w:type="dxa" w:w="2045"/>
          </w:tcPr>
          <w:p>
            <w:pPr>
              <w:spacing w:after="0"/>
            </w:pPr>
            <w:r>
              <w:rPr>
                <w:rFonts w:ascii="Arial" w:hAnsi="Arial"/>
                <w:b w:val="0"/>
                <w:sz w:val="14"/>
              </w:rPr>
              <w:t>Business process owner; compliance team</w:t>
            </w:r>
          </w:p>
        </w:tc>
        <w:tc>
          <w:tcPr>
            <w:tcW w:type="dxa" w:w="2045"/>
          </w:tcPr>
          <w:p>
            <w:pPr>
              <w:spacing w:after="0"/>
            </w:pPr>
            <w:r>
              <w:rPr>
                <w:rFonts w:ascii="Arial" w:hAnsi="Arial"/>
                <w:b w:val="0"/>
                <w:sz w:val="14"/>
              </w:rPr>
              <w:t>Acceptance records; review records; escalation records; closure acceptance records</w:t>
            </w:r>
          </w:p>
        </w:tc>
      </w:tr>
      <w:tr>
        <w:tc>
          <w:tcPr>
            <w:tcW w:type="dxa" w:w="2045"/>
          </w:tcPr>
          <w:p>
            <w:pPr>
              <w:spacing w:after="0"/>
            </w:pPr>
            <w:r>
              <w:rPr>
                <w:rFonts w:ascii="Arial" w:hAnsi="Arial"/>
                <w:b w:val="0"/>
                <w:sz w:val="14"/>
              </w:rPr>
              <w:t>Cross-Project Reuse Compliance Workflow</w:t>
            </w:r>
          </w:p>
        </w:tc>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Cross-Project Reuse Compliance (MRO-09); Privacy/GDPR Lifecycle Mapping (MRO-10)</w:t>
            </w:r>
          </w:p>
        </w:tc>
        <w:tc>
          <w:tcPr>
            <w:tcW w:type="dxa" w:w="2045"/>
          </w:tcPr>
          <w:p>
            <w:pPr>
              <w:spacing w:after="0"/>
            </w:pPr>
            <w:r>
              <w:rPr>
                <w:rFonts w:ascii="Arial" w:hAnsi="Arial"/>
                <w:b w:val="0"/>
                <w:sz w:val="14"/>
              </w:rPr>
              <w:t>Data governance team; privacy team</w:t>
            </w:r>
          </w:p>
        </w:tc>
        <w:tc>
          <w:tcPr>
            <w:tcW w:type="dxa" w:w="2045"/>
          </w:tcPr>
          <w:p>
            <w:pPr>
              <w:spacing w:after="0"/>
            </w:pPr>
            <w:r>
              <w:rPr>
                <w:rFonts w:ascii="Arial" w:hAnsi="Arial"/>
                <w:b w:val="0"/>
                <w:sz w:val="14"/>
              </w:rPr>
              <w:t>Reuse records; reset validation records; reauthorization records; context boundary records</w:t>
            </w:r>
          </w:p>
        </w:tc>
      </w:tr>
      <w:tr>
        <w:tc>
          <w:tcPr>
            <w:tcW w:type="dxa" w:w="2045"/>
          </w:tcPr>
          <w:p>
            <w:pPr>
              <w:spacing w:after="0"/>
            </w:pPr>
            <w:r>
              <w:rPr>
                <w:rFonts w:ascii="Arial" w:hAnsi="Arial"/>
                <w:b w:val="0"/>
                <w:sz w:val="14"/>
              </w:rPr>
              <w:t>Privacy-Preserving Validation Protocol</w:t>
            </w:r>
          </w:p>
        </w:tc>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Privacy-Preserving Third-Party Validation (MRO-11); Evidence Minimization (MRO-12)</w:t>
            </w:r>
          </w:p>
        </w:tc>
        <w:tc>
          <w:tcPr>
            <w:tcW w:type="dxa" w:w="2045"/>
          </w:tcPr>
          <w:p>
            <w:pPr>
              <w:spacing w:after="0"/>
            </w:pPr>
            <w:r>
              <w:rPr>
                <w:rFonts w:ascii="Arial" w:hAnsi="Arial"/>
                <w:b w:val="0"/>
                <w:sz w:val="14"/>
              </w:rPr>
              <w:t>Privacy team; compliance team</w:t>
            </w:r>
          </w:p>
        </w:tc>
        <w:tc>
          <w:tcPr>
            <w:tcW w:type="dxa" w:w="2045"/>
          </w:tcPr>
          <w:p>
            <w:pPr>
              <w:spacing w:after="0"/>
            </w:pPr>
            <w:r>
              <w:rPr>
                <w:rFonts w:ascii="Arial" w:hAnsi="Arial"/>
                <w:b w:val="0"/>
                <w:sz w:val="14"/>
              </w:rPr>
              <w:t>Validation protocol records; disclosure policy records; redaction records; hash manifests; verdict hashes</w:t>
            </w:r>
          </w:p>
        </w:tc>
      </w:tr>
      <w:tr>
        <w:tc>
          <w:tcPr>
            <w:tcW w:type="dxa" w:w="2045"/>
          </w:tcPr>
          <w:p>
            <w:pPr>
              <w:spacing w:after="0"/>
            </w:pPr>
            <w:r>
              <w:rPr>
                <w:rFonts w:ascii="Arial" w:hAnsi="Arial"/>
                <w:b w:val="0"/>
                <w:sz w:val="14"/>
              </w:rPr>
              <w:t>Processor/Subprocessor Chain Mapping</w:t>
            </w:r>
          </w:p>
        </w:tc>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Third-Party Processor/Subprocessor Chain (MRO-14)</w:t>
            </w:r>
          </w:p>
        </w:tc>
        <w:tc>
          <w:tcPr>
            <w:tcW w:type="dxa" w:w="2045"/>
          </w:tcPr>
          <w:p>
            <w:pPr>
              <w:spacing w:after="0"/>
            </w:pPr>
            <w:r>
              <w:rPr>
                <w:rFonts w:ascii="Arial" w:hAnsi="Arial"/>
                <w:b w:val="0"/>
                <w:sz w:val="14"/>
              </w:rPr>
              <w:t>Procurement team; legal team; data governance team</w:t>
            </w:r>
          </w:p>
        </w:tc>
        <w:tc>
          <w:tcPr>
            <w:tcW w:type="dxa" w:w="2045"/>
          </w:tcPr>
          <w:p>
            <w:pPr>
              <w:spacing w:after="0"/>
            </w:pPr>
            <w:r>
              <w:rPr>
                <w:rFonts w:ascii="Arial" w:hAnsi="Arial"/>
                <w:b w:val="0"/>
                <w:sz w:val="14"/>
              </w:rPr>
              <w:t>Processor agreements; subprocessor chain records; responsibility assignment records</w:t>
            </w:r>
          </w:p>
        </w:tc>
      </w:tr>
      <w:tr>
        <w:tc>
          <w:tcPr>
            <w:tcW w:type="dxa" w:w="2045"/>
          </w:tcPr>
          <w:p>
            <w:pPr>
              <w:spacing w:after="0"/>
            </w:pPr>
            <w:r>
              <w:rPr>
                <w:rFonts w:ascii="Arial" w:hAnsi="Arial"/>
                <w:b w:val="0"/>
                <w:sz w:val="14"/>
              </w:rPr>
              <w:t>Substitution Conformance Validation</w:t>
            </w:r>
          </w:p>
        </w:tc>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Vendor/Model/Runtime Substitution Conformance (MRO-15)</w:t>
            </w:r>
          </w:p>
        </w:tc>
        <w:tc>
          <w:tcPr>
            <w:tcW w:type="dxa" w:w="2045"/>
          </w:tcPr>
          <w:p>
            <w:pPr>
              <w:spacing w:after="0"/>
            </w:pPr>
            <w:r>
              <w:rPr>
                <w:rFonts w:ascii="Arial" w:hAnsi="Arial"/>
                <w:b w:val="0"/>
                <w:sz w:val="14"/>
              </w:rPr>
              <w:t>Engineering team; compliance team</w:t>
            </w:r>
          </w:p>
        </w:tc>
        <w:tc>
          <w:tcPr>
            <w:tcW w:type="dxa" w:w="2045"/>
          </w:tcPr>
          <w:p>
            <w:pPr>
              <w:spacing w:after="0"/>
            </w:pPr>
            <w:r>
              <w:rPr>
                <w:rFonts w:ascii="Arial" w:hAnsi="Arial"/>
                <w:b w:val="0"/>
                <w:sz w:val="14"/>
              </w:rPr>
              <w:t>Substitution records; conformance validation records; regression testing records; evidence integrity validation records</w:t>
            </w:r>
          </w:p>
        </w:tc>
      </w:tr>
      <w:tr>
        <w:tc>
          <w:tcPr>
            <w:tcW w:type="dxa" w:w="2045"/>
          </w:tcPr>
          <w:p>
            <w:pPr>
              <w:spacing w:after="0"/>
            </w:pPr>
            <w:r>
              <w:rPr>
                <w:rFonts w:ascii="Arial" w:hAnsi="Arial"/>
                <w:b w:val="0"/>
                <w:sz w:val="14"/>
              </w:rPr>
              <w:t>Incident/Dispute/Remediation Closure Workflow</w:t>
            </w:r>
          </w:p>
        </w:tc>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Incident, Dispute, and Remediation Closure (MRO-16)</w:t>
            </w:r>
          </w:p>
        </w:tc>
        <w:tc>
          <w:tcPr>
            <w:tcW w:type="dxa" w:w="2045"/>
          </w:tcPr>
          <w:p>
            <w:pPr>
              <w:spacing w:after="0"/>
            </w:pPr>
            <w:r>
              <w:rPr>
                <w:rFonts w:ascii="Arial" w:hAnsi="Arial"/>
                <w:b w:val="0"/>
                <w:sz w:val="14"/>
              </w:rPr>
              <w:t>Incident response team; customer support team; compliance team</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r>
    </w:tbl>
    <w:p>
      <w:pPr>
        <w:spacing w:after="56"/>
      </w:pPr>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Pr>
        <w:pStyle w:val="Heading2"/>
      </w:pPr>
      <w:r>
        <w:t>15.5 Bridge to Adoption Roadmap</w:t>
      </w:r>
    </w:p>
    <w:p>
      <w:pPr>
        <w:spacing w:after="56"/>
      </w:pPr>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Pr>
        <w:spacing w:after="56"/>
      </w:pPr>
      <w:r>
        <w:t>The bridge from failure scenarios (Chapter 15) to adoption roadmap (Chapter 17) is the recognition that lifecycle governance is not a theoretical framework. It is a practical necessity for enterprises deploying agentic AI systems.</w:t>
      </w:r>
    </w:p>
    <w:p>
      <w:pPr>
        <w:spacing w:after="56"/>
      </w:pPr>
      <w:r>
        <w:t>Failure scenarios create enterprise consequences: accountability gaps, audit-readiness failures or audit challenges, privacy risks, liability disputes, potential regulatory non-compliance depending on deployment context, customer harm, and reputational damage. Prevention and remediation patterns require specific lifecycle objects, operational owners, and evidence artifacts.</w:t>
      </w:r>
    </w:p>
    <w:p>
      <w:pPr>
        <w:spacing w:after="56"/>
      </w:pPr>
      <w:r>
        <w:t>Chapter 17 will present an adoption roadmap for enterprises implementing AI Agent Lifecycle Governance. The roadmap will address:</w:t>
      </w:r>
    </w:p>
    <w:p>
      <w:pPr>
        <w:pStyle w:val="ListBullet"/>
        <w:spacing w:after="56"/>
      </w:pPr>
      <w:r>
        <w:t>Where to start (maturity assessment, gap analysis, pilot projects)</w:t>
      </w:r>
    </w:p>
    <w:p>
      <w:pPr>
        <w:pStyle w:val="ListBullet"/>
        <w:spacing w:after="56"/>
      </w:pPr>
      <w:r>
        <w:t>How to integrate lifecycle governance with existing enterprise controls</w:t>
      </w:r>
    </w:p>
    <w:p>
      <w:pPr>
        <w:pStyle w:val="ListBullet"/>
        <w:spacing w:after="56"/>
      </w:pPr>
      <w:r>
        <w:t>How to operationalize lifecycle responsibility objects</w:t>
      </w:r>
    </w:p>
    <w:p>
      <w:pPr>
        <w:pStyle w:val="ListBullet"/>
        <w:spacing w:after="56"/>
      </w:pPr>
      <w:r>
        <w:t>How to measure progress and demonstrate conformance</w:t>
      </w:r>
    </w:p>
    <w:p>
      <w:pPr>
        <w:pStyle w:val="ListBullet"/>
        <w:spacing w:after="56"/>
      </w:pPr>
      <w:r>
        <w:t>How to scale from pilot to production</w:t>
      </w:r>
    </w:p>
    <w:p>
      <w:pPr>
        <w:spacing w:after="56"/>
      </w:pPr>
      <w:r>
        <w:t>The goal is not to claim that lifecycle governance eliminates all risk. The goal is to provide a practical path for enterprises to address the lifecycle governance gap.</w:t>
      </w:r>
    </w:p>
    <w:p>
      <w:pPr>
        <w:pStyle w:val="Heading1"/>
      </w:pPr>
      <w:r>
        <w:t>16. Boundary to Companion Papers: Evidence, Assurance, and Insurability</w:t>
      </w:r>
    </w:p>
    <w:p>
      <w:pPr>
        <w:spacing w:after="56"/>
      </w:pPr>
      <w:r>
        <w:t>Version: v0.3.2-FRC-R3</w:t>
      </w:r>
    </w:p>
    <w:p>
      <w:pPr>
        <w:pStyle w:val="Heading2"/>
      </w:pPr>
      <w:r>
        <w:t>16.0 Why Companion Paper Boundaries Matter</w:t>
      </w:r>
    </w:p>
    <w:p>
      <w:pPr>
        <w:spacing w:after="56"/>
      </w:pPr>
      <w:r>
        <w:t>This white paper serves as the primary framework document for AI Agent Lifecycle Governance. It defines the semantic and engineering layer for agentic and multi-agent system compliance. It introduces Missing Regulatory Objects, the RCCS-T/RCCS-M/ALCS three-profile analytical model, enterprise control crosswalks, system positioning, and adoption pathways. Because the subject intersects compliance, audit, assurance, insurance, and enterprise procurement, clear scope boundaries are necessary.</w:t>
      </w:r>
    </w:p>
    <w:p>
      <w:pPr>
        <w:spacing w:after="56"/>
      </w:pPr>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Pr>
        <w:spacing w:after="56"/>
      </w:pPr>
      <w:r>
        <w:t>The purpose of this chapter is to declare which topics are covered at framework-entry level in the main white paper and which topics are reserved for specialized companion papers. This boundary is intentional. This white paper defines the primary framework layer. It does not attempt to become every downstream assurance, insurance, audit, or procurement methodology.</w:t>
      </w:r>
    </w:p>
    <w:p>
      <w:pPr>
        <w:spacing w:after="56"/>
      </w:pPr>
      <w:r>
        <w:t>Two companion papers are planned:</w:t>
      </w:r>
    </w:p>
    <w:p>
      <w:pPr>
        <w:pStyle w:val="ListNumber"/>
        <w:spacing w:after="56"/>
      </w:pPr>
      <w:r>
        <w:t>Agentic AI Evidence &amp; Assurance White Paper 2026 — planned to define audit control objectives, evidence sufficiency, test procedures, attestation readiness, and privacy-preserving validation patterns.</w:t>
      </w:r>
    </w:p>
    <w:p>
      <w:pPr>
        <w:pStyle w:val="ListNumber"/>
        <w:spacing w:after="56"/>
      </w:pPr>
      <w:r>
        <w:t>Agentic AI Insurability White Paper 2026 — planned to define risk classification, tool-action liability, loss attribution, claim replay evidence, premium differentiation logic, exclusion triggers, and underwriting implications.</w:t>
      </w:r>
    </w:p>
    <w:p>
      <w:pPr>
        <w:spacing w:after="56"/>
      </w:pPr>
      <w:r>
        <w:t>This chapter clarifies the role of each paper and prevents scope confusion. It ensures that readers understand what the main white paper does and does not claim. It establishes non-claim discipline for legal, audit, assurance, insurance, RCCS-T/RCCS-M/ALCS, MPLP, Validation Lab, and system mapping boundaries.</w:t>
      </w:r>
    </w:p>
    <w:p>
      <w:pPr>
        <w:pStyle w:val="Heading2"/>
      </w:pPr>
      <w:r>
        <w:t>16.1 What the Main White Paper Covers</w:t>
      </w:r>
    </w:p>
    <w:p>
      <w:pPr>
        <w:spacing w:after="56"/>
      </w:pPr>
      <w:r>
        <w:t>The main white paper covers the following topics at framework-entry level:</w:t>
      </w:r>
    </w:p>
    <w:p>
      <w:pPr>
        <w:spacing w:after="56"/>
      </w:pPr>
      <w:r>
        <w:t>Core Framework:</w:t>
      </w:r>
    </w:p>
    <w:p>
      <w:pPr>
        <w:pStyle w:val="ListBullet"/>
        <w:spacing w:after="56"/>
      </w:pPr>
      <w:r>
        <w:t>AI Agent Lifecycle Governance definition and lifecycle chain</w:t>
      </w:r>
    </w:p>
    <w:p>
      <w:pPr>
        <w:pStyle w:val="ListBullet"/>
        <w:spacing w:after="56"/>
      </w:pPr>
      <w:r>
        <w:t>Regulatory and standards baseline analysis</w:t>
      </w:r>
    </w:p>
    <w:p>
      <w:pPr>
        <w:pStyle w:val="ListBullet"/>
        <w:spacing w:after="56"/>
      </w:pPr>
      <w:r>
        <w:t>Missing Regulatory Objects (MRO-01 through MRO-16)</w:t>
      </w:r>
    </w:p>
    <w:p>
      <w:pPr>
        <w:pStyle w:val="ListBullet"/>
        <w:spacing w:after="56"/>
      </w:pPr>
      <w:r>
        <w:t>RCCS-T (Traditional Regulatory Compliance Coverage Score) framework</w:t>
      </w:r>
    </w:p>
    <w:p>
      <w:pPr>
        <w:pStyle w:val="ListBullet"/>
        <w:spacing w:after="56"/>
      </w:pPr>
      <w:r>
        <w:t>RCCS-M (MRO-Adjusted Regulatory Compliance Coverage Score) framework</w:t>
      </w:r>
    </w:p>
    <w:p>
      <w:pPr>
        <w:pStyle w:val="ListBullet"/>
        <w:spacing w:after="56"/>
      </w:pPr>
      <w:r>
        <w:t>ALCS (Agentic Lifecycle Conformance Score) framework</w:t>
      </w:r>
    </w:p>
    <w:p>
      <w:pPr>
        <w:pStyle w:val="ListBullet"/>
        <w:spacing w:after="56"/>
      </w:pPr>
      <w:r>
        <w:t>Three-profile analytical model with optional composite worksheet views</w:t>
      </w:r>
    </w:p>
    <w:p>
      <w:pPr>
        <w:pStyle w:val="ListBullet"/>
        <w:spacing w:after="56"/>
      </w:pPr>
      <w:r>
        <w:t>Enterprise control crosswalk and procurement scorecard inputs</w:t>
      </w:r>
    </w:p>
    <w:p>
      <w:pPr>
        <w:pStyle w:val="ListBullet"/>
        <w:spacing w:after="56"/>
      </w:pPr>
      <w:r>
        <w:t>System positioning and comparative field mappings</w:t>
      </w:r>
    </w:p>
    <w:p>
      <w:pPr>
        <w:pStyle w:val="ListBullet"/>
        <w:spacing w:after="56"/>
      </w:pPr>
      <w:r>
        <w:t>MPLP boundary and non-claim discipline</w:t>
      </w:r>
    </w:p>
    <w:p>
      <w:pPr>
        <w:pStyle w:val="ListBullet"/>
        <w:spacing w:after="56"/>
      </w:pPr>
      <w:r>
        <w:t>Evidence-based validation pattern at framework-entry level</w:t>
      </w:r>
    </w:p>
    <w:p>
      <w:pPr>
        <w:pStyle w:val="ListBullet"/>
        <w:spacing w:after="56"/>
      </w:pPr>
      <w:r>
        <w:t>Enterprise failure scenarios</w:t>
      </w:r>
    </w:p>
    <w:p>
      <w:pPr>
        <w:pStyle w:val="ListBullet"/>
        <w:spacing w:after="56"/>
      </w:pPr>
      <w:r>
        <w:t>Adoption roadmap</w:t>
      </w:r>
    </w:p>
    <w:p>
      <w:pPr>
        <w:spacing w:after="56"/>
      </w:pPr>
      <w:r>
        <w:t>Framework-Entry Evidence Concepts:</w:t>
      </w:r>
    </w:p>
    <w:p>
      <w:pPr>
        <w:spacing w:after="56"/>
      </w:pPr>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Pr>
        <w:spacing w:after="56"/>
      </w:pPr>
      <w:r>
        <w:t>Framework-Entry Insurance Concepts:</w:t>
      </w:r>
    </w:p>
    <w:p>
      <w:pPr>
        <w:spacing w:after="56"/>
      </w:pPr>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Pr>
        <w:spacing w:after="56"/>
      </w:pPr>
      <w:r>
        <w:t>Boundary:</w:t>
      </w:r>
    </w:p>
    <w:p>
      <w:pPr>
        <w:spacing w:after="56"/>
      </w:pPr>
      <w:r>
        <w:t>The main white paper does not fully define:</w:t>
      </w:r>
    </w:p>
    <w:p>
      <w:pPr>
        <w:pStyle w:val="ListBullet"/>
        <w:spacing w:after="56"/>
      </w:pPr>
      <w:r>
        <w:t>Audit engagement procedures</w:t>
      </w:r>
    </w:p>
    <w:p>
      <w:pPr>
        <w:pStyle w:val="ListBullet"/>
        <w:spacing w:after="56"/>
      </w:pPr>
      <w:r>
        <w:t>Assurance opinions or attestation reports</w:t>
      </w:r>
    </w:p>
    <w:p>
      <w:pPr>
        <w:pStyle w:val="ListBullet"/>
        <w:spacing w:after="56"/>
      </w:pPr>
      <w:r>
        <w:t>Insurance policy wording or coverage terms</w:t>
      </w:r>
    </w:p>
    <w:p>
      <w:pPr>
        <w:pStyle w:val="ListBullet"/>
        <w:spacing w:after="56"/>
      </w:pPr>
      <w:r>
        <w:t>Premium pricing models or actuarial methodology</w:t>
      </w:r>
    </w:p>
    <w:p>
      <w:pPr>
        <w:pStyle w:val="ListBullet"/>
        <w:spacing w:after="56"/>
      </w:pPr>
      <w:r>
        <w:t>Loss quantification or claim settlement procedures</w:t>
      </w:r>
    </w:p>
    <w:p>
      <w:pPr>
        <w:pStyle w:val="ListBullet"/>
        <w:spacing w:after="56"/>
      </w:pPr>
      <w:r>
        <w:t>Legal compliance opinions or jurisdictional interpretations</w:t>
      </w:r>
    </w:p>
    <w:p>
      <w:pPr>
        <w:pStyle w:val="ListBullet"/>
        <w:spacing w:after="56"/>
      </w:pPr>
      <w:r>
        <w:t>Procurement recommendations or vendor selection criteria</w:t>
      </w:r>
    </w:p>
    <w:p>
      <w:pPr>
        <w:pStyle w:val="ListBullet"/>
        <w:spacing w:after="56"/>
      </w:pPr>
      <w:r>
        <w:t>Certification procedures or conformity assessment</w:t>
      </w:r>
    </w:p>
    <w:p>
      <w:pPr>
        <w:pStyle w:val="ListBullet"/>
        <w:spacing w:after="56"/>
      </w:pPr>
      <w:r>
        <w:t>Validation Lab operational procedures or certification authority claims</w:t>
      </w:r>
    </w:p>
    <w:p>
      <w:pPr>
        <w:spacing w:after="56"/>
      </w:pPr>
      <w:r>
        <w:t>The main white paper provides the primary framework layer.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Pr>
        <w:pStyle w:val="Heading2"/>
      </w:pPr>
      <w:r>
        <w:t>16.2 Companion Paper 1 — Agentic AI Evidence &amp; Assurance White Paper 2026</w:t>
      </w:r>
    </w:p>
    <w:p>
      <w:pPr>
        <w:spacing w:after="56"/>
      </w:pPr>
      <w:r>
        <w:t>The Agentic AI Evidence &amp; Assurance White Paper 2026 is planned to define the audit, control testing, and validation methodology for agentic systems. When published, it is expected to build on the lifecycle governance framework defined in the main white paper and translate MROs, RCCS-T, RCCS-M, and ALCS into audit control objectives, evidence requirements, and attestation readiness.</w:t>
      </w:r>
    </w:p>
    <w:p>
      <w:pPr>
        <w:spacing w:after="56"/>
      </w:pPr>
      <w:r>
        <w:t>Intended Scope:</w:t>
      </w:r>
    </w:p>
    <w:p>
      <w:pPr>
        <w:spacing w:after="56"/>
      </w:pPr>
      <w:r>
        <w:t>The Evidence &amp; Assurance companion paper is intended to cover:</w:t>
      </w:r>
    </w:p>
    <w:p>
      <w:pPr>
        <w:pStyle w:val="ListBullet"/>
        <w:spacing w:after="56"/>
      </w:pPr>
      <w:r>
        <w:t>Evidence artifact taxonomy: What evidence types are required for each MRO and lifecycle stage.</w:t>
      </w:r>
    </w:p>
    <w:p>
      <w:pPr>
        <w:pStyle w:val="ListBullet"/>
        <w:spacing w:after="56"/>
      </w:pPr>
      <w:r>
        <w:t>Audit control objectives: How to translate MROs into testable control objectives.</w:t>
      </w:r>
    </w:p>
    <w:p>
      <w:pPr>
        <w:pStyle w:val="ListBullet"/>
        <w:spacing w:after="56"/>
      </w:pPr>
      <w:r>
        <w:t>Control activities: What control activities satisfy each objective.</w:t>
      </w:r>
    </w:p>
    <w:p>
      <w:pPr>
        <w:pStyle w:val="ListBullet"/>
        <w:spacing w:after="56"/>
      </w:pPr>
      <w:r>
        <w:t>Test procedures: How to test design effectiveness and operating effectiveness.</w:t>
      </w:r>
    </w:p>
    <w:p>
      <w:pPr>
        <w:pStyle w:val="ListBullet"/>
        <w:spacing w:after="56"/>
      </w:pPr>
      <w:r>
        <w:t>Design effectiveness: How to evaluate whether controls are properly designed.</w:t>
      </w:r>
    </w:p>
    <w:p>
      <w:pPr>
        <w:pStyle w:val="ListBullet"/>
        <w:spacing w:after="56"/>
      </w:pPr>
      <w:r>
        <w:t>Operating effectiveness: How to evaluate whether controls are operating as intended.</w:t>
      </w:r>
    </w:p>
    <w:p>
      <w:pPr>
        <w:pStyle w:val="ListBullet"/>
        <w:spacing w:after="56"/>
      </w:pPr>
      <w:r>
        <w:t>Evidence sufficiency: How much evidence is enough for audit readiness.</w:t>
      </w:r>
    </w:p>
    <w:p>
      <w:pPr>
        <w:pStyle w:val="ListBullet"/>
        <w:spacing w:after="56"/>
      </w:pPr>
      <w:r>
        <w:t>Evidence integrity: How to ensure evidence has not been tampered with.</w:t>
      </w:r>
    </w:p>
    <w:p>
      <w:pPr>
        <w:pStyle w:val="ListBullet"/>
        <w:spacing w:after="56"/>
      </w:pPr>
      <w:r>
        <w:t>Replayability: How to replay evidence for dispute resolution or audit review.</w:t>
      </w:r>
    </w:p>
    <w:p>
      <w:pPr>
        <w:pStyle w:val="ListBullet"/>
        <w:spacing w:after="56"/>
      </w:pPr>
      <w:r>
        <w:t>Attestation readiness: What evidence is required for third-party attestation.</w:t>
      </w:r>
    </w:p>
    <w:p>
      <w:pPr>
        <w:pStyle w:val="ListBullet"/>
        <w:spacing w:after="56"/>
      </w:pPr>
      <w:r>
        <w:t>Privacy-preserving validation patterns: How to validate evidence without exposing sensitive data.</w:t>
      </w:r>
    </w:p>
    <w:p>
      <w:pPr>
        <w:pStyle w:val="ListBullet"/>
        <w:spacing w:after="56"/>
      </w:pPr>
      <w:r>
        <w:t>Validation readiness: How to prepare for third-party validation or audit engagement.</w:t>
      </w:r>
    </w:p>
    <w:p>
      <w:pPr>
        <w:pStyle w:val="ListBullet"/>
        <w:spacing w:after="56"/>
      </w:pPr>
      <w:r>
        <w:t>Assurance engagement boundaries: What assurance engagements can and cannot claim.</w:t>
      </w:r>
    </w:p>
    <w:p>
      <w:pPr>
        <w:spacing w:after="56"/>
      </w:pPr>
      <w:r>
        <w:t>Boundary:</w:t>
      </w:r>
    </w:p>
    <w:p>
      <w:pPr>
        <w:spacing w:after="56"/>
      </w:pPr>
      <w:r>
        <w:t>The Evidence &amp; Assurance companion paper is not intended to:</w:t>
      </w:r>
    </w:p>
    <w:p>
      <w:pPr>
        <w:pStyle w:val="ListBullet"/>
        <w:spacing w:after="56"/>
      </w:pPr>
      <w:r>
        <w:t>Create legal certification or regulatory approval</w:t>
      </w:r>
    </w:p>
    <w:p>
      <w:pPr>
        <w:pStyle w:val="ListBullet"/>
        <w:spacing w:after="56"/>
      </w:pPr>
      <w:r>
        <w:t>Claim that Validation Lab is a certification authority, regulator, or conformity assessment body</w:t>
      </w:r>
    </w:p>
    <w:p>
      <w:pPr>
        <w:pStyle w:val="ListBullet"/>
        <w:spacing w:after="56"/>
      </w:pPr>
      <w:r>
        <w:t>Issue audit opinions or replace professional audit judgment</w:t>
      </w:r>
    </w:p>
    <w:p>
      <w:pPr>
        <w:pStyle w:val="ListBullet"/>
        <w:spacing w:after="56"/>
      </w:pPr>
      <w:r>
        <w:t>Guarantee compliance with any specific regulation or standard</w:t>
      </w:r>
    </w:p>
    <w:p>
      <w:pPr>
        <w:pStyle w:val="ListBullet"/>
        <w:spacing w:after="56"/>
      </w:pPr>
      <w:r>
        <w:t>Replace internal audit, external audit, or regulatory examination</w:t>
      </w:r>
    </w:p>
    <w:p>
      <w:pPr>
        <w:pStyle w:val="ListBullet"/>
        <w:spacing w:after="56"/>
      </w:pPr>
      <w:r>
        <w:t>Define insurance underwriting, actuarial methodology, or premium pricing</w:t>
      </w:r>
    </w:p>
    <w:p>
      <w:pPr>
        <w:spacing w:after="56"/>
      </w:pPr>
      <w:r>
        <w:t>Validation Lab Positioning:</w:t>
      </w:r>
    </w:p>
    <w:p>
      <w:pPr>
        <w:spacing w:after="56"/>
      </w:pPr>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Pr>
        <w:spacing w:after="56"/>
      </w:pPr>
      <w:r>
        <w:t>The Evidence &amp; Assurance companion paper is expected to clarify that Validation Lab is an example of how privacy-preserving third-party validation could be structured. It is not the only method. It is not required for compliance. It is not a certification program.</w:t>
      </w:r>
    </w:p>
    <w:p>
      <w:pPr>
        <w:pStyle w:val="Heading2"/>
      </w:pPr>
      <w:r>
        <w:t>16.3 Companion Paper 2 — Agentic AI Insurability White Paper 2026</w:t>
      </w:r>
    </w:p>
    <w:p>
      <w:pPr>
        <w:spacing w:after="56"/>
      </w:pPr>
      <w:r>
        <w:t>The Agentic AI Insurability White Paper 2026 is planned to define the risk classification, loss attribution, and underwriting implications for agentic systems. When published, it is expected to build on the lifecycle governance framework defined in the main white paper and translate MROs, RCCS-T, RCCS-M, and ALCS into insurability criteria, claim replay evidence, and premium differentiation logic.</w:t>
      </w:r>
    </w:p>
    <w:p>
      <w:pPr>
        <w:spacing w:after="56"/>
      </w:pPr>
      <w:r>
        <w:t>Intended Scope:</w:t>
      </w:r>
    </w:p>
    <w:p>
      <w:pPr>
        <w:spacing w:after="56"/>
      </w:pPr>
      <w:r>
        <w:t>The Insurability companion paper is intended to cover:</w:t>
      </w:r>
    </w:p>
    <w:p>
      <w:pPr>
        <w:pStyle w:val="ListBullet"/>
        <w:spacing w:after="56"/>
      </w:pPr>
      <w:r>
        <w:t>Insurability criteria: What makes an agentic system insurable or uninsurable.</w:t>
      </w:r>
    </w:p>
    <w:p>
      <w:pPr>
        <w:pStyle w:val="ListBullet"/>
        <w:spacing w:after="56"/>
      </w:pPr>
      <w:r>
        <w:t>Risk classification: How to classify agentic system risk for underwriting purposes.</w:t>
      </w:r>
    </w:p>
    <w:p>
      <w:pPr>
        <w:pStyle w:val="ListBullet"/>
        <w:spacing w:after="56"/>
      </w:pPr>
      <w:r>
        <w:t>Authority boundary risk: How delegated authority boundaries affect liability and coverage.</w:t>
      </w:r>
    </w:p>
    <w:p>
      <w:pPr>
        <w:pStyle w:val="ListBullet"/>
        <w:spacing w:after="56"/>
      </w:pPr>
      <w:r>
        <w:t>Tool-action liability: How to attribute liability for tool actions taken by agents.</w:t>
      </w:r>
    </w:p>
    <w:p>
      <w:pPr>
        <w:pStyle w:val="ListBullet"/>
        <w:spacing w:after="56"/>
      </w:pPr>
      <w:r>
        <w:t>Loss attribution: How to determine which party is responsible for a loss.</w:t>
      </w:r>
    </w:p>
    <w:p>
      <w:pPr>
        <w:pStyle w:val="ListBullet"/>
        <w:spacing w:after="56"/>
      </w:pPr>
      <w:r>
        <w:t>Loss quantification concepts: How to estimate potential losses from agentic system failures.</w:t>
      </w:r>
    </w:p>
    <w:p>
      <w:pPr>
        <w:pStyle w:val="ListBullet"/>
        <w:spacing w:after="56"/>
      </w:pPr>
      <w:r>
        <w:t>Claim replay evidence: What evidence is required to replay a claim for dispute resolution.</w:t>
      </w:r>
    </w:p>
    <w:p>
      <w:pPr>
        <w:pStyle w:val="ListBullet"/>
        <w:spacing w:after="56"/>
      </w:pPr>
      <w:r>
        <w:t>Dispute-ready evidence: How to structure evidence for insurance claim disputes.</w:t>
      </w:r>
    </w:p>
    <w:p>
      <w:pPr>
        <w:pStyle w:val="ListBullet"/>
        <w:spacing w:after="56"/>
      </w:pPr>
      <w:r>
        <w:t>Remediation closure: How to verify that incidents have been properly remediated.</w:t>
      </w:r>
    </w:p>
    <w:p>
      <w:pPr>
        <w:pStyle w:val="ListBullet"/>
        <w:spacing w:after="56"/>
      </w:pPr>
      <w:r>
        <w:t>Premium differentiation logic: How lifecycle conformance could affect premium pricing.</w:t>
      </w:r>
    </w:p>
    <w:p>
      <w:pPr>
        <w:pStyle w:val="ListBullet"/>
        <w:spacing w:after="56"/>
      </w:pPr>
      <w:r>
        <w:t>Exclusion triggers: What conditions could trigger coverage exclusions.</w:t>
      </w:r>
    </w:p>
    <w:p>
      <w:pPr>
        <w:pStyle w:val="ListBullet"/>
        <w:spacing w:after="56"/>
      </w:pPr>
      <w:r>
        <w:t>Autonomous-action exclusions: How autonomous actions affect coverage boundaries.</w:t>
      </w:r>
    </w:p>
    <w:p>
      <w:pPr>
        <w:pStyle w:val="ListBullet"/>
        <w:spacing w:after="56"/>
      </w:pPr>
      <w:r>
        <w:t>Moral hazard considerations: How to prevent moral hazard in agentic system insurance.</w:t>
      </w:r>
    </w:p>
    <w:p>
      <w:pPr>
        <w:pStyle w:val="ListBullet"/>
        <w:spacing w:after="56"/>
      </w:pPr>
      <w:r>
        <w:t>Coverage boundary analysis: Where coverage begins and ends for agentic systems.</w:t>
      </w:r>
    </w:p>
    <w:p>
      <w:pPr>
        <w:spacing w:after="56"/>
      </w:pPr>
      <w:r>
        <w:t>Boundary:</w:t>
      </w:r>
    </w:p>
    <w:p>
      <w:pPr>
        <w:spacing w:after="56"/>
      </w:pPr>
      <w:r>
        <w:t>The Insurability companion paper is not intended to:</w:t>
      </w:r>
    </w:p>
    <w:p>
      <w:pPr>
        <w:pStyle w:val="ListBullet"/>
        <w:spacing w:after="56"/>
      </w:pPr>
      <w:r>
        <w:t>Define actual insurance policy wording or coverage terms</w:t>
      </w:r>
    </w:p>
    <w:p>
      <w:pPr>
        <w:pStyle w:val="ListBullet"/>
        <w:spacing w:after="56"/>
      </w:pPr>
      <w:r>
        <w:t>Set premiums or provide actuarial pricing models</w:t>
      </w:r>
    </w:p>
    <w:p>
      <w:pPr>
        <w:pStyle w:val="ListBullet"/>
        <w:spacing w:after="56"/>
      </w:pPr>
      <w:r>
        <w:t>Replace underwriting, actuarial, legal, or claims judgment</w:t>
      </w:r>
    </w:p>
    <w:p>
      <w:pPr>
        <w:pStyle w:val="ListBullet"/>
        <w:spacing w:after="56"/>
      </w:pPr>
      <w:r>
        <w:t>Guarantee insurability or coverage for any specific system</w:t>
      </w:r>
    </w:p>
    <w:p>
      <w:pPr>
        <w:pStyle w:val="ListBullet"/>
        <w:spacing w:after="56"/>
      </w:pPr>
      <w:r>
        <w:t>Issue legal opinions on liability or regulatory compliance</w:t>
      </w:r>
    </w:p>
    <w:p>
      <w:pPr>
        <w:pStyle w:val="ListBullet"/>
        <w:spacing w:after="56"/>
      </w:pPr>
      <w:r>
        <w:t>Replace insurance broker, underwriter, or claims adjuster judgment</w:t>
      </w:r>
    </w:p>
    <w:p>
      <w:pPr>
        <w:pStyle w:val="ListBullet"/>
        <w:spacing w:after="56"/>
      </w:pPr>
      <w:r>
        <w:t>Define claim settlement procedures or dispute resolution mechanisms</w:t>
      </w:r>
    </w:p>
    <w:p>
      <w:pPr>
        <w:spacing w:after="56"/>
      </w:pPr>
      <w:r>
        <w:t>The Insurability companion paper is expected to provide a framework for analyzing insurability implications. It is not intended to replace professional insurance judgment. It is not intended to claim that RCCS-T, RCCS-M, or ALCS scores determine premiums. It is not intended to claim that MPLP conformance guarantees insurability. It is expected to clarify that insurability depends on underwriting judgment, actuarial analysis, legal review, and risk appetite, not only on lifecycle conformance scores.</w:t>
      </w:r>
    </w:p>
    <w:p>
      <w:pPr>
        <w:pStyle w:val="Heading2"/>
      </w:pPr>
      <w:r>
        <w:t>16.4 Companion Paper Boundary Matrix</w:t>
      </w:r>
    </w:p>
    <w:p>
      <w:pPr>
        <w:spacing w:after="56"/>
      </w:pPr>
      <w:r>
        <w:t>The following tables clarify which topics are covered in the main white paper and which are reserved for the Evidence &amp; Assurance and Insurability companion papers.</w:t>
      </w:r>
    </w:p>
    <w:p>
      <w:pPr>
        <w:pStyle w:val="Heading3"/>
      </w:pPr>
      <w:r>
        <w:t>Table T-16-01A: Main Paper vs Evidence &amp; Assurance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Evidence &amp; Assurance Paper</w:t>
            </w:r>
          </w:p>
        </w:tc>
      </w:tr>
      <w:tr>
        <w:tc>
          <w:tcPr>
            <w:tcW w:type="dxa" w:w="3408"/>
          </w:tcPr>
          <w:p>
            <w:pPr>
              <w:spacing w:after="0"/>
            </w:pPr>
            <w:r>
              <w:rPr>
                <w:rFonts w:ascii="Arial" w:hAnsi="Arial"/>
                <w:b w:val="0"/>
                <w:sz w:val="14"/>
              </w:rPr>
              <w:t>Evidence Chain</w:t>
            </w:r>
          </w:p>
        </w:tc>
        <w:tc>
          <w:tcPr>
            <w:tcW w:type="dxa" w:w="3408"/>
          </w:tcPr>
          <w:p>
            <w:pPr>
              <w:spacing w:after="0"/>
            </w:pPr>
            <w:r>
              <w:rPr>
                <w:rFonts w:ascii="Arial" w:hAnsi="Arial"/>
                <w:b w:val="0"/>
                <w:sz w:val="14"/>
              </w:rPr>
              <w:t>Defines evidence chain as lifecycle governance requirement; explains why evidence chain matters for agentic systems</w:t>
            </w:r>
          </w:p>
        </w:tc>
        <w:tc>
          <w:tcPr>
            <w:tcW w:type="dxa" w:w="3408"/>
          </w:tcPr>
          <w:p>
            <w:pPr>
              <w:spacing w:after="0"/>
            </w:pPr>
            <w:r>
              <w:rPr>
                <w:rFonts w:ascii="Arial" w:hAnsi="Arial"/>
                <w:b w:val="0"/>
                <w:sz w:val="14"/>
              </w:rPr>
              <w:t>Defines evidence sufficiency, integrity, replay procedures, and control testing methodology</w:t>
            </w:r>
          </w:p>
        </w:tc>
      </w:tr>
      <w:tr>
        <w:tc>
          <w:tcPr>
            <w:tcW w:type="dxa" w:w="3408"/>
          </w:tcPr>
          <w:p>
            <w:pPr>
              <w:spacing w:after="0"/>
            </w:pPr>
            <w:r>
              <w:rPr>
                <w:rFonts w:ascii="Arial" w:hAnsi="Arial"/>
                <w:b w:val="0"/>
                <w:sz w:val="14"/>
              </w:rPr>
              <w:t>Validation Readiness</w:t>
            </w:r>
          </w:p>
        </w:tc>
        <w:tc>
          <w:tcPr>
            <w:tcW w:type="dxa" w:w="3408"/>
          </w:tcPr>
          <w:p>
            <w:pPr>
              <w:spacing w:after="0"/>
            </w:pPr>
            <w:r>
              <w:rPr>
                <w:rFonts w:ascii="Arial" w:hAnsi="Arial"/>
                <w:b w:val="0"/>
                <w:sz w:val="14"/>
              </w:rPr>
              <w:t>Introduces privacy-preserving validation as MRO-11 concept</w:t>
            </w:r>
          </w:p>
        </w:tc>
        <w:tc>
          <w:tcPr>
            <w:tcW w:type="dxa" w:w="3408"/>
          </w:tcPr>
          <w:p>
            <w:pPr>
              <w:spacing w:after="0"/>
            </w:pPr>
            <w:r>
              <w:rPr>
                <w:rFonts w:ascii="Arial" w:hAnsi="Arial"/>
                <w:b w:val="0"/>
                <w:sz w:val="14"/>
              </w:rPr>
              <w:t>Defines validation engagement procedures, evidence requirements, and attestation readiness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Maps MROs to enterprise control questions; provides procurement scorecard inputs</w:t>
            </w:r>
          </w:p>
        </w:tc>
        <w:tc>
          <w:tcPr>
            <w:tcW w:type="dxa" w:w="3408"/>
          </w:tcPr>
          <w:p>
            <w:pPr>
              <w:spacing w:after="0"/>
            </w:pPr>
            <w:r>
              <w:rPr>
                <w:rFonts w:ascii="Arial" w:hAnsi="Arial"/>
                <w:b w:val="0"/>
                <w:sz w:val="14"/>
              </w:rPr>
              <w:t>Defines audit control objectives, test procedures, design effectiveness, and operating effectiveness testing</w:t>
            </w:r>
          </w:p>
        </w:tc>
      </w:tr>
      <w:tr>
        <w:tc>
          <w:tcPr>
            <w:tcW w:type="dxa" w:w="3408"/>
          </w:tcPr>
          <w:p>
            <w:pPr>
              <w:spacing w:after="0"/>
            </w:pPr>
            <w:r>
              <w:rPr>
                <w:rFonts w:ascii="Arial" w:hAnsi="Arial"/>
                <w:b w:val="0"/>
                <w:sz w:val="14"/>
              </w:rPr>
              <w:t>Control Objectives</w:t>
            </w:r>
          </w:p>
        </w:tc>
        <w:tc>
          <w:tcPr>
            <w:tcW w:type="dxa" w:w="3408"/>
          </w:tcPr>
          <w:p>
            <w:pPr>
              <w:spacing w:after="0"/>
            </w:pPr>
            <w:r>
              <w:rPr>
                <w:rFonts w:ascii="Arial" w:hAnsi="Arial"/>
                <w:b w:val="0"/>
                <w:sz w:val="14"/>
              </w:rPr>
              <w:t>Identifies control gaps created by agentic systems</w:t>
            </w:r>
          </w:p>
        </w:tc>
        <w:tc>
          <w:tcPr>
            <w:tcW w:type="dxa" w:w="3408"/>
          </w:tcPr>
          <w:p>
            <w:pPr>
              <w:spacing w:after="0"/>
            </w:pPr>
            <w:r>
              <w:rPr>
                <w:rFonts w:ascii="Arial" w:hAnsi="Arial"/>
                <w:b w:val="0"/>
                <w:sz w:val="14"/>
              </w:rPr>
              <w:t>Translates MROs into testable control objectives with evidence requirements</w:t>
            </w:r>
          </w:p>
        </w:tc>
      </w:tr>
      <w:tr>
        <w:tc>
          <w:tcPr>
            <w:tcW w:type="dxa" w:w="3408"/>
          </w:tcPr>
          <w:p>
            <w:pPr>
              <w:spacing w:after="0"/>
            </w:pPr>
            <w:r>
              <w:rPr>
                <w:rFonts w:ascii="Arial" w:hAnsi="Arial"/>
                <w:b w:val="0"/>
                <w:sz w:val="14"/>
              </w:rPr>
              <w:t>Control Activities</w:t>
            </w:r>
          </w:p>
        </w:tc>
        <w:tc>
          <w:tcPr>
            <w:tcW w:type="dxa" w:w="3408"/>
          </w:tcPr>
          <w:p>
            <w:pPr>
              <w:spacing w:after="0"/>
            </w:pPr>
            <w:r>
              <w:rPr>
                <w:rFonts w:ascii="Arial" w:hAnsi="Arial"/>
                <w:b w:val="0"/>
                <w:sz w:val="14"/>
              </w:rPr>
              <w:t>Describes lifecycle governance controls at framework level</w:t>
            </w:r>
          </w:p>
        </w:tc>
        <w:tc>
          <w:tcPr>
            <w:tcW w:type="dxa" w:w="3408"/>
          </w:tcPr>
          <w:p>
            <w:pPr>
              <w:spacing w:after="0"/>
            </w:pPr>
            <w:r>
              <w:rPr>
                <w:rFonts w:ascii="Arial" w:hAnsi="Arial"/>
                <w:b w:val="0"/>
                <w:sz w:val="14"/>
              </w:rPr>
              <w:t>Defines specific control activities, testing procedures, and evidence sufficiency criteria</w:t>
            </w:r>
          </w:p>
        </w:tc>
      </w:tr>
      <w:tr>
        <w:tc>
          <w:tcPr>
            <w:tcW w:type="dxa" w:w="3408"/>
          </w:tcPr>
          <w:p>
            <w:pPr>
              <w:spacing w:after="0"/>
            </w:pPr>
            <w:r>
              <w:rPr>
                <w:rFonts w:ascii="Arial" w:hAnsi="Arial"/>
                <w:b w:val="0"/>
                <w:sz w:val="14"/>
              </w:rPr>
              <w:t>Test Procedures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test controls for design and operating effectiveness</w:t>
            </w:r>
          </w:p>
        </w:tc>
      </w:tr>
      <w:tr>
        <w:tc>
          <w:tcPr>
            <w:tcW w:type="dxa" w:w="3408"/>
          </w:tcPr>
          <w:p>
            <w:pPr>
              <w:spacing w:after="0"/>
            </w:pPr>
            <w:r>
              <w:rPr>
                <w:rFonts w:ascii="Arial" w:hAnsi="Arial"/>
                <w:b w:val="0"/>
                <w:sz w:val="14"/>
              </w:rPr>
              <w:t>Design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properly designed</w:t>
            </w:r>
          </w:p>
        </w:tc>
      </w:tr>
      <w:tr>
        <w:tc>
          <w:tcPr>
            <w:tcW w:type="dxa" w:w="3408"/>
          </w:tcPr>
          <w:p>
            <w:pPr>
              <w:spacing w:after="0"/>
            </w:pPr>
            <w:r>
              <w:rPr>
                <w:rFonts w:ascii="Arial" w:hAnsi="Arial"/>
                <w:b w:val="0"/>
                <w:sz w:val="14"/>
              </w:rPr>
              <w:t>Operating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operating as intended</w:t>
            </w:r>
          </w:p>
        </w:tc>
      </w:tr>
      <w:tr>
        <w:tc>
          <w:tcPr>
            <w:tcW w:type="dxa" w:w="3408"/>
          </w:tcPr>
          <w:p>
            <w:pPr>
              <w:spacing w:after="0"/>
            </w:pPr>
            <w:r>
              <w:rPr>
                <w:rFonts w:ascii="Arial" w:hAnsi="Arial"/>
                <w:b w:val="0"/>
                <w:sz w:val="14"/>
              </w:rPr>
              <w:t>Attestation Readiness</w:t>
            </w:r>
          </w:p>
        </w:tc>
        <w:tc>
          <w:tcPr>
            <w:tcW w:type="dxa" w:w="3408"/>
          </w:tcPr>
          <w:p>
            <w:pPr>
              <w:spacing w:after="0"/>
            </w:pPr>
            <w:r>
              <w:rPr>
                <w:rFonts w:ascii="Arial" w:hAnsi="Arial"/>
                <w:b w:val="0"/>
                <w:sz w:val="14"/>
              </w:rPr>
              <w:t>Mentions attestation as downstream implication</w:t>
            </w:r>
          </w:p>
        </w:tc>
        <w:tc>
          <w:tcPr>
            <w:tcW w:type="dxa" w:w="3408"/>
          </w:tcPr>
          <w:p>
            <w:pPr>
              <w:spacing w:after="0"/>
            </w:pPr>
            <w:r>
              <w:rPr>
                <w:rFonts w:ascii="Arial" w:hAnsi="Arial"/>
                <w:b w:val="0"/>
                <w:sz w:val="14"/>
              </w:rPr>
              <w:t>Defines what evidence is required for third-party attestation or assurance engagement</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Defines MRO-11 and MRO-12 as lifecycle requirements</w:t>
            </w:r>
          </w:p>
        </w:tc>
        <w:tc>
          <w:tcPr>
            <w:tcW w:type="dxa" w:w="3408"/>
          </w:tcPr>
          <w:p>
            <w:pPr>
              <w:spacing w:after="0"/>
            </w:pPr>
            <w:r>
              <w:rPr>
                <w:rFonts w:ascii="Arial" w:hAnsi="Arial"/>
                <w:b w:val="0"/>
                <w:sz w:val="14"/>
              </w:rPr>
              <w:t>Defines validation procedures, selective disclosure, and privacy-preserving evidence adjudication</w:t>
            </w:r>
          </w:p>
        </w:tc>
      </w:tr>
      <w:tr>
        <w:tc>
          <w:tcPr>
            <w:tcW w:type="dxa" w:w="3408"/>
          </w:tcPr>
          <w:p>
            <w:pPr>
              <w:spacing w:after="0"/>
            </w:pPr>
            <w:r>
              <w:rPr>
                <w:rFonts w:ascii="Arial" w:hAnsi="Arial"/>
                <w:b w:val="0"/>
                <w:sz w:val="14"/>
              </w:rPr>
              <w:t>Enterprise Procurement</w:t>
            </w:r>
          </w:p>
        </w:tc>
        <w:tc>
          <w:tcPr>
            <w:tcW w:type="dxa" w:w="3408"/>
          </w:tcPr>
          <w:p>
            <w:pPr>
              <w:spacing w:after="0"/>
            </w:pPr>
            <w:r>
              <w:rPr>
                <w:rFonts w:ascii="Arial" w:hAnsi="Arial"/>
                <w:b w:val="0"/>
                <w:sz w:val="14"/>
              </w:rPr>
              <w:t>Provides procurement scorecard inputs based on RCCS-T/RCCS-M/ALCS</w:t>
            </w:r>
          </w:p>
        </w:tc>
        <w:tc>
          <w:tcPr>
            <w:tcW w:type="dxa" w:w="3408"/>
          </w:tcPr>
          <w:p>
            <w:pPr>
              <w:spacing w:after="0"/>
            </w:pPr>
            <w:r>
              <w:rPr>
                <w:rFonts w:ascii="Arial" w:hAnsi="Arial"/>
                <w:b w:val="0"/>
                <w:sz w:val="14"/>
              </w:rPr>
              <w:t>Not primary scope; procurement decisions remain enterprise judgment</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Provides board reporting elements for agentic risk</w:t>
            </w:r>
          </w:p>
        </w:tc>
        <w:tc>
          <w:tcPr>
            <w:tcW w:type="dxa" w:w="3408"/>
          </w:tcPr>
          <w:p>
            <w:pPr>
              <w:spacing w:after="0"/>
            </w:pPr>
            <w:r>
              <w:rPr>
                <w:rFonts w:ascii="Arial" w:hAnsi="Arial"/>
                <w:b w:val="0"/>
                <w:sz w:val="14"/>
              </w:rPr>
              <w:t>Not primary scope; board reporting remains enterprise governance responsibility</w:t>
            </w:r>
          </w:p>
        </w:tc>
      </w:tr>
    </w:tbl>
    <w:p>
      <w:pPr>
        <w:pStyle w:val="Heading3"/>
      </w:pPr>
      <w:r>
        <w:t>Table T-16-01B: Main Paper vs Insurability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Insurability Paper</w:t>
            </w:r>
          </w:p>
        </w:tc>
      </w:tr>
      <w:tr>
        <w:tc>
          <w:tcPr>
            <w:tcW w:type="dxa" w:w="3408"/>
          </w:tcPr>
          <w:p>
            <w:pPr>
              <w:spacing w:after="0"/>
            </w:pPr>
            <w:r>
              <w:rPr>
                <w:rFonts w:ascii="Arial" w:hAnsi="Arial"/>
                <w:b w:val="0"/>
                <w:sz w:val="14"/>
              </w:rPr>
              <w:t>Tool-Action Liability</w:t>
            </w:r>
          </w:p>
        </w:tc>
        <w:tc>
          <w:tcPr>
            <w:tcW w:type="dxa" w:w="3408"/>
          </w:tcPr>
          <w:p>
            <w:pPr>
              <w:spacing w:after="0"/>
            </w:pPr>
            <w:r>
              <w:rPr>
                <w:rFonts w:ascii="Arial" w:hAnsi="Arial"/>
                <w:b w:val="0"/>
                <w:sz w:val="14"/>
              </w:rPr>
              <w:t>Defines MRO-05 (Tool-Action Liability Boundary) as lifecycle governance object</w:t>
            </w:r>
          </w:p>
        </w:tc>
        <w:tc>
          <w:tcPr>
            <w:tcW w:type="dxa" w:w="3408"/>
          </w:tcPr>
          <w:p>
            <w:pPr>
              <w:spacing w:after="0"/>
            </w:pPr>
            <w:r>
              <w:rPr>
                <w:rFonts w:ascii="Arial" w:hAnsi="Arial"/>
                <w:b w:val="0"/>
                <w:sz w:val="14"/>
              </w:rPr>
              <w:t>Evaluates liability boundary implications, loss attribution, and coverage analysis</w:t>
            </w:r>
          </w:p>
        </w:tc>
      </w:tr>
      <w:tr>
        <w:tc>
          <w:tcPr>
            <w:tcW w:type="dxa" w:w="3408"/>
          </w:tcPr>
          <w:p>
            <w:pPr>
              <w:spacing w:after="0"/>
            </w:pPr>
            <w:r>
              <w:rPr>
                <w:rFonts w:ascii="Arial" w:hAnsi="Arial"/>
                <w:b w:val="0"/>
                <w:sz w:val="14"/>
              </w:rPr>
              <w:t>Dispute-Ready Replay</w:t>
            </w:r>
          </w:p>
        </w:tc>
        <w:tc>
          <w:tcPr>
            <w:tcW w:type="dxa" w:w="3408"/>
          </w:tcPr>
          <w:p>
            <w:pPr>
              <w:spacing w:after="0"/>
            </w:pPr>
            <w:r>
              <w:rPr>
                <w:rFonts w:ascii="Arial" w:hAnsi="Arial"/>
                <w:b w:val="0"/>
                <w:sz w:val="14"/>
              </w:rPr>
              <w:t>Defines evidence chain and replay as lifecycle requirements</w:t>
            </w:r>
          </w:p>
        </w:tc>
        <w:tc>
          <w:tcPr>
            <w:tcW w:type="dxa" w:w="3408"/>
          </w:tcPr>
          <w:p>
            <w:pPr>
              <w:spacing w:after="0"/>
            </w:pPr>
            <w:r>
              <w:rPr>
                <w:rFonts w:ascii="Arial" w:hAnsi="Arial"/>
                <w:b w:val="0"/>
                <w:sz w:val="14"/>
              </w:rPr>
              <w:t>Defines claim replay procedures, dispute-ready evidence structure, and claim settlement implications</w:t>
            </w:r>
          </w:p>
        </w:tc>
      </w:tr>
      <w:tr>
        <w:tc>
          <w:tcPr>
            <w:tcW w:type="dxa" w:w="3408"/>
          </w:tcPr>
          <w:p>
            <w:pPr>
              <w:spacing w:after="0"/>
            </w:pPr>
            <w:r>
              <w:rPr>
                <w:rFonts w:ascii="Arial" w:hAnsi="Arial"/>
                <w:b w:val="0"/>
                <w:sz w:val="14"/>
              </w:rPr>
              <w:t>Claim Replay</w:t>
            </w:r>
          </w:p>
        </w:tc>
        <w:tc>
          <w:tcPr>
            <w:tcW w:type="dxa" w:w="3408"/>
          </w:tcPr>
          <w:p>
            <w:pPr>
              <w:spacing w:after="0"/>
            </w:pPr>
            <w:r>
              <w:rPr>
                <w:rFonts w:ascii="Arial" w:hAnsi="Arial"/>
                <w:b w:val="0"/>
                <w:sz w:val="14"/>
              </w:rPr>
              <w:t>Mentions claim replay as downstream implication of evidence chain</w:t>
            </w:r>
          </w:p>
        </w:tc>
        <w:tc>
          <w:tcPr>
            <w:tcW w:type="dxa" w:w="3408"/>
          </w:tcPr>
          <w:p>
            <w:pPr>
              <w:spacing w:after="0"/>
            </w:pPr>
            <w:r>
              <w:rPr>
                <w:rFonts w:ascii="Arial" w:hAnsi="Arial"/>
                <w:b w:val="0"/>
                <w:sz w:val="14"/>
              </w:rPr>
              <w:t>Defines claim replay methodology, evidence requirements, and dispute resolution procedures</w:t>
            </w:r>
          </w:p>
        </w:tc>
      </w:tr>
      <w:tr>
        <w:tc>
          <w:tcPr>
            <w:tcW w:type="dxa" w:w="3408"/>
          </w:tcPr>
          <w:p>
            <w:pPr>
              <w:spacing w:after="0"/>
            </w:pPr>
            <w:r>
              <w:rPr>
                <w:rFonts w:ascii="Arial" w:hAnsi="Arial"/>
                <w:b w:val="0"/>
                <w:sz w:val="14"/>
              </w:rPr>
              <w:t>Loss Attribution</w:t>
            </w:r>
          </w:p>
        </w:tc>
        <w:tc>
          <w:tcPr>
            <w:tcW w:type="dxa" w:w="3408"/>
          </w:tcPr>
          <w:p>
            <w:pPr>
              <w:spacing w:after="0"/>
            </w:pPr>
            <w:r>
              <w:rPr>
                <w:rFonts w:ascii="Arial" w:hAnsi="Arial"/>
                <w:b w:val="0"/>
                <w:sz w:val="14"/>
              </w:rPr>
              <w:t>Defines authority boundary and responsibility transfer as MROs</w:t>
            </w:r>
          </w:p>
        </w:tc>
        <w:tc>
          <w:tcPr>
            <w:tcW w:type="dxa" w:w="3408"/>
          </w:tcPr>
          <w:p>
            <w:pPr>
              <w:spacing w:after="0"/>
            </w:pPr>
            <w:r>
              <w:rPr>
                <w:rFonts w:ascii="Arial" w:hAnsi="Arial"/>
                <w:b w:val="0"/>
                <w:sz w:val="14"/>
              </w:rPr>
              <w:t>Defines loss attribution methodology, liability analysis, and coverage boundary implications</w:t>
            </w:r>
          </w:p>
        </w:tc>
      </w:tr>
      <w:tr>
        <w:tc>
          <w:tcPr>
            <w:tcW w:type="dxa" w:w="3408"/>
          </w:tcPr>
          <w:p>
            <w:pPr>
              <w:spacing w:after="0"/>
            </w:pPr>
            <w:r>
              <w:rPr>
                <w:rFonts w:ascii="Arial" w:hAnsi="Arial"/>
                <w:b w:val="0"/>
                <w:sz w:val="14"/>
              </w:rPr>
              <w:t>Risk Classification</w:t>
            </w:r>
          </w:p>
        </w:tc>
        <w:tc>
          <w:tcPr>
            <w:tcW w:type="dxa" w:w="3408"/>
          </w:tcPr>
          <w:p>
            <w:pPr>
              <w:spacing w:after="0"/>
            </w:pPr>
            <w:r>
              <w:rPr>
                <w:rFonts w:ascii="Arial" w:hAnsi="Arial"/>
                <w:b w:val="0"/>
                <w:sz w:val="14"/>
              </w:rPr>
              <w:t>Provides RCCS-T/RCCS-M/ALCS scores as risk inputs; does not claim scores determine risk classification</w:t>
            </w:r>
          </w:p>
        </w:tc>
        <w:tc>
          <w:tcPr>
            <w:tcW w:type="dxa" w:w="3408"/>
          </w:tcPr>
          <w:p>
            <w:pPr>
              <w:spacing w:after="0"/>
            </w:pPr>
            <w:r>
              <w:rPr>
                <w:rFonts w:ascii="Arial" w:hAnsi="Arial"/>
                <w:b w:val="0"/>
                <w:sz w:val="14"/>
              </w:rPr>
              <w:t>Analyzes how lifecycle conformance affects risk classification for underwriting purposes</w:t>
            </w:r>
          </w:p>
        </w:tc>
      </w:tr>
      <w:tr>
        <w:tc>
          <w:tcPr>
            <w:tcW w:type="dxa" w:w="3408"/>
          </w:tcPr>
          <w:p>
            <w:pPr>
              <w:spacing w:after="0"/>
            </w:pPr>
            <w:r>
              <w:rPr>
                <w:rFonts w:ascii="Arial" w:hAnsi="Arial"/>
                <w:b w:val="0"/>
                <w:sz w:val="14"/>
              </w:rPr>
              <w:t>Premium Differentiation</w:t>
            </w:r>
          </w:p>
        </w:tc>
        <w:tc>
          <w:tcPr>
            <w:tcW w:type="dxa" w:w="3408"/>
          </w:tcPr>
          <w:p>
            <w:pPr>
              <w:spacing w:after="0"/>
            </w:pPr>
            <w:r>
              <w:rPr>
                <w:rFonts w:ascii="Arial" w:hAnsi="Arial"/>
                <w:b w:val="0"/>
                <w:sz w:val="14"/>
              </w:rPr>
              <w:t>Mentions premium differentiation as potential downstream implication</w:t>
            </w:r>
          </w:p>
        </w:tc>
        <w:tc>
          <w:tcPr>
            <w:tcW w:type="dxa" w:w="3408"/>
          </w:tcPr>
          <w:p>
            <w:pPr>
              <w:spacing w:after="0"/>
            </w:pPr>
            <w:r>
              <w:rPr>
                <w:rFonts w:ascii="Arial" w:hAnsi="Arial"/>
                <w:b w:val="0"/>
                <w:sz w:val="14"/>
              </w:rPr>
              <w:t>Analyzes premium differentiation logic without defining actual pricing or actuarial models</w:t>
            </w:r>
          </w:p>
        </w:tc>
      </w:tr>
      <w:tr>
        <w:tc>
          <w:tcPr>
            <w:tcW w:type="dxa" w:w="3408"/>
          </w:tcPr>
          <w:p>
            <w:pPr>
              <w:spacing w:after="0"/>
            </w:pPr>
            <w:r>
              <w:rPr>
                <w:rFonts w:ascii="Arial" w:hAnsi="Arial"/>
                <w:b w:val="0"/>
                <w:sz w:val="14"/>
              </w:rPr>
              <w:t>Exclusion Triggers</w:t>
            </w:r>
          </w:p>
        </w:tc>
        <w:tc>
          <w:tcPr>
            <w:tcW w:type="dxa" w:w="3408"/>
          </w:tcPr>
          <w:p>
            <w:pPr>
              <w:spacing w:after="0"/>
            </w:pPr>
            <w:r>
              <w:rPr>
                <w:rFonts w:ascii="Arial" w:hAnsi="Arial"/>
                <w:b w:val="0"/>
                <w:sz w:val="14"/>
              </w:rPr>
              <w:t>Defines authority drift and autonomous action boundaries as lifecycle risks</w:t>
            </w:r>
          </w:p>
        </w:tc>
        <w:tc>
          <w:tcPr>
            <w:tcW w:type="dxa" w:w="3408"/>
          </w:tcPr>
          <w:p>
            <w:pPr>
              <w:spacing w:after="0"/>
            </w:pPr>
            <w:r>
              <w:rPr>
                <w:rFonts w:ascii="Arial" w:hAnsi="Arial"/>
                <w:b w:val="0"/>
                <w:sz w:val="14"/>
              </w:rPr>
              <w:t>Analyzes exclusion trigger implications for coverage boundaries</w:t>
            </w:r>
          </w:p>
        </w:tc>
      </w:tr>
      <w:tr>
        <w:tc>
          <w:tcPr>
            <w:tcW w:type="dxa" w:w="3408"/>
          </w:tcPr>
          <w:p>
            <w:pPr>
              <w:spacing w:after="0"/>
            </w:pPr>
            <w:r>
              <w:rPr>
                <w:rFonts w:ascii="Arial" w:hAnsi="Arial"/>
                <w:b w:val="0"/>
                <w:sz w:val="14"/>
              </w:rPr>
              <w:t>Incident Remediation Closure</w:t>
            </w:r>
          </w:p>
        </w:tc>
        <w:tc>
          <w:tcPr>
            <w:tcW w:type="dxa" w:w="3408"/>
          </w:tcPr>
          <w:p>
            <w:pPr>
              <w:spacing w:after="0"/>
            </w:pPr>
            <w:r>
              <w:rPr>
                <w:rFonts w:ascii="Arial" w:hAnsi="Arial"/>
                <w:b w:val="0"/>
                <w:sz w:val="14"/>
              </w:rPr>
              <w:t>Defines MRO-16 (Incident, Dispute, and Remediation Closure) as lifecycle requirement</w:t>
            </w:r>
          </w:p>
        </w:tc>
        <w:tc>
          <w:tcPr>
            <w:tcW w:type="dxa" w:w="3408"/>
          </w:tcPr>
          <w:p>
            <w:pPr>
              <w:spacing w:after="0"/>
            </w:pPr>
            <w:r>
              <w:rPr>
                <w:rFonts w:ascii="Arial" w:hAnsi="Arial"/>
                <w:b w:val="0"/>
                <w:sz w:val="14"/>
              </w:rPr>
              <w:t>Defines remediation closure verification for claim settlement and coverage restoration</w:t>
            </w:r>
          </w:p>
        </w:tc>
      </w:tr>
      <w:tr>
        <w:tc>
          <w:tcPr>
            <w:tcW w:type="dxa" w:w="3408"/>
          </w:tcPr>
          <w:p>
            <w:pPr>
              <w:spacing w:after="0"/>
            </w:pPr>
            <w:r>
              <w:rPr>
                <w:rFonts w:ascii="Arial" w:hAnsi="Arial"/>
                <w:b w:val="0"/>
                <w:sz w:val="14"/>
              </w:rPr>
              <w:t>Authority Boundary Risk</w:t>
            </w:r>
          </w:p>
        </w:tc>
        <w:tc>
          <w:tcPr>
            <w:tcW w:type="dxa" w:w="3408"/>
          </w:tcPr>
          <w:p>
            <w:pPr>
              <w:spacing w:after="0"/>
            </w:pPr>
            <w:r>
              <w:rPr>
                <w:rFonts w:ascii="Arial" w:hAnsi="Arial"/>
                <w:b w:val="0"/>
                <w:sz w:val="14"/>
              </w:rPr>
              <w:t>Defines MRO-02 (Delegated Authority Boundary) and MRO-07 (Authority Drift)</w:t>
            </w:r>
          </w:p>
        </w:tc>
        <w:tc>
          <w:tcPr>
            <w:tcW w:type="dxa" w:w="3408"/>
          </w:tcPr>
          <w:p>
            <w:pPr>
              <w:spacing w:after="0"/>
            </w:pPr>
            <w:r>
              <w:rPr>
                <w:rFonts w:ascii="Arial" w:hAnsi="Arial"/>
                <w:b w:val="0"/>
                <w:sz w:val="14"/>
              </w:rPr>
              <w:t>Analyzes authority boundary risk for underwriting, coverage, and liability purposes</w:t>
            </w:r>
          </w:p>
        </w:tc>
      </w:tr>
      <w:tr>
        <w:tc>
          <w:tcPr>
            <w:tcW w:type="dxa" w:w="3408"/>
          </w:tcPr>
          <w:p>
            <w:pPr>
              <w:spacing w:after="0"/>
            </w:pPr>
            <w:r>
              <w:rPr>
                <w:rFonts w:ascii="Arial" w:hAnsi="Arial"/>
                <w:b w:val="0"/>
                <w:sz w:val="14"/>
              </w:rPr>
              <w:t>Moral Hazard</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Analyzes moral hazard considerations for agentic system insurance</w:t>
            </w:r>
          </w:p>
        </w:tc>
      </w:tr>
      <w:tr>
        <w:tc>
          <w:tcPr>
            <w:tcW w:type="dxa" w:w="3408"/>
          </w:tcPr>
          <w:p>
            <w:pPr>
              <w:spacing w:after="0"/>
            </w:pPr>
            <w:r>
              <w:rPr>
                <w:rFonts w:ascii="Arial" w:hAnsi="Arial"/>
                <w:b w:val="0"/>
                <w:sz w:val="14"/>
              </w:rPr>
              <w:t>Coverage Boundary Analysis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where coverage begins and ends for agentic systems</w:t>
            </w:r>
          </w:p>
        </w:tc>
      </w:tr>
    </w:tbl>
    <w:p>
      <w:pPr>
        <w:spacing w:after="56"/>
      </w:pPr>
      <w:r>
        <w:t>Key Distinction:</w:t>
      </w:r>
    </w:p>
    <w:p>
      <w:pPr>
        <w:spacing w:after="56"/>
      </w:pPr>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Pr>
        <w:pStyle w:val="Heading2"/>
      </w:pPr>
      <w:r>
        <w:t>16.5 Non-Claim Discipline</w:t>
      </w:r>
    </w:p>
    <w:p>
      <w:pPr>
        <w:spacing w:after="56"/>
      </w:pPr>
      <w:r>
        <w:t>This section establishes explicit boundaries for what the main white paper does and does not claim. These boundaries apply to the entire document, including all chapters, tables, figures, and appendices.</w:t>
      </w:r>
    </w:p>
    <w:p>
      <w:pPr>
        <w:spacing w:after="56"/>
      </w:pPr>
      <w:r>
        <w:t>Explicit Statements:</w:t>
      </w:r>
    </w:p>
    <w:p>
      <w:pPr>
        <w:pStyle w:val="ListBullet"/>
        <w:spacing w:after="56"/>
      </w:pPr>
      <w:r>
        <w:t>This white paper is not legal advice. It does not provide legal opinions, jurisdictional interpretations, or compliance conclusions. Legal compliance requires professional legal judgment.</w:t>
      </w:r>
    </w:p>
    <w:p>
      <w:pPr>
        <w:pStyle w:val="ListBullet"/>
        <w:spacing w:after="56"/>
      </w:pPr>
      <w:r>
        <w:t>This white paper is not an audit opinion. It does not issue audit opinions, attestation reports, or assurance conclusions. Audit readiness requires professional audit judgment.</w:t>
      </w:r>
    </w:p>
    <w:p>
      <w:pPr>
        <w:pStyle w:val="ListBullet"/>
        <w:spacing w:after="56"/>
      </w:pPr>
      <w:r>
        <w:t>This white paper is not an assurance report. It does not provide assurance engagements, attestation services, or certification. Assurance requires professional assurance judgment.</w:t>
      </w:r>
    </w:p>
    <w:p>
      <w:pPr>
        <w:pStyle w:val="ListBullet"/>
        <w:spacing w:after="56"/>
      </w:pPr>
      <w:r>
        <w:t>This white paper is not an insurance underwriting manual. It does not define insurance policy wording, premium pricing, actuarial methodology, or claim settlement procedures. Insurability requires professional underwriting, actuarial, and claims judgment.</w:t>
      </w:r>
    </w:p>
    <w:p>
      <w:pPr>
        <w:pStyle w:val="ListBullet"/>
        <w:spacing w:after="56"/>
      </w:pPr>
      <w:r>
        <w:t>This white paper is not a certification program. It does not certify compliance, issue conformity assessments, or provide regulatory approval. Certification requires accredited conformity assessment bodies.</w:t>
      </w:r>
    </w:p>
    <w:p>
      <w:pPr>
        <w:pStyle w:val="ListBullet"/>
        <w:spacing w:after="56"/>
      </w:pPr>
      <w:r>
        <w:t>This white paper does not certify compliance. RCCS-T, RCCS-M, and ALCS are analytical frameworks, not legal compliance scores. High scores do not guarantee compliance. Low scores do not prove non-compliance.</w:t>
      </w:r>
    </w:p>
    <w:p>
      <w:pPr>
        <w:pStyle w:val="ListBullet"/>
        <w:spacing w:after="56"/>
      </w:pPr>
      <w:r>
        <w:t>RCCS-T, RCCS-M, and ALCS are analytical frameworks, not legal compliance scores. They provide structured inputs for risk assessment, procurement, audit, and insurance analysis. They do not replace professional judgment. RCCS-M is author analytical and forward-looking, not current law or a regulator-approved benchmark.</w:t>
      </w:r>
    </w:p>
    <w:p>
      <w:pPr>
        <w:pStyle w:val="ListBullet"/>
        <w:spacing w:after="56"/>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Pr>
        <w:pStyle w:val="ListBullet"/>
        <w:spacing w:after="56"/>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Pr>
        <w:pStyle w:val="Heading3"/>
      </w:pPr>
      <w:r>
        <w:t>Table T-16-02: Claim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Legal</w:t>
            </w:r>
          </w:p>
        </w:tc>
        <w:tc>
          <w:tcPr>
            <w:tcW w:type="dxa" w:w="3408"/>
          </w:tcPr>
          <w:p>
            <w:pPr>
              <w:spacing w:after="0"/>
            </w:pPr>
            <w:r>
              <w:rPr>
                <w:rFonts w:ascii="Arial" w:hAnsi="Arial"/>
                <w:b w:val="0"/>
                <w:sz w:val="14"/>
              </w:rPr>
              <w:t>"This framework may help inform compliance analysis" / "Legal compliance requires professional legal judgment"</w:t>
            </w:r>
          </w:p>
        </w:tc>
        <w:tc>
          <w:tcPr>
            <w:tcW w:type="dxa" w:w="3408"/>
          </w:tcPr>
          <w:p>
            <w:pPr>
              <w:spacing w:after="0"/>
            </w:pPr>
            <w:r>
              <w:rPr>
                <w:rFonts w:ascii="Arial" w:hAnsi="Arial"/>
                <w:b w:val="0"/>
                <w:sz w:val="14"/>
              </w:rPr>
              <w:t>"Regulator-approved" / "Certified compliant" / "Guarantees legal compliance" / "Official legal standard"</w:t>
            </w:r>
          </w:p>
        </w:tc>
      </w:tr>
      <w:tr>
        <w:tc>
          <w:tcPr>
            <w:tcW w:type="dxa" w:w="3408"/>
          </w:tcPr>
          <w:p>
            <w:pPr>
              <w:spacing w:after="0"/>
            </w:pPr>
            <w:r>
              <w:rPr>
                <w:rFonts w:ascii="Arial" w:hAnsi="Arial"/>
                <w:b w:val="0"/>
                <w:sz w:val="14"/>
              </w:rPr>
              <w:t>Audit / Assurance</w:t>
            </w:r>
          </w:p>
        </w:tc>
        <w:tc>
          <w:tcPr>
            <w:tcW w:type="dxa" w:w="3408"/>
          </w:tcPr>
          <w:p>
            <w:pPr>
              <w:spacing w:after="0"/>
            </w:pPr>
            <w:r>
              <w:rPr>
                <w:rFonts w:ascii="Arial" w:hAnsi="Arial"/>
                <w:b w:val="0"/>
                <w:sz w:val="14"/>
              </w:rPr>
              <w:t>"This framework provides audit readiness inputs" / "Audit opinions require professional audit judgment"</w:t>
            </w:r>
          </w:p>
        </w:tc>
        <w:tc>
          <w:tcPr>
            <w:tcW w:type="dxa" w:w="3408"/>
          </w:tcPr>
          <w:p>
            <w:pPr>
              <w:spacing w:after="0"/>
            </w:pPr>
            <w:r>
              <w:rPr>
                <w:rFonts w:ascii="Arial" w:hAnsi="Arial"/>
                <w:b w:val="0"/>
                <w:sz w:val="14"/>
              </w:rPr>
              <w:t>"Certifies audit compliance" / "Issues audit opinions" / "Replaces internal audit" / "Guaranteed audit-ready"</w:t>
            </w:r>
          </w:p>
        </w:tc>
      </w:tr>
      <w:tr>
        <w:tc>
          <w:tcPr>
            <w:tcW w:type="dxa" w:w="3408"/>
          </w:tcPr>
          <w:p>
            <w:pPr>
              <w:spacing w:after="0"/>
            </w:pPr>
            <w:r>
              <w:rPr>
                <w:rFonts w:ascii="Arial" w:hAnsi="Arial"/>
                <w:b w:val="0"/>
                <w:sz w:val="14"/>
              </w:rPr>
              <w:t>Insurance</w:t>
            </w:r>
          </w:p>
        </w:tc>
        <w:tc>
          <w:tcPr>
            <w:tcW w:type="dxa" w:w="3408"/>
          </w:tcPr>
          <w:p>
            <w:pPr>
              <w:spacing w:after="0"/>
            </w:pPr>
            <w:r>
              <w:rPr>
                <w:rFonts w:ascii="Arial" w:hAnsi="Arial"/>
                <w:b w:val="0"/>
                <w:sz w:val="14"/>
              </w:rPr>
              <w:t>"This framework may inform insurability analysis" / "Underwriting requires professional insurance judgment"</w:t>
            </w:r>
          </w:p>
        </w:tc>
        <w:tc>
          <w:tcPr>
            <w:tcW w:type="dxa" w:w="3408"/>
          </w:tcPr>
          <w:p>
            <w:pPr>
              <w:spacing w:after="0"/>
            </w:pPr>
            <w:r>
              <w:rPr>
                <w:rFonts w:ascii="Arial" w:hAnsi="Arial"/>
                <w:b w:val="0"/>
                <w:sz w:val="14"/>
              </w:rPr>
              <w:t>"Guaranteed insurable" / "Sets premiums" / "Defines policy wording" / "Replaces underwriting judgment"</w:t>
            </w:r>
          </w:p>
        </w:tc>
      </w:tr>
      <w:tr>
        <w:tc>
          <w:tcPr>
            <w:tcW w:type="dxa" w:w="3408"/>
          </w:tcPr>
          <w:p>
            <w:pPr>
              <w:spacing w:after="0"/>
            </w:pPr>
            <w:r>
              <w:rPr>
                <w:rFonts w:ascii="Arial" w:hAnsi="Arial"/>
                <w:b w:val="0"/>
                <w:sz w:val="14"/>
              </w:rPr>
              <w:t>RCCS-T / RCCS-M / ALCS</w:t>
            </w:r>
          </w:p>
        </w:tc>
        <w:tc>
          <w:tcPr>
            <w:tcW w:type="dxa" w:w="3408"/>
          </w:tcPr>
          <w:p>
            <w:pPr>
              <w:spacing w:after="0"/>
            </w:pPr>
            <w:r>
              <w:rPr>
                <w:rFonts w:ascii="Arial" w:hAnsi="Arial"/>
                <w:b w:val="0"/>
                <w:sz w:val="14"/>
              </w:rPr>
              <w:t>"Analytical frameworks for risk assessment" / "Structured inputs for professional judgment" / "RCCS-M is author analytical and forward-looking"</w:t>
            </w:r>
          </w:p>
        </w:tc>
        <w:tc>
          <w:tcPr>
            <w:tcW w:type="dxa" w:w="3408"/>
          </w:tcPr>
          <w:p>
            <w:pPr>
              <w:spacing w:after="0"/>
            </w:pPr>
            <w:r>
              <w:rPr>
                <w:rFonts w:ascii="Arial" w:hAnsi="Arial"/>
                <w:b w:val="0"/>
                <w:sz w:val="14"/>
              </w:rPr>
              <w:t>"Legal compliance scores" / "Certification scores" / "Guarantees compliance" / "The only scoring method" / "Regulator-approved benchmark"</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"One example of lifecycle protocol implementation" / "Not required for compliance"</w:t>
            </w:r>
          </w:p>
        </w:tc>
        <w:tc>
          <w:tcPr>
            <w:tcW w:type="dxa" w:w="3408"/>
          </w:tcPr>
          <w:p>
            <w:pPr>
              <w:spacing w:after="0"/>
            </w:pPr>
            <w:r>
              <w:rPr>
                <w:rFonts w:ascii="Arial" w:hAnsi="Arial"/>
                <w:b w:val="0"/>
                <w:sz w:val="14"/>
              </w:rPr>
              <w:t>"Required for compliance" / "The only solution" / "Official standard" / "Regulator-mandated"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"Non-certifying evidence adjudication example" / "One approach to privacy-preserving validation"</w:t>
            </w:r>
          </w:p>
        </w:tc>
        <w:tc>
          <w:tcPr>
            <w:tcW w:type="dxa" w:w="3408"/>
          </w:tcPr>
          <w:p>
            <w:pPr>
              <w:spacing w:after="0"/>
            </w:pPr>
            <w:r>
              <w:rPr>
                <w:rFonts w:ascii="Arial" w:hAnsi="Arial"/>
                <w:b w:val="0"/>
                <w:sz w:val="14"/>
              </w:rPr>
              <w:t>"Certification authority" / "Certifies compliance" / "Required for compliance" / "Regulator-approved" / "Official validator"</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"Comparative analysis of lifecycle conformance strength" / "Not endorsements or certifications"</w:t>
            </w:r>
          </w:p>
        </w:tc>
        <w:tc>
          <w:tcPr>
            <w:tcW w:type="dxa" w:w="3408"/>
          </w:tcPr>
          <w:p>
            <w:pPr>
              <w:spacing w:after="0"/>
            </w:pPr>
            <w:r>
              <w:rPr>
                <w:rFonts w:ascii="Arial" w:hAnsi="Arial"/>
                <w:b w:val="0"/>
                <w:sz w:val="14"/>
              </w:rPr>
              <w:t>"Certified systems" / "Approved vendors" / "Guaranteed compliant" / "Official rankings"</w:t>
            </w:r>
          </w:p>
        </w:tc>
      </w:tr>
    </w:tbl>
    <w:p>
      <w:pPr>
        <w:spacing w:after="56"/>
      </w:pPr>
      <w:r>
        <w:t>Interpretation Guidance:</w:t>
      </w:r>
    </w:p>
    <w:p>
      <w:pPr>
        <w:spacing w:after="56"/>
      </w:pPr>
      <w:r>
        <w:t>When interpreting this white paper, readers should understand that:</w:t>
      </w:r>
    </w:p>
    <w:p>
      <w:pPr>
        <w:pStyle w:val="ListNumber"/>
        <w:spacing w:after="56"/>
      </w:pPr>
      <w:r>
        <w:t>Framework, not mandate: This white paper defines a governance framework. It does not mandate specific implementations, vendors, or methods.</w:t>
      </w:r>
    </w:p>
    <w:p>
      <w:pPr>
        <w:pStyle w:val="ListNumber"/>
        <w:spacing w:after="56"/>
      </w:pPr>
      <w:r>
        <w:t>Inputs, not conclusions: RCCS-T, RCCS-M, ALCS, MROs, and system mappings provide structured inputs for professional judgment. They do not replace legal, audit, insurance, actuarial, or procurement judgment.</w:t>
      </w:r>
    </w:p>
    <w:p>
      <w:pPr>
        <w:pStyle w:val="ListNumber"/>
        <w:spacing w:after="56"/>
      </w:pPr>
      <w:r>
        <w:t>Examples, not requirements: MPLP and Validation Lab are examples of how lifecycle governance could be implemented. They are not required for compliance. Other approaches may be equally valid.</w:t>
      </w:r>
    </w:p>
    <w:p>
      <w:pPr>
        <w:pStyle w:val="ListNumber"/>
        <w:spacing w:after="56"/>
      </w:pPr>
      <w:r>
        <w:t>Analysis, not certification: System mappings and comparative field positioning are analytical tools. They are not endorsements, certifications, or vendor recommendations.</w:t>
      </w:r>
    </w:p>
    <w:p>
      <w:pPr>
        <w:pStyle w:val="ListNumber"/>
        <w:spacing w:after="56"/>
      </w:pPr>
      <w:r>
        <w:t>Disclosure, not guarantee: Evidence levels (L1-L5) disclose the basis for claims. L5 (author inference) does not guarantee accuracy. Professional judgment is required to evaluate all claims.</w:t>
      </w:r>
    </w:p>
    <w:p>
      <w:pPr>
        <w:pStyle w:val="Heading2"/>
      </w:pPr>
      <w:r>
        <w:t>16.6 Bridge to Adoption Roadmap</w:t>
      </w:r>
    </w:p>
    <w:p>
      <w:pPr>
        <w:spacing w:after="56"/>
      </w:pPr>
      <w:r>
        <w:t>The companion-paper boundary clarifies adoption sequencing for enterprises, auditors, insurers, and regulators evaluating agentic systems.</w:t>
      </w:r>
    </w:p>
    <w:p>
      <w:pPr>
        <w:spacing w:after="56"/>
      </w:pPr>
      <w:r>
        <w:t>Recommended Adoption Sequence:</w:t>
      </w:r>
    </w:p>
    <w:p>
      <w:pPr>
        <w:pStyle w:val="ListNumber"/>
        <w:spacing w:after="56"/>
      </w:pPr>
      <w:r>
        <w:t>Use the main white paper to understand the AI Agent Lifecycle Governance primary framework layer, Missing Regulatory Objects, RCCS-T/RCCS-M/ALCS scoring, enterprise control crosswalk, and system positioning. This provides the conceptual foundation and framework-entry understanding.</w:t>
      </w:r>
    </w:p>
    <w:p>
      <w:pPr>
        <w:pStyle w:val="ListNumber"/>
        <w:spacing w:after="56"/>
      </w:pPr>
      <w:r>
        <w:t>Use the Evidence &amp; Assurance companion paper (when published) for audit readiness, control testing methodology, evidence sufficiency analysis, attestation preparation, and privacy-preserving validation procedures. This provides the assurance methodology layer.</w:t>
      </w:r>
    </w:p>
    <w:p>
      <w:pPr>
        <w:pStyle w:val="ListNumber"/>
        <w:spacing w:after="56"/>
      </w:pPr>
      <w:r>
        <w:t>Use the Insurability companion paper (when published) for risk classification, loss attribution analysis, claim replay evidence preparation, premium differentiation understanding, and coverage boundary analysis. This provides the risk transfer and insurability layer.</w:t>
      </w:r>
    </w:p>
    <w:p>
      <w:pPr>
        <w:pStyle w:val="ListNumber"/>
        <w:spacing w:after="56"/>
      </w:pPr>
      <w:r>
        <w:t>Use industry briefs (when published) for sector-specific operationalization in accounting, insurance, banking, healthcare, legal, and other regulated enterprise applications. This provides the industry-specific implementation layer.</w:t>
      </w:r>
    </w:p>
    <w:p>
      <w:pPr>
        <w:spacing w:after="56"/>
      </w:pPr>
      <w:r>
        <w:t>Why This Sequence Matters:</w:t>
      </w:r>
    </w:p>
    <w:p>
      <w:pPr>
        <w:spacing w:after="56"/>
      </w:pPr>
      <w:r>
        <w:t>The main white paper defines the primary governance framework. Without understanding MROs, RCCS, ALCS, and lifecycle conformance, the assurance and insurability methodologies would not make sense. The companion papers build on the main framework. They do not replace it.</w:t>
      </w:r>
    </w:p>
    <w:p>
      <w:pPr>
        <w:spacing w:after="56"/>
      </w:pPr>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Pr>
        <w:spacing w:after="56"/>
      </w:pPr>
      <w:r>
        <w:t>Bridge to Chapter 17:</w:t>
      </w:r>
    </w:p>
    <w:p>
      <w:pPr>
        <w:spacing w:after="56"/>
      </w:pPr>
      <w:r>
        <w:t>Chapter 17 defines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Pr>
        <w:spacing w:after="56"/>
      </w:pPr>
      <w:r>
        <w:t>The boundary also ensures that adoption recommendations do not overreach into legal, audit, insurance, or procurement conclusions. Chapter 17 provides adoption guidance, not adoption mandates. It clarifies that adoption pathways depend on enterprise context, regulatory jurisdiction, industry sector, and risk appetite, not only on lifecycle conformance scores.</w:t>
      </w:r>
    </w:p>
    <w:p>
      <w:pPr>
        <w:spacing w:after="56"/>
      </w:pPr>
      <w:r>
        <w:t>Figure F-10 - Companion Paper Boundary Map</w:t>
      </w:r>
    </w:p>
    <w:p>
      <w:pPr>
        <w:spacing w:after="56"/>
      </w:pPr>
      <w:r>
        <w:t>Main White Paper -&gt; Evidence &amp; Assurance Companion -&gt; Insurability Companion -&gt; Later Industry Briefs</w:t>
      </w:r>
    </w:p>
    <w:p>
      <w:pPr>
        <w:spacing w:after="56"/>
      </w:pPr>
      <w:r>
        <w:t>Figure F-10 shows the publication boundary between the main framework document, planned companion papers, and later industry briefs. The figure is a scope map, not a publication guarantee, certification pathway, or claim that companion papers are already complete.</w:t>
      </w:r>
    </w:p>
    <w:p>
      <w:pPr>
        <w:pStyle w:val="Heading1"/>
      </w:pPr>
      <w:r>
        <w:t>17. Adoption Roadmap for AI Agent Lifecycle Governance</w:t>
      </w:r>
    </w:p>
    <w:p>
      <w:pPr>
        <w:spacing w:after="56"/>
      </w:pPr>
      <w:r>
        <w:t>Version: v0.3.2-FRC-R3</w:t>
      </w:r>
    </w:p>
    <w:p>
      <w:pPr>
        <w:pStyle w:val="Heading2"/>
      </w:pPr>
      <w:r>
        <w:t>17.0 Why Adoption Roadmap Matters</w:t>
      </w:r>
    </w:p>
    <w:p>
      <w:pPr>
        <w:spacing w:after="56"/>
      </w:pPr>
      <w:r>
        <w:t>AI Agent Lifecycle Governance is not a theoretical framework. It is a practical necessity for enterprises deploying agentic AI systems. The previous chapters have defined the missing layer (Chapter 2), identified the sixteen Missing Regulatory Objects (Chapter 6), introduced RCCS-T, RCCS-M, and ALCS as analytical frameworks (Chapters 7-8), mapped existing systems (Chapters 11-12), examined evidence-based validation patterns (Chapter 14), and demonstrated enterprise failure scenarios (Chapter 15).</w:t>
      </w:r>
    </w:p>
    <w:p>
      <w:pPr>
        <w:spacing w:after="56"/>
      </w:pPr>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Pr>
        <w:spacing w:after="56"/>
      </w:pPr>
      <w:r>
        <w:t>The roadmap is not a procurement guide, certification checklist, or legal compliance procedure. It is a staged adoption path that helps enterprises:</w:t>
      </w:r>
    </w:p>
    <w:p>
      <w:pPr>
        <w:pStyle w:val="ListBullet"/>
        <w:spacing w:after="56"/>
      </w:pPr>
      <w:r>
        <w:t>Inventory agentic behavior and identify lifecycle governance gaps</w:t>
      </w:r>
    </w:p>
    <w:p>
      <w:pPr>
        <w:pStyle w:val="ListBullet"/>
        <w:spacing w:after="56"/>
      </w:pPr>
      <w:r>
        <w:t>Define delegated authority boundaries and human-role-to-MAS responsibility mappings</w:t>
      </w:r>
    </w:p>
    <w:p>
      <w:pPr>
        <w:pStyle w:val="ListBullet"/>
        <w:spacing w:after="56"/>
      </w:pPr>
      <w:r>
        <w:t>Convert orchestration logs into partitioned evidence chains</w:t>
      </w:r>
    </w:p>
    <w:p>
      <w:pPr>
        <w:pStyle w:val="ListBullet"/>
        <w:spacing w:after="56"/>
      </w:pPr>
      <w:r>
        <w:t>Map privacy and data subject rights across lifecycle surfaces</w:t>
      </w:r>
    </w:p>
    <w:p>
      <w:pPr>
        <w:pStyle w:val="ListBullet"/>
        <w:spacing w:after="56"/>
      </w:pPr>
      <w:r>
        <w:t>Prepare for evidence-based validation and qualified review</w:t>
      </w:r>
    </w:p>
    <w:p>
      <w:pPr>
        <w:pStyle w:val="ListBullet"/>
        <w:spacing w:after="56"/>
      </w:pPr>
      <w:r>
        <w:t>Operationalize incident, dispute, and remediation closure workflows</w:t>
      </w:r>
    </w:p>
    <w:p>
      <w:pPr>
        <w:pStyle w:val="ListBullet"/>
        <w:spacing w:after="56"/>
      </w:pPr>
      <w:r>
        <w:t>Scale lifecycle governance through integration with existing enterprise controls</w:t>
      </w:r>
    </w:p>
    <w:p>
      <w:pPr>
        <w:spacing w:after="56"/>
      </w:pPr>
      <w:r>
        <w:t>The goal is not to claim that lifecycle governance eliminates all risk. The goal is to provide a practical path for enterprises to address the lifecycle governance gap identified in this white paper.</w:t>
      </w:r>
    </w:p>
    <w:p>
      <w:pPr>
        <w:spacing w:after="56"/>
      </w:pPr>
      <w:r>
        <w:t>Figure F-11 - Stage 0-to-7 Adoption Roadmap</w:t>
      </w:r>
    </w:p>
    <w:p>
      <w:pPr>
        <w:spacing w:after="56"/>
      </w:pPr>
      <w:r>
        <w:t>Stage 0 Inventory -&gt; Stage 1 Authority -&gt; Stage 2 Responsibility -&gt; Stage 3 Evidence -&gt; Stage 4 Privacy -&gt; Stage 5 Validation -&gt; Stage 6 Remediation -&gt; Stage 7 Scale</w:t>
      </w:r>
    </w:p>
    <w:p>
      <w:pPr>
        <w:spacing w:after="56"/>
      </w:pPr>
      <w:r>
        <w:t>Figure F-11 summarizes a staged adoption path for lifecycle governance. It is an implementation planning aid, not a procurement mandate, certification checklist, legal compliance procedure, or deployment-readiness guarantee.</w:t>
      </w:r>
    </w:p>
    <w:p>
      <w:pPr>
        <w:pStyle w:val="Heading2"/>
      </w:pPr>
      <w:r>
        <w:t>17.1 Maturity Assessment and Gap Analysis</w:t>
      </w:r>
    </w:p>
    <w:p>
      <w:pPr>
        <w:spacing w:after="56"/>
      </w:pPr>
      <w:r>
        <w:t>Enterprises should begin adoption with a maturity assessment to understand their current lifecycle governance capability and identify gaps. The following table defines five maturity levels.</w:t>
      </w:r>
    </w:p>
    <w:p>
      <w:pPr>
        <w:keepNext/>
      </w:pPr>
      <w:r>
        <w:rPr>
          <w:b/>
          <w:sz w:val="16"/>
        </w:rPr>
        <w:t>Table T-17-01: Adoption Maturity Levels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Enterprise State</w:t>
            </w:r>
          </w:p>
        </w:tc>
        <w:tc>
          <w:tcPr>
            <w:tcW w:type="dxa" w:w="2045"/>
          </w:tcPr>
          <w:p>
            <w:pPr>
              <w:spacing w:after="0"/>
            </w:pPr>
            <w:r>
              <w:rPr>
                <w:rFonts w:ascii="Arial" w:hAnsi="Arial"/>
                <w:b/>
                <w:sz w:val="14"/>
              </w:rPr>
              <w:t>Lifecycle Governance Capability</w:t>
            </w:r>
          </w:p>
        </w:tc>
        <w:tc>
          <w:tcPr>
            <w:tcW w:type="dxa" w:w="2045"/>
          </w:tcPr>
          <w:p>
            <w:pPr>
              <w:spacing w:after="0"/>
            </w:pPr>
            <w:r>
              <w:rPr>
                <w:rFonts w:ascii="Arial" w:hAnsi="Arial"/>
                <w:b/>
                <w:sz w:val="14"/>
              </w:rPr>
              <w:t>Typical Gap</w:t>
            </w:r>
          </w:p>
        </w:tc>
        <w:tc>
          <w:tcPr>
            <w:tcW w:type="dxa" w:w="2045"/>
          </w:tcPr>
          <w:p>
            <w:pPr>
              <w:spacing w:after="0"/>
            </w:pPr>
            <w:r>
              <w:rPr>
                <w:rFonts w:ascii="Arial" w:hAnsi="Arial"/>
                <w:b/>
                <w:sz w:val="14"/>
              </w:rPr>
              <w:t>Recommended Next Step</w:t>
            </w:r>
          </w:p>
        </w:tc>
      </w:tr>
      <w:tr>
        <w:tc>
          <w:tcPr>
            <w:tcW w:type="dxa" w:w="2045"/>
          </w:tcPr>
          <w:p>
            <w:pPr>
              <w:spacing w:after="0"/>
            </w:pPr>
            <w:r>
              <w:rPr>
                <w:rFonts w:ascii="Arial" w:hAnsi="Arial"/>
                <w:b w:val="0"/>
                <w:sz w:val="14"/>
              </w:rPr>
              <w:t>Level 0: Unaware</w:t>
            </w:r>
          </w:p>
        </w:tc>
        <w:tc>
          <w:tcPr>
            <w:tcW w:type="dxa" w:w="2045"/>
          </w:tcPr>
          <w:p>
            <w:pPr>
              <w:spacing w:after="0"/>
            </w:pPr>
            <w:r>
              <w:rPr>
                <w:rFonts w:ascii="Arial" w:hAnsi="Arial"/>
                <w:b w:val="0"/>
                <w:sz w:val="14"/>
              </w:rPr>
              <w:t>Agentic AI systems deployed; no lifecycle governance awareness; model governance assumed sufficient</w:t>
            </w:r>
          </w:p>
        </w:tc>
        <w:tc>
          <w:tcPr>
            <w:tcW w:type="dxa" w:w="2045"/>
          </w:tcPr>
          <w:p>
            <w:pPr>
              <w:spacing w:after="0"/>
            </w:pPr>
            <w:r>
              <w:rPr>
                <w:rFonts w:ascii="Arial" w:hAnsi="Arial"/>
                <w:b w:val="0"/>
                <w:sz w:val="14"/>
              </w:rPr>
              <w:t>No lifecycle responsibility objects; no authority boundaries; no accepted outcome compliance; no evidence partitioning</w:t>
            </w:r>
          </w:p>
        </w:tc>
        <w:tc>
          <w:tcPr>
            <w:tcW w:type="dxa" w:w="2045"/>
          </w:tcPr>
          <w:p>
            <w:pPr>
              <w:spacing w:after="0"/>
            </w:pPr>
            <w:r>
              <w:rPr>
                <w:rFonts w:ascii="Arial" w:hAnsi="Arial"/>
                <w:b w:val="0"/>
                <w:sz w:val="14"/>
              </w:rPr>
              <w:t>Execution logs exist but cannot reconstruct authority, plan, confirmation, tool action, and accepted outcome; no responsible human role for agent outcomes; no evidence-based validation capability</w:t>
            </w:r>
          </w:p>
        </w:tc>
        <w:tc>
          <w:tcPr>
            <w:tcW w:type="dxa" w:w="2045"/>
          </w:tcPr>
          <w:p>
            <w:pPr>
              <w:spacing w:after="0"/>
            </w:pPr>
            <w:r>
              <w:rPr>
                <w:rFonts w:ascii="Arial" w:hAnsi="Arial"/>
                <w:b w:val="0"/>
                <w:sz w:val="14"/>
              </w:rPr>
              <w:t>Inventory agentic behavior; identify where agents make decisions, use tools, or hand off work; assess whether model governance covers lifecycle responsibility</w:t>
            </w:r>
          </w:p>
        </w:tc>
      </w:tr>
      <w:tr>
        <w:tc>
          <w:tcPr>
            <w:tcW w:type="dxa" w:w="2045"/>
          </w:tcPr>
          <w:p>
            <w:pPr>
              <w:spacing w:after="0"/>
            </w:pPr>
            <w:r>
              <w:rPr>
                <w:rFonts w:ascii="Arial" w:hAnsi="Arial"/>
                <w:b w:val="0"/>
                <w:sz w:val="14"/>
              </w:rPr>
              <w:t>Level 1: Aware</w:t>
            </w:r>
          </w:p>
        </w:tc>
        <w:tc>
          <w:tcPr>
            <w:tcW w:type="dxa" w:w="2045"/>
          </w:tcPr>
          <w:p>
            <w:pPr>
              <w:spacing w:after="0"/>
            </w:pPr>
            <w:r>
              <w:rPr>
                <w:rFonts w:ascii="Arial" w:hAnsi="Arial"/>
                <w:b w:val="0"/>
                <w:sz w:val="14"/>
              </w:rPr>
              <w:t>Lifecycle governance gap recognized; pilot projects identified; governance team assigned</w:t>
            </w:r>
          </w:p>
        </w:tc>
        <w:tc>
          <w:tcPr>
            <w:tcW w:type="dxa" w:w="2045"/>
          </w:tcPr>
          <w:p>
            <w:pPr>
              <w:spacing w:after="0"/>
            </w:pPr>
            <w:r>
              <w:rPr>
                <w:rFonts w:ascii="Arial" w:hAnsi="Arial"/>
                <w:b w:val="0"/>
                <w:sz w:val="14"/>
              </w:rPr>
              <w:t>Basic lifecycle inventory; some authority boundaries documented; human oversight exists but not mapped to MAS responsibilities</w:t>
            </w:r>
          </w:p>
        </w:tc>
        <w:tc>
          <w:tcPr>
            <w:tcW w:type="dxa" w:w="2045"/>
          </w:tcPr>
          <w:p>
            <w:pPr>
              <w:spacing w:after="0"/>
            </w:pPr>
            <w:r>
              <w:rPr>
                <w:rFonts w:ascii="Arial" w:hAnsi="Arial"/>
                <w:b w:val="0"/>
                <w:sz w:val="14"/>
              </w:rPr>
              <w:t>Authority boundaries are implicit or undocumented; human oversight is ad-hoc; evidence chains are incomplete; no privacy-preserving validation capability</w:t>
            </w:r>
          </w:p>
        </w:tc>
        <w:tc>
          <w:tcPr>
            <w:tcW w:type="dxa" w:w="2045"/>
          </w:tcPr>
          <w:p>
            <w:pPr>
              <w:spacing w:after="0"/>
            </w:pPr>
            <w:r>
              <w:rPr>
                <w:rFonts w:ascii="Arial" w:hAnsi="Arial"/>
                <w:b w:val="0"/>
                <w:sz w:val="14"/>
              </w:rPr>
              <w:t>Define delegated authority boundaries for pilot projects; map human roles to MAS responsibilities; document accepted outcome compliance workflow</w:t>
            </w:r>
          </w:p>
        </w:tc>
      </w:tr>
      <w:tr>
        <w:tc>
          <w:tcPr>
            <w:tcW w:type="dxa" w:w="2045"/>
          </w:tcPr>
          <w:p>
            <w:pPr>
              <w:spacing w:after="0"/>
            </w:pPr>
            <w:r>
              <w:rPr>
                <w:rFonts w:ascii="Arial" w:hAnsi="Arial"/>
                <w:b w:val="0"/>
                <w:sz w:val="14"/>
              </w:rPr>
              <w:t>Level 2: Pilot</w:t>
            </w:r>
          </w:p>
        </w:tc>
        <w:tc>
          <w:tcPr>
            <w:tcW w:type="dxa" w:w="2045"/>
          </w:tcPr>
          <w:p>
            <w:pPr>
              <w:spacing w:after="0"/>
            </w:pPr>
            <w:r>
              <w:rPr>
                <w:rFonts w:ascii="Arial" w:hAnsi="Arial"/>
                <w:b w:val="0"/>
                <w:sz w:val="14"/>
              </w:rPr>
              <w:t>Pilot projects operationalize lifecycle responsibility objects; evidence chains exist for pilot scope; authority boundaries enforced</w:t>
            </w:r>
          </w:p>
        </w:tc>
        <w:tc>
          <w:tcPr>
            <w:tcW w:type="dxa" w:w="2045"/>
          </w:tcPr>
          <w:p>
            <w:pPr>
              <w:spacing w:after="0"/>
            </w:pPr>
            <w:r>
              <w:rPr>
                <w:rFonts w:ascii="Arial" w:hAnsi="Arial"/>
                <w:b w:val="0"/>
                <w:sz w:val="14"/>
              </w:rPr>
              <w:t>Delegated authority boundaries defined; human-role-to-MAS responsibility mapping exists; accepted outcome compliance workflow operational; evidence partitioning implemented for pilot scope</w:t>
            </w:r>
          </w:p>
        </w:tc>
        <w:tc>
          <w:tcPr>
            <w:tcW w:type="dxa" w:w="2045"/>
          </w:tcPr>
          <w:p>
            <w:pPr>
              <w:spacing w:after="0"/>
            </w:pPr>
            <w:r>
              <w:rPr>
                <w:rFonts w:ascii="Arial" w:hAnsi="Arial"/>
                <w:b w:val="0"/>
                <w:sz w:val="14"/>
              </w:rPr>
              <w:t>Pilot scope is limited; lifecycle governance not integrated with existing enterprise controls; no cross-project reuse compliance; no vendor/runtime substitution conformance</w:t>
            </w:r>
          </w:p>
        </w:tc>
        <w:tc>
          <w:tcPr>
            <w:tcW w:type="dxa" w:w="2045"/>
          </w:tcPr>
          <w:p>
            <w:pPr>
              <w:spacing w:after="0"/>
            </w:pPr>
            <w:r>
              <w:rPr>
                <w:rFonts w:ascii="Arial" w:hAnsi="Arial"/>
                <w:b w:val="0"/>
                <w:sz w:val="14"/>
              </w:rPr>
              <w:t>Integrate lifecycle governance with existing enterprise controls (audit, privacy, security, procurement); extend evidence partitioning beyond pilot scope; implement cross-project reuse compliance</w:t>
            </w:r>
          </w:p>
        </w:tc>
      </w:tr>
      <w:tr>
        <w:tc>
          <w:tcPr>
            <w:tcW w:type="dxa" w:w="2045"/>
          </w:tcPr>
          <w:p>
            <w:pPr>
              <w:spacing w:after="0"/>
            </w:pPr>
            <w:r>
              <w:rPr>
                <w:rFonts w:ascii="Arial" w:hAnsi="Arial"/>
                <w:b w:val="0"/>
                <w:sz w:val="14"/>
              </w:rPr>
              <w:t>Level 3: Integrated</w:t>
            </w:r>
          </w:p>
        </w:tc>
        <w:tc>
          <w:tcPr>
            <w:tcW w:type="dxa" w:w="2045"/>
          </w:tcPr>
          <w:p>
            <w:pPr>
              <w:spacing w:after="0"/>
            </w:pPr>
            <w:r>
              <w:rPr>
                <w:rFonts w:ascii="Arial" w:hAnsi="Arial"/>
                <w:b w:val="0"/>
                <w:sz w:val="14"/>
              </w:rPr>
              <w:t>Lifecycle governance integrated with existing enterprise controls; evidence-based validation capability operational; privacy-preserving validation protocol implemented</w:t>
            </w:r>
          </w:p>
        </w:tc>
        <w:tc>
          <w:tcPr>
            <w:tcW w:type="dxa" w:w="2045"/>
          </w:tcPr>
          <w:p>
            <w:pPr>
              <w:spacing w:after="0"/>
            </w:pPr>
            <w:r>
              <w:rPr>
                <w:rFonts w:ascii="Arial" w:hAnsi="Arial"/>
                <w:b w:val="0"/>
                <w:sz w:val="14"/>
              </w:rPr>
              <w:t>Evidence partitioning operational; privacy-preserving validation protocol implemented; cross-project reuse compliance enforced; vendor/runtime substitution conformance validated</w:t>
            </w:r>
          </w:p>
        </w:tc>
        <w:tc>
          <w:tcPr>
            <w:tcW w:type="dxa" w:w="2045"/>
          </w:tcPr>
          <w:p>
            <w:pPr>
              <w:spacing w:after="0"/>
            </w:pPr>
            <w:r>
              <w:rPr>
                <w:rFonts w:ascii="Arial" w:hAnsi="Arial"/>
                <w:b w:val="0"/>
                <w:sz w:val="14"/>
              </w:rPr>
              <w:t>Lifecycle governance not yet scaled to all agentic workflows; incident/dispute/remediation closure workflow exists but not fully operationalized; continuous improvement not yet systematic</w:t>
            </w:r>
          </w:p>
        </w:tc>
        <w:tc>
          <w:tcPr>
            <w:tcW w:type="dxa" w:w="2045"/>
          </w:tcPr>
          <w:p>
            <w:pPr>
              <w:spacing w:after="0"/>
            </w:pPr>
            <w:r>
              <w:rPr>
                <w:rFonts w:ascii="Arial" w:hAnsi="Arial"/>
                <w:b w:val="0"/>
                <w:sz w:val="14"/>
              </w:rPr>
              <w:t>Scale lifecycle governance to all agentic workflows; operationalize incident/dispute/remediation closure workflow; implement continuous improvement and monitoring</w:t>
            </w:r>
          </w:p>
        </w:tc>
      </w:tr>
      <w:tr>
        <w:tc>
          <w:tcPr>
            <w:tcW w:type="dxa" w:w="2045"/>
          </w:tcPr>
          <w:p>
            <w:pPr>
              <w:spacing w:after="0"/>
            </w:pPr>
            <w:r>
              <w:rPr>
                <w:rFonts w:ascii="Arial" w:hAnsi="Arial"/>
                <w:b w:val="0"/>
                <w:sz w:val="14"/>
              </w:rPr>
              <w:t>Level 4: Scaled</w:t>
            </w:r>
          </w:p>
        </w:tc>
        <w:tc>
          <w:tcPr>
            <w:tcW w:type="dxa" w:w="2045"/>
          </w:tcPr>
          <w:p>
            <w:pPr>
              <w:spacing w:after="0"/>
            </w:pPr>
            <w:r>
              <w:rPr>
                <w:rFonts w:ascii="Arial" w:hAnsi="Arial"/>
                <w:b w:val="0"/>
                <w:sz w:val="14"/>
              </w:rPr>
              <w:t>Lifecycle governance scaled to all agentic workflows; continuous improvement operational; evidence-based validation integrated with audit readiness</w:t>
            </w:r>
          </w:p>
        </w:tc>
        <w:tc>
          <w:tcPr>
            <w:tcW w:type="dxa" w:w="2045"/>
          </w:tcPr>
          <w:p>
            <w:pPr>
              <w:spacing w:after="0"/>
            </w:pPr>
            <w:r>
              <w:rPr>
                <w:rFonts w:ascii="Arial" w:hAnsi="Arial"/>
                <w:b w:val="0"/>
                <w:sz w:val="14"/>
              </w:rPr>
              <w:t>All lifecycle responsibility objects operational; evidence-based validation integrated with audit readiness; incident/dispute/remediation closure workflow fully operationalized; continuous improvement and monitoring systematic</w:t>
            </w:r>
          </w:p>
        </w:tc>
        <w:tc>
          <w:tcPr>
            <w:tcW w:type="dxa" w:w="2045"/>
          </w:tcPr>
          <w:p>
            <w:pPr>
              <w:spacing w:after="0"/>
            </w:pPr>
            <w:r>
              <w:rPr>
                <w:rFonts w:ascii="Arial" w:hAnsi="Arial"/>
                <w:b w:val="0"/>
                <w:sz w:val="14"/>
              </w:rPr>
              <w:t>Lifecycle governance is operational but may require refinement as agentic systems evolve; new MROs may emerge as agentic AI capabilities expand</w:t>
            </w:r>
          </w:p>
        </w:tc>
        <w:tc>
          <w:tcPr>
            <w:tcW w:type="dxa" w:w="2045"/>
          </w:tcPr>
          <w:p>
            <w:pPr>
              <w:spacing w:after="0"/>
            </w:pPr>
            <w:r>
              <w:rPr>
                <w:rFonts w:ascii="Arial" w:hAnsi="Arial"/>
                <w:b w:val="0"/>
                <w:sz w:val="14"/>
              </w:rPr>
              <w:t>Maintain lifecycle governance through continuous improvement; monitor for new lifecycle governance gaps; where appropriate, contribute learnings to standards, industry, or regulatory dialogue</w:t>
            </w:r>
          </w:p>
        </w:tc>
      </w:tr>
    </w:tbl>
    <w:p>
      <w:pPr>
        <w:spacing w:after="56"/>
      </w:pPr>
      <w:r>
        <w:t>Interpretation: Maturity assessment helps enterprises understand where they are and what gaps exist. Most enterprises deploying agentic AI systems are at Level 0 or Level 1. The roadmap provides a staged path from Level 0 to Level 4.</w:t>
      </w:r>
    </w:p>
    <w:p>
      <w:pPr>
        <w:pStyle w:val="Heading2"/>
      </w:pPr>
      <w:r>
        <w:t>17.2 Pilot Project Selection</w:t>
      </w:r>
    </w:p>
    <w:p>
      <w:pPr>
        <w:spacing w:after="56"/>
      </w:pPr>
      <w:r>
        <w:t>Enterprises should select pilot projects carefully to maximize learning and minimize risk. The following table defines pilot selection criteria.</w:t>
      </w:r>
    </w:p>
    <w:p>
      <w:pPr>
        <w:keepNext/>
      </w:pPr>
      <w:r>
        <w:rPr>
          <w:b/>
          <w:sz w:val="16"/>
        </w:rPr>
        <w:t>Table T-17-02: Pilot Project Selection Criteria</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Criterion</w:t>
            </w:r>
          </w:p>
        </w:tc>
        <w:tc>
          <w:tcPr>
            <w:tcW w:type="dxa" w:w="2556"/>
          </w:tcPr>
          <w:p>
            <w:pPr>
              <w:spacing w:after="0"/>
            </w:pPr>
            <w:r>
              <w:rPr>
                <w:rFonts w:ascii="Arial" w:hAnsi="Arial"/>
                <w:b/>
                <w:sz w:val="14"/>
              </w:rPr>
              <w:t>Why It Matters</w:t>
            </w:r>
          </w:p>
        </w:tc>
        <w:tc>
          <w:tcPr>
            <w:tcW w:type="dxa" w:w="2556"/>
          </w:tcPr>
          <w:p>
            <w:pPr>
              <w:spacing w:after="0"/>
            </w:pPr>
            <w:r>
              <w:rPr>
                <w:rFonts w:ascii="Arial" w:hAnsi="Arial"/>
                <w:b/>
                <w:sz w:val="14"/>
              </w:rPr>
              <w:t>Good Pilot Signal</w:t>
            </w:r>
          </w:p>
        </w:tc>
        <w:tc>
          <w:tcPr>
            <w:tcW w:type="dxa" w:w="2556"/>
          </w:tcPr>
          <w:p>
            <w:pPr>
              <w:spacing w:after="0"/>
            </w:pPr>
            <w:r>
              <w:rPr>
                <w:rFonts w:ascii="Arial" w:hAnsi="Arial"/>
                <w:b/>
                <w:sz w:val="14"/>
              </w:rPr>
              <w:t>Avoid If</w:t>
            </w:r>
          </w:p>
        </w:tc>
      </w:tr>
      <w:tr>
        <w:tc>
          <w:tcPr>
            <w:tcW w:type="dxa" w:w="2556"/>
          </w:tcPr>
          <w:p>
            <w:pPr>
              <w:spacing w:after="0"/>
            </w:pPr>
            <w:r>
              <w:rPr>
                <w:rFonts w:ascii="Arial" w:hAnsi="Arial"/>
                <w:b w:val="0"/>
                <w:sz w:val="14"/>
              </w:rPr>
              <w:t>Bounded scope</w:t>
            </w:r>
          </w:p>
        </w:tc>
        <w:tc>
          <w:tcPr>
            <w:tcW w:type="dxa" w:w="2556"/>
          </w:tcPr>
          <w:p>
            <w:pPr>
              <w:spacing w:after="0"/>
            </w:pPr>
            <w:r>
              <w:rPr>
                <w:rFonts w:ascii="Arial" w:hAnsi="Arial"/>
                <w:b w:val="0"/>
                <w:sz w:val="14"/>
              </w:rPr>
              <w:t>Pilot should be large enough to demonstrate lifecycle governance value but small enough to manage risk</w:t>
            </w:r>
          </w:p>
        </w:tc>
        <w:tc>
          <w:tcPr>
            <w:tcW w:type="dxa" w:w="2556"/>
          </w:tcPr>
          <w:p>
            <w:pPr>
              <w:spacing w:after="0"/>
            </w:pPr>
            <w:r>
              <w:rPr>
                <w:rFonts w:ascii="Arial" w:hAnsi="Arial"/>
                <w:b w:val="0"/>
                <w:sz w:val="14"/>
              </w:rPr>
              <w:t>Single business process; single regulated context; single customer segment; clear authority boundaries</w:t>
            </w:r>
          </w:p>
        </w:tc>
        <w:tc>
          <w:tcPr>
            <w:tcW w:type="dxa" w:w="2556"/>
          </w:tcPr>
          <w:p>
            <w:pPr>
              <w:spacing w:after="0"/>
            </w:pPr>
            <w:r>
              <w:rPr>
                <w:rFonts w:ascii="Arial" w:hAnsi="Arial"/>
                <w:b w:val="0"/>
                <w:sz w:val="14"/>
              </w:rPr>
              <w:t>Unbounded scope; cross-jurisdictional; mission-critical; customer-facing without rollback capability</w:t>
            </w:r>
          </w:p>
        </w:tc>
      </w:tr>
      <w:tr>
        <w:tc>
          <w:tcPr>
            <w:tcW w:type="dxa" w:w="2556"/>
          </w:tcPr>
          <w:p>
            <w:pPr>
              <w:spacing w:after="0"/>
            </w:pPr>
            <w:r>
              <w:rPr>
                <w:rFonts w:ascii="Arial" w:hAnsi="Arial"/>
                <w:b w:val="0"/>
                <w:sz w:val="14"/>
              </w:rPr>
              <w:t>Measurable outcomes</w:t>
            </w:r>
          </w:p>
        </w:tc>
        <w:tc>
          <w:tcPr>
            <w:tcW w:type="dxa" w:w="2556"/>
          </w:tcPr>
          <w:p>
            <w:pPr>
              <w:spacing w:after="0"/>
            </w:pPr>
            <w:r>
              <w:rPr>
                <w:rFonts w:ascii="Arial" w:hAnsi="Arial"/>
                <w:b w:val="0"/>
                <w:sz w:val="14"/>
              </w:rPr>
              <w:t>Pilot should produce measurable evidence of lifecycle governance effectiveness</w:t>
            </w:r>
          </w:p>
        </w:tc>
        <w:tc>
          <w:tcPr>
            <w:tcW w:type="dxa" w:w="2556"/>
          </w:tcPr>
          <w:p>
            <w:pPr>
              <w:spacing w:after="0"/>
            </w:pPr>
            <w:r>
              <w:rPr>
                <w:rFonts w:ascii="Arial" w:hAnsi="Arial"/>
                <w:b w:val="0"/>
                <w:sz w:val="14"/>
              </w:rPr>
              <w:t>Clear success criteria; measurable evidence artifacts; audit readiness improvement; dispute resolution improvement</w:t>
            </w:r>
          </w:p>
        </w:tc>
        <w:tc>
          <w:tcPr>
            <w:tcW w:type="dxa" w:w="2556"/>
          </w:tcPr>
          <w:p>
            <w:pPr>
              <w:spacing w:after="0"/>
            </w:pPr>
            <w:r>
              <w:rPr>
                <w:rFonts w:ascii="Arial" w:hAnsi="Arial"/>
                <w:b w:val="0"/>
                <w:sz w:val="14"/>
              </w:rPr>
              <w:t>Vague success criteria; no measurable evidence artifacts; no audit readiness baseline</w:t>
            </w:r>
          </w:p>
        </w:tc>
      </w:tr>
      <w:tr>
        <w:tc>
          <w:tcPr>
            <w:tcW w:type="dxa" w:w="2556"/>
          </w:tcPr>
          <w:p>
            <w:pPr>
              <w:spacing w:after="0"/>
            </w:pPr>
            <w:r>
              <w:rPr>
                <w:rFonts w:ascii="Arial" w:hAnsi="Arial"/>
                <w:b w:val="0"/>
                <w:sz w:val="14"/>
              </w:rPr>
              <w:t>Regulatory relevance</w:t>
            </w:r>
          </w:p>
        </w:tc>
        <w:tc>
          <w:tcPr>
            <w:tcW w:type="dxa" w:w="2556"/>
          </w:tcPr>
          <w:p>
            <w:pPr>
              <w:spacing w:after="0"/>
            </w:pPr>
            <w:r>
              <w:rPr>
                <w:rFonts w:ascii="Arial" w:hAnsi="Arial"/>
                <w:b w:val="0"/>
                <w:sz w:val="14"/>
              </w:rPr>
              <w:t>Pilot should address a regulated context where lifecycle governance gaps create compliance risk</w:t>
            </w:r>
          </w:p>
        </w:tc>
        <w:tc>
          <w:tcPr>
            <w:tcW w:type="dxa" w:w="2556"/>
          </w:tcPr>
          <w:p>
            <w:pPr>
              <w:spacing w:after="0"/>
            </w:pPr>
            <w:r>
              <w:rPr>
                <w:rFonts w:ascii="Arial" w:hAnsi="Arial"/>
                <w:b w:val="0"/>
                <w:sz w:val="14"/>
              </w:rPr>
              <w:t>GDPR, HIPAA, SOX, EU AI Act, or other regulated context; audit readiness required; evidence retention required</w:t>
            </w:r>
          </w:p>
        </w:tc>
        <w:tc>
          <w:tcPr>
            <w:tcW w:type="dxa" w:w="2556"/>
          </w:tcPr>
          <w:p>
            <w:pPr>
              <w:spacing w:after="0"/>
            </w:pPr>
            <w:r>
              <w:rPr>
                <w:rFonts w:ascii="Arial" w:hAnsi="Arial"/>
                <w:b w:val="0"/>
                <w:sz w:val="14"/>
              </w:rPr>
              <w:t>Non-regulated context; no audit readiness requirement; no evidence retention requirement</w:t>
            </w:r>
          </w:p>
        </w:tc>
      </w:tr>
      <w:tr>
        <w:tc>
          <w:tcPr>
            <w:tcW w:type="dxa" w:w="2556"/>
          </w:tcPr>
          <w:p>
            <w:pPr>
              <w:spacing w:after="0"/>
            </w:pPr>
            <w:r>
              <w:rPr>
                <w:rFonts w:ascii="Arial" w:hAnsi="Arial"/>
                <w:b w:val="0"/>
                <w:sz w:val="14"/>
              </w:rPr>
              <w:t>Executive sponsorship</w:t>
            </w:r>
          </w:p>
        </w:tc>
        <w:tc>
          <w:tcPr>
            <w:tcW w:type="dxa" w:w="2556"/>
          </w:tcPr>
          <w:p>
            <w:pPr>
              <w:spacing w:after="0"/>
            </w:pPr>
            <w:r>
              <w:rPr>
                <w:rFonts w:ascii="Arial" w:hAnsi="Arial"/>
                <w:b w:val="0"/>
                <w:sz w:val="14"/>
              </w:rPr>
              <w:t>Pilot should have executive sponsorship to ensure organizational commitment</w:t>
            </w:r>
          </w:p>
        </w:tc>
        <w:tc>
          <w:tcPr>
            <w:tcW w:type="dxa" w:w="2556"/>
          </w:tcPr>
          <w:p>
            <w:pPr>
              <w:spacing w:after="0"/>
            </w:pPr>
            <w:r>
              <w:rPr>
                <w:rFonts w:ascii="Arial" w:hAnsi="Arial"/>
                <w:b w:val="0"/>
                <w:sz w:val="14"/>
              </w:rPr>
              <w:t>Executive sponsor assigned; governance team assigned; budget allocated; success criteria agreed</w:t>
            </w:r>
          </w:p>
        </w:tc>
        <w:tc>
          <w:tcPr>
            <w:tcW w:type="dxa" w:w="2556"/>
          </w:tcPr>
          <w:p>
            <w:pPr>
              <w:spacing w:after="0"/>
            </w:pPr>
            <w:r>
              <w:rPr>
                <w:rFonts w:ascii="Arial" w:hAnsi="Arial"/>
                <w:b w:val="0"/>
                <w:sz w:val="14"/>
              </w:rPr>
              <w:t>No executive sponsor; no governance team; no budget; no success criteria</w:t>
            </w:r>
          </w:p>
        </w:tc>
      </w:tr>
      <w:tr>
        <w:tc>
          <w:tcPr>
            <w:tcW w:type="dxa" w:w="2556"/>
          </w:tcPr>
          <w:p>
            <w:pPr>
              <w:spacing w:after="0"/>
            </w:pPr>
            <w:r>
              <w:rPr>
                <w:rFonts w:ascii="Arial" w:hAnsi="Arial"/>
                <w:b w:val="0"/>
                <w:sz w:val="14"/>
              </w:rPr>
              <w:t>Failure scenario relevance</w:t>
            </w:r>
          </w:p>
        </w:tc>
        <w:tc>
          <w:tcPr>
            <w:tcW w:type="dxa" w:w="2556"/>
          </w:tcPr>
          <w:p>
            <w:pPr>
              <w:spacing w:after="0"/>
            </w:pPr>
            <w:r>
              <w:rPr>
                <w:rFonts w:ascii="Arial" w:hAnsi="Arial"/>
                <w:b w:val="0"/>
                <w:sz w:val="14"/>
              </w:rPr>
              <w:t>Pilot should address one or more enterprise failure scenarios from Chapter 15</w:t>
            </w:r>
          </w:p>
        </w:tc>
        <w:tc>
          <w:tcPr>
            <w:tcW w:type="dxa" w:w="2556"/>
          </w:tcPr>
          <w:p>
            <w:pPr>
              <w:spacing w:after="0"/>
            </w:pPr>
            <w:r>
              <w:rPr>
                <w:rFonts w:ascii="Arial" w:hAnsi="Arial"/>
                <w:b w:val="0"/>
                <w:sz w:val="14"/>
              </w:rPr>
              <w:t>Pilot addresses authority boundary failure, evidence chain failure, accepted outcome failure, or other Chapter 15 scenario</w:t>
            </w:r>
          </w:p>
        </w:tc>
        <w:tc>
          <w:tcPr>
            <w:tcW w:type="dxa" w:w="2556"/>
          </w:tcPr>
          <w:p>
            <w:pPr>
              <w:spacing w:after="0"/>
            </w:pPr>
            <w:r>
              <w:rPr>
                <w:rFonts w:ascii="Arial" w:hAnsi="Arial"/>
                <w:b w:val="0"/>
                <w:sz w:val="14"/>
              </w:rPr>
              <w:t>Pilot does not address any Chapter 15 scenario; no clear failure mode to prevent</w:t>
            </w:r>
          </w:p>
        </w:tc>
      </w:tr>
      <w:tr>
        <w:tc>
          <w:tcPr>
            <w:tcW w:type="dxa" w:w="2556"/>
          </w:tcPr>
          <w:p>
            <w:pPr>
              <w:spacing w:after="0"/>
            </w:pPr>
            <w:r>
              <w:rPr>
                <w:rFonts w:ascii="Arial" w:hAnsi="Arial"/>
                <w:b w:val="0"/>
                <w:sz w:val="14"/>
              </w:rPr>
              <w:t>Integration opportunity</w:t>
            </w:r>
          </w:p>
        </w:tc>
        <w:tc>
          <w:tcPr>
            <w:tcW w:type="dxa" w:w="2556"/>
          </w:tcPr>
          <w:p>
            <w:pPr>
              <w:spacing w:after="0"/>
            </w:pPr>
            <w:r>
              <w:rPr>
                <w:rFonts w:ascii="Arial" w:hAnsi="Arial"/>
                <w:b w:val="0"/>
                <w:sz w:val="14"/>
              </w:rPr>
              <w:t>Pilot should integrate with existing enterprise controls to demonstrate scalability</w:t>
            </w:r>
          </w:p>
        </w:tc>
        <w:tc>
          <w:tcPr>
            <w:tcW w:type="dxa" w:w="2556"/>
          </w:tcPr>
          <w:p>
            <w:pPr>
              <w:spacing w:after="0"/>
            </w:pPr>
            <w:r>
              <w:rPr>
                <w:rFonts w:ascii="Arial" w:hAnsi="Arial"/>
                <w:b w:val="0"/>
                <w:sz w:val="14"/>
              </w:rPr>
              <w:t>Pilot integrates with existing audit, privacy, security, or procurement controls; evidence artifacts align with existing control frameworks</w:t>
            </w:r>
          </w:p>
        </w:tc>
        <w:tc>
          <w:tcPr>
            <w:tcW w:type="dxa" w:w="2556"/>
          </w:tcPr>
          <w:p>
            <w:pPr>
              <w:spacing w:after="0"/>
            </w:pPr>
            <w:r>
              <w:rPr>
                <w:rFonts w:ascii="Arial" w:hAnsi="Arial"/>
                <w:b w:val="0"/>
                <w:sz w:val="14"/>
              </w:rPr>
              <w:t>Pilot is isolated from existing enterprise controls; no integration opportunity; evidence artifacts do not align with existing control frameworks</w:t>
            </w:r>
          </w:p>
        </w:tc>
      </w:tr>
      <w:tr>
        <w:tc>
          <w:tcPr>
            <w:tcW w:type="dxa" w:w="2556"/>
          </w:tcPr>
          <w:p>
            <w:pPr>
              <w:spacing w:after="0"/>
            </w:pPr>
            <w:r>
              <w:rPr>
                <w:rFonts w:ascii="Arial" w:hAnsi="Arial"/>
                <w:b w:val="0"/>
                <w:sz w:val="14"/>
              </w:rPr>
              <w:t>Rollback capability</w:t>
            </w:r>
          </w:p>
        </w:tc>
        <w:tc>
          <w:tcPr>
            <w:tcW w:type="dxa" w:w="2556"/>
          </w:tcPr>
          <w:p>
            <w:pPr>
              <w:spacing w:after="0"/>
            </w:pPr>
            <w:r>
              <w:rPr>
                <w:rFonts w:ascii="Arial" w:hAnsi="Arial"/>
                <w:b w:val="0"/>
                <w:sz w:val="14"/>
              </w:rPr>
              <w:t>Pilot should have rollback capability to manage risk</w:t>
            </w:r>
          </w:p>
        </w:tc>
        <w:tc>
          <w:tcPr>
            <w:tcW w:type="dxa" w:w="2556"/>
          </w:tcPr>
          <w:p>
            <w:pPr>
              <w:spacing w:after="0"/>
            </w:pPr>
            <w:r>
              <w:rPr>
                <w:rFonts w:ascii="Arial" w:hAnsi="Arial"/>
                <w:b w:val="0"/>
                <w:sz w:val="14"/>
              </w:rPr>
              <w:t>Pilot can be rolled back without customer impact; pilot can be paused without operational disruption</w:t>
            </w:r>
          </w:p>
        </w:tc>
        <w:tc>
          <w:tcPr>
            <w:tcW w:type="dxa" w:w="2556"/>
          </w:tcPr>
          <w:p>
            <w:pPr>
              <w:spacing w:after="0"/>
            </w:pPr>
            <w:r>
              <w:rPr>
                <w:rFonts w:ascii="Arial" w:hAnsi="Arial"/>
                <w:b w:val="0"/>
                <w:sz w:val="14"/>
              </w:rPr>
              <w:t>Pilot cannot be rolled back; pilot is mission-critical; pilot has irreversible customer impact</w:t>
            </w:r>
          </w:p>
        </w:tc>
      </w:tr>
    </w:tbl>
    <w:p>
      <w:pPr>
        <w:spacing w:after="56"/>
      </w:pPr>
      <w:r>
        <w:t>Interpretation: Pilot selection criteria help enterprises choose projects that maximize learning and minimize risk. Good pilots are bounded, measurable, regulated, sponsored, relevant to failure scenarios, integrated with existing controls, and rollback-capable.</w:t>
      </w:r>
    </w:p>
    <w:p>
      <w:pPr>
        <w:pStyle w:val="Heading2"/>
      </w:pPr>
      <w:r>
        <w:t>17.3 Integration with Existing Enterprise Controls</w:t>
      </w:r>
    </w:p>
    <w:p>
      <w:pPr>
        <w:spacing w:after="56"/>
      </w:pPr>
      <w:r>
        <w:t>Lifecycle governance should integrate with existing enterprise controls, not replace them. The following table maps existing enterprise controls to lifecycle governance extensions.</w:t>
      </w:r>
    </w:p>
    <w:p>
      <w:pPr>
        <w:keepNext/>
      </w:pPr>
      <w:r>
        <w:rPr>
          <w:b/>
          <w:sz w:val="16"/>
        </w:rPr>
        <w:t>Table T-17-03: Existing Enterprise Control Integration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Existing Control</w:t>
            </w:r>
          </w:p>
        </w:tc>
        <w:tc>
          <w:tcPr>
            <w:tcW w:type="dxa" w:w="2556"/>
          </w:tcPr>
          <w:p>
            <w:pPr>
              <w:spacing w:after="0"/>
            </w:pPr>
            <w:r>
              <w:rPr>
                <w:rFonts w:ascii="Arial" w:hAnsi="Arial"/>
                <w:b/>
                <w:sz w:val="14"/>
              </w:rPr>
              <w:t>Lifecycle Governance Extension</w:t>
            </w:r>
          </w:p>
        </w:tc>
        <w:tc>
          <w:tcPr>
            <w:tcW w:type="dxa" w:w="2556"/>
          </w:tcPr>
          <w:p>
            <w:pPr>
              <w:spacing w:after="0"/>
            </w:pPr>
            <w:r>
              <w:rPr>
                <w:rFonts w:ascii="Arial" w:hAnsi="Arial"/>
                <w:b/>
                <w:sz w:val="14"/>
              </w:rPr>
              <w:t>Relevant Object</w:t>
            </w:r>
          </w:p>
        </w:tc>
        <w:tc>
          <w:tcPr>
            <w:tcW w:type="dxa" w:w="2556"/>
          </w:tcPr>
          <w:p>
            <w:pPr>
              <w:spacing w:after="0"/>
            </w:pPr>
            <w:r>
              <w:rPr>
                <w:rFonts w:ascii="Arial" w:hAnsi="Arial"/>
                <w:b/>
                <w:sz w:val="14"/>
              </w:rPr>
              <w:t>Evidence Artifact</w:t>
            </w:r>
          </w:p>
        </w:tc>
      </w:tr>
      <w:tr>
        <w:tc>
          <w:tcPr>
            <w:tcW w:type="dxa" w:w="2556"/>
          </w:tcPr>
          <w:p>
            <w:pPr>
              <w:spacing w:after="0"/>
            </w:pPr>
            <w:r>
              <w:rPr>
                <w:rFonts w:ascii="Arial" w:hAnsi="Arial"/>
                <w:b w:val="0"/>
                <w:sz w:val="14"/>
              </w:rPr>
              <w:t>Internal Audit</w:t>
            </w:r>
          </w:p>
        </w:tc>
        <w:tc>
          <w:tcPr>
            <w:tcW w:type="dxa" w:w="2556"/>
          </w:tcPr>
          <w:p>
            <w:pPr>
              <w:spacing w:after="0"/>
            </w:pPr>
            <w:r>
              <w:rPr>
                <w:rFonts w:ascii="Arial" w:hAnsi="Arial"/>
                <w:b w:val="0"/>
                <w:sz w:val="14"/>
              </w:rPr>
              <w:t>Extend audit scope to include lifecycle responsibility objects; add evidence partitioning and selective disclosure capability</w:t>
            </w:r>
          </w:p>
        </w:tc>
        <w:tc>
          <w:tcPr>
            <w:tcW w:type="dxa" w:w="2556"/>
          </w:tcPr>
          <w:p>
            <w:pPr>
              <w:spacing w:after="0"/>
            </w:pPr>
            <w:r>
              <w:rPr>
                <w:rFonts w:ascii="Arial" w:hAnsi="Arial"/>
                <w:b w:val="0"/>
                <w:sz w:val="14"/>
              </w:rPr>
              <w:t>MRO-08: MAS Evidence Partitioning; MRO-11: Privacy-Preserving Third-Party Validation; MRO-12: Evidence Minimization and Selective Disclosure</w:t>
            </w:r>
          </w:p>
        </w:tc>
        <w:tc>
          <w:tcPr>
            <w:tcW w:type="dxa" w:w="2556"/>
          </w:tcPr>
          <w:p>
            <w:pPr>
              <w:spacing w:after="0"/>
            </w:pPr>
            <w:r>
              <w:rPr>
                <w:rFonts w:ascii="Arial" w:hAnsi="Arial"/>
                <w:b w:val="0"/>
                <w:sz w:val="14"/>
              </w:rPr>
              <w:t>Partitioned evidence chains; evidence export logs; selective disclosure records; audit trail for lifecycle responsibility objects</w:t>
            </w:r>
          </w:p>
        </w:tc>
      </w:tr>
      <w:tr>
        <w:tc>
          <w:tcPr>
            <w:tcW w:type="dxa" w:w="2556"/>
          </w:tcPr>
          <w:p>
            <w:pPr>
              <w:spacing w:after="0"/>
            </w:pPr>
            <w:r>
              <w:rPr>
                <w:rFonts w:ascii="Arial" w:hAnsi="Arial"/>
                <w:b w:val="0"/>
                <w:sz w:val="14"/>
              </w:rPr>
              <w:t>Privacy / Data Governance</w:t>
            </w:r>
          </w:p>
        </w:tc>
        <w:tc>
          <w:tcPr>
            <w:tcW w:type="dxa" w:w="2556"/>
          </w:tcPr>
          <w:p>
            <w:pPr>
              <w:spacing w:after="0"/>
            </w:pPr>
            <w:r>
              <w:rPr>
                <w:rFonts w:ascii="Arial" w:hAnsi="Arial"/>
                <w:b w:val="0"/>
                <w:sz w:val="14"/>
              </w:rPr>
              <w:t>Extend privacy controls to include agentic lifecycle surfaces; map data subject rights to evidence retention; implement privacy-preserving validation</w:t>
            </w:r>
          </w:p>
        </w:tc>
        <w:tc>
          <w:tcPr>
            <w:tcW w:type="dxa" w:w="2556"/>
          </w:tcPr>
          <w:p>
            <w:pPr>
              <w:spacing w:after="0"/>
            </w:pPr>
            <w:r>
              <w:rPr>
                <w:rFonts w:ascii="Arial" w:hAnsi="Arial"/>
                <w:b w:val="0"/>
                <w:sz w:val="14"/>
              </w:rPr>
              <w:t>MRO-10: Privacy/GDPR Lifecycle Mapping; MRO-11: Privacy-Preserving Third-Party Validation; MRO-13: Data Subject Rights vs Evidence Retention</w:t>
            </w:r>
          </w:p>
        </w:tc>
        <w:tc>
          <w:tcPr>
            <w:tcW w:type="dxa" w:w="2556"/>
          </w:tcPr>
          <w:p>
            <w:pPr>
              <w:spacing w:after="0"/>
            </w:pPr>
            <w:r>
              <w:rPr>
                <w:rFonts w:ascii="Arial" w:hAnsi="Arial"/>
                <w:b w:val="0"/>
                <w:sz w:val="14"/>
              </w:rPr>
              <w:t>Data flow records; retention policy records; data subject rights workflow records; privacy-preserving validation protocol records</w:t>
            </w:r>
          </w:p>
        </w:tc>
      </w:tr>
      <w:tr>
        <w:tc>
          <w:tcPr>
            <w:tcW w:type="dxa" w:w="2556"/>
          </w:tcPr>
          <w:p>
            <w:pPr>
              <w:spacing w:after="0"/>
            </w:pPr>
            <w:r>
              <w:rPr>
                <w:rFonts w:ascii="Arial" w:hAnsi="Arial"/>
                <w:b w:val="0"/>
                <w:sz w:val="14"/>
              </w:rPr>
              <w:t>Security / Access Management</w:t>
            </w:r>
          </w:p>
        </w:tc>
        <w:tc>
          <w:tcPr>
            <w:tcW w:type="dxa" w:w="2556"/>
          </w:tcPr>
          <w:p>
            <w:pPr>
              <w:spacing w:after="0"/>
            </w:pPr>
            <w:r>
              <w:rPr>
                <w:rFonts w:ascii="Arial" w:hAnsi="Arial"/>
                <w:b w:val="0"/>
                <w:sz w:val="14"/>
              </w:rPr>
              <w:t>Extend access controls to include delegated authority boundaries; implement authority drift detection; add tool-action authorization</w:t>
            </w:r>
          </w:p>
        </w:tc>
        <w:tc>
          <w:tcPr>
            <w:tcW w:type="dxa" w:w="2556"/>
          </w:tcPr>
          <w:p>
            <w:pPr>
              <w:spacing w:after="0"/>
            </w:pPr>
            <w:r>
              <w:rPr>
                <w:rFonts w:ascii="Arial" w:hAnsi="Arial"/>
                <w:b w:val="0"/>
                <w:sz w:val="14"/>
              </w:rPr>
              <w:t>MRO-02: Delegated Authority Boundary; MRO-05: Tool-Action Liability Boundary; MRO-07: Authority Drift</w:t>
            </w:r>
          </w:p>
        </w:tc>
        <w:tc>
          <w:tcPr>
            <w:tcW w:type="dxa" w:w="2556"/>
          </w:tcPr>
          <w:p>
            <w:pPr>
              <w:spacing w:after="0"/>
            </w:pPr>
            <w:r>
              <w:rPr>
                <w:rFonts w:ascii="Arial" w:hAnsi="Arial"/>
                <w:b w:val="0"/>
                <w:sz w:val="14"/>
              </w:rPr>
              <w:t>Authority grant records; tool-action authorization records; boundary violation alerts; drift detection logs</w:t>
            </w:r>
          </w:p>
        </w:tc>
      </w:tr>
      <w:tr>
        <w:tc>
          <w:tcPr>
            <w:tcW w:type="dxa" w:w="2556"/>
          </w:tcPr>
          <w:p>
            <w:pPr>
              <w:spacing w:after="0"/>
            </w:pPr>
            <w:r>
              <w:rPr>
                <w:rFonts w:ascii="Arial" w:hAnsi="Arial"/>
                <w:b w:val="0"/>
                <w:sz w:val="14"/>
              </w:rPr>
              <w:t>Procurement / Vendor Management</w:t>
            </w:r>
          </w:p>
        </w:tc>
        <w:tc>
          <w:tcPr>
            <w:tcW w:type="dxa" w:w="2556"/>
          </w:tcPr>
          <w:p>
            <w:pPr>
              <w:spacing w:after="0"/>
            </w:pPr>
            <w:r>
              <w:rPr>
                <w:rFonts w:ascii="Arial" w:hAnsi="Arial"/>
                <w:b w:val="0"/>
                <w:sz w:val="14"/>
              </w:rPr>
              <w:t>Extend vendor management to include processor/subprocessor chain mapping; add vendor/runtime substitution conformance validation</w:t>
            </w:r>
          </w:p>
        </w:tc>
        <w:tc>
          <w:tcPr>
            <w:tcW w:type="dxa" w:w="2556"/>
          </w:tcPr>
          <w:p>
            <w:pPr>
              <w:spacing w:after="0"/>
            </w:pPr>
            <w:r>
              <w:rPr>
                <w:rFonts w:ascii="Arial" w:hAnsi="Arial"/>
                <w:b w:val="0"/>
                <w:sz w:val="14"/>
              </w:rPr>
              <w:t>MRO-14: Third-Party Processor/Subprocessor Chain; MRO-15: Vendor/Model/Runtime Substitution Conformance</w:t>
            </w:r>
          </w:p>
        </w:tc>
        <w:tc>
          <w:tcPr>
            <w:tcW w:type="dxa" w:w="2556"/>
          </w:tcPr>
          <w:p>
            <w:pPr>
              <w:spacing w:after="0"/>
            </w:pPr>
            <w:r>
              <w:rPr>
                <w:rFonts w:ascii="Arial" w:hAnsi="Arial"/>
                <w:b w:val="0"/>
                <w:sz w:val="14"/>
              </w:rPr>
              <w:t>Processor agreements; subprocessor chain records; substitution records; conformance validation records</w:t>
            </w:r>
          </w:p>
        </w:tc>
      </w:tr>
      <w:tr>
        <w:tc>
          <w:tcPr>
            <w:tcW w:type="dxa" w:w="2556"/>
          </w:tcPr>
          <w:p>
            <w:pPr>
              <w:spacing w:after="0"/>
            </w:pPr>
            <w:r>
              <w:rPr>
                <w:rFonts w:ascii="Arial" w:hAnsi="Arial"/>
                <w:b w:val="0"/>
                <w:sz w:val="14"/>
              </w:rPr>
              <w:t>Incident Response</w:t>
            </w:r>
          </w:p>
        </w:tc>
        <w:tc>
          <w:tcPr>
            <w:tcW w:type="dxa" w:w="2556"/>
          </w:tcPr>
          <w:p>
            <w:pPr>
              <w:spacing w:after="0"/>
            </w:pPr>
            <w:r>
              <w:rPr>
                <w:rFonts w:ascii="Arial" w:hAnsi="Arial"/>
                <w:b w:val="0"/>
                <w:sz w:val="14"/>
              </w:rPr>
              <w:t>Extend incident response to include lifecycle-specific incident types; add incident/dispute/remediation closure workflow</w:t>
            </w:r>
          </w:p>
        </w:tc>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r>
      <w:tr>
        <w:tc>
          <w:tcPr>
            <w:tcW w:type="dxa" w:w="2556"/>
          </w:tcPr>
          <w:p>
            <w:pPr>
              <w:spacing w:after="0"/>
            </w:pPr>
            <w:r>
              <w:rPr>
                <w:rFonts w:ascii="Arial" w:hAnsi="Arial"/>
                <w:b w:val="0"/>
                <w:sz w:val="14"/>
              </w:rPr>
              <w:t>Compliance / Regulatory Reporting</w:t>
            </w:r>
          </w:p>
        </w:tc>
        <w:tc>
          <w:tcPr>
            <w:tcW w:type="dxa" w:w="2556"/>
          </w:tcPr>
          <w:p>
            <w:pPr>
              <w:spacing w:after="0"/>
            </w:pPr>
            <w:r>
              <w:rPr>
                <w:rFonts w:ascii="Arial" w:hAnsi="Arial"/>
                <w:b w:val="0"/>
                <w:sz w:val="14"/>
              </w:rPr>
              <w:t>Extend compliance reporting to include lifecycle responsibility objects; add RCCS-T/RCCS-M/ALCS as analytical tools (not legal scores)</w:t>
            </w:r>
          </w:p>
        </w:tc>
        <w:tc>
          <w:tcPr>
            <w:tcW w:type="dxa" w:w="2556"/>
          </w:tcPr>
          <w:p>
            <w:pPr>
              <w:spacing w:after="0"/>
            </w:pPr>
            <w:r>
              <w:rPr>
                <w:rFonts w:ascii="Arial" w:hAnsi="Arial"/>
                <w:b w:val="0"/>
                <w:sz w:val="14"/>
              </w:rPr>
              <w:t>MRO-01: Human Role to MAS Responsibility Mapping; MRO-04: Accepted Outcome Compliance</w:t>
            </w:r>
          </w:p>
        </w:tc>
        <w:tc>
          <w:tcPr>
            <w:tcW w:type="dxa" w:w="2556"/>
          </w:tcPr>
          <w:p>
            <w:pPr>
              <w:spacing w:after="0"/>
            </w:pPr>
            <w:r>
              <w:rPr>
                <w:rFonts w:ascii="Arial" w:hAnsi="Arial"/>
                <w:b w:val="0"/>
                <w:sz w:val="14"/>
              </w:rPr>
              <w:t>Role assignment records; acceptance records; review records; escalation records; RCCS-T/RCCS-M/ALCS analytical reports (not legal compliance scores)</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Extend model risk management to include lifecycle risk; add authority-transition influence monitoring; add model substitution conformance</w:t>
            </w:r>
          </w:p>
        </w:tc>
        <w:tc>
          <w:tcPr>
            <w:tcW w:type="dxa" w:w="2556"/>
          </w:tcPr>
          <w:p>
            <w:pPr>
              <w:spacing w:after="0"/>
            </w:pPr>
            <w:r>
              <w:rPr>
                <w:rFonts w:ascii="Arial" w:hAnsi="Arial"/>
                <w:b w:val="0"/>
                <w:sz w:val="14"/>
              </w:rPr>
              <w:t>MRO-07: Authority Drift; MRO-15: Vendor/Model/Runtime Substitution Conformance</w:t>
            </w:r>
          </w:p>
        </w:tc>
        <w:tc>
          <w:tcPr>
            <w:tcW w:type="dxa" w:w="2556"/>
          </w:tcPr>
          <w:p>
            <w:pPr>
              <w:spacing w:after="0"/>
            </w:pPr>
            <w:r>
              <w:rPr>
                <w:rFonts w:ascii="Arial" w:hAnsi="Arial"/>
                <w:b w:val="0"/>
                <w:sz w:val="14"/>
              </w:rPr>
              <w:t>Model inventory; model version records; authority baseline records; drift detection logs; substitution conformance validation records</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Extend business continuity to include agentic workflow rollback; add cross-project reuse compliance; add context boundary validation</w:t>
            </w:r>
          </w:p>
        </w:tc>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Reuse records; reset validation records; reauthorization records; context boundary records; rollback capability validation records</w:t>
            </w:r>
          </w:p>
        </w:tc>
      </w:tr>
    </w:tbl>
    <w:p>
      <w:pPr>
        <w:spacing w:after="56"/>
      </w:pPr>
      <w:r>
        <w:t>Interpretation: Lifecycle governance extends existing enterprise controls rather than replacing them. Integration ensures that lifecycle responsibility objects align with existing control frameworks and evidence artifacts.</w:t>
      </w:r>
    </w:p>
    <w:p>
      <w:pPr>
        <w:pStyle w:val="Heading2"/>
      </w:pPr>
      <w:r>
        <w:t>17.4 Operationalizing Lifecycle Responsibility Objects</w:t>
      </w:r>
    </w:p>
    <w:p>
      <w:pPr>
        <w:spacing w:after="56"/>
      </w:pPr>
      <w:r>
        <w:t>Enterprises should operationalize lifecycle responsibility objects in stages. The following table defines a Stage 0-to-7 roadmap.</w:t>
      </w:r>
    </w:p>
    <w:p>
      <w:pPr>
        <w:keepNext/>
      </w:pPr>
      <w:r>
        <w:rPr>
          <w:b/>
          <w:sz w:val="16"/>
        </w:rPr>
        <w:t>Table T-17-04: Adoption Roadmap by Stage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Stage</w:t>
            </w:r>
          </w:p>
        </w:tc>
        <w:tc>
          <w:tcPr>
            <w:tcW w:type="dxa" w:w="2045"/>
          </w:tcPr>
          <w:p>
            <w:pPr>
              <w:spacing w:after="0"/>
            </w:pPr>
            <w:r>
              <w:rPr>
                <w:rFonts w:ascii="Arial" w:hAnsi="Arial"/>
                <w:b/>
                <w:sz w:val="14"/>
              </w:rPr>
              <w:t>Goal</w:t>
            </w:r>
          </w:p>
        </w:tc>
        <w:tc>
          <w:tcPr>
            <w:tcW w:type="dxa" w:w="2045"/>
          </w:tcPr>
          <w:p>
            <w:pPr>
              <w:spacing w:after="0"/>
            </w:pPr>
            <w:r>
              <w:rPr>
                <w:rFonts w:ascii="Arial" w:hAnsi="Arial"/>
                <w:b/>
                <w:sz w:val="14"/>
              </w:rPr>
              <w:t>Key Actions</w:t>
            </w:r>
          </w:p>
        </w:tc>
        <w:tc>
          <w:tcPr>
            <w:tcW w:type="dxa" w:w="2045"/>
          </w:tcPr>
          <w:p>
            <w:pPr>
              <w:spacing w:after="0"/>
            </w:pPr>
            <w:r>
              <w:rPr>
                <w:rFonts w:ascii="Arial" w:hAnsi="Arial"/>
                <w:b/>
                <w:sz w:val="14"/>
              </w:rPr>
              <w:t>Output</w:t>
            </w:r>
          </w:p>
        </w:tc>
        <w:tc>
          <w:tcPr>
            <w:tcW w:type="dxa" w:w="2045"/>
          </w:tcPr>
          <w:p>
            <w:pPr>
              <w:spacing w:after="0"/>
            </w:pPr>
            <w:r>
              <w:rPr>
                <w:rFonts w:ascii="Arial" w:hAnsi="Arial"/>
                <w:b/>
                <w:sz w:val="14"/>
              </w:rPr>
              <w:t>Success Indicator</w:t>
            </w:r>
          </w:p>
        </w:tc>
      </w:tr>
      <w:tr>
        <w:tc>
          <w:tcPr>
            <w:tcW w:type="dxa" w:w="2045"/>
          </w:tcPr>
          <w:p>
            <w:pPr>
              <w:spacing w:after="0"/>
            </w:pPr>
            <w:r>
              <w:rPr>
                <w:rFonts w:ascii="Arial" w:hAnsi="Arial"/>
                <w:b w:val="0"/>
                <w:sz w:val="14"/>
              </w:rPr>
              <w:t>Stage 0: Inventory</w:t>
            </w:r>
          </w:p>
        </w:tc>
        <w:tc>
          <w:tcPr>
            <w:tcW w:type="dxa" w:w="2045"/>
          </w:tcPr>
          <w:p>
            <w:pPr>
              <w:spacing w:after="0"/>
            </w:pPr>
            <w:r>
              <w:rPr>
                <w:rFonts w:ascii="Arial" w:hAnsi="Arial"/>
                <w:b w:val="0"/>
                <w:sz w:val="14"/>
              </w:rPr>
              <w:t>Inventory agentic behavior and identify lifecycle governance gaps</w:t>
            </w:r>
          </w:p>
        </w:tc>
        <w:tc>
          <w:tcPr>
            <w:tcW w:type="dxa" w:w="2045"/>
          </w:tcPr>
          <w:p>
            <w:pPr>
              <w:spacing w:after="0"/>
            </w:pPr>
            <w:r>
              <w:rPr>
                <w:rFonts w:ascii="Arial" w:hAnsi="Arial"/>
                <w:b w:val="0"/>
                <w:sz w:val="14"/>
              </w:rPr>
              <w:t>Identify where agents make decisions, use tools, or hand off work; assess whether model governance covers lifecycle responsibility; identify failure scenarios from Chapter 15 that apply</w:t>
            </w:r>
          </w:p>
        </w:tc>
        <w:tc>
          <w:tcPr>
            <w:tcW w:type="dxa" w:w="2045"/>
          </w:tcPr>
          <w:p>
            <w:pPr>
              <w:spacing w:after="0"/>
            </w:pPr>
            <w:r>
              <w:rPr>
                <w:rFonts w:ascii="Arial" w:hAnsi="Arial"/>
                <w:b w:val="0"/>
                <w:sz w:val="14"/>
              </w:rPr>
              <w:t>Agentic behavior inventory; lifecycle governance gap analysis; failure scenario risk assessment</w:t>
            </w:r>
          </w:p>
        </w:tc>
        <w:tc>
          <w:tcPr>
            <w:tcW w:type="dxa" w:w="2045"/>
          </w:tcPr>
          <w:p>
            <w:pPr>
              <w:spacing w:after="0"/>
            </w:pPr>
            <w:r>
              <w:rPr>
                <w:rFonts w:ascii="Arial" w:hAnsi="Arial"/>
                <w:b w:val="0"/>
                <w:sz w:val="14"/>
              </w:rPr>
              <w:t>Executive awareness of lifecycle governance gap; pilot project candidates identified</w:t>
            </w:r>
          </w:p>
        </w:tc>
      </w:tr>
      <w:tr>
        <w:tc>
          <w:tcPr>
            <w:tcW w:type="dxa" w:w="2045"/>
          </w:tcPr>
          <w:p>
            <w:pPr>
              <w:spacing w:after="0"/>
            </w:pPr>
            <w:r>
              <w:rPr>
                <w:rFonts w:ascii="Arial" w:hAnsi="Arial"/>
                <w:b w:val="0"/>
                <w:sz w:val="14"/>
              </w:rPr>
              <w:t>Stage 1: Authority</w:t>
            </w:r>
          </w:p>
        </w:tc>
        <w:tc>
          <w:tcPr>
            <w:tcW w:type="dxa" w:w="2045"/>
          </w:tcPr>
          <w:p>
            <w:pPr>
              <w:spacing w:after="0"/>
            </w:pPr>
            <w:r>
              <w:rPr>
                <w:rFonts w:ascii="Arial" w:hAnsi="Arial"/>
                <w:b w:val="0"/>
                <w:sz w:val="14"/>
              </w:rPr>
              <w:t>Define delegated authority boundaries and implement authority drift detection</w:t>
            </w:r>
          </w:p>
        </w:tc>
        <w:tc>
          <w:tcPr>
            <w:tcW w:type="dxa" w:w="2045"/>
          </w:tcPr>
          <w:p>
            <w:pPr>
              <w:spacing w:after="0"/>
            </w:pPr>
            <w:r>
              <w:rPr>
                <w:rFonts w:ascii="Arial" w:hAnsi="Arial"/>
                <w:b w:val="0"/>
                <w:sz w:val="14"/>
              </w:rPr>
              <w:t>Define authority grant records; implement tool-action authorization; add boundary violation alerts; implement drift detection monitoring</w:t>
            </w:r>
          </w:p>
        </w:tc>
        <w:tc>
          <w:tcPr>
            <w:tcW w:type="dxa" w:w="2045"/>
          </w:tcPr>
          <w:p>
            <w:pPr>
              <w:spacing w:after="0"/>
            </w:pPr>
            <w:r>
              <w:rPr>
                <w:rFonts w:ascii="Arial" w:hAnsi="Arial"/>
                <w:b w:val="0"/>
                <w:sz w:val="14"/>
              </w:rPr>
              <w:t>Delegated authority boundary records; tool-action authorization records; boundary violation alerts; drift detection logs</w:t>
            </w:r>
          </w:p>
        </w:tc>
        <w:tc>
          <w:tcPr>
            <w:tcW w:type="dxa" w:w="2045"/>
          </w:tcPr>
          <w:p>
            <w:pPr>
              <w:spacing w:after="0"/>
            </w:pPr>
            <w:r>
              <w:rPr>
                <w:rFonts w:ascii="Arial" w:hAnsi="Arial"/>
                <w:b w:val="0"/>
                <w:sz w:val="14"/>
              </w:rPr>
              <w:t>Authority boundaries are explicit and enforced; authority drift is detected and escalated</w:t>
            </w:r>
          </w:p>
        </w:tc>
      </w:tr>
      <w:tr>
        <w:tc>
          <w:tcPr>
            <w:tcW w:type="dxa" w:w="2045"/>
          </w:tcPr>
          <w:p>
            <w:pPr>
              <w:spacing w:after="0"/>
            </w:pPr>
            <w:r>
              <w:rPr>
                <w:rFonts w:ascii="Arial" w:hAnsi="Arial"/>
                <w:b w:val="0"/>
                <w:sz w:val="14"/>
              </w:rPr>
              <w:t>Stage 2: Responsibility</w:t>
            </w:r>
          </w:p>
        </w:tc>
        <w:tc>
          <w:tcPr>
            <w:tcW w:type="dxa" w:w="2045"/>
          </w:tcPr>
          <w:p>
            <w:pPr>
              <w:spacing w:after="0"/>
            </w:pPr>
            <w:r>
              <w:rPr>
                <w:rFonts w:ascii="Arial" w:hAnsi="Arial"/>
                <w:b w:val="0"/>
                <w:sz w:val="14"/>
              </w:rPr>
              <w:t>Map human roles to MAS responsibilities and implement accepted outcome compliance</w:t>
            </w:r>
          </w:p>
        </w:tc>
        <w:tc>
          <w:tcPr>
            <w:tcW w:type="dxa" w:w="2045"/>
          </w:tcPr>
          <w:p>
            <w:pPr>
              <w:spacing w:after="0"/>
            </w:pPr>
            <w:r>
              <w:rPr>
                <w:rFonts w:ascii="Arial" w:hAnsi="Arial"/>
                <w:b w:val="0"/>
                <w:sz w:val="14"/>
              </w:rPr>
              <w:t>Define role assignment records; implement acceptance records; add review and escalation workflow; implement closure acceptance workflow</w:t>
            </w:r>
          </w:p>
        </w:tc>
        <w:tc>
          <w:tcPr>
            <w:tcW w:type="dxa" w:w="2045"/>
          </w:tcPr>
          <w:p>
            <w:pPr>
              <w:spacing w:after="0"/>
            </w:pPr>
            <w:r>
              <w:rPr>
                <w:rFonts w:ascii="Arial" w:hAnsi="Arial"/>
                <w:b w:val="0"/>
                <w:sz w:val="14"/>
              </w:rPr>
              <w:t>Human-role-to-MAS responsibility mapping; acceptance records; review records; escalation records; closure acceptance records</w:t>
            </w:r>
          </w:p>
        </w:tc>
        <w:tc>
          <w:tcPr>
            <w:tcW w:type="dxa" w:w="2045"/>
          </w:tcPr>
          <w:p>
            <w:pPr>
              <w:spacing w:after="0"/>
            </w:pPr>
            <w:r>
              <w:rPr>
                <w:rFonts w:ascii="Arial" w:hAnsi="Arial"/>
                <w:b w:val="0"/>
                <w:sz w:val="14"/>
              </w:rPr>
              <w:t>Accountable human role exists for every agent outcome; accepted outcome compliance workflow operational</w:t>
            </w:r>
          </w:p>
        </w:tc>
      </w:tr>
      <w:tr>
        <w:tc>
          <w:tcPr>
            <w:tcW w:type="dxa" w:w="2045"/>
          </w:tcPr>
          <w:p>
            <w:pPr>
              <w:spacing w:after="0"/>
            </w:pPr>
            <w:r>
              <w:rPr>
                <w:rFonts w:ascii="Arial" w:hAnsi="Arial"/>
                <w:b w:val="0"/>
                <w:sz w:val="14"/>
              </w:rPr>
              <w:t>Stage 3: Evidence</w:t>
            </w:r>
          </w:p>
        </w:tc>
        <w:tc>
          <w:tcPr>
            <w:tcW w:type="dxa" w:w="2045"/>
          </w:tcPr>
          <w:p>
            <w:pPr>
              <w:spacing w:after="0"/>
            </w:pPr>
            <w:r>
              <w:rPr>
                <w:rFonts w:ascii="Arial" w:hAnsi="Arial"/>
                <w:b w:val="0"/>
                <w:sz w:val="14"/>
              </w:rPr>
              <w:t>Convert orchestration logs into partitioned evidence chains</w:t>
            </w:r>
          </w:p>
        </w:tc>
        <w:tc>
          <w:tcPr>
            <w:tcW w:type="dxa" w:w="2045"/>
          </w:tcPr>
          <w:p>
            <w:pPr>
              <w:spacing w:after="0"/>
            </w:pPr>
            <w:r>
              <w:rPr>
                <w:rFonts w:ascii="Arial" w:hAnsi="Arial"/>
                <w:b w:val="0"/>
                <w:sz w:val="14"/>
              </w:rPr>
              <w:t>Implement MAS evidence partitioning; add evidence export capability with selective disclosure; implement evidence chain integrity validation</w:t>
            </w:r>
          </w:p>
        </w:tc>
        <w:tc>
          <w:tcPr>
            <w:tcW w:type="dxa" w:w="2045"/>
          </w:tcPr>
          <w:p>
            <w:pPr>
              <w:spacing w:after="0"/>
            </w:pPr>
            <w:r>
              <w:rPr>
                <w:rFonts w:ascii="Arial" w:hAnsi="Arial"/>
                <w:b w:val="0"/>
                <w:sz w:val="14"/>
              </w:rPr>
              <w:t>Partitioned evidence chains; evidence export logs; partition policy records; selective disclosure records; evidence integrity validation records</w:t>
            </w:r>
          </w:p>
        </w:tc>
        <w:tc>
          <w:tcPr>
            <w:tcW w:type="dxa" w:w="2045"/>
          </w:tcPr>
          <w:p>
            <w:pPr>
              <w:spacing w:after="0"/>
            </w:pPr>
            <w:r>
              <w:rPr>
                <w:rFonts w:ascii="Arial" w:hAnsi="Arial"/>
                <w:b w:val="0"/>
                <w:sz w:val="14"/>
              </w:rPr>
              <w:t>Evidence chains can reconstruct authority, plan, confirmation, tool action, and accepted outcome; evidence can be selectively disclosed to auditors</w:t>
            </w:r>
          </w:p>
        </w:tc>
      </w:tr>
      <w:tr>
        <w:tc>
          <w:tcPr>
            <w:tcW w:type="dxa" w:w="2045"/>
          </w:tcPr>
          <w:p>
            <w:pPr>
              <w:spacing w:after="0"/>
            </w:pPr>
            <w:r>
              <w:rPr>
                <w:rFonts w:ascii="Arial" w:hAnsi="Arial"/>
                <w:b w:val="0"/>
                <w:sz w:val="14"/>
              </w:rPr>
              <w:t>Stage 4: Privacy</w:t>
            </w:r>
          </w:p>
        </w:tc>
        <w:tc>
          <w:tcPr>
            <w:tcW w:type="dxa" w:w="2045"/>
          </w:tcPr>
          <w:p>
            <w:pPr>
              <w:spacing w:after="0"/>
            </w:pPr>
            <w:r>
              <w:rPr>
                <w:rFonts w:ascii="Arial" w:hAnsi="Arial"/>
                <w:b w:val="0"/>
                <w:sz w:val="14"/>
              </w:rPr>
              <w:t>Map privacy and data subject rights across lifecycle surfaces</w:t>
            </w:r>
          </w:p>
        </w:tc>
        <w:tc>
          <w:tcPr>
            <w:tcW w:type="dxa" w:w="2045"/>
          </w:tcPr>
          <w:p>
            <w:pPr>
              <w:spacing w:after="0"/>
            </w:pPr>
            <w:r>
              <w:rPr>
                <w:rFonts w:ascii="Arial" w:hAnsi="Arial"/>
                <w:b w:val="0"/>
                <w:sz w:val="14"/>
              </w:rPr>
              <w:t>Implement privacy/GDPR lifecycle mapping; add data subject rights workflow; implement evidence minimization and selective disclosure policy</w:t>
            </w:r>
          </w:p>
        </w:tc>
        <w:tc>
          <w:tcPr>
            <w:tcW w:type="dxa" w:w="2045"/>
          </w:tcPr>
          <w:p>
            <w:pPr>
              <w:spacing w:after="0"/>
            </w:pPr>
            <w:r>
              <w:rPr>
                <w:rFonts w:ascii="Arial" w:hAnsi="Arial"/>
                <w:b w:val="0"/>
                <w:sz w:val="14"/>
              </w:rPr>
              <w:t>Data flow records; retention policy records; data subject rights workflow records; evidence minimization records; selective disclosure policy records</w:t>
            </w:r>
          </w:p>
        </w:tc>
        <w:tc>
          <w:tcPr>
            <w:tcW w:type="dxa" w:w="2045"/>
          </w:tcPr>
          <w:p>
            <w:pPr>
              <w:spacing w:after="0"/>
            </w:pPr>
            <w:r>
              <w:rPr>
                <w:rFonts w:ascii="Arial" w:hAnsi="Arial"/>
                <w:b w:val="0"/>
                <w:sz w:val="14"/>
              </w:rPr>
              <w:t>Privacy is mapped across lifecycle surfaces; data subject rights can be exercised without destroying evidence; evidence minimization policy operational</w:t>
            </w:r>
          </w:p>
        </w:tc>
      </w:tr>
      <w:tr>
        <w:tc>
          <w:tcPr>
            <w:tcW w:type="dxa" w:w="2045"/>
          </w:tcPr>
          <w:p>
            <w:pPr>
              <w:spacing w:after="0"/>
            </w:pPr>
            <w:r>
              <w:rPr>
                <w:rFonts w:ascii="Arial" w:hAnsi="Arial"/>
                <w:b w:val="0"/>
                <w:sz w:val="14"/>
              </w:rPr>
              <w:t>Stage 5: Validation</w:t>
            </w:r>
          </w:p>
        </w:tc>
        <w:tc>
          <w:tcPr>
            <w:tcW w:type="dxa" w:w="2045"/>
          </w:tcPr>
          <w:p>
            <w:pPr>
              <w:spacing w:after="0"/>
            </w:pPr>
            <w:r>
              <w:rPr>
                <w:rFonts w:ascii="Arial" w:hAnsi="Arial"/>
                <w:b w:val="0"/>
                <w:sz w:val="14"/>
              </w:rPr>
              <w:t>Prepare for evidence-based validation and qualified review</w:t>
            </w:r>
          </w:p>
        </w:tc>
        <w:tc>
          <w:tcPr>
            <w:tcW w:type="dxa" w:w="2045"/>
          </w:tcPr>
          <w:p>
            <w:pPr>
              <w:spacing w:after="0"/>
            </w:pPr>
            <w:r>
              <w:rPr>
                <w:rFonts w:ascii="Arial" w:hAnsi="Arial"/>
                <w:b w:val="0"/>
                <w:sz w:val="14"/>
              </w:rPr>
              <w:t>Implement privacy-preserving validation protocol (e.g., evidence-based validation pattern from Chapter 14); add disclosure profile and redaction profile; implement hash manifests and verdict hashes; plan qualified review, which may include internal governance review, audit review, validation provider review, or other context-appropriate reviewers</w:t>
            </w:r>
          </w:p>
        </w:tc>
        <w:tc>
          <w:tcPr>
            <w:tcW w:type="dxa" w:w="2045"/>
          </w:tcPr>
          <w:p>
            <w:pPr>
              <w:spacing w:after="0"/>
            </w:pPr>
            <w:r>
              <w:rPr>
                <w:rFonts w:ascii="Arial" w:hAnsi="Arial"/>
                <w:b w:val="0"/>
                <w:sz w:val="14"/>
              </w:rPr>
              <w:t>Validation protocol records; disclosure profile records; redaction profile records; hash manifests; verdict hashes</w:t>
            </w:r>
          </w:p>
        </w:tc>
        <w:tc>
          <w:tcPr>
            <w:tcW w:type="dxa" w:w="2045"/>
          </w:tcPr>
          <w:p>
            <w:pPr>
              <w:spacing w:after="0"/>
            </w:pPr>
            <w:r>
              <w:rPr>
                <w:rFonts w:ascii="Arial" w:hAnsi="Arial"/>
                <w:b w:val="0"/>
                <w:sz w:val="14"/>
              </w:rPr>
              <w:t>Evidence can be reviewed by qualified reviewers without exposing sensitive data; validation results are privacy-preserving and tamper-evident</w:t>
            </w:r>
          </w:p>
        </w:tc>
      </w:tr>
      <w:tr>
        <w:tc>
          <w:tcPr>
            <w:tcW w:type="dxa" w:w="2045"/>
          </w:tcPr>
          <w:p>
            <w:pPr>
              <w:spacing w:after="0"/>
            </w:pPr>
            <w:r>
              <w:rPr>
                <w:rFonts w:ascii="Arial" w:hAnsi="Arial"/>
                <w:b w:val="0"/>
                <w:sz w:val="14"/>
              </w:rPr>
              <w:t>Stage 6: Remediation</w:t>
            </w:r>
          </w:p>
        </w:tc>
        <w:tc>
          <w:tcPr>
            <w:tcW w:type="dxa" w:w="2045"/>
          </w:tcPr>
          <w:p>
            <w:pPr>
              <w:spacing w:after="0"/>
            </w:pPr>
            <w:r>
              <w:rPr>
                <w:rFonts w:ascii="Arial" w:hAnsi="Arial"/>
                <w:b w:val="0"/>
                <w:sz w:val="14"/>
              </w:rPr>
              <w:t>Operationalize incident, dispute, and remediation closure workflows</w:t>
            </w:r>
          </w:p>
        </w:tc>
        <w:tc>
          <w:tcPr>
            <w:tcW w:type="dxa" w:w="2045"/>
          </w:tcPr>
          <w:p>
            <w:pPr>
              <w:spacing w:after="0"/>
            </w:pPr>
            <w:r>
              <w:rPr>
                <w:rFonts w:ascii="Arial" w:hAnsi="Arial"/>
                <w:b w:val="0"/>
                <w:sz w:val="14"/>
              </w:rPr>
              <w:t>Implement incident records; add affected outcome list generation; implement remediation records; add closure acceptance workflow; implement customer impact assessment</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Incidents are tracked with responsible owners; affected outcomes are identified; remediation is documented; closure is accepted by responsible owner</w:t>
            </w:r>
          </w:p>
        </w:tc>
      </w:tr>
      <w:tr>
        <w:tc>
          <w:tcPr>
            <w:tcW w:type="dxa" w:w="2045"/>
          </w:tcPr>
          <w:p>
            <w:pPr>
              <w:spacing w:after="0"/>
            </w:pPr>
            <w:r>
              <w:rPr>
                <w:rFonts w:ascii="Arial" w:hAnsi="Arial"/>
                <w:b w:val="0"/>
                <w:sz w:val="14"/>
              </w:rPr>
              <w:t>Stage 7: Scale</w:t>
            </w:r>
          </w:p>
        </w:tc>
        <w:tc>
          <w:tcPr>
            <w:tcW w:type="dxa" w:w="2045"/>
          </w:tcPr>
          <w:p>
            <w:pPr>
              <w:spacing w:after="0"/>
            </w:pPr>
            <w:r>
              <w:rPr>
                <w:rFonts w:ascii="Arial" w:hAnsi="Arial"/>
                <w:b w:val="0"/>
                <w:sz w:val="14"/>
              </w:rPr>
              <w:t>Scale lifecycle governance through integration and continuous improvement</w:t>
            </w:r>
          </w:p>
        </w:tc>
        <w:tc>
          <w:tcPr>
            <w:tcW w:type="dxa" w:w="2045"/>
          </w:tcPr>
          <w:p>
            <w:pPr>
              <w:spacing w:after="0"/>
            </w:pPr>
            <w:r>
              <w:rPr>
                <w:rFonts w:ascii="Arial" w:hAnsi="Arial"/>
                <w:b w:val="0"/>
                <w:sz w:val="14"/>
              </w:rPr>
              <w:t>Integrate lifecycle governance with existing enterprise controls (Table T-17-03); extend to all agentic workflows; implement continuous improvement and monitoring; where appropriate, contribute learnings to standards, industry, or regulatory dialogue</w:t>
            </w:r>
          </w:p>
        </w:tc>
        <w:tc>
          <w:tcPr>
            <w:tcW w:type="dxa" w:w="2045"/>
          </w:tcPr>
          <w:p>
            <w:pPr>
              <w:spacing w:after="0"/>
            </w:pPr>
            <w:r>
              <w:rPr>
                <w:rFonts w:ascii="Arial" w:hAnsi="Arial"/>
                <w:b w:val="0"/>
                <w:sz w:val="14"/>
              </w:rPr>
              <w:t>Lifecycle governance integrated with audit, privacy, security, procurement, incident response, compliance, model risk, and business continuity; continuous improvement operational</w:t>
            </w:r>
          </w:p>
        </w:tc>
        <w:tc>
          <w:tcPr>
            <w:tcW w:type="dxa" w:w="2045"/>
          </w:tcPr>
          <w:p>
            <w:pPr>
              <w:spacing w:after="0"/>
            </w:pPr>
            <w:r>
              <w:rPr>
                <w:rFonts w:ascii="Arial" w:hAnsi="Arial"/>
                <w:b w:val="0"/>
                <w:sz w:val="14"/>
              </w:rPr>
              <w:t>Lifecycle governance is operational for all agentic workflows; continuous improvement and monitoring systematic; enterprise may contribute learnings to standards, industry, or regulatory dialogue where appropriate</w:t>
            </w:r>
          </w:p>
        </w:tc>
      </w:tr>
    </w:tbl>
    <w:p>
      <w:pPr>
        <w:spacing w:after="56"/>
      </w:pPr>
      <w:r>
        <w:t>Interpretation: The Stage 0-to-7 roadmap provides a practical path from lifecycle governance awareness to scaled operational capability. Each stage builds on the previous stage and produces measurable outputs and success indicators.</w:t>
      </w:r>
    </w:p>
    <w:p>
      <w:pPr>
        <w:pStyle w:val="Heading2"/>
      </w:pPr>
      <w:r>
        <w:t>17.5 Measuring Progress and Demonstrating Conformance</w:t>
      </w:r>
    </w:p>
    <w:p>
      <w:pPr>
        <w:spacing w:after="56"/>
      </w:pPr>
      <w:r>
        <w:t>Enterprises should measure progress using lifecycle responsibility objects as evidence artifacts, not using RCCS-T/RCCS-M/ALCS as legal compliance scores. The following table clarifies how RCCS-T, RCCS-M, and ALCS should be used in adoption.</w:t>
      </w:r>
    </w:p>
    <w:p>
      <w:pPr>
        <w:keepNext/>
      </w:pPr>
      <w:r>
        <w:rPr>
          <w:b/>
          <w:sz w:val="16"/>
        </w:rPr>
        <w:t>Table T-17-05: RCCS-T / RCCS-M / ALCS Use in Adoption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Use Case</w:t>
            </w:r>
          </w:p>
        </w:tc>
        <w:tc>
          <w:tcPr>
            <w:tcW w:type="dxa" w:w="2045"/>
          </w:tcPr>
          <w:p>
            <w:pPr>
              <w:spacing w:after="0"/>
            </w:pPr>
            <w:r>
              <w:rPr>
                <w:rFonts w:ascii="Arial" w:hAnsi="Arial"/>
                <w:b/>
                <w:sz w:val="14"/>
              </w:rPr>
              <w:t>RCCS-T Role</w:t>
            </w:r>
          </w:p>
        </w:tc>
        <w:tc>
          <w:tcPr>
            <w:tcW w:type="dxa" w:w="2045"/>
          </w:tcPr>
          <w:p>
            <w:pPr>
              <w:spacing w:after="0"/>
            </w:pPr>
            <w:r>
              <w:rPr>
                <w:rFonts w:ascii="Arial" w:hAnsi="Arial"/>
                <w:b/>
                <w:sz w:val="14"/>
              </w:rPr>
              <w:t>RCCS-M Role</w:t>
            </w:r>
          </w:p>
        </w:tc>
        <w:tc>
          <w:tcPr>
            <w:tcW w:type="dxa" w:w="2045"/>
          </w:tcPr>
          <w:p>
            <w:pPr>
              <w:spacing w:after="0"/>
            </w:pPr>
            <w:r>
              <w:rPr>
                <w:rFonts w:ascii="Arial" w:hAnsi="Arial"/>
                <w:b/>
                <w:sz w:val="14"/>
              </w:rPr>
              <w:t>ALCS Role</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Gap analysis</w:t>
            </w:r>
          </w:p>
        </w:tc>
        <w:tc>
          <w:tcPr>
            <w:tcW w:type="dxa" w:w="2045"/>
          </w:tcPr>
          <w:p>
            <w:pPr>
              <w:spacing w:after="0"/>
            </w:pPr>
            <w:r>
              <w:rPr>
                <w:rFonts w:ascii="Arial" w:hAnsi="Arial"/>
                <w:b w:val="0"/>
                <w:sz w:val="14"/>
              </w:rPr>
              <w:t>Identifies traditional regulatory compliance coverage gaps (e.g., RCCS-04 Record-Keeping, RCCS-06 Human Oversight)</w:t>
            </w:r>
          </w:p>
        </w:tc>
        <w:tc>
          <w:tcPr>
            <w:tcW w:type="dxa" w:w="2045"/>
          </w:tcPr>
          <w:p>
            <w:pPr>
              <w:spacing w:after="0"/>
            </w:pPr>
            <w:r>
              <w:rPr>
                <w:rFonts w:ascii="Arial" w:hAnsi="Arial"/>
                <w:b w:val="0"/>
                <w:sz w:val="14"/>
              </w:rPr>
              <w:t>Identifies where regulatory obligations are not yet expressible through MROs</w:t>
            </w:r>
          </w:p>
        </w:tc>
        <w:tc>
          <w:tcPr>
            <w:tcW w:type="dxa" w:w="2045"/>
          </w:tcPr>
          <w:p>
            <w:pPr>
              <w:spacing w:after="0"/>
            </w:pPr>
            <w:r>
              <w:rPr>
                <w:rFonts w:ascii="Arial" w:hAnsi="Arial"/>
                <w:b w:val="0"/>
                <w:sz w:val="14"/>
              </w:rPr>
              <w:t>Identifies lifecycle responsibility object gaps (e.g., ALCS-02 Delegated Authority Boundary, ALCS-04 Accepted Outcome Compliance, ALCS-06 Responsibility Transfer Across Agents)</w:t>
            </w:r>
          </w:p>
        </w:tc>
        <w:tc>
          <w:tcPr>
            <w:tcW w:type="dxa" w:w="2045"/>
          </w:tcPr>
          <w:p>
            <w:pPr>
              <w:spacing w:after="0"/>
            </w:pPr>
            <w:r>
              <w:rPr>
                <w:rFonts w:ascii="Arial" w:hAnsi="Arial"/>
                <w:b w:val="0"/>
                <w:sz w:val="14"/>
              </w:rPr>
              <w:t>RCCS-T/RCCS-M/ALCS are analytical tools, not legal compliance scores; gaps require organizational interpretation and legal review</w:t>
            </w:r>
          </w:p>
        </w:tc>
      </w:tr>
      <w:tr>
        <w:tc>
          <w:tcPr>
            <w:tcW w:type="dxa" w:w="2045"/>
          </w:tcPr>
          <w:p>
            <w:pPr>
              <w:spacing w:after="0"/>
            </w:pPr>
            <w:r>
              <w:rPr>
                <w:rFonts w:ascii="Arial" w:hAnsi="Arial"/>
                <w:b w:val="0"/>
                <w:sz w:val="14"/>
              </w:rPr>
              <w:t>Pilot project baseline</w:t>
            </w:r>
          </w:p>
        </w:tc>
        <w:tc>
          <w:tcPr>
            <w:tcW w:type="dxa" w:w="2045"/>
          </w:tcPr>
          <w:p>
            <w:pPr>
              <w:spacing w:after="0"/>
            </w:pPr>
            <w:r>
              <w:rPr>
                <w:rFonts w:ascii="Arial" w:hAnsi="Arial"/>
                <w:b w:val="0"/>
                <w:sz w:val="14"/>
              </w:rPr>
              <w:t>Measures regulatory compliance coverage before and after pilot</w:t>
            </w:r>
          </w:p>
        </w:tc>
        <w:tc>
          <w:tcPr>
            <w:tcW w:type="dxa" w:w="2045"/>
          </w:tcPr>
          <w:p>
            <w:pPr>
              <w:spacing w:after="0"/>
            </w:pPr>
            <w:r>
              <w:rPr>
                <w:rFonts w:ascii="Arial" w:hAnsi="Arial"/>
                <w:b w:val="0"/>
                <w:sz w:val="14"/>
              </w:rPr>
              <w:t>Measures MRO-adjusted regulatory coverage before and after pilot</w:t>
            </w:r>
          </w:p>
        </w:tc>
        <w:tc>
          <w:tcPr>
            <w:tcW w:type="dxa" w:w="2045"/>
          </w:tcPr>
          <w:p>
            <w:pPr>
              <w:spacing w:after="0"/>
            </w:pPr>
            <w:r>
              <w:rPr>
                <w:rFonts w:ascii="Arial" w:hAnsi="Arial"/>
                <w:b w:val="0"/>
                <w:sz w:val="14"/>
              </w:rPr>
              <w:t>Measures lifecycle responsibility object maturity before and after pilot</w:t>
            </w:r>
          </w:p>
        </w:tc>
        <w:tc>
          <w:tcPr>
            <w:tcW w:type="dxa" w:w="2045"/>
          </w:tcPr>
          <w:p>
            <w:pPr>
              <w:spacing w:after="0"/>
            </w:pPr>
            <w:r>
              <w:rPr>
                <w:rFonts w:ascii="Arial" w:hAnsi="Arial"/>
                <w:b w:val="0"/>
                <w:sz w:val="14"/>
              </w:rPr>
              <w:t>Baselines are internal analytical tools; they do not prove legal compliance or regulatory approval</w:t>
            </w:r>
          </w:p>
        </w:tc>
      </w:tr>
      <w:tr>
        <w:tc>
          <w:tcPr>
            <w:tcW w:type="dxa" w:w="2045"/>
          </w:tcPr>
          <w:p>
            <w:pPr>
              <w:spacing w:after="0"/>
            </w:pPr>
            <w:r>
              <w:rPr>
                <w:rFonts w:ascii="Arial" w:hAnsi="Arial"/>
                <w:b w:val="0"/>
                <w:sz w:val="14"/>
              </w:rPr>
              <w:t>System evaluation</w:t>
            </w:r>
          </w:p>
        </w:tc>
        <w:tc>
          <w:tcPr>
            <w:tcW w:type="dxa" w:w="2045"/>
          </w:tcPr>
          <w:p>
            <w:pPr>
              <w:spacing w:after="0"/>
            </w:pPr>
            <w:r>
              <w:rPr>
                <w:rFonts w:ascii="Arial" w:hAnsi="Arial"/>
                <w:b w:val="0"/>
                <w:sz w:val="14"/>
              </w:rPr>
              <w:t>Helps evaluate whether a system provides regulatory compliance coverage primitives</w:t>
            </w:r>
          </w:p>
        </w:tc>
        <w:tc>
          <w:tcPr>
            <w:tcW w:type="dxa" w:w="2045"/>
          </w:tcPr>
          <w:p>
            <w:pPr>
              <w:spacing w:after="0"/>
            </w:pPr>
            <w:r>
              <w:rPr>
                <w:rFonts w:ascii="Arial" w:hAnsi="Arial"/>
                <w:b w:val="0"/>
                <w:sz w:val="14"/>
              </w:rPr>
              <w:t>Helps evaluate whether a system expresses those primitives as lifecycle responsibility objects</w:t>
            </w:r>
          </w:p>
        </w:tc>
        <w:tc>
          <w:tcPr>
            <w:tcW w:type="dxa" w:w="2045"/>
          </w:tcPr>
          <w:p>
            <w:pPr>
              <w:spacing w:after="0"/>
            </w:pPr>
            <w:r>
              <w:rPr>
                <w:rFonts w:ascii="Arial" w:hAnsi="Arial"/>
                <w:b w:val="0"/>
                <w:sz w:val="14"/>
              </w:rPr>
              <w:t>Helps evaluate whether a system provides lifecycle responsibility object primitives</w:t>
            </w:r>
          </w:p>
        </w:tc>
        <w:tc>
          <w:tcPr>
            <w:tcW w:type="dxa" w:w="2045"/>
          </w:tcPr>
          <w:p>
            <w:pPr>
              <w:spacing w:after="0"/>
            </w:pPr>
            <w:r>
              <w:rPr>
                <w:rFonts w:ascii="Arial" w:hAnsi="Arial"/>
                <w:b w:val="0"/>
                <w:sz w:val="14"/>
              </w:rPr>
              <w:t>Postures are analytical tools for system posture review (Chapters 11-12); they are not product rankings, certifications, or procurement recommendations</w:t>
            </w:r>
          </w:p>
        </w:tc>
      </w:tr>
      <w:tr>
        <w:tc>
          <w:tcPr>
            <w:tcW w:type="dxa" w:w="2045"/>
          </w:tcPr>
          <w:p>
            <w:pPr>
              <w:spacing w:after="0"/>
            </w:pPr>
            <w:r>
              <w:rPr>
                <w:rFonts w:ascii="Arial" w:hAnsi="Arial"/>
                <w:b w:val="0"/>
                <w:sz w:val="14"/>
              </w:rPr>
              <w:t>Audit readiness</w:t>
            </w:r>
          </w:p>
        </w:tc>
        <w:tc>
          <w:tcPr>
            <w:tcW w:type="dxa" w:w="2045"/>
          </w:tcPr>
          <w:p>
            <w:pPr>
              <w:spacing w:after="0"/>
            </w:pPr>
            <w:r>
              <w:rPr>
                <w:rFonts w:ascii="Arial" w:hAnsi="Arial"/>
                <w:b w:val="0"/>
                <w:sz w:val="14"/>
              </w:rPr>
              <w:t>Maps traditional dimensions to audit control objectives</w:t>
            </w:r>
          </w:p>
        </w:tc>
        <w:tc>
          <w:tcPr>
            <w:tcW w:type="dxa" w:w="2045"/>
          </w:tcPr>
          <w:p>
            <w:pPr>
              <w:spacing w:after="0"/>
            </w:pPr>
            <w:r>
              <w:rPr>
                <w:rFonts w:ascii="Arial" w:hAnsi="Arial"/>
                <w:b w:val="0"/>
                <w:sz w:val="14"/>
              </w:rPr>
              <w:t>Maps MRO-adjusted coverage to evidence objects auditors may request</w:t>
            </w:r>
          </w:p>
        </w:tc>
        <w:tc>
          <w:tcPr>
            <w:tcW w:type="dxa" w:w="2045"/>
          </w:tcPr>
          <w:p>
            <w:pPr>
              <w:spacing w:after="0"/>
            </w:pPr>
            <w:r>
              <w:rPr>
                <w:rFonts w:ascii="Arial" w:hAnsi="Arial"/>
                <w:b w:val="0"/>
                <w:sz w:val="14"/>
              </w:rPr>
              <w:t>Maps lifecycle responsibility objects to evidence reconstruction needs</w:t>
            </w:r>
          </w:p>
        </w:tc>
        <w:tc>
          <w:tcPr>
            <w:tcW w:type="dxa" w:w="2045"/>
          </w:tcPr>
          <w:p>
            <w:pPr>
              <w:spacing w:after="0"/>
            </w:pPr>
            <w:r>
              <w:rPr>
                <w:rFonts w:ascii="Arial" w:hAnsi="Arial"/>
                <w:b w:val="0"/>
                <w:sz w:val="14"/>
              </w:rPr>
              <w:t>Scores help prepare for audit but do not replace audit opinions, assurance reports, or legal compliance determinations</w:t>
            </w:r>
          </w:p>
        </w:tc>
      </w:tr>
      <w:tr>
        <w:tc>
          <w:tcPr>
            <w:tcW w:type="dxa" w:w="2045"/>
          </w:tcPr>
          <w:p>
            <w:pPr>
              <w:spacing w:after="0"/>
            </w:pPr>
            <w:r>
              <w:rPr>
                <w:rFonts w:ascii="Arial" w:hAnsi="Arial"/>
                <w:b w:val="0"/>
                <w:sz w:val="14"/>
              </w:rPr>
              <w:t>Evidence-based validation</w:t>
            </w:r>
          </w:p>
        </w:tc>
        <w:tc>
          <w:tcPr>
            <w:tcW w:type="dxa" w:w="2045"/>
          </w:tcPr>
          <w:p>
            <w:pPr>
              <w:spacing w:after="0"/>
            </w:pPr>
            <w:r>
              <w:rPr>
                <w:rFonts w:ascii="Arial" w:hAnsi="Arial"/>
                <w:b w:val="0"/>
                <w:sz w:val="14"/>
              </w:rPr>
              <w:t>Identifies what regulatory compliance evidence should be validated</w:t>
            </w:r>
          </w:p>
        </w:tc>
        <w:tc>
          <w:tcPr>
            <w:tcW w:type="dxa" w:w="2045"/>
          </w:tcPr>
          <w:p>
            <w:pPr>
              <w:spacing w:after="0"/>
            </w:pPr>
            <w:r>
              <w:rPr>
                <w:rFonts w:ascii="Arial" w:hAnsi="Arial"/>
                <w:b w:val="0"/>
                <w:sz w:val="14"/>
              </w:rPr>
              <w:t>Identifies what MRO-adjusted coverage should be validated</w:t>
            </w:r>
          </w:p>
        </w:tc>
        <w:tc>
          <w:tcPr>
            <w:tcW w:type="dxa" w:w="2045"/>
          </w:tcPr>
          <w:p>
            <w:pPr>
              <w:spacing w:after="0"/>
            </w:pPr>
            <w:r>
              <w:rPr>
                <w:rFonts w:ascii="Arial" w:hAnsi="Arial"/>
                <w:b w:val="0"/>
                <w:sz w:val="14"/>
              </w:rPr>
              <w:t>Identifies what lifecycle responsibility objects should be validated</w:t>
            </w:r>
          </w:p>
        </w:tc>
        <w:tc>
          <w:tcPr>
            <w:tcW w:type="dxa" w:w="2045"/>
          </w:tcPr>
          <w:p>
            <w:pPr>
              <w:spacing w:after="0"/>
            </w:pPr>
            <w:r>
              <w:rPr>
                <w:rFonts w:ascii="Arial" w:hAnsi="Arial"/>
                <w:b w:val="0"/>
                <w:sz w:val="14"/>
              </w:rPr>
              <w:t>Scores help scope validation but do not replace validation protocols, validation providers, or validation results</w:t>
            </w:r>
          </w:p>
        </w:tc>
      </w:tr>
      <w:tr>
        <w:tc>
          <w:tcPr>
            <w:tcW w:type="dxa" w:w="2045"/>
          </w:tcPr>
          <w:p>
            <w:pPr>
              <w:spacing w:after="0"/>
            </w:pPr>
            <w:r>
              <w:rPr>
                <w:rFonts w:ascii="Arial" w:hAnsi="Arial"/>
                <w:b w:val="0"/>
                <w:sz w:val="14"/>
              </w:rPr>
              <w:t>Continuous improvement</w:t>
            </w:r>
          </w:p>
        </w:tc>
        <w:tc>
          <w:tcPr>
            <w:tcW w:type="dxa" w:w="2045"/>
          </w:tcPr>
          <w:p>
            <w:pPr>
              <w:spacing w:after="0"/>
            </w:pPr>
            <w:r>
              <w:rPr>
                <w:rFonts w:ascii="Arial" w:hAnsi="Arial"/>
                <w:b w:val="0"/>
                <w:sz w:val="14"/>
              </w:rPr>
              <w:t>Monitors regulatory compliance coverage over time</w:t>
            </w:r>
          </w:p>
        </w:tc>
        <w:tc>
          <w:tcPr>
            <w:tcW w:type="dxa" w:w="2045"/>
          </w:tcPr>
          <w:p>
            <w:pPr>
              <w:spacing w:after="0"/>
            </w:pPr>
            <w:r>
              <w:rPr>
                <w:rFonts w:ascii="Arial" w:hAnsi="Arial"/>
                <w:b w:val="0"/>
                <w:sz w:val="14"/>
              </w:rPr>
              <w:t>Monitors whether coverage is becoming more lifecycle-object expressible</w:t>
            </w:r>
          </w:p>
        </w:tc>
        <w:tc>
          <w:tcPr>
            <w:tcW w:type="dxa" w:w="2045"/>
          </w:tcPr>
          <w:p>
            <w:pPr>
              <w:spacing w:after="0"/>
            </w:pPr>
            <w:r>
              <w:rPr>
                <w:rFonts w:ascii="Arial" w:hAnsi="Arial"/>
                <w:b w:val="0"/>
                <w:sz w:val="14"/>
              </w:rPr>
              <w:t>Monitors lifecycle responsibility object maturity over time</w:t>
            </w:r>
          </w:p>
        </w:tc>
        <w:tc>
          <w:tcPr>
            <w:tcW w:type="dxa" w:w="2045"/>
          </w:tcPr>
          <w:p>
            <w:pPr>
              <w:spacing w:after="0"/>
            </w:pPr>
            <w:r>
              <w:rPr>
                <w:rFonts w:ascii="Arial" w:hAnsi="Arial"/>
                <w:b w:val="0"/>
                <w:sz w:val="14"/>
              </w:rPr>
              <w:t>Scores are monitoring tools, not legal compliance scores; continuous improvement requires organizational governance, not just scoring</w:t>
            </w:r>
          </w:p>
        </w:tc>
      </w:tr>
    </w:tbl>
    <w:p>
      <w:pPr>
        <w:spacing w:after="56"/>
      </w:pPr>
      <w:r>
        <w:t>Interpretation: RCCS-T, RCCS-M, and ALCS are analytical tools that help enterprises measure progress and identify gaps. They are not legal compliance scores, certifications, or regulatory approvals. RCCS-M is author analytical and forward-looking, not current law or a regulator-approved benchmark. Enterprises should use RCCS-T/RCCS-M/ALCS to inform organizational governance decisions, not to replace legal review or regulatory interpretation.</w:t>
      </w:r>
    </w:p>
    <w:p>
      <w:pPr>
        <w:pStyle w:val="Heading2"/>
      </w:pPr>
      <w:r>
        <w:t>17.6 Scaling from Pilot to Production</w:t>
      </w:r>
    </w:p>
    <w:p>
      <w:pPr>
        <w:spacing w:after="56"/>
      </w:pPr>
      <w:r>
        <w:t>Scaling from pilot to production requires organizational commitment, integration with existing enterprise controls, and continuous improvement. Enterprises should:</w:t>
      </w:r>
    </w:p>
    <w:p>
      <w:pPr>
        <w:pStyle w:val="ListNumber"/>
        <w:spacing w:after="56"/>
      </w:pPr>
      <w:r>
        <w:t>Extend pilot learnings to additional workflows: Use pilot project learnings to extend lifecycle governance to additional agentic workflows. Prioritize workflows that address Chapter 15 failure scenarios or that operate in regulated contexts.</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Pr>
        <w:pStyle w:val="ListNumber"/>
        <w:spacing w:after="56"/>
      </w:pPr>
      <w:r>
        <w:t>Implement continuous improvement: Monitor lifecycle governance effectiveness using lifecycle responsibility objects as evidence artifacts. Use RCCS-T/RCCS-M/ALCS as analytical tools to identify gaps and measure progress. Implement continuous improvement workflows to address gaps and refine lifecycle governance as agentic systems evolve.</w:t>
      </w:r>
    </w:p>
    <w:p>
      <w:pPr>
        <w:pStyle w:val="ListNumber"/>
        <w:spacing w:after="56"/>
      </w:pPr>
      <w:r>
        <w:t>Prepare for evidence-based validation: Implement privacy-preserving validation protocols (e.g., evidence-based validation pattern from Chapter 14) to prepare for qualified review, which may include internal governance review, audit review, validation provider review, or other context-appropriate reviewers. Ensure that evidence can be reviewed without exposing sensitive data.</w:t>
      </w:r>
    </w:p>
    <w:p>
      <w:pPr>
        <w:pStyle w:val="ListNumber"/>
        <w:spacing w:after="56"/>
      </w:pPr>
      <w:r>
        <w:t>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Pr>
        <w:pStyle w:val="ListNumber"/>
        <w:spacing w:after="56"/>
      </w:pPr>
      <w:r>
        <w:t>Contribute learnings where appropriate: As lifecycle governance matures, where appropriate, contribute learnings to standards, industry, or regulatory dialogue. Enterprises may share learnings with industry peers, participate in standards development, or engage with regulators where doing so fits their role, jurisdiction, and risk posture.</w:t>
      </w:r>
    </w:p>
    <w:p>
      <w:pPr>
        <w:spacing w:after="56"/>
      </w:pPr>
      <w:r>
        <w:t>Scaling is not a one-time event. It is a continuous process that requires organizational commitment, integration with existing controls, and continuous improvement.</w:t>
      </w:r>
    </w:p>
    <w:p>
      <w:pPr>
        <w:pStyle w:val="Heading2"/>
      </w:pPr>
      <w:r>
        <w:t>17.7 Bridge to Conclusion</w:t>
      </w:r>
    </w:p>
    <w:p>
      <w:pPr>
        <w:spacing w:after="56"/>
      </w:pPr>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RCCS-T/RCCS-M/ALCS as analytical tools, not legal compliance scores.</w:t>
      </w:r>
    </w:p>
    <w:p>
      <w:pPr>
        <w:spacing w:after="56"/>
      </w:pPr>
      <w:r>
        <w:t>The bridge from adoption roadmap (Chapter 17) to conclusion (Chapter 18) is the recognition that AI Agent Lifecycle Governance is not a theoretical framework. It is a practical necessity for enterprises deploying agentic AI systems.</w:t>
      </w:r>
    </w:p>
    <w:p>
      <w:pPr>
        <w:spacing w:after="56"/>
      </w:pPr>
      <w:r>
        <w:t>The white paper has defined the missing layer (Chapter 2), identified the sixteen Missing Regulatory Objects (Chapter 6), introduced RCCS-T, RCCS-M, and ALCS as analytical frameworks (Chapters 7-8), mapped existing systems (Chapters 11-12), examined evidence-based validation patterns (Chapter 14), demonstrated enterprise failure scenarios (Chapter 15), and presented an adoption roadmap (Chapter 17).</w:t>
      </w:r>
    </w:p>
    <w:p>
      <w:pPr>
        <w:spacing w:after="56"/>
      </w:pPr>
      <w:r>
        <w:t>Chapter 18 will conclude the white paper with a restatement of the core thesis, a summary of contributions, a statement of boundaries, and a call to action.</w:t>
      </w:r>
    </w:p>
    <w:p>
      <w:pPr>
        <w:pStyle w:val="Heading1"/>
      </w:pPr>
      <w:r>
        <w:t>18. Conclusion</w:t>
      </w:r>
    </w:p>
    <w:p>
      <w:pPr>
        <w:spacing w:after="56"/>
      </w:pPr>
      <w:r>
        <w:t>Version: v0.3.2-FRC-R3</w:t>
      </w:r>
    </w:p>
    <w:p>
      <w:pPr>
        <w:pStyle w:val="Heading2"/>
      </w:pPr>
      <w:r>
        <w:t>18.0 Core Thesis Restatement</w:t>
      </w:r>
    </w:p>
    <w:p>
      <w:pPr>
        <w:spacing w:after="56"/>
      </w:pPr>
      <w:r>
        <w:t>AI Agent / MAS compliance is not only model compliance. It is lifecycle responsibility compliance.</w:t>
      </w:r>
    </w:p>
    <w:p>
      <w:pPr>
        <w:spacing w:after="56"/>
      </w:pPr>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Pr>
        <w:spacing w:after="56"/>
      </w:pPr>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Pr>
        <w:pStyle w:val="ListBullet"/>
        <w:spacing w:after="56"/>
      </w:pPr>
      <w:r>
        <w:t>Human-role-to-MAS responsibility mapping</w:t>
      </w:r>
    </w:p>
    <w:p>
      <w:pPr>
        <w:pStyle w:val="ListBullet"/>
        <w:spacing w:after="56"/>
      </w:pPr>
      <w:r>
        <w:t>Delegated authority boundaries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MAS evidence partitioning</w:t>
      </w:r>
    </w:p>
    <w:p>
      <w:pPr>
        <w:pStyle w:val="ListBullet"/>
        <w:spacing w:after="56"/>
      </w:pPr>
      <w:r>
        <w:t>Cross-project reuse compliance</w:t>
      </w:r>
    </w:p>
    <w:p>
      <w:pPr>
        <w:pStyle w:val="ListBullet"/>
        <w:spacing w:after="56"/>
      </w:pPr>
      <w:r>
        <w:t>Privacy/GDPR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 reconciliation</w:t>
      </w:r>
    </w:p>
    <w:p>
      <w:pPr>
        <w:pStyle w:val="ListBullet"/>
        <w:spacing w:after="56"/>
      </w:pPr>
      <w:r>
        <w:t>Third-party processor/subprocessor chain mapping</w:t>
      </w:r>
    </w:p>
    <w:p>
      <w:pPr>
        <w:pStyle w:val="ListBullet"/>
        <w:spacing w:after="56"/>
      </w:pPr>
      <w:r>
        <w:t>Vendor/model/runtime substitution conformance</w:t>
      </w:r>
    </w:p>
    <w:p>
      <w:pPr>
        <w:pStyle w:val="ListBullet"/>
        <w:spacing w:after="56"/>
      </w:pPr>
      <w:r>
        <w:t>Incident, dispute, and remediation closure</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The transition from model governance to agentic lifecycle conformance is not a theoretical exercise. It is a practical necessity for enterprises deploying agentic AI systems in regulated contexts.</w:t>
      </w:r>
    </w:p>
    <w:p>
      <w:pPr>
        <w:pStyle w:val="Heading2"/>
      </w:pPr>
      <w:r>
        <w:t>18.1 What This White Paper Provides</w:t>
      </w:r>
    </w:p>
    <w:p>
      <w:pPr>
        <w:spacing w:after="56"/>
      </w:pPr>
      <w:r>
        <w:t>This white paper provides a framework for AI Agent Lifecycle Governance. The framework consists of eight core contributions.</w:t>
      </w:r>
    </w:p>
    <w:p>
      <w:pPr>
        <w:keepNext/>
      </w:pPr>
      <w:r>
        <w:rPr>
          <w:b/>
          <w:sz w:val="16"/>
        </w:rPr>
        <w:t>Table T-18-01: White Paper Contribution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Contribution</w:t>
            </w:r>
          </w:p>
        </w:tc>
        <w:tc>
          <w:tcPr>
            <w:tcW w:type="dxa" w:w="2556"/>
          </w:tcPr>
          <w:p>
            <w:pPr>
              <w:spacing w:after="0"/>
            </w:pPr>
            <w:r>
              <w:rPr>
                <w:rFonts w:ascii="Arial" w:hAnsi="Arial"/>
                <w:b/>
                <w:sz w:val="14"/>
              </w:rPr>
              <w:t>Purpose</w:t>
            </w:r>
          </w:p>
        </w:tc>
        <w:tc>
          <w:tcPr>
            <w:tcW w:type="dxa" w:w="2556"/>
          </w:tcPr>
          <w:p>
            <w:pPr>
              <w:spacing w:after="0"/>
            </w:pPr>
            <w:r>
              <w:rPr>
                <w:rFonts w:ascii="Arial" w:hAnsi="Arial"/>
                <w:b/>
                <w:sz w:val="14"/>
              </w:rPr>
              <w:t>Practical Use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AI Agent Lifecycle Governance (Chapter 2)</w:t>
            </w:r>
          </w:p>
        </w:tc>
        <w:tc>
          <w:tcPr>
            <w:tcW w:type="dxa" w:w="2556"/>
          </w:tcPr>
          <w:p>
            <w:pPr>
              <w:spacing w:after="0"/>
            </w:pPr>
            <w:r>
              <w:rPr>
                <w:rFonts w:ascii="Arial" w:hAnsi="Arial"/>
                <w:b w:val="0"/>
                <w:sz w:val="14"/>
              </w:rPr>
              <w:t>Define the missing layer between model governance and enterprise trust</w:t>
            </w:r>
          </w:p>
        </w:tc>
        <w:tc>
          <w:tcPr>
            <w:tcW w:type="dxa" w:w="2556"/>
          </w:tcPr>
          <w:p>
            <w:pPr>
              <w:spacing w:after="0"/>
            </w:pPr>
            <w:r>
              <w:rPr>
                <w:rFonts w:ascii="Arial" w:hAnsi="Arial"/>
                <w:b w:val="0"/>
                <w:sz w:val="14"/>
              </w:rPr>
              <w:t>Enterprises can use this framework to identify lifecycle governance gaps and design lifecycle responsibility objects</w:t>
            </w:r>
          </w:p>
        </w:tc>
        <w:tc>
          <w:tcPr>
            <w:tcW w:type="dxa" w:w="2556"/>
          </w:tcPr>
          <w:p>
            <w:pPr>
              <w:spacing w:after="0"/>
            </w:pPr>
            <w:r>
              <w:rPr>
                <w:rFonts w:ascii="Arial" w:hAnsi="Arial"/>
                <w:b w:val="0"/>
                <w:sz w:val="14"/>
              </w:rPr>
              <w:t>This is a governance framework, not a legal compliance procedure, certification program, or regulatory approval process</w:t>
            </w:r>
          </w:p>
        </w:tc>
      </w:tr>
      <w:tr>
        <w:tc>
          <w:tcPr>
            <w:tcW w:type="dxa" w:w="2556"/>
          </w:tcPr>
          <w:p>
            <w:pPr>
              <w:spacing w:after="0"/>
            </w:pPr>
            <w:r>
              <w:rPr>
                <w:rFonts w:ascii="Arial" w:hAnsi="Arial"/>
                <w:b w:val="0"/>
                <w:sz w:val="14"/>
              </w:rPr>
              <w:t>Sixteen Missing Regulatory Objects (Chapter 6)</w:t>
            </w:r>
          </w:p>
        </w:tc>
        <w:tc>
          <w:tcPr>
            <w:tcW w:type="dxa" w:w="2556"/>
          </w:tcPr>
          <w:p>
            <w:pPr>
              <w:spacing w:after="0"/>
            </w:pPr>
            <w:r>
              <w:rPr>
                <w:rFonts w:ascii="Arial" w:hAnsi="Arial"/>
                <w:b w:val="0"/>
                <w:sz w:val="14"/>
              </w:rPr>
              <w:t>Identify the lifecycle responsibility objects that model-centric governance does not address</w:t>
            </w:r>
          </w:p>
        </w:tc>
        <w:tc>
          <w:tcPr>
            <w:tcW w:type="dxa" w:w="2556"/>
          </w:tcPr>
          <w:p>
            <w:pPr>
              <w:spacing w:after="0"/>
            </w:pPr>
            <w:r>
              <w:rPr>
                <w:rFonts w:ascii="Arial" w:hAnsi="Arial"/>
                <w:b w:val="0"/>
                <w:sz w:val="14"/>
              </w:rPr>
              <w:t>Enterprises can use the sixteen MROs as a checklist for lifecycle governance design; auditors can use MROs to scope lifecycle governance reviews</w:t>
            </w:r>
          </w:p>
        </w:tc>
        <w:tc>
          <w:tcPr>
            <w:tcW w:type="dxa" w:w="2556"/>
          </w:tcPr>
          <w:p>
            <w:pPr>
              <w:spacing w:after="0"/>
            </w:pPr>
            <w:r>
              <w:rPr>
                <w:rFonts w:ascii="Arial" w:hAnsi="Arial"/>
                <w:b w:val="0"/>
                <w:sz w:val="14"/>
              </w:rPr>
              <w:t>MROs are governance objects, not legal requirements; MRO presence does not prove legal compliance; MRO absence does not prove non-compliance</w:t>
            </w:r>
          </w:p>
        </w:tc>
      </w:tr>
      <w:tr>
        <w:tc>
          <w:tcPr>
            <w:tcW w:type="dxa" w:w="2556"/>
          </w:tcPr>
          <w:p>
            <w:pPr>
              <w:spacing w:after="0"/>
            </w:pPr>
            <w:r>
              <w:rPr>
                <w:rFonts w:ascii="Arial" w:hAnsi="Arial"/>
                <w:b w:val="0"/>
                <w:sz w:val="14"/>
              </w:rPr>
              <w:t>RCCS-T / RCCS-M — Traditional and MRO-Adjusted Regulatory Compliance Coverage Scores (Chapter 7)</w:t>
            </w:r>
          </w:p>
        </w:tc>
        <w:tc>
          <w:tcPr>
            <w:tcW w:type="dxa" w:w="2556"/>
          </w:tcPr>
          <w:p>
            <w:pPr>
              <w:spacing w:after="0"/>
            </w:pPr>
            <w:r>
              <w:rPr>
                <w:rFonts w:ascii="Arial" w:hAnsi="Arial"/>
                <w:b w:val="0"/>
                <w:sz w:val="14"/>
              </w:rPr>
              <w:t>Distinguish existing regulatory/governance coverage from MRO-adjusted regulatory coverage</w:t>
            </w:r>
          </w:p>
        </w:tc>
        <w:tc>
          <w:tcPr>
            <w:tcW w:type="dxa" w:w="2556"/>
          </w:tcPr>
          <w:p>
            <w:pPr>
              <w:spacing w:after="0"/>
            </w:pPr>
            <w:r>
              <w:rPr>
                <w:rFonts w:ascii="Arial" w:hAnsi="Arial"/>
                <w:b w:val="0"/>
                <w:sz w:val="14"/>
              </w:rPr>
              <w:t>Enterprises can use RCCS-T to identify traditional governance coverage gaps and RCCS-M to test whether obligations can be expressed through lifecycle responsibility objects</w:t>
            </w:r>
          </w:p>
        </w:tc>
        <w:tc>
          <w:tcPr>
            <w:tcW w:type="dxa" w:w="2556"/>
          </w:tcPr>
          <w:p>
            <w:pPr>
              <w:spacing w:after="0"/>
            </w:pPr>
            <w:r>
              <w:rPr>
                <w:rFonts w:ascii="Arial" w:hAnsi="Arial"/>
                <w:b w:val="0"/>
                <w:sz w:val="14"/>
              </w:rPr>
              <w:t>RCCS-T and RCCS-M are analytical tools, not legal compliance scores; RCCS-M is author analytical and not current law, certification, regulator-approved benchmark, or procurement recommendation</w:t>
            </w:r>
          </w:p>
        </w:tc>
      </w:tr>
      <w:tr>
        <w:tc>
          <w:tcPr>
            <w:tcW w:type="dxa" w:w="2556"/>
          </w:tcPr>
          <w:p>
            <w:pPr>
              <w:spacing w:after="0"/>
            </w:pPr>
            <w:r>
              <w:rPr>
                <w:rFonts w:ascii="Arial" w:hAnsi="Arial"/>
                <w:b w:val="0"/>
                <w:sz w:val="14"/>
              </w:rPr>
              <w:t>ALCS — Agentic Lifecycle Conformance Score (Chapter 8)</w:t>
            </w:r>
          </w:p>
        </w:tc>
        <w:tc>
          <w:tcPr>
            <w:tcW w:type="dxa" w:w="2556"/>
          </w:tcPr>
          <w:p>
            <w:pPr>
              <w:spacing w:after="0"/>
            </w:pPr>
            <w:r>
              <w:rPr>
                <w:rFonts w:ascii="Arial" w:hAnsi="Arial"/>
                <w:b w:val="0"/>
                <w:sz w:val="14"/>
              </w:rPr>
              <w:t>Measure lifecycle responsibility object maturity across fifteen dimensions</w:t>
            </w:r>
          </w:p>
        </w:tc>
        <w:tc>
          <w:tcPr>
            <w:tcW w:type="dxa" w:w="2556"/>
          </w:tcPr>
          <w:p>
            <w:pPr>
              <w:spacing w:after="0"/>
            </w:pPr>
            <w:r>
              <w:rPr>
                <w:rFonts w:ascii="Arial" w:hAnsi="Arial"/>
                <w:b w:val="0"/>
                <w:sz w:val="14"/>
              </w:rPr>
              <w:t>Enterprises can use ALCS to identify lifecycle responsibility object gaps; system evaluators can use ALCS to structure lifecycle conformance posture review</w:t>
            </w:r>
          </w:p>
        </w:tc>
        <w:tc>
          <w:tcPr>
            <w:tcW w:type="dxa" w:w="2556"/>
          </w:tcPr>
          <w:p>
            <w:pPr>
              <w:spacing w:after="0"/>
            </w:pPr>
            <w:r>
              <w:rPr>
                <w:rFonts w:ascii="Arial" w:hAnsi="Arial"/>
                <w:b w:val="0"/>
                <w:sz w:val="14"/>
              </w:rPr>
              <w:t>ALCS is an analytical tool, not a legal compliance score; high ALCS does not prove legal compliance; low ALCS does not prove non-compliance</w:t>
            </w:r>
          </w:p>
        </w:tc>
      </w:tr>
      <w:tr>
        <w:tc>
          <w:tcPr>
            <w:tcW w:type="dxa" w:w="2556"/>
          </w:tcPr>
          <w:p>
            <w:pPr>
              <w:spacing w:after="0"/>
            </w:pPr>
            <w:r>
              <w:rPr>
                <w:rFonts w:ascii="Arial" w:hAnsi="Arial"/>
                <w:b w:val="0"/>
                <w:sz w:val="14"/>
              </w:rPr>
              <w:t>System-Category Mapping (Chapters 11-12)</w:t>
            </w:r>
          </w:p>
        </w:tc>
        <w:tc>
          <w:tcPr>
            <w:tcW w:type="dxa" w:w="2556"/>
          </w:tcPr>
          <w:p>
            <w:pPr>
              <w:spacing w:after="0"/>
            </w:pPr>
            <w:r>
              <w:rPr>
                <w:rFonts w:ascii="Arial" w:hAnsi="Arial"/>
                <w:b w:val="0"/>
                <w:sz w:val="14"/>
              </w:rPr>
              <w:t>Map eight systems across categories by RCCS-T/RCCS-M/ALCS posture and lifecycle gaps</w:t>
            </w:r>
          </w:p>
        </w:tc>
        <w:tc>
          <w:tcPr>
            <w:tcW w:type="dxa" w:w="2556"/>
          </w:tcPr>
          <w:p>
            <w:pPr>
              <w:spacing w:after="0"/>
            </w:pPr>
            <w:r>
              <w:rPr>
                <w:rFonts w:ascii="Arial" w:hAnsi="Arial"/>
                <w:b w:val="0"/>
                <w:sz w:val="14"/>
              </w:rPr>
              <w:t>System mappings organize qualitative, source-qualified posture differences across system categories; system designers can use mappings to identify lifecycle governance design patterns</w:t>
            </w:r>
          </w:p>
        </w:tc>
        <w:tc>
          <w:tcPr>
            <w:tcW w:type="dxa" w:w="2556"/>
          </w:tcPr>
          <w:p>
            <w:pPr>
              <w:spacing w:after="0"/>
            </w:pPr>
            <w:r>
              <w:rPr>
                <w:rFonts w:ascii="Arial" w:hAnsi="Arial"/>
                <w:b w:val="0"/>
                <w:sz w:val="14"/>
              </w:rPr>
              <w:t>System mappings are analytical tools, not product rankings, certifications, procurement recommendations, or vendor endorsements</w:t>
            </w:r>
          </w:p>
        </w:tc>
      </w:tr>
      <w:tr>
        <w:tc>
          <w:tcPr>
            <w:tcW w:type="dxa" w:w="2556"/>
          </w:tcPr>
          <w:p>
            <w:pPr>
              <w:spacing w:after="0"/>
            </w:pPr>
            <w:r>
              <w:rPr>
                <w:rFonts w:ascii="Arial" w:hAnsi="Arial"/>
                <w:b w:val="0"/>
                <w:sz w:val="14"/>
              </w:rPr>
              <w:t>Evidence-Based Validation Pattern (Chapter 14)</w:t>
            </w:r>
          </w:p>
        </w:tc>
        <w:tc>
          <w:tcPr>
            <w:tcW w:type="dxa" w:w="2556"/>
          </w:tcPr>
          <w:p>
            <w:pPr>
              <w:spacing w:after="0"/>
            </w:pPr>
            <w:r>
              <w:rPr>
                <w:rFonts w:ascii="Arial" w:hAnsi="Arial"/>
                <w:b w:val="0"/>
                <w:sz w:val="14"/>
              </w:rPr>
              <w:t>Define a reusable methodology for privacy-preserving qualified review of lifecycle responsibility objects</w:t>
            </w:r>
          </w:p>
        </w:tc>
        <w:tc>
          <w:tcPr>
            <w:tcW w:type="dxa" w:w="2556"/>
          </w:tcPr>
          <w:p>
            <w:pPr>
              <w:spacing w:after="0"/>
            </w:pPr>
            <w:r>
              <w:rPr>
                <w:rFonts w:ascii="Arial" w:hAnsi="Arial"/>
                <w:b w:val="0"/>
                <w:sz w:val="14"/>
              </w:rPr>
              <w:t>Enterprises can use the evidence-based validation pattern to prepare for qualified review without exposing sensitive data; validation providers can use the pattern to design privacy-preserving validation protocols</w:t>
            </w:r>
          </w:p>
        </w:tc>
        <w:tc>
          <w:tcPr>
            <w:tcW w:type="dxa" w:w="2556"/>
          </w:tcPr>
          <w:p>
            <w:pPr>
              <w:spacing w:after="0"/>
            </w:pPr>
            <w:r>
              <w:rPr>
                <w:rFonts w:ascii="Arial" w:hAnsi="Arial"/>
                <w:b w:val="0"/>
                <w:sz w:val="14"/>
              </w:rPr>
              <w:t>The pattern is a methodology, not a certification program; validation results do not prove legal compliance; Validation Lab is one non-certifying example, not the only validation path</w:t>
            </w:r>
          </w:p>
        </w:tc>
      </w:tr>
      <w:tr>
        <w:tc>
          <w:tcPr>
            <w:tcW w:type="dxa" w:w="2556"/>
          </w:tcPr>
          <w:p>
            <w:pPr>
              <w:spacing w:after="0"/>
            </w:pPr>
            <w:r>
              <w:rPr>
                <w:rFonts w:ascii="Arial" w:hAnsi="Arial"/>
                <w:b w:val="0"/>
                <w:sz w:val="14"/>
              </w:rPr>
              <w:t>Enterprise Failure Scenarios (Chapter 15)</w:t>
            </w:r>
          </w:p>
        </w:tc>
        <w:tc>
          <w:tcPr>
            <w:tcW w:type="dxa" w:w="2556"/>
          </w:tcPr>
          <w:p>
            <w:pPr>
              <w:spacing w:after="0"/>
            </w:pPr>
            <w:r>
              <w:rPr>
                <w:rFonts w:ascii="Arial" w:hAnsi="Arial"/>
                <w:b w:val="0"/>
                <w:sz w:val="14"/>
              </w:rPr>
              <w:t>Use illustrative, hypothetical scenarios to show where lifecycle governance gaps may create predictable enterprise failure patterns</w:t>
            </w:r>
          </w:p>
        </w:tc>
        <w:tc>
          <w:tcPr>
            <w:tcW w:type="dxa" w:w="2556"/>
          </w:tcPr>
          <w:p>
            <w:pPr>
              <w:spacing w:after="0"/>
            </w:pPr>
            <w:r>
              <w:rPr>
                <w:rFonts w:ascii="Arial" w:hAnsi="Arial"/>
                <w:b w:val="0"/>
                <w:sz w:val="14"/>
              </w:rPr>
              <w:t>Enterprises can use failure scenarios as test cases for lifecycle governance design; risk managers can use scenarios to assess lifecycle governance risk</w:t>
            </w:r>
          </w:p>
        </w:tc>
        <w:tc>
          <w:tcPr>
            <w:tcW w:type="dxa" w:w="2556"/>
          </w:tcPr>
          <w:p>
            <w:pPr>
              <w:spacing w:after="0"/>
            </w:pPr>
            <w:r>
              <w:rPr>
                <w:rFonts w:ascii="Arial" w:hAnsi="Arial"/>
                <w:b w:val="0"/>
                <w:sz w:val="14"/>
              </w:rPr>
              <w:t>Scenarios are illustrative and hypothetical, not claims that agentic AI is uniquely unsafe or that any specific vendor, platform, or organization failed; scenarios show where model-centric governance becomes insufficient, not that lifecycle governance eliminates all risk</w:t>
            </w:r>
          </w:p>
        </w:tc>
      </w:tr>
      <w:tr>
        <w:tc>
          <w:tcPr>
            <w:tcW w:type="dxa" w:w="2556"/>
          </w:tcPr>
          <w:p>
            <w:pPr>
              <w:spacing w:after="0"/>
            </w:pPr>
            <w:r>
              <w:rPr>
                <w:rFonts w:ascii="Arial" w:hAnsi="Arial"/>
                <w:b w:val="0"/>
                <w:sz w:val="14"/>
              </w:rPr>
              <w:t>Adoption Roadmap (Chapter 17)</w:t>
            </w:r>
          </w:p>
        </w:tc>
        <w:tc>
          <w:tcPr>
            <w:tcW w:type="dxa" w:w="2556"/>
          </w:tcPr>
          <w:p>
            <w:pPr>
              <w:spacing w:after="0"/>
            </w:pPr>
            <w:r>
              <w:rPr>
                <w:rFonts w:ascii="Arial" w:hAnsi="Arial"/>
                <w:b w:val="0"/>
                <w:sz w:val="14"/>
              </w:rPr>
              <w:t>Provide a staged path from lifecycle governance awareness to scaled operational capability</w:t>
            </w:r>
          </w:p>
        </w:tc>
        <w:tc>
          <w:tcPr>
            <w:tcW w:type="dxa" w:w="2556"/>
          </w:tcPr>
          <w:p>
            <w:pPr>
              <w:spacing w:after="0"/>
            </w:pPr>
            <w:r>
              <w:rPr>
                <w:rFonts w:ascii="Arial" w:hAnsi="Arial"/>
                <w:b w:val="0"/>
                <w:sz w:val="14"/>
              </w:rPr>
              <w:t>Enterprises can use the adoption roadmap to operationalize lifecycle responsibility objects; governance teams can use the roadmap to integrate lifecycle governance with existing enterprise controls</w:t>
            </w:r>
          </w:p>
        </w:tc>
        <w:tc>
          <w:tcPr>
            <w:tcW w:type="dxa" w:w="2556"/>
          </w:tcPr>
          <w:p>
            <w:pPr>
              <w:spacing w:after="0"/>
            </w:pPr>
            <w:r>
              <w:rPr>
                <w:rFonts w:ascii="Arial" w:hAnsi="Arial"/>
                <w:b w:val="0"/>
                <w:sz w:val="14"/>
              </w:rPr>
              <w:t>The roadmap is a practical guide, not a certification checklist, legal compliance procedure, or regulatory approval process</w:t>
            </w:r>
          </w:p>
        </w:tc>
      </w:tr>
    </w:tbl>
    <w:p>
      <w:pPr>
        <w:spacing w:after="56"/>
      </w:pPr>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Pr>
        <w:pStyle w:val="Heading2"/>
      </w:pPr>
      <w:r>
        <w:t>18.2 What This White Paper Does Not Provide</w:t>
      </w:r>
    </w:p>
    <w:p>
      <w:pPr>
        <w:spacing w:after="56"/>
      </w:pPr>
      <w:r>
        <w:t>This white paper is a governance framework, not a legal compliance procedure, certification program, or regulatory approval process. The following table clarifies what this paper says and what it does not say.</w:t>
      </w:r>
    </w:p>
    <w:p>
      <w:pPr>
        <w:keepNext/>
      </w:pPr>
      <w:r>
        <w:rPr>
          <w:b/>
          <w:sz w:val="16"/>
        </w:rPr>
        <w:t>Table T-18-02: Non-Claims and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This Paper Says</w:t>
            </w:r>
          </w:p>
        </w:tc>
        <w:tc>
          <w:tcPr>
            <w:tcW w:type="dxa" w:w="3408"/>
          </w:tcPr>
          <w:p>
            <w:pPr>
              <w:spacing w:after="0"/>
            </w:pPr>
            <w:r>
              <w:rPr>
                <w:rFonts w:ascii="Arial" w:hAnsi="Arial"/>
                <w:b/>
                <w:sz w:val="14"/>
              </w:rPr>
              <w:t>This Paper Does Not Say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Lifecycle governance addresses lifecycle responsibility objects that support regulatory compliance coverage; RCCS-T/RCCS-M/ALCS measure coverage and conformance gaps</w:t>
            </w:r>
          </w:p>
        </w:tc>
        <w:tc>
          <w:tcPr>
            <w:tcW w:type="dxa" w:w="3408"/>
          </w:tcPr>
          <w:p>
            <w:pPr>
              <w:spacing w:after="0"/>
            </w:pPr>
            <w:r>
              <w:rPr>
                <w:rFonts w:ascii="Arial" w:hAnsi="Arial"/>
                <w:b w:val="0"/>
                <w:sz w:val="14"/>
              </w:rPr>
              <w:t>This paper proves legal compliance; high RCCS-T/RCCS-M/ALCS scores guarantee legal compliance; this paper provides legal advice; this paper interprets specific regulations for specific jurisdictions</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Lifecycle governance can be evaluated using RCCS-T/RCCS-M/ALCS as analytical tools; evidence-based validation can support qualified review</w:t>
            </w:r>
          </w:p>
        </w:tc>
        <w:tc>
          <w:tcPr>
            <w:tcW w:type="dxa" w:w="3408"/>
          </w:tcPr>
          <w:p>
            <w:pPr>
              <w:spacing w:after="0"/>
            </w:pPr>
            <w:r>
              <w:rPr>
                <w:rFonts w:ascii="Arial" w:hAnsi="Arial"/>
                <w:b w:val="0"/>
                <w:sz w:val="14"/>
              </w:rPr>
              <w:t>This paper is a certification program; RCCS-T/RCCS-M/ALCS issue compliance certificates; Validation Lab is a certification authority; this paper issues system or organization certificates</w:t>
            </w:r>
          </w:p>
        </w:tc>
      </w:tr>
      <w:tr>
        <w:tc>
          <w:tcPr>
            <w:tcW w:type="dxa" w:w="3408"/>
          </w:tcPr>
          <w:p>
            <w:pPr>
              <w:spacing w:after="0"/>
            </w:pPr>
            <w:r>
              <w:rPr>
                <w:rFonts w:ascii="Arial" w:hAnsi="Arial"/>
                <w:b w:val="0"/>
                <w:sz w:val="14"/>
              </w:rPr>
              <w:t>Regulatory Approval</w:t>
            </w:r>
          </w:p>
        </w:tc>
        <w:tc>
          <w:tcPr>
            <w:tcW w:type="dxa" w:w="3408"/>
          </w:tcPr>
          <w:p>
            <w:pPr>
              <w:spacing w:after="0"/>
            </w:pPr>
            <w:r>
              <w:rPr>
                <w:rFonts w:ascii="Arial" w:hAnsi="Arial"/>
                <w:b w:val="0"/>
                <w:sz w:val="14"/>
              </w:rPr>
              <w:t>Lifecycle governance aligns with regulatory requirements for human oversight, accountability, transparency, record-keeping, and contestability</w:t>
            </w:r>
          </w:p>
        </w:tc>
        <w:tc>
          <w:tcPr>
            <w:tcW w:type="dxa" w:w="3408"/>
          </w:tcPr>
          <w:p>
            <w:pPr>
              <w:spacing w:after="0"/>
            </w:pPr>
            <w:r>
              <w:rPr>
                <w:rFonts w:ascii="Arial" w:hAnsi="Arial"/>
                <w:b w:val="0"/>
                <w:sz w:val="14"/>
              </w:rPr>
              <w:t>This paper is regulator-approved; this paper is the official compliance standard; regulators endorse RCCS-T/RCCS-M/ALCS; regulators require MPLP or Validation Lab</w:t>
            </w:r>
          </w:p>
        </w:tc>
      </w:tr>
      <w:tr>
        <w:tc>
          <w:tcPr>
            <w:tcW w:type="dxa" w:w="3408"/>
          </w:tcPr>
          <w:p>
            <w:pPr>
              <w:spacing w:after="0"/>
            </w:pPr>
            <w:r>
              <w:rPr>
                <w:rFonts w:ascii="Arial" w:hAnsi="Arial"/>
                <w:b w:val="0"/>
                <w:sz w:val="14"/>
              </w:rPr>
              <w:t>System Ranking</w:t>
            </w:r>
          </w:p>
        </w:tc>
        <w:tc>
          <w:tcPr>
            <w:tcW w:type="dxa" w:w="3408"/>
          </w:tcPr>
          <w:p>
            <w:pPr>
              <w:spacing w:after="0"/>
            </w:pPr>
            <w:r>
              <w:rPr>
                <w:rFonts w:ascii="Arial" w:hAnsi="Arial"/>
                <w:b w:val="0"/>
                <w:sz w:val="14"/>
              </w:rPr>
              <w:t>System mappings organize qualitative, source-qualified posture differences across system categories using responsibility semantics</w:t>
            </w:r>
          </w:p>
        </w:tc>
        <w:tc>
          <w:tcPr>
            <w:tcW w:type="dxa" w:w="3408"/>
          </w:tcPr>
          <w:p>
            <w:pPr>
              <w:spacing w:after="0"/>
            </w:pPr>
            <w:r>
              <w:rPr>
                <w:rFonts w:ascii="Arial" w:hAnsi="Arial"/>
                <w:b w:val="0"/>
                <w:sz w:val="14"/>
              </w:rPr>
              <w:t>System mappings rank products by quality; system mappings recommend specific vendors; system mappings certify systems; other systems are non-compliant</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MPLP is one lifecycle protocol path with limited RCCS-T product-platform coverage and strong author-analytical RCCS-M/ALCS mapping where protocol semantics express lifecycle responsibility objects</w:t>
            </w:r>
          </w:p>
        </w:tc>
        <w:tc>
          <w:tcPr>
            <w:tcW w:type="dxa" w:w="3408"/>
          </w:tcPr>
          <w:p>
            <w:pPr>
              <w:spacing w:after="0"/>
            </w:pPr>
            <w:r>
              <w:rPr>
                <w:rFonts w:ascii="Arial" w:hAnsi="Arial"/>
                <w:b w:val="0"/>
                <w:sz w:val="14"/>
              </w:rPr>
              <w:t>MPLP is required for compliance; MPLP is the only correct path; MPLP issues compliance certificates; MPLP is regulator-approved; MPLP proves legal compliance; MPLP is superior to other systems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is one non-certifying evidence adjudication example that demonstrates the evidence-based validation pattern</w:t>
            </w:r>
          </w:p>
        </w:tc>
        <w:tc>
          <w:tcPr>
            <w:tcW w:type="dxa" w:w="3408"/>
          </w:tcPr>
          <w:p>
            <w:pPr>
              <w:spacing w:after="0"/>
            </w:pPr>
            <w:r>
              <w:rPr>
                <w:rFonts w:ascii="Arial" w:hAnsi="Arial"/>
                <w:b w:val="0"/>
                <w:sz w:val="14"/>
              </w:rPr>
              <w:t>Validation Lab is a certification authority; Validation Lab issues compliance certificates; Validation Lab proves legal compliance; Validation Lab is the only validation path; Validation Lab is regulator-approved</w:t>
            </w:r>
          </w:p>
        </w:tc>
      </w:tr>
      <w:tr>
        <w:tc>
          <w:tcPr>
            <w:tcW w:type="dxa" w:w="3408"/>
          </w:tcPr>
          <w:p>
            <w:pPr>
              <w:spacing w:after="0"/>
            </w:pPr>
            <w:r>
              <w:rPr>
                <w:rFonts w:ascii="Arial" w:hAnsi="Arial"/>
                <w:b w:val="0"/>
                <w:sz w:val="14"/>
              </w:rPr>
              <w:t>Risk Elimination</w:t>
            </w:r>
          </w:p>
        </w:tc>
        <w:tc>
          <w:tcPr>
            <w:tcW w:type="dxa" w:w="3408"/>
          </w:tcPr>
          <w:p>
            <w:pPr>
              <w:spacing w:after="0"/>
            </w:pPr>
            <w:r>
              <w:rPr>
                <w:rFonts w:ascii="Arial" w:hAnsi="Arial"/>
                <w:b w:val="0"/>
                <w:sz w:val="14"/>
              </w:rPr>
              <w:t>Lifecycle governance addresses lifecycle governance gaps that may create predictable enterprise failure patterns; lifecycle governance supports risk management</w:t>
            </w:r>
          </w:p>
        </w:tc>
        <w:tc>
          <w:tcPr>
            <w:tcW w:type="dxa" w:w="3408"/>
          </w:tcPr>
          <w:p>
            <w:pPr>
              <w:spacing w:after="0"/>
            </w:pPr>
            <w:r>
              <w:rPr>
                <w:rFonts w:ascii="Arial" w:hAnsi="Arial"/>
                <w:b w:val="0"/>
                <w:sz w:val="14"/>
              </w:rPr>
              <w:t>Lifecycle governance eliminates all risk; agentic AI is uniquely unsafe; lifecycle governance guarantees operational effectiveness; lifecycle governance prevents all failures</w:t>
            </w:r>
          </w:p>
        </w:tc>
      </w:tr>
      <w:tr>
        <w:tc>
          <w:tcPr>
            <w:tcW w:type="dxa" w:w="3408"/>
          </w:tcPr>
          <w:p>
            <w:pPr>
              <w:spacing w:after="0"/>
            </w:pPr>
            <w:r>
              <w:rPr>
                <w:rFonts w:ascii="Arial" w:hAnsi="Arial"/>
                <w:b w:val="0"/>
                <w:sz w:val="14"/>
              </w:rPr>
              <w:t>Completeness</w:t>
            </w:r>
          </w:p>
        </w:tc>
        <w:tc>
          <w:tcPr>
            <w:tcW w:type="dxa" w:w="3408"/>
          </w:tcPr>
          <w:p>
            <w:pPr>
              <w:spacing w:after="0"/>
            </w:pPr>
            <w:r>
              <w:rPr>
                <w:rFonts w:ascii="Arial" w:hAnsi="Arial"/>
                <w:b w:val="0"/>
                <w:sz w:val="14"/>
              </w:rPr>
              <w:t>This paper defines sixteen Missing Regulatory Objects and provides a framework for lifecycle governance</w:t>
            </w:r>
          </w:p>
        </w:tc>
        <w:tc>
          <w:tcPr>
            <w:tcW w:type="dxa" w:w="3408"/>
          </w:tcPr>
          <w:p>
            <w:pPr>
              <w:spacing w:after="0"/>
            </w:pPr>
            <w:r>
              <w:rPr>
                <w:rFonts w:ascii="Arial" w:hAnsi="Arial"/>
                <w:b w:val="0"/>
                <w:sz w:val="14"/>
              </w:rPr>
              <w:t>This paper is complete; no additional lifecycle responsibility objects will emerge; this paper addresses all regulatory requirements; this paper replaces legal review</w:t>
            </w:r>
          </w:p>
        </w:tc>
      </w:tr>
    </w:tbl>
    <w:p>
      <w:pPr>
        <w:spacing w:after="56"/>
      </w:pPr>
      <w:r>
        <w:t>Interpretation: This white paper provides a governance framework, not legal advice, certification, regulatory approval, product ranking, or risk elimination. Enterprises must interpret the framework within their legal, regulatory, and operational context.</w:t>
      </w:r>
    </w:p>
    <w:p>
      <w:pPr>
        <w:pStyle w:val="Heading2"/>
      </w:pPr>
      <w:r>
        <w:t>18.3 Call to Action</w:t>
      </w:r>
    </w:p>
    <w:p>
      <w:pPr>
        <w:spacing w:after="56"/>
      </w:pPr>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Pr>
        <w:spacing w:after="56"/>
      </w:pPr>
      <w:r>
        <w:t>Recommended first steps:</w:t>
      </w:r>
    </w:p>
    <w:p>
      <w:pPr>
        <w:pStyle w:val="ListNumber"/>
        <w:spacing w:after="56"/>
      </w:pPr>
      <w:r>
        <w:t>Inventory agentic behavior: Identify where agents make decisions, use tools, or hand off work. Assess whether model governance covers lifecycle responsibility.</w:t>
      </w:r>
    </w:p>
    <w:p>
      <w:pPr>
        <w:pStyle w:val="ListNumber"/>
        <w:spacing w:after="56"/>
      </w:pPr>
      <w:r>
        <w:t>Assess lifecycle governance gaps: Use the sixteen Missing Regulatory Objects (Chapter 6) as a checklist. Use RCCS-T/RCCS-M/ALCS (Chapters 7-8) as analytical tools to identify gaps.</w:t>
      </w:r>
    </w:p>
    <w:p>
      <w:pPr>
        <w:pStyle w:val="ListNumber"/>
        <w:spacing w:after="56"/>
      </w:pPr>
      <w:r>
        <w:t>Select a pilot project: Use pilot selection criteria (Table T-17-02) to choose a bounded, measurable, regulated, sponsored, and rollback-capable pilot project.</w:t>
      </w:r>
    </w:p>
    <w:p>
      <w:pPr>
        <w:pStyle w:val="ListNumber"/>
        <w:spacing w:after="56"/>
      </w:pPr>
      <w:r>
        <w:t>Define authority boundaries: Start with delegated authority boundaries (MRO-02). Define authority grant records, implement tool-action authorization, and add boundary violation alerts.</w:t>
      </w:r>
    </w:p>
    <w:p>
      <w:pPr>
        <w:pStyle w:val="ListNumber"/>
        <w:spacing w:after="56"/>
      </w:pPr>
      <w:r>
        <w:t>Map human roles to MAS responsibilities: Implement human-role-to-MAS responsibility mapping (MRO-01). Define role assignment records, implement acceptance records, and add review and escalation workflows.</w:t>
      </w:r>
    </w:p>
    <w:p>
      <w:pPr>
        <w:pStyle w:val="ListNumber"/>
        <w:spacing w:after="56"/>
      </w:pPr>
      <w:r>
        <w:t>Convert logs into evidence chains: Implement MAS evidence partitioning (MRO-08). Add evidence export capability with selective disclosure. Implement evidence chain integrity validation.</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Pr>
        <w:spacing w:after="56"/>
      </w:pPr>
      <w:r>
        <w:t>Lifecycle governance is not a one-time project. It is a continuous process that requires organizational commitment, integration with existing controls, and continuous improvement.</w:t>
      </w:r>
    </w:p>
    <w:p>
      <w:pPr>
        <w:pStyle w:val="Heading2"/>
      </w:pPr>
      <w:r>
        <w:t>18.4 Closing Statement</w:t>
      </w:r>
    </w:p>
    <w:p>
      <w:pPr>
        <w:spacing w:after="56"/>
      </w:pPr>
      <w:r>
        <w:t>AI Agent Lifecycle Governance is the missing layer between model governance and enterprise trust. Model-centric governance addresses model behavior. Lifecycle governance addresses responsibility for outcomes.</w:t>
      </w:r>
    </w:p>
    <w:p>
      <w:pPr>
        <w:spacing w:after="56"/>
      </w:pPr>
      <w:r>
        <w:t>The sixteen Missing Regulatory Objects define the lifecycle responsibility objects that emerge when AI systems move from inference to action, from single-model execution to multi-agent collaboration, from human-supervised workflows to autonomous delegation. This paper does not merely compare current AI governance systems. It proposes that agentic and MAS compliance requires a new regulatory object layer: RCCS-T names traditional regulatory coverage; MRO names the missing lifecycle responsibility object layer; RCCS-M names MRO-adjusted regulatory coverage; ALCS names lifecycle conformance. Together, they show why future AI agent compliance must move from model compliance to lifecycle responsibility compliance.</w:t>
      </w:r>
    </w:p>
    <w:p>
      <w:pPr>
        <w:spacing w:after="56"/>
      </w:pPr>
      <w:r>
        <w:t>System mappings organize qualitative, source-qualified posture differences across system categories. Evidence-based validation patterns support privacy-preserving qualified review. Enterprise failure scenarios illustrate where lifecycle governance gaps may create predictable failure patterns. The adoption roadmap provides a staged path from awareness to scaled operational capability.</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Pr>
        <w:spacing w:after="56"/>
      </w:pPr>
      <w:r>
        <w:t>AI Agent / MAS compliance is not only model compliance. It is lifecycle responsibility compliance.</w:t>
      </w:r>
    </w:p>
    <w:p>
      <w:pPr>
        <w:pStyle w:val="Heading1"/>
      </w:pPr>
      <w:r>
        <w:t>Appendix A — Machine-Readable Object Templates</w:t>
      </w:r>
    </w:p>
    <w:p>
      <w:pPr>
        <w:spacing w:after="56"/>
      </w:pPr>
      <w:r>
        <w:t>Version: v0.3.2-FRC-R3</w:t>
      </w:r>
    </w:p>
    <w:p>
      <w:pPr>
        <w:pStyle w:val="Heading2"/>
      </w:pPr>
      <w:r>
        <w:t>A.0 Template Boundary</w:t>
      </w:r>
    </w:p>
    <w:p>
      <w:pPr>
        <w:spacing w:after="56"/>
      </w:pPr>
      <w:r>
        <w:t>This appendix provides illustrative machine-readable templates for the sixteen Missing Regulatory Objects defined in Chapter 6. These templates are reference structures, not formal schemas, legal requirements, or certification requirements.</w:t>
      </w:r>
    </w:p>
    <w:p>
      <w:pPr>
        <w:spacing w:after="56"/>
      </w:pPr>
      <w:r>
        <w:t>Boundary statement:</w:t>
      </w:r>
    </w:p>
    <w:p>
      <w:pPr>
        <w:pStyle w:val="ListBullet"/>
        <w:spacing w:after="56"/>
      </w:pPr>
      <w:r>
        <w:t>These templates are illustrative only. They demonstrate how lifecycle responsibility objects might be represented in machine-readable form. They are not formal MPLP schemas, not legal requirements, and not certification requirements.</w:t>
      </w:r>
    </w:p>
    <w:p>
      <w:pPr>
        <w:pStyle w:val="ListBullet"/>
        <w:spacing w:after="56"/>
      </w:pPr>
      <w:r>
        <w:t>These templates are not prescriptive. Organizations may use different field names, data types, or structures. The templates show one possible approach to representing lifecycle responsibility objects.</w:t>
      </w:r>
    </w:p>
    <w:p>
      <w:pPr>
        <w:pStyle w:val="ListBullet"/>
        <w:spacing w:after="56"/>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Pr>
        <w:pStyle w:val="ListBullet"/>
        <w:spacing w:after="56"/>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Pr>
        <w:pStyle w:val="Heading2"/>
      </w:pPr>
      <w:r>
        <w:t>A.1 Shared Field Conventions</w:t>
      </w:r>
    </w:p>
    <w:p>
      <w:pPr>
        <w:spacing w:after="56"/>
      </w:pPr>
      <w:r>
        <w:t>All sixteen MRO templates share a common set of fields to support lifecycle traceability, evidence partitioning, and cross-object relationships.</w:t>
      </w:r>
    </w:p>
    <w:p>
      <w:pPr>
        <w:spacing w:after="56"/>
      </w:pPr>
      <w:r>
        <w:t>Shared fields:</w:t>
      </w:r>
    </w:p>
    <w:p>
      <w:pPr>
        <w:spacing w:after="56"/>
      </w:pPr>
      <w: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Pr>
        <w:spacing w:after="56"/>
      </w:pPr>
      <w:r>
        <w:t>Object-specific fields: Each MRO template includes 3-6 object-specific fields relevant to that MRO's purpose.</w:t>
      </w:r>
    </w:p>
    <w:p>
      <w:pPr>
        <w:spacing w:after="56"/>
      </w:pPr>
      <w:r>
        <w:t>All example values are non-normative placeholders and do not establish legal compliance, liability allocation, certification, or completed validation.</w:t>
      </w:r>
    </w:p>
    <w:p>
      <w:pPr>
        <w:spacing w:after="56"/>
      </w:pPr>
      <w:r>
        <w:t>For readability, the examples below present object-specific fields under a comment block. Implementations may alternatively nest them under object_specific_fields.</w:t>
      </w:r>
    </w:p>
    <w:p>
      <w:pPr>
        <w:pStyle w:val="Heading2"/>
      </w:pPr>
      <w:r>
        <w:t>A.2 MRO Template Index</w:t>
      </w:r>
    </w:p>
    <w:p>
      <w:pPr>
        <w:spacing w:after="56"/>
      </w:pPr>
      <w:r>
        <w:t>The following table indexes the sixteen MRO templates and their object-specific fields.</w:t>
      </w:r>
    </w:p>
    <w:p>
      <w:pPr>
        <w:keepNext/>
      </w:pPr>
      <w:r>
        <w:rPr>
          <w:b/>
          <w:sz w:val="16"/>
        </w:rPr>
        <w:t>Table T-A-01: Appendix A Template Index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MRO ID</w:t>
            </w:r>
          </w:p>
        </w:tc>
        <w:tc>
          <w:tcPr>
            <w:tcW w:type="dxa" w:w="2045"/>
          </w:tcPr>
          <w:p>
            <w:pPr>
              <w:spacing w:after="0"/>
            </w:pPr>
            <w:r>
              <w:rPr>
                <w:rFonts w:ascii="Arial" w:hAnsi="Arial"/>
                <w:b/>
                <w:sz w:val="14"/>
              </w:rPr>
              <w:t>Object Name</w:t>
            </w:r>
          </w:p>
        </w:tc>
        <w:tc>
          <w:tcPr>
            <w:tcW w:type="dxa" w:w="2045"/>
          </w:tcPr>
          <w:p>
            <w:pPr>
              <w:spacing w:after="0"/>
            </w:pPr>
            <w:r>
              <w:rPr>
                <w:rFonts w:ascii="Arial" w:hAnsi="Arial"/>
                <w:b/>
                <w:sz w:val="14"/>
              </w:rPr>
              <w:t>Template Purpose</w:t>
            </w:r>
          </w:p>
        </w:tc>
        <w:tc>
          <w:tcPr>
            <w:tcW w:type="dxa" w:w="2045"/>
          </w:tcPr>
          <w:p>
            <w:pPr>
              <w:spacing w:after="0"/>
            </w:pPr>
            <w:r>
              <w:rPr>
                <w:rFonts w:ascii="Arial" w:hAnsi="Arial"/>
                <w:b/>
                <w:sz w:val="14"/>
              </w:rPr>
              <w:t>Object-Specific Fields</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Human Role to MAS Responsibility Mapping</w:t>
            </w:r>
          </w:p>
        </w:tc>
        <w:tc>
          <w:tcPr>
            <w:tcW w:type="dxa" w:w="2045"/>
          </w:tcPr>
          <w:p>
            <w:pPr>
              <w:spacing w:after="0"/>
            </w:pPr>
            <w:r>
              <w:rPr>
                <w:rFonts w:ascii="Arial" w:hAnsi="Arial"/>
                <w:b w:val="0"/>
                <w:sz w:val="14"/>
              </w:rPr>
              <w:t>Map human roles to MAS responsibilities with explicit acceptance records</w:t>
            </w:r>
          </w:p>
        </w:tc>
        <w:tc>
          <w:tcPr>
            <w:tcW w:type="dxa" w:w="2045"/>
          </w:tcPr>
          <w:p>
            <w:pPr>
              <w:spacing w:after="0"/>
            </w:pPr>
            <w:r>
              <w:rPr>
                <w:rFonts w:ascii="Arial" w:hAnsi="Arial"/>
                <w:b w:val="0"/>
                <w:sz w:val="14"/>
              </w:rPr>
              <w:t>human_role_name, mas_responsibility_scope, acceptance_required, escalation_policy, review_frequency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Delegated Authority Boundary</w:t>
            </w:r>
          </w:p>
        </w:tc>
        <w:tc>
          <w:tcPr>
            <w:tcW w:type="dxa" w:w="2045"/>
          </w:tcPr>
          <w:p>
            <w:pPr>
              <w:spacing w:after="0"/>
            </w:pPr>
            <w:r>
              <w:rPr>
                <w:rFonts w:ascii="Arial" w:hAnsi="Arial"/>
                <w:b w:val="0"/>
                <w:sz w:val="14"/>
              </w:rPr>
              <w:t>Define explicit authority boundaries for agent actions</w:t>
            </w:r>
          </w:p>
        </w:tc>
        <w:tc>
          <w:tcPr>
            <w:tcW w:type="dxa" w:w="2045"/>
          </w:tcPr>
          <w:p>
            <w:pPr>
              <w:spacing w:after="0"/>
            </w:pPr>
            <w:r>
              <w:rPr>
                <w:rFonts w:ascii="Arial" w:hAnsi="Arial"/>
                <w:b w:val="0"/>
                <w:sz w:val="14"/>
              </w:rPr>
              <w:t>authority_grant_type, tool_action_permissions, boundary_violation_policy, reauthorization_trigger, drift_detection_enabled</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Agent Role is not Human Role</w:t>
            </w:r>
          </w:p>
        </w:tc>
        <w:tc>
          <w:tcPr>
            <w:tcW w:type="dxa" w:w="2045"/>
          </w:tcPr>
          <w:p>
            <w:pPr>
              <w:spacing w:after="0"/>
            </w:pPr>
            <w:r>
              <w:rPr>
                <w:rFonts w:ascii="Arial" w:hAnsi="Arial"/>
                <w:b w:val="0"/>
                <w:sz w:val="14"/>
              </w:rPr>
              <w:t>Distinguish agent responsibility surfaces from human roles</w:t>
            </w:r>
          </w:p>
        </w:tc>
        <w:tc>
          <w:tcPr>
            <w:tcW w:type="dxa" w:w="2045"/>
          </w:tcPr>
          <w:p>
            <w:pPr>
              <w:spacing w:after="0"/>
            </w:pPr>
            <w:r>
              <w:rPr>
                <w:rFonts w:ascii="Arial" w:hAnsi="Arial"/>
                <w:b w:val="0"/>
                <w:sz w:val="14"/>
              </w:rPr>
              <w:t>agent_role_name, agent_responsibility_surface, human_role_distinction, accountability_mapping, role_confusion_risk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Accepted Outcome Compliance</w:t>
            </w:r>
          </w:p>
        </w:tc>
        <w:tc>
          <w:tcPr>
            <w:tcW w:type="dxa" w:w="2045"/>
          </w:tcPr>
          <w:p>
            <w:pPr>
              <w:spacing w:after="0"/>
            </w:pPr>
            <w:r>
              <w:rPr>
                <w:rFonts w:ascii="Arial" w:hAnsi="Arial"/>
                <w:b w:val="0"/>
                <w:sz w:val="14"/>
              </w:rPr>
              <w:t>Record explicit acceptance of agent outcomes by accountable human roles</w:t>
            </w:r>
          </w:p>
        </w:tc>
        <w:tc>
          <w:tcPr>
            <w:tcW w:type="dxa" w:w="2045"/>
          </w:tcPr>
          <w:p>
            <w:pPr>
              <w:spacing w:after="0"/>
            </w:pPr>
            <w:r>
              <w:rPr>
                <w:rFonts w:ascii="Arial" w:hAnsi="Arial"/>
                <w:b w:val="0"/>
                <w:sz w:val="14"/>
              </w:rPr>
              <w:t>outcome_description, acceptance_status, accepted_by_role, acceptance_timestamp, rejection_reason, escalation_path</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Record tool actions and liability boundaries</w:t>
            </w:r>
          </w:p>
        </w:tc>
        <w:tc>
          <w:tcPr>
            <w:tcW w:type="dxa" w:w="2045"/>
          </w:tcPr>
          <w:p>
            <w:pPr>
              <w:spacing w:after="0"/>
            </w:pPr>
            <w:r>
              <w:rPr>
                <w:rFonts w:ascii="Arial" w:hAnsi="Arial"/>
                <w:b w:val="0"/>
                <w:sz w:val="14"/>
              </w:rPr>
              <w:t>tool_name, action_type, liability_assignment, tool_provider_agreement, authorization_record, action_reversibility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Responsibility Transfer Across Agents</w:t>
            </w:r>
          </w:p>
        </w:tc>
        <w:tc>
          <w:tcPr>
            <w:tcW w:type="dxa" w:w="2045"/>
          </w:tcPr>
          <w:p>
            <w:pPr>
              <w:spacing w:after="0"/>
            </w:pPr>
            <w:r>
              <w:rPr>
                <w:rFonts w:ascii="Arial" w:hAnsi="Arial"/>
                <w:b w:val="0"/>
                <w:sz w:val="14"/>
              </w:rPr>
              <w:t>Record responsibility transfer and constraint inheritance across agent handoffs</w:t>
            </w:r>
          </w:p>
        </w:tc>
        <w:tc>
          <w:tcPr>
            <w:tcW w:type="dxa" w:w="2045"/>
          </w:tcPr>
          <w:p>
            <w:pPr>
              <w:spacing w:after="0"/>
            </w:pPr>
            <w:r>
              <w:rPr>
                <w:rFonts w:ascii="Arial" w:hAnsi="Arial"/>
                <w:b w:val="0"/>
                <w:sz w:val="14"/>
              </w:rPr>
              <w:t>source_agent_id, target_agent_id, transfer_timestamp, constraint_inheritance, handoff_validation, responsibility_acceptance</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Authority Drift</w:t>
            </w:r>
          </w:p>
        </w:tc>
        <w:tc>
          <w:tcPr>
            <w:tcW w:type="dxa" w:w="2045"/>
          </w:tcPr>
          <w:p>
            <w:pPr>
              <w:spacing w:after="0"/>
            </w:pPr>
            <w:r>
              <w:rPr>
                <w:rFonts w:ascii="Arial" w:hAnsi="Arial"/>
                <w:b w:val="0"/>
                <w:sz w:val="14"/>
              </w:rPr>
              <w:t>Detect and record authority drift over time</w:t>
            </w:r>
          </w:p>
        </w:tc>
        <w:tc>
          <w:tcPr>
            <w:tcW w:type="dxa" w:w="2045"/>
          </w:tcPr>
          <w:p>
            <w:pPr>
              <w:spacing w:after="0"/>
            </w:pPr>
            <w:r>
              <w:rPr>
                <w:rFonts w:ascii="Arial" w:hAnsi="Arial"/>
                <w:b w:val="0"/>
                <w:sz w:val="14"/>
              </w:rPr>
              <w:t>authority_baseline, current_authority_scope, drift_detected, drift_magnitude, reauthorization_required, drift_alert_policy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Partition evidence by project, customer, jurisdiction, or data subject</w:t>
            </w:r>
          </w:p>
        </w:tc>
        <w:tc>
          <w:tcPr>
            <w:tcW w:type="dxa" w:w="2045"/>
          </w:tcPr>
          <w:p>
            <w:pPr>
              <w:spacing w:after="0"/>
            </w:pPr>
            <w:r>
              <w:rPr>
                <w:rFonts w:ascii="Arial" w:hAnsi="Arial"/>
                <w:b w:val="0"/>
                <w:sz w:val="14"/>
              </w:rPr>
              <w:t>partition_key, partition_type, evidence_export_policy, selective_disclosure_enabled, partition_boundary, cross_partition_access_policy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Cross-Project Reuse Compliance</w:t>
            </w:r>
          </w:p>
        </w:tc>
        <w:tc>
          <w:tcPr>
            <w:tcW w:type="dxa" w:w="2045"/>
          </w:tcPr>
          <w:p>
            <w:pPr>
              <w:spacing w:after="0"/>
            </w:pPr>
            <w:r>
              <w:rPr>
                <w:rFonts w:ascii="Arial" w:hAnsi="Arial"/>
                <w:b w:val="0"/>
                <w:sz w:val="14"/>
              </w:rPr>
              <w:t>Validate reuse compliance across regulated contexts</w:t>
            </w:r>
          </w:p>
        </w:tc>
        <w:tc>
          <w:tcPr>
            <w:tcW w:type="dxa" w:w="2045"/>
          </w:tcPr>
          <w:p>
            <w:pPr>
              <w:spacing w:after="0"/>
            </w:pPr>
            <w:r>
              <w:rPr>
                <w:rFonts w:ascii="Arial" w:hAnsi="Arial"/>
                <w:b w:val="0"/>
                <w:sz w:val="14"/>
              </w:rPr>
              <w:t>source_project_id, target_project_id, reuse_type, reset_validation, reauthorization_required, context_boundary_check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Privacy / GDPR Lifecycle Mapping</w:t>
            </w:r>
          </w:p>
        </w:tc>
        <w:tc>
          <w:tcPr>
            <w:tcW w:type="dxa" w:w="2045"/>
          </w:tcPr>
          <w:p>
            <w:pPr>
              <w:spacing w:after="0"/>
            </w:pPr>
            <w:r>
              <w:rPr>
                <w:rFonts w:ascii="Arial" w:hAnsi="Arial"/>
                <w:b w:val="0"/>
                <w:sz w:val="14"/>
              </w:rPr>
              <w:t>Map data flow, retention, and subject rights across agent lifecycle</w:t>
            </w:r>
          </w:p>
        </w:tc>
        <w:tc>
          <w:tcPr>
            <w:tcW w:type="dxa" w:w="2045"/>
          </w:tcPr>
          <w:p>
            <w:pPr>
              <w:spacing w:after="0"/>
            </w:pPr>
            <w:r>
              <w:rPr>
                <w:rFonts w:ascii="Arial" w:hAnsi="Arial"/>
                <w:b w:val="0"/>
                <w:sz w:val="14"/>
              </w:rPr>
              <w:t>data_flow_record, retention_policy, data_subject_rights_workflow, privacy_impact_assessment, gdpr_article_mapping, data_minimization_policy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Privacy-Preserving Third-Party Validation</w:t>
            </w:r>
          </w:p>
        </w:tc>
        <w:tc>
          <w:tcPr>
            <w:tcW w:type="dxa" w:w="2045"/>
          </w:tcPr>
          <w:p>
            <w:pPr>
              <w:spacing w:after="0"/>
            </w:pPr>
            <w:r>
              <w:rPr>
                <w:rFonts w:ascii="Arial" w:hAnsi="Arial"/>
                <w:b w:val="0"/>
                <w:sz w:val="14"/>
              </w:rPr>
              <w:t>Support privacy-preserving validation without exposing sensitive data</w:t>
            </w:r>
          </w:p>
        </w:tc>
        <w:tc>
          <w:tcPr>
            <w:tcW w:type="dxa" w:w="2045"/>
          </w:tcPr>
          <w:p>
            <w:pPr>
              <w:spacing w:after="0"/>
            </w:pPr>
            <w:r>
              <w:rPr>
                <w:rFonts w:ascii="Arial" w:hAnsi="Arial"/>
                <w:b w:val="0"/>
                <w:sz w:val="14"/>
              </w:rPr>
              <w:t>validation_protocol, disclosure_profile, redaction_profile, hash_manifest, verdict_hash, validation_provider_agreement</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Evidence Minimization and Selective Disclosure</w:t>
            </w:r>
          </w:p>
        </w:tc>
        <w:tc>
          <w:tcPr>
            <w:tcW w:type="dxa" w:w="2045"/>
          </w:tcPr>
          <w:p>
            <w:pPr>
              <w:spacing w:after="0"/>
            </w:pPr>
            <w:r>
              <w:rPr>
                <w:rFonts w:ascii="Arial" w:hAnsi="Arial"/>
                <w:b w:val="0"/>
                <w:sz w:val="14"/>
              </w:rPr>
              <w:t>Implement evidence minimization and selective disclosure policies</w:t>
            </w:r>
          </w:p>
        </w:tc>
        <w:tc>
          <w:tcPr>
            <w:tcW w:type="dxa" w:w="2045"/>
          </w:tcPr>
          <w:p>
            <w:pPr>
              <w:spacing w:after="0"/>
            </w:pPr>
            <w:r>
              <w:rPr>
                <w:rFonts w:ascii="Arial" w:hAnsi="Arial"/>
                <w:b w:val="0"/>
                <w:sz w:val="14"/>
              </w:rPr>
              <w:t>retention_policy, disclosure_policy, minimization_rules, selective_disclosure_log, evidence_expiry, disclosure_justification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Data Subject Rights vs Evidence Retention</w:t>
            </w:r>
          </w:p>
        </w:tc>
        <w:tc>
          <w:tcPr>
            <w:tcW w:type="dxa" w:w="2045"/>
          </w:tcPr>
          <w:p>
            <w:pPr>
              <w:spacing w:after="0"/>
            </w:pPr>
            <w:r>
              <w:rPr>
                <w:rFonts w:ascii="Arial" w:hAnsi="Arial"/>
                <w:b w:val="0"/>
                <w:sz w:val="14"/>
              </w:rPr>
              <w:t>Reconcile data subject rights with evidence retention requirements</w:t>
            </w:r>
          </w:p>
        </w:tc>
        <w:tc>
          <w:tcPr>
            <w:tcW w:type="dxa" w:w="2045"/>
          </w:tcPr>
          <w:p>
            <w:pPr>
              <w:spacing w:after="0"/>
            </w:pPr>
            <w:r>
              <w:rPr>
                <w:rFonts w:ascii="Arial" w:hAnsi="Arial"/>
                <w:b w:val="0"/>
                <w:sz w:val="14"/>
              </w:rPr>
              <w:t>data_subject_request_type, evidence_retention_requirement, reconciliation_policy, legal_hold_status, erasure_exception, retention_justification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Third-Party Processor / Subprocessor Chain</w:t>
            </w:r>
          </w:p>
        </w:tc>
        <w:tc>
          <w:tcPr>
            <w:tcW w:type="dxa" w:w="2045"/>
          </w:tcPr>
          <w:p>
            <w:pPr>
              <w:spacing w:after="0"/>
            </w:pPr>
            <w:r>
              <w:rPr>
                <w:rFonts w:ascii="Arial" w:hAnsi="Arial"/>
                <w:b w:val="0"/>
                <w:sz w:val="14"/>
              </w:rPr>
              <w:t>Map processor and subprocessor chain with responsibility assignment</w:t>
            </w:r>
          </w:p>
        </w:tc>
        <w:tc>
          <w:tcPr>
            <w:tcW w:type="dxa" w:w="2045"/>
          </w:tcPr>
          <w:p>
            <w:pPr>
              <w:spacing w:after="0"/>
            </w:pPr>
            <w:r>
              <w:rPr>
                <w:rFonts w:ascii="Arial" w:hAnsi="Arial"/>
                <w:b w:val="0"/>
                <w:sz w:val="14"/>
              </w:rPr>
              <w:t>processor_name, processor_role, subprocessor_chain, data_processing_agreement, responsibility_assignment, processor_liability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Vendor / Model / Runtime Substitution Conformance</w:t>
            </w:r>
          </w:p>
        </w:tc>
        <w:tc>
          <w:tcPr>
            <w:tcW w:type="dxa" w:w="2045"/>
          </w:tcPr>
          <w:p>
            <w:pPr>
              <w:spacing w:after="0"/>
            </w:pPr>
            <w:r>
              <w:rPr>
                <w:rFonts w:ascii="Arial" w:hAnsi="Arial"/>
                <w:b w:val="0"/>
                <w:sz w:val="14"/>
              </w:rPr>
              <w:t>Validate conformance after vendor, model, or runtime substitution</w:t>
            </w:r>
          </w:p>
        </w:tc>
        <w:tc>
          <w:tcPr>
            <w:tcW w:type="dxa" w:w="2045"/>
          </w:tcPr>
          <w:p>
            <w:pPr>
              <w:spacing w:after="0"/>
            </w:pPr>
            <w:r>
              <w:rPr>
                <w:rFonts w:ascii="Arial" w:hAnsi="Arial"/>
                <w:b w:val="0"/>
                <w:sz w:val="14"/>
              </w:rPr>
              <w:t>substitution_type, previous_vendor, new_vendor, conformance_validation, regression_testing, evidence_integrity_check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MRO-16</w:t>
            </w:r>
          </w:p>
        </w:tc>
        <w:tc>
          <w:tcPr>
            <w:tcW w:type="dxa" w:w="2045"/>
          </w:tcPr>
          <w:p>
            <w:pPr>
              <w:spacing w:after="0"/>
            </w:pPr>
            <w:r>
              <w:rPr>
                <w:rFonts w:ascii="Arial" w:hAnsi="Arial"/>
                <w:b w:val="0"/>
                <w:sz w:val="14"/>
              </w:rPr>
              <w:t>Incident, Dispute, and Remediation Closure</w:t>
            </w:r>
          </w:p>
        </w:tc>
        <w:tc>
          <w:tcPr>
            <w:tcW w:type="dxa" w:w="2045"/>
          </w:tcPr>
          <w:p>
            <w:pPr>
              <w:spacing w:after="0"/>
            </w:pPr>
            <w:r>
              <w:rPr>
                <w:rFonts w:ascii="Arial" w:hAnsi="Arial"/>
                <w:b w:val="0"/>
                <w:sz w:val="14"/>
              </w:rPr>
              <w:t>Record incident, dispute, and remediation closure with responsible owner</w:t>
            </w:r>
          </w:p>
        </w:tc>
        <w:tc>
          <w:tcPr>
            <w:tcW w:type="dxa" w:w="2045"/>
          </w:tcPr>
          <w:p>
            <w:pPr>
              <w:spacing w:after="0"/>
            </w:pPr>
            <w:r>
              <w:rPr>
                <w:rFonts w:ascii="Arial" w:hAnsi="Arial"/>
                <w:b w:val="0"/>
                <w:sz w:val="14"/>
              </w:rPr>
              <w:t>incident_type, affected_outcomes, remediation_action, closure_status, responsible_owner, customer_impact_assessment</w:t>
            </w:r>
          </w:p>
        </w:tc>
        <w:tc>
          <w:tcPr>
            <w:tcW w:type="dxa" w:w="2045"/>
          </w:tcPr>
          <w:p>
            <w:pPr>
              <w:spacing w:after="0"/>
            </w:pPr>
            <w:r>
              <w:rPr>
                <w:rFonts w:ascii="Arial" w:hAnsi="Arial"/>
                <w:b w:val="0"/>
                <w:sz w:val="14"/>
              </w:rPr>
              <w:t>Illustrative only; not legal requirement; not certification requirement</w:t>
            </w:r>
          </w:p>
        </w:tc>
      </w:tr>
    </w:tbl>
    <w:p>
      <w:pPr>
        <w:pStyle w:val="Heading2"/>
      </w:pPr>
      <w:r>
        <w:t>A.3 MRO Templates</w:t>
      </w:r>
    </w:p>
    <w:p>
      <w:pPr>
        <w:pStyle w:val="Heading3"/>
      </w:pPr>
      <w:r>
        <w:t>MRO-01: Human Role to MAS Responsibility Mapping</w:t>
      </w:r>
    </w:p>
    <w:p>
      <w:pPr>
        <w:spacing w:after="56"/>
      </w:pPr>
      <w: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Pr>
        <w:pStyle w:val="Heading3"/>
      </w:pPr>
      <w:r>
        <w:t>MRO-02: Delegated Authority Boundary</w:t>
      </w:r>
    </w:p>
    <w:p>
      <w:pPr>
        <w:spacing w:after="56"/>
      </w:pPr>
      <w: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Pr>
        <w:pStyle w:val="Heading3"/>
      </w:pPr>
      <w:r>
        <w:t>MRO-03: Agent Role is not Human Role</w:t>
      </w:r>
    </w:p>
    <w:p>
      <w:pPr>
        <w:spacing w:after="56"/>
      </w:pPr>
      <w: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Pr>
        <w:pStyle w:val="Heading3"/>
      </w:pPr>
      <w:r>
        <w:t>MRO-04: Accepted Outcome Compliance</w:t>
      </w:r>
    </w:p>
    <w:p>
      <w:pPr>
        <w:spacing w:after="56"/>
      </w:pPr>
      <w: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Pr>
        <w:pStyle w:val="Heading3"/>
      </w:pPr>
      <w:r>
        <w:t>MRO-05: Tool-Action Liability Boundary</w:t>
      </w:r>
    </w:p>
    <w:p>
      <w:pPr>
        <w:spacing w:after="56"/>
      </w:pPr>
      <w: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"responsibility_boundary_recorded"</w:t>
        <w:br/>
        <w:t>tool_provider_agreement: "agreement-uuid"</w:t>
        <w:br/>
        <w:t>authorization_record: "authorization-uuid"</w:t>
        <w:br/>
        <w:t>action_reversibility: "reversible_with_audit_trail"</w:t>
      </w:r>
    </w:p>
    <w:p>
      <w:pPr>
        <w:pStyle w:val="Heading3"/>
      </w:pPr>
      <w:r>
        <w:t>MRO-06: Responsibility Transfer Across Agents</w:t>
      </w:r>
    </w:p>
    <w:p>
      <w:pPr>
        <w:spacing w:after="56"/>
      </w:pPr>
      <w: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"handoff_check_recorded"</w:t>
        <w:br/>
        <w:t>responsibility_acceptance: "accepted_by_agent_2"</w:t>
      </w:r>
    </w:p>
    <w:p>
      <w:pPr>
        <w:pStyle w:val="Heading3"/>
      </w:pPr>
      <w:r>
        <w:t>MRO-07: Authority Drift</w:t>
      </w:r>
    </w:p>
    <w:p>
      <w:pPr>
        <w:spacing w:after="56"/>
      </w:pPr>
      <w: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Pr>
        <w:pStyle w:val="Heading3"/>
      </w:pPr>
      <w:r>
        <w:t>MRO-08: MAS Evidence Partitioning</w:t>
      </w:r>
    </w:p>
    <w:p>
      <w:pPr>
        <w:spacing w:after="56"/>
      </w:pPr>
      <w: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Pr>
        <w:pStyle w:val="Heading3"/>
      </w:pPr>
      <w:r>
        <w:t>MRO-09: Cross-Project Reuse Compliance</w:t>
      </w:r>
    </w:p>
    <w:p>
      <w:pPr>
        <w:spacing w:after="56"/>
      </w:pPr>
      <w: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"reuse_review_recorded"</w:t>
        <w:br/>
        <w:t>created_at: "2026-05-10T10:00:00Z"</w:t>
        <w:br/>
        <w:t>updated_at: "2026-05-10T10:00:00Z"</w:t>
        <w:br/>
        <w:t>closure_reason: null</w:t>
        <w:br/>
        <w:br/>
        <w:t># Object-specific fields</w:t>
        <w:br/>
        <w:t>source_project_id: "project-1-uuid"</w:t>
        <w:br/>
        <w:t>target_project_id: "project-2-uuid"</w:t>
        <w:br/>
        <w:t>reuse_type: "prompt_template"</w:t>
        <w:br/>
        <w:t>reset_validation: "reset_check_recorded"</w:t>
        <w:br/>
        <w:t>reauthorization_required: true</w:t>
        <w:br/>
        <w:t>context_boundary_check: "context_boundary_check_recorded"</w:t>
      </w:r>
    </w:p>
    <w:p>
      <w:pPr>
        <w:pStyle w:val="Heading3"/>
      </w:pPr>
      <w:r>
        <w:t>MRO-10: Privacy / GDPR Lifecycle Mapping</w:t>
      </w:r>
    </w:p>
    <w:p>
      <w:pPr>
        <w:spacing w:after="56"/>
      </w:pPr>
      <w: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"rights_workflow_mapping_required"</w:t>
        <w:br/>
        <w:t>privacy_impact_assessment: "pia-uuid"</w:t>
        <w:br/>
        <w:t>gdpr_article_mapping: ["Article 6 mapping required", "Article 17 mapping required"]</w:t>
        <w:br/>
        <w:t>data_minimization_policy: "collect_only_necessary"</w:t>
      </w:r>
    </w:p>
    <w:p>
      <w:pPr>
        <w:pStyle w:val="Heading3"/>
      </w:pPr>
      <w:r>
        <w:t>MRO-11: Privacy-Preserving Third-Party Validation</w:t>
      </w:r>
    </w:p>
    <w:p>
      <w:pPr>
        <w:spacing w:after="56"/>
      </w:pPr>
      <w: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"validation_recorded"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Pr>
        <w:pStyle w:val="Heading3"/>
      </w:pPr>
      <w:r>
        <w:t>MRO-12: Evidence Minimization and Selective Disclosure</w:t>
      </w:r>
    </w:p>
    <w:p>
      <w:pPr>
        <w:spacing w:after="56"/>
      </w:pPr>
      <w: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Pr>
        <w:pStyle w:val="Heading3"/>
      </w:pPr>
      <w:r>
        <w:t>MRO-13: Data Subject Rights vs Evidence Retention</w:t>
      </w:r>
    </w:p>
    <w:p>
      <w:pPr>
        <w:spacing w:after="56"/>
      </w:pPr>
      <w: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Pr>
        <w:pStyle w:val="Heading3"/>
      </w:pPr>
      <w:r>
        <w:t>MRO-14: Third-Party Processor / Subprocessor Chain</w:t>
      </w:r>
    </w:p>
    <w:p>
      <w:pPr>
        <w:spacing w:after="56"/>
      </w:pPr>
      <w: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"processor_responsibility_reference"</w:t>
        <w:br/>
        <w:t>processor_liability: "gdpr_article_28_mapping_required"</w:t>
      </w:r>
    </w:p>
    <w:p>
      <w:pPr>
        <w:pStyle w:val="Heading3"/>
      </w:pPr>
      <w:r>
        <w:t>MRO-15: Vendor / Model / Runtime Substitution Conformance</w:t>
      </w:r>
    </w:p>
    <w:p>
      <w:pPr>
        <w:spacing w:after="56"/>
      </w:pPr>
      <w: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"conformance_check_recorded"</w:t>
        <w:br/>
        <w:t>created_at: "2026-05-10T10:00:00Z"</w:t>
        <w:br/>
        <w:t>updated_at: "2026-05-10T10:00:00Z"</w:t>
        <w:br/>
        <w:t>closure_reason: null</w:t>
        <w:br/>
        <w:br/>
        <w:t># Object-specific fields</w:t>
        <w:br/>
        <w:t>substitution_type: "model_provider"</w:t>
        <w:br/>
        <w:t>previous_vendor: "Vendor A"</w:t>
        <w:br/>
        <w:t>new_vendor: "Vendor B"</w:t>
        <w:br/>
        <w:t>conformance_validation: "conformance_check_recorded"</w:t>
        <w:br/>
        <w:t>regression_testing: "regression_check_recorded"</w:t>
        <w:br/>
        <w:t>evidence_integrity_check: "evidence_integrity_check_recorded"</w:t>
      </w:r>
    </w:p>
    <w:p>
      <w:pPr>
        <w:pStyle w:val="Heading3"/>
      </w:pPr>
      <w:r>
        <w:t>MRO-16: Incident, Dispute, and Remediation Closure</w:t>
      </w:r>
    </w:p>
    <w:p>
      <w:pPr>
        <w:spacing w:after="56"/>
      </w:pPr>
      <w: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Pr>
        <w:pStyle w:val="Heading1"/>
      </w:pPr>
      <w:r>
        <w:t>Appendix B — Scorecard Template</w:t>
      </w:r>
    </w:p>
    <w:p>
      <w:pPr>
        <w:spacing w:after="56"/>
      </w:pPr>
      <w:r>
        <w:t>Version: v0.3.2-FRC-R3</w:t>
      </w:r>
    </w:p>
    <w:p>
      <w:pPr>
        <w:pStyle w:val="Heading2"/>
      </w:pPr>
      <w:r>
        <w:t>B.0 Scorecard Boundary</w:t>
      </w:r>
    </w:p>
    <w:p>
      <w:pPr>
        <w:spacing w:after="56"/>
      </w:pPr>
      <w:r>
        <w:t>This appendix provides reusable RCCS-T / RCCS-M / ALCS scorecard templates for system evaluation and gap analysis. These templates are analytical tools, not legal compliance scores, certifications, or regulatory approvals. The three-profile view is primary; optional composite views are worksheet aids only.</w:t>
      </w:r>
    </w:p>
    <w:p>
      <w:pPr>
        <w:spacing w:after="56"/>
      </w:pPr>
      <w:r>
        <w:t>Boundary statement:</w:t>
      </w:r>
    </w:p>
    <w:p>
      <w:pPr>
        <w:pStyle w:val="ListBullet"/>
        <w:spacing w:after="56"/>
      </w:pPr>
      <w:r>
        <w:t>Scorecards are analytical tools only. RCCS-T measures traditional regulatory compliance coverage, RCCS-M measures MRO-adjusted regulatory coverage, and ALCS measures lifecycle responsibility object maturity. They do not prove legal compliance, regulatory approval, or certification.</w:t>
      </w:r>
    </w:p>
    <w:p>
      <w:pPr>
        <w:pStyle w:val="ListBullet"/>
        <w:spacing w:after="56"/>
      </w:pPr>
      <w:r>
        <w:t>High scores do not guarantee compliance. A high RCCS-T, RCCS-M, or ALCS score indicates that a system provides primitives for regulatory compliance coverage or lifecycle responsibility objects. It does not prove that the system is legally compliant, operationally effective, or enterprise-ready.</w:t>
      </w:r>
    </w:p>
    <w:p>
      <w:pPr>
        <w:pStyle w:val="ListBullet"/>
        <w:spacing w:after="56"/>
      </w:pPr>
      <w:r>
        <w:t>Low scores do not prove non-compliance. A low RCCS-T, RCCS-M, or ALCS score indicates gaps in traditional regulatory coverage, MRO-adjusted coverage, or lifecycle responsibility object maturity. It does not prove that the system is non-compliant, unsafe, or unsuitable for deployment.</w:t>
      </w:r>
    </w:p>
    <w:p>
      <w:pPr>
        <w:pStyle w:val="ListBullet"/>
        <w:spacing w:after="56"/>
      </w:pPr>
      <w:r>
        <w:t>Scores are context-independent. RCCS-T, RCCS-M, and ALCS scores measure system capability, not organizational practice. Organizations must interpret scores within their legal, regulatory, and operational context.</w:t>
      </w:r>
    </w:p>
    <w:p>
      <w:pPr>
        <w:pStyle w:val="ListBullet"/>
        <w:spacing w:after="56"/>
      </w:pPr>
      <w:r>
        <w:t>Scores require evidence. All scores must be supported by evidence. The evidence level (L1-L5) affects the score multiplier. Scores without evidence are not valid.</w:t>
      </w:r>
    </w:p>
    <w:p>
      <w:pPr>
        <w:pStyle w:val="ListBullet"/>
        <w:spacing w:after="56"/>
      </w:pPr>
      <w:r>
        <w:t>Scores are not product rankings. Scorecards compare systems by responsibility semantics, not product quality, market leadership, or procurement suitability.</w:t>
      </w:r>
    </w:p>
    <w:p>
      <w:pPr>
        <w:pStyle w:val="Heading2"/>
      </w:pPr>
      <w:r>
        <w:t>B.1 Dimension-Level Scoring Template</w:t>
      </w:r>
    </w:p>
    <w:p>
      <w:pPr>
        <w:spacing w:after="56"/>
      </w:pPr>
      <w:r>
        <w:t>The following template supports dimension-level scoring for RCCS-T, RCCS-M, and ALCS dimensions.</w:t>
      </w:r>
    </w:p>
    <w:p>
      <w:pPr>
        <w:spacing w:after="56"/>
      </w:pPr>
      <w:r>
        <w:t>RCCS-T and RCCS-M use the same dimension family but different scoring lenses. Scorecards should retain both values where evidence permits: RCCS-T for traditional governance/control coverage, RCCS-M for MRO-adjusted lifecycle responsibility object expression. The justification field should state which lens is being scored and whether the evidence supports the lens directly or only through analytical inference.</w:t>
      </w:r>
    </w:p>
    <w:p>
      <w:pPr>
        <w:keepNext/>
      </w:pPr>
      <w:r>
        <w:rPr>
          <w:b/>
          <w:sz w:val="16"/>
        </w:rPr>
        <w:t>Table T-B-01: RCCS-T / RCCS-M / ALCS Dimension Scorecard Template</w:t>
      </w:r>
    </w:p>
    <w:tbl>
      <w:tblPr>
        <w:tblStyle w:val="TableGrid"/>
        <w:tblW w:type="auto" w:w="0"/>
        <w:tblLayout w:type="autofit"/>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pPr>
            <w:r>
              <w:rPr>
                <w:rFonts w:ascii="Arial" w:hAnsi="Arial"/>
                <w:b/>
                <w:sz w:val="12"/>
              </w:rPr>
              <w:t>System</w:t>
            </w:r>
          </w:p>
        </w:tc>
        <w:tc>
          <w:tcPr>
            <w:tcW w:type="dxa" w:w="1022"/>
          </w:tcPr>
          <w:p>
            <w:pPr>
              <w:spacing w:after="0"/>
            </w:pPr>
            <w:r>
              <w:rPr>
                <w:rFonts w:ascii="Arial" w:hAnsi="Arial"/>
                <w:b/>
                <w:sz w:val="12"/>
              </w:rPr>
              <w:t>Profile / Lens</w:t>
            </w:r>
          </w:p>
        </w:tc>
        <w:tc>
          <w:tcPr>
            <w:tcW w:type="dxa" w:w="1022"/>
          </w:tcPr>
          <w:p>
            <w:pPr>
              <w:spacing w:after="0"/>
            </w:pPr>
            <w:r>
              <w:rPr>
                <w:rFonts w:ascii="Arial" w:hAnsi="Arial"/>
                <w:b/>
                <w:sz w:val="12"/>
              </w:rPr>
              <w:t>Dimension</w:t>
            </w:r>
          </w:p>
        </w:tc>
        <w:tc>
          <w:tcPr>
            <w:tcW w:type="dxa" w:w="1022"/>
          </w:tcPr>
          <w:p>
            <w:pPr>
              <w:spacing w:after="0"/>
            </w:pPr>
            <w:r>
              <w:rPr>
                <w:rFonts w:ascii="Arial" w:hAnsi="Arial"/>
                <w:b/>
                <w:sz w:val="12"/>
              </w:rPr>
              <w:t>Raw Score 0-5</w:t>
            </w:r>
          </w:p>
        </w:tc>
        <w:tc>
          <w:tcPr>
            <w:tcW w:type="dxa" w:w="1022"/>
          </w:tcPr>
          <w:p>
            <w:pPr>
              <w:spacing w:after="0"/>
            </w:pPr>
            <w:r>
              <w:rPr>
                <w:rFonts w:ascii="Arial" w:hAnsi="Arial"/>
                <w:b/>
                <w:sz w:val="12"/>
              </w:rPr>
              <w:t>Evidence Level</w:t>
            </w:r>
          </w:p>
        </w:tc>
        <w:tc>
          <w:tcPr>
            <w:tcW w:type="dxa" w:w="1022"/>
          </w:tcPr>
          <w:p>
            <w:pPr>
              <w:spacing w:after="0"/>
            </w:pPr>
            <w:r>
              <w:rPr>
                <w:rFonts w:ascii="Arial" w:hAnsi="Arial"/>
                <w:b/>
                <w:sz w:val="12"/>
              </w:rPr>
              <w:t>Multiplier</w:t>
            </w:r>
          </w:p>
        </w:tc>
        <w:tc>
          <w:tcPr>
            <w:tcW w:type="dxa" w:w="1022"/>
          </w:tcPr>
          <w:p>
            <w:pPr>
              <w:spacing w:after="0"/>
            </w:pPr>
            <w:r>
              <w:rPr>
                <w:rFonts w:ascii="Arial" w:hAnsi="Arial"/>
                <w:b/>
                <w:sz w:val="12"/>
              </w:rPr>
              <w:t>Adjusted Score</w:t>
            </w:r>
          </w:p>
        </w:tc>
        <w:tc>
          <w:tcPr>
            <w:tcW w:type="dxa" w:w="1022"/>
          </w:tcPr>
          <w:p>
            <w:pPr>
              <w:spacing w:after="0"/>
            </w:pPr>
            <w:r>
              <w:rPr>
                <w:rFonts w:ascii="Arial" w:hAnsi="Arial"/>
                <w:b/>
                <w:sz w:val="12"/>
              </w:rPr>
              <w:t>Justification</w:t>
            </w:r>
          </w:p>
        </w:tc>
        <w:tc>
          <w:tcPr>
            <w:tcW w:type="dxa" w:w="1022"/>
          </w:tcPr>
          <w:p>
            <w:pPr>
              <w:spacing w:after="0"/>
            </w:pPr>
            <w:r>
              <w:rPr>
                <w:rFonts w:ascii="Arial" w:hAnsi="Arial"/>
                <w:b/>
                <w:sz w:val="12"/>
              </w:rPr>
              <w:t>Score-Delta Note</w:t>
            </w:r>
          </w:p>
        </w:tc>
        <w:tc>
          <w:tcPr>
            <w:tcW w:type="dxa" w:w="1022"/>
          </w:tcPr>
          <w:p>
            <w:pPr>
              <w:spacing w:after="0"/>
            </w:pPr>
            <w:r>
              <w:rPr>
                <w:rFonts w:ascii="Arial" w:hAnsi="Arial"/>
                <w:b/>
                <w:sz w:val="12"/>
              </w:rPr>
              <w:t>Boundary Note</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RCCS-T</w:t>
            </w:r>
          </w:p>
        </w:tc>
        <w:tc>
          <w:tcPr>
            <w:tcW w:type="dxa" w:w="1022"/>
          </w:tcPr>
          <w:p>
            <w:pPr>
              <w:spacing w:after="0"/>
            </w:pPr>
            <w:r>
              <w:rPr>
                <w:rFonts w:ascii="Arial" w:hAnsi="Arial"/>
                <w:b w:val="0"/>
                <w:sz w:val="12"/>
              </w:rPr>
              <w:t>RCCS-04: Record-Keeping</w:t>
            </w:r>
          </w:p>
        </w:tc>
        <w:tc>
          <w:tcPr>
            <w:tcW w:type="dxa" w:w="1022"/>
          </w:tcPr>
          <w:p>
            <w:pPr>
              <w:spacing w:after="0"/>
            </w:pPr>
            <w:r>
              <w:rPr>
                <w:rFonts w:ascii="Arial" w:hAnsi="Arial"/>
                <w:b w:val="0"/>
                <w:sz w:val="12"/>
              </w:rPr>
              <w:t>4</w:t>
            </w:r>
          </w:p>
        </w:tc>
        <w:tc>
          <w:tcPr>
            <w:tcW w:type="dxa" w:w="1022"/>
          </w:tcPr>
          <w:p>
            <w:pPr>
              <w:spacing w:after="0"/>
            </w:pPr>
            <w:r>
              <w:rPr>
                <w:rFonts w:ascii="Arial" w:hAnsi="Arial"/>
                <w:b w:val="0"/>
                <w:sz w:val="12"/>
              </w:rPr>
              <w:t>L2: Product Docs</w:t>
            </w:r>
          </w:p>
        </w:tc>
        <w:tc>
          <w:tcPr>
            <w:tcW w:type="dxa" w:w="1022"/>
          </w:tcPr>
          <w:p>
            <w:pPr>
              <w:spacing w:after="0"/>
            </w:pPr>
            <w:r>
              <w:rPr>
                <w:rFonts w:ascii="Arial" w:hAnsi="Arial"/>
                <w:b w:val="0"/>
                <w:sz w:val="12"/>
              </w:rPr>
              <w:t>0.85</w:t>
            </w:r>
          </w:p>
        </w:tc>
        <w:tc>
          <w:tcPr>
            <w:tcW w:type="dxa" w:w="1022"/>
          </w:tcPr>
          <w:p>
            <w:pPr>
              <w:spacing w:after="0"/>
            </w:pPr>
            <w:r>
              <w:rPr>
                <w:rFonts w:ascii="Arial" w:hAnsi="Arial"/>
                <w:b w:val="0"/>
                <w:sz w:val="12"/>
              </w:rPr>
              <w:t>68.0</w:t>
            </w:r>
          </w:p>
        </w:tc>
        <w:tc>
          <w:tcPr>
            <w:tcW w:type="dxa" w:w="1022"/>
          </w:tcPr>
          <w:p>
            <w:pPr>
              <w:spacing w:after="0"/>
            </w:pPr>
            <w:r>
              <w:rPr>
                <w:rFonts w:ascii="Arial" w:hAnsi="Arial"/>
                <w:b w:val="0"/>
                <w:sz w:val="12"/>
              </w:rPr>
              <w:t>System provides audit trail API and log export capability documented in official product docs</w:t>
            </w:r>
          </w:p>
        </w:tc>
        <w:tc>
          <w:tcPr>
            <w:tcW w:type="dxa" w:w="1022"/>
          </w:tcPr>
          <w:p>
            <w:pPr>
              <w:spacing w:after="0"/>
            </w:pPr>
            <w:r>
              <w:rPr>
                <w:rFonts w:ascii="Arial" w:hAnsi="Arial"/>
                <w:b w:val="0"/>
                <w:sz w:val="12"/>
              </w:rPr>
              <w:t>Strong traditional record-keeping surface</w:t>
            </w:r>
          </w:p>
        </w:tc>
        <w:tc>
          <w:tcPr>
            <w:tcW w:type="dxa" w:w="1022"/>
          </w:tcPr>
          <w:p>
            <w:pPr>
              <w:spacing w:after="0"/>
            </w:pPr>
            <w:r>
              <w:rPr>
                <w:rFonts w:ascii="Arial" w:hAnsi="Arial"/>
                <w:b w:val="0"/>
                <w:sz w:val="12"/>
              </w:rPr>
              <w:t>Score measures capability, not organizational practice; does not prove legal compliance</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RCCS-M</w:t>
            </w:r>
          </w:p>
        </w:tc>
        <w:tc>
          <w:tcPr>
            <w:tcW w:type="dxa" w:w="1022"/>
          </w:tcPr>
          <w:p>
            <w:pPr>
              <w:spacing w:after="0"/>
            </w:pPr>
            <w:r>
              <w:rPr>
                <w:rFonts w:ascii="Arial" w:hAnsi="Arial"/>
                <w:b w:val="0"/>
                <w:sz w:val="12"/>
              </w:rPr>
              <w:t>RCCS-04: Record-Keeping</w:t>
            </w:r>
          </w:p>
        </w:tc>
        <w:tc>
          <w:tcPr>
            <w:tcW w:type="dxa" w:w="1022"/>
          </w:tcPr>
          <w:p>
            <w:pPr>
              <w:spacing w:after="0"/>
            </w:pPr>
            <w:r>
              <w:rPr>
                <w:rFonts w:ascii="Arial" w:hAnsi="Arial"/>
                <w:b w:val="0"/>
                <w:sz w:val="12"/>
              </w:rPr>
              <w:t>2</w:t>
            </w:r>
          </w:p>
        </w:tc>
        <w:tc>
          <w:tcPr>
            <w:tcW w:type="dxa" w:w="1022"/>
          </w:tcPr>
          <w:p>
            <w:pPr>
              <w:spacing w:after="0"/>
            </w:pPr>
            <w:r>
              <w:rPr>
                <w:rFonts w:ascii="Arial" w:hAnsi="Arial"/>
                <w:b w:val="0"/>
                <w:sz w:val="12"/>
              </w:rPr>
              <w:t>L5: Author Inference</w:t>
            </w:r>
          </w:p>
        </w:tc>
        <w:tc>
          <w:tcPr>
            <w:tcW w:type="dxa" w:w="1022"/>
          </w:tcPr>
          <w:p>
            <w:pPr>
              <w:spacing w:after="0"/>
            </w:pPr>
            <w:r>
              <w:rPr>
                <w:rFonts w:ascii="Arial" w:hAnsi="Arial"/>
                <w:b w:val="0"/>
                <w:sz w:val="12"/>
              </w:rPr>
              <w:t>0.35</w:t>
            </w:r>
          </w:p>
        </w:tc>
        <w:tc>
          <w:tcPr>
            <w:tcW w:type="dxa" w:w="1022"/>
          </w:tcPr>
          <w:p>
            <w:pPr>
              <w:spacing w:after="0"/>
            </w:pPr>
            <w:r>
              <w:rPr>
                <w:rFonts w:ascii="Arial" w:hAnsi="Arial"/>
                <w:b w:val="0"/>
                <w:sz w:val="12"/>
              </w:rPr>
              <w:t>14.0</w:t>
            </w:r>
          </w:p>
        </w:tc>
        <w:tc>
          <w:tcPr>
            <w:tcW w:type="dxa" w:w="1022"/>
          </w:tcPr>
          <w:p>
            <w:pPr>
              <w:spacing w:after="0"/>
            </w:pPr>
            <w:r>
              <w:rPr>
                <w:rFonts w:ascii="Arial" w:hAnsi="Arial"/>
                <w:b w:val="0"/>
                <w:sz w:val="12"/>
              </w:rPr>
              <w:t>Public evidence does not show records partitioned by role, authority boundary, agent/tool action, privacy boundary, and accepted outcome</w:t>
            </w:r>
          </w:p>
        </w:tc>
        <w:tc>
          <w:tcPr>
            <w:tcW w:type="dxa" w:w="1022"/>
          </w:tcPr>
          <w:p>
            <w:pPr>
              <w:spacing w:after="0"/>
            </w:pPr>
            <w:r>
              <w:rPr>
                <w:rFonts w:ascii="Arial" w:hAnsi="Arial"/>
                <w:b w:val="0"/>
                <w:sz w:val="12"/>
              </w:rPr>
              <w:t>Traditional logs do not automatically satisfy MRO evidence partitioning</w:t>
            </w:r>
          </w:p>
        </w:tc>
        <w:tc>
          <w:tcPr>
            <w:tcW w:type="dxa" w:w="1022"/>
          </w:tcPr>
          <w:p>
            <w:pPr>
              <w:spacing w:after="0"/>
            </w:pPr>
            <w:r>
              <w:rPr>
                <w:rFonts w:ascii="Arial" w:hAnsi="Arial"/>
                <w:b w:val="0"/>
                <w:sz w:val="12"/>
              </w:rPr>
              <w:t>RCCS-M is author analytical where object semantics are inferred</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ALCS</w:t>
            </w:r>
          </w:p>
        </w:tc>
        <w:tc>
          <w:tcPr>
            <w:tcW w:type="dxa" w:w="1022"/>
          </w:tcPr>
          <w:p>
            <w:pPr>
              <w:spacing w:after="0"/>
            </w:pPr>
            <w:r>
              <w:rPr>
                <w:rFonts w:ascii="Arial" w:hAnsi="Arial"/>
                <w:b w:val="0"/>
                <w:sz w:val="12"/>
              </w:rPr>
              <w:t>ALCS-02: Delegated Authority Boundary</w:t>
            </w:r>
          </w:p>
        </w:tc>
        <w:tc>
          <w:tcPr>
            <w:tcW w:type="dxa" w:w="1022"/>
          </w:tcPr>
          <w:p>
            <w:pPr>
              <w:spacing w:after="0"/>
            </w:pPr>
            <w:r>
              <w:rPr>
                <w:rFonts w:ascii="Arial" w:hAnsi="Arial"/>
                <w:b w:val="0"/>
                <w:sz w:val="12"/>
              </w:rPr>
              <w:t>3</w:t>
            </w:r>
          </w:p>
        </w:tc>
        <w:tc>
          <w:tcPr>
            <w:tcW w:type="dxa" w:w="1022"/>
          </w:tcPr>
          <w:p>
            <w:pPr>
              <w:spacing w:after="0"/>
            </w:pPr>
            <w:r>
              <w:rPr>
                <w:rFonts w:ascii="Arial" w:hAnsi="Arial"/>
                <w:b w:val="0"/>
                <w:sz w:val="12"/>
              </w:rPr>
              <w:t>L3: Audit Report</w:t>
            </w:r>
          </w:p>
        </w:tc>
        <w:tc>
          <w:tcPr>
            <w:tcW w:type="dxa" w:w="1022"/>
          </w:tcPr>
          <w:p>
            <w:pPr>
              <w:spacing w:after="0"/>
            </w:pPr>
            <w:r>
              <w:rPr>
                <w:rFonts w:ascii="Arial" w:hAnsi="Arial"/>
                <w:b w:val="0"/>
                <w:sz w:val="12"/>
              </w:rPr>
              <w:t>0.75</w:t>
            </w:r>
          </w:p>
        </w:tc>
        <w:tc>
          <w:tcPr>
            <w:tcW w:type="dxa" w:w="1022"/>
          </w:tcPr>
          <w:p>
            <w:pPr>
              <w:spacing w:after="0"/>
            </w:pPr>
            <w:r>
              <w:rPr>
                <w:rFonts w:ascii="Arial" w:hAnsi="Arial"/>
                <w:b w:val="0"/>
                <w:sz w:val="12"/>
              </w:rPr>
              <w:t>45.0</w:t>
            </w:r>
          </w:p>
        </w:tc>
        <w:tc>
          <w:tcPr>
            <w:tcW w:type="dxa" w:w="1022"/>
          </w:tcPr>
          <w:p>
            <w:pPr>
              <w:spacing w:after="0"/>
            </w:pPr>
            <w:r>
              <w:rPr>
                <w:rFonts w:ascii="Arial" w:hAnsi="Arial"/>
                <w:b w:val="0"/>
                <w:sz w:val="12"/>
              </w:rPr>
              <w:t>System supports authority grant records and boundary violation alerts per third-party audit report</w:t>
            </w:r>
          </w:p>
        </w:tc>
        <w:tc>
          <w:tcPr>
            <w:tcW w:type="dxa" w:w="1022"/>
          </w:tcPr>
          <w:p>
            <w:pPr>
              <w:spacing w:after="0"/>
            </w:pPr>
            <w:r>
              <w:rPr>
                <w:rFonts w:ascii="Arial" w:hAnsi="Arial"/>
                <w:b w:val="0"/>
                <w:sz w:val="12"/>
              </w:rPr>
              <w:t>Lifecycle conformance differs from RCCS-M regulatory coverage</w:t>
            </w:r>
          </w:p>
        </w:tc>
        <w:tc>
          <w:tcPr>
            <w:tcW w:type="dxa" w:w="1022"/>
          </w:tcPr>
          <w:p>
            <w:pPr>
              <w:spacing w:after="0"/>
            </w:pPr>
            <w:r>
              <w:rPr>
                <w:rFonts w:ascii="Arial" w:hAnsi="Arial"/>
                <w:b w:val="0"/>
                <w:sz w:val="12"/>
              </w:rPr>
              <w:t>Score measures capability, not operational enforcement; does not prove regulatory approval</w:t>
            </w:r>
          </w:p>
        </w:tc>
      </w:tr>
      <w:tr>
        <w:tc>
          <w:tcPr>
            <w:tcW w:type="dxa" w:w="1022"/>
          </w:tcPr>
          <w:p>
            <w:pPr>
              <w:spacing w:after="0"/>
            </w:pPr>
            <w:r>
              <w:rPr>
                <w:rFonts w:ascii="Arial" w:hAnsi="Arial"/>
                <w:b w:val="0"/>
                <w:sz w:val="12"/>
              </w:rPr>
              <w:t>Example System</w:t>
            </w:r>
          </w:p>
        </w:tc>
        <w:tc>
          <w:tcPr>
            <w:tcW w:type="dxa" w:w="1022"/>
          </w:tcPr>
          <w:p>
            <w:pPr>
              <w:spacing w:after="0"/>
            </w:pPr>
            <w:r>
              <w:rPr>
                <w:rFonts w:ascii="Arial" w:hAnsi="Arial"/>
                <w:b w:val="0"/>
                <w:sz w:val="12"/>
              </w:rPr>
              <w:t>RCCS-T</w:t>
            </w:r>
          </w:p>
        </w:tc>
        <w:tc>
          <w:tcPr>
            <w:tcW w:type="dxa" w:w="1022"/>
          </w:tcPr>
          <w:p>
            <w:pPr>
              <w:spacing w:after="0"/>
            </w:pPr>
            <w:r>
              <w:rPr>
                <w:rFonts w:ascii="Arial" w:hAnsi="Arial"/>
                <w:b w:val="0"/>
                <w:sz w:val="12"/>
              </w:rPr>
              <w:t>RCCS-06: Human Oversight</w:t>
            </w:r>
          </w:p>
        </w:tc>
        <w:tc>
          <w:tcPr>
            <w:tcW w:type="dxa" w:w="1022"/>
          </w:tcPr>
          <w:p>
            <w:pPr>
              <w:spacing w:after="0"/>
            </w:pPr>
            <w:r>
              <w:rPr>
                <w:rFonts w:ascii="Arial" w:hAnsi="Arial"/>
                <w:b w:val="0"/>
                <w:sz w:val="12"/>
              </w:rPr>
              <w:t>2</w:t>
            </w:r>
          </w:p>
        </w:tc>
        <w:tc>
          <w:tcPr>
            <w:tcW w:type="dxa" w:w="1022"/>
          </w:tcPr>
          <w:p>
            <w:pPr>
              <w:spacing w:after="0"/>
            </w:pPr>
            <w:r>
              <w:rPr>
                <w:rFonts w:ascii="Arial" w:hAnsi="Arial"/>
                <w:b w:val="0"/>
                <w:sz w:val="12"/>
              </w:rPr>
              <w:t>L4: Vendor Claim</w:t>
            </w:r>
          </w:p>
        </w:tc>
        <w:tc>
          <w:tcPr>
            <w:tcW w:type="dxa" w:w="1022"/>
          </w:tcPr>
          <w:p>
            <w:pPr>
              <w:spacing w:after="0"/>
            </w:pPr>
            <w:r>
              <w:rPr>
                <w:rFonts w:ascii="Arial" w:hAnsi="Arial"/>
                <w:b w:val="0"/>
                <w:sz w:val="12"/>
              </w:rPr>
              <w:t>0.55</w:t>
            </w:r>
          </w:p>
        </w:tc>
        <w:tc>
          <w:tcPr>
            <w:tcW w:type="dxa" w:w="1022"/>
          </w:tcPr>
          <w:p>
            <w:pPr>
              <w:spacing w:after="0"/>
            </w:pPr>
            <w:r>
              <w:rPr>
                <w:rFonts w:ascii="Arial" w:hAnsi="Arial"/>
                <w:b w:val="0"/>
                <w:sz w:val="12"/>
              </w:rPr>
              <w:t>22.0</w:t>
            </w:r>
          </w:p>
        </w:tc>
        <w:tc>
          <w:tcPr>
            <w:tcW w:type="dxa" w:w="1022"/>
          </w:tcPr>
          <w:p>
            <w:pPr>
              <w:spacing w:after="0"/>
            </w:pPr>
            <w:r>
              <w:rPr>
                <w:rFonts w:ascii="Arial" w:hAnsi="Arial"/>
                <w:b w:val="0"/>
                <w:sz w:val="12"/>
              </w:rPr>
              <w:t>Vendor claims human-in-the-loop capability but no public documentation or audit evidence</w:t>
            </w:r>
          </w:p>
        </w:tc>
        <w:tc>
          <w:tcPr>
            <w:tcW w:type="dxa" w:w="1022"/>
          </w:tcPr>
          <w:p>
            <w:pPr>
              <w:spacing w:after="0"/>
            </w:pPr>
            <w:r>
              <w:rPr>
                <w:rFonts w:ascii="Arial" w:hAnsi="Arial"/>
                <w:b w:val="0"/>
                <w:sz w:val="12"/>
              </w:rPr>
              <w:t>Weak evidence limits both RCCS-T and RCCS-M confidence</w:t>
            </w:r>
          </w:p>
        </w:tc>
        <w:tc>
          <w:tcPr>
            <w:tcW w:type="dxa" w:w="1022"/>
          </w:tcPr>
          <w:p>
            <w:pPr>
              <w:spacing w:after="0"/>
            </w:pPr>
            <w:r>
              <w:rPr>
                <w:rFonts w:ascii="Arial" w:hAnsi="Arial"/>
                <w:b w:val="0"/>
                <w:sz w:val="12"/>
              </w:rPr>
              <w:t>Score reflects vendor claim only; requires validation; does not prove human oversight is operational</w:t>
            </w:r>
          </w:p>
        </w:tc>
      </w:tr>
    </w:tbl>
    <w:p>
      <w:pPr>
        <w:spacing w:after="56"/>
      </w:pPr>
      <w:r>
        <w:t>Scoring rubric:</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level multipliers: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pStyle w:val="Heading2"/>
      </w:pPr>
      <w:r>
        <w:t>B.2 Evidence-Level Adjustment Template</w:t>
      </w:r>
    </w:p>
    <w:p>
      <w:pPr>
        <w:spacing w:after="56"/>
      </w:pPr>
      <w:r>
        <w:t>The following template supports evidence-level adjustment for dimension scores.</w:t>
      </w:r>
    </w:p>
    <w:p>
      <w:pPr>
        <w:spacing w:after="56"/>
      </w:pPr>
      <w:r>
        <w:t>Evidence-level adjustment policy:</w:t>
      </w:r>
    </w:p>
    <w:p>
      <w:pPr>
        <w:pStyle w:val="ListNumber"/>
        <w:spacing w:after="56"/>
      </w:pPr>
      <w:r>
        <w:t>Start with raw score (0-5) based on system capability assessment</w:t>
      </w:r>
    </w:p>
    <w:p>
      <w:pPr>
        <w:pStyle w:val="ListNumber"/>
        <w:spacing w:after="56"/>
      </w:pPr>
      <w:r>
        <w:t>Identify evidence level (L1-L5) based on source type</w:t>
      </w:r>
    </w:p>
    <w:p>
      <w:pPr>
        <w:pStyle w:val="ListNumber"/>
        <w:spacing w:after="56"/>
      </w:pPr>
      <w:r>
        <w:t>Apply multiplier to calculate adjusted score using normalized formula: (Raw Score / 5) × 100 × Evidence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Example:</w:t>
      </w:r>
    </w:p>
    <w:p>
      <w:pPr>
        <w:spacing w:after="56"/>
      </w:pPr>
      <w:r>
        <w:t>dimension: RCCS-04 Record-Keeping</w:t>
        <w:br/>
        <w:t>profile_lens: RCCS-T</w:t>
        <w:br/>
        <w:t>raw_score: 4</w:t>
        <w:br/>
        <w:t>evidence_level: L2</w:t>
        <w:br/>
        <w:t>multiplier: 0.85</w:t>
        <w:br/>
        <w:t>adjusted_score: 68.0  # (4/5) × 100 × 0.85</w:t>
        <w:br/>
        <w:t>justification: "System provides audit trail API and log export capability documented in official product docs"</w:t>
        <w:br/>
        <w:t>score_delta_note: "RCCS-M may be lower unless records are partitioned by authority, agent/tool action, evidence pointer, privacy boundary, and accepted outcome"</w:t>
        <w:br/>
        <w:t>boundary_note: "Score measures capability, not organizational practice; does not prove legal compliance"</w:t>
      </w:r>
    </w:p>
    <w:p>
      <w:pPr>
        <w:pStyle w:val="Heading2"/>
      </w:pPr>
      <w:r>
        <w:t>B.3 Three-Profile and Optional Composite Template</w:t>
      </w:r>
    </w:p>
    <w:p>
      <w:pPr>
        <w:spacing w:after="56"/>
      </w:pPr>
      <w:r>
        <w:t>The following template supports the primary three-profile view and optional composite calculations. A single composite score should not be used as the main result display because it can hide the difference between traditional governance coverage and MRO-adjusted lifecycle coverage.</w:t>
      </w:r>
    </w:p>
    <w:p>
      <w:pPr>
        <w:keepNext/>
      </w:pPr>
      <w:r>
        <w:rPr>
          <w:b/>
          <w:sz w:val="16"/>
        </w:rPr>
        <w:t>Table T-B-02: Three-Profile Analytical Score Worksheet</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System</w:t>
            </w:r>
          </w:p>
        </w:tc>
        <w:tc>
          <w:tcPr>
            <w:tcW w:type="dxa" w:w="1461"/>
          </w:tcPr>
          <w:p>
            <w:pPr>
              <w:spacing w:after="0"/>
            </w:pPr>
            <w:r>
              <w:rPr>
                <w:rFonts w:ascii="Arial" w:hAnsi="Arial"/>
                <w:b/>
                <w:sz w:val="12"/>
              </w:rPr>
              <w:t>RCCS-T 0-100</w:t>
            </w:r>
          </w:p>
        </w:tc>
        <w:tc>
          <w:tcPr>
            <w:tcW w:type="dxa" w:w="1461"/>
          </w:tcPr>
          <w:p>
            <w:pPr>
              <w:spacing w:after="0"/>
            </w:pPr>
            <w:r>
              <w:rPr>
                <w:rFonts w:ascii="Arial" w:hAnsi="Arial"/>
                <w:b/>
                <w:sz w:val="12"/>
              </w:rPr>
              <w:t>RCCS-M 0-100</w:t>
            </w:r>
          </w:p>
        </w:tc>
        <w:tc>
          <w:tcPr>
            <w:tcW w:type="dxa" w:w="1461"/>
          </w:tcPr>
          <w:p>
            <w:pPr>
              <w:spacing w:after="0"/>
            </w:pPr>
            <w:r>
              <w:rPr>
                <w:rFonts w:ascii="Arial" w:hAnsi="Arial"/>
                <w:b/>
                <w:sz w:val="12"/>
              </w:rPr>
              <w:t>ALCS 0-100</w:t>
            </w:r>
          </w:p>
        </w:tc>
        <w:tc>
          <w:tcPr>
            <w:tcW w:type="dxa" w:w="1461"/>
          </w:tcPr>
          <w:p>
            <w:pPr>
              <w:spacing w:after="0"/>
            </w:pPr>
            <w:r>
              <w:rPr>
                <w:rFonts w:ascii="Arial" w:hAnsi="Arial"/>
                <w:b/>
                <w:sz w:val="12"/>
              </w:rPr>
              <w:t>Optional Traditional Composite</w:t>
            </w:r>
          </w:p>
        </w:tc>
        <w:tc>
          <w:tcPr>
            <w:tcW w:type="dxa" w:w="1461"/>
          </w:tcPr>
          <w:p>
            <w:pPr>
              <w:spacing w:after="0"/>
            </w:pPr>
            <w:r>
              <w:rPr>
                <w:rFonts w:ascii="Arial" w:hAnsi="Arial"/>
                <w:b/>
                <w:sz w:val="12"/>
              </w:rPr>
              <w:t>Optional Agentic Composite</w:t>
            </w:r>
          </w:p>
        </w:tc>
        <w:tc>
          <w:tcPr>
            <w:tcW w:type="dxa" w:w="1461"/>
          </w:tcPr>
          <w:p>
            <w:pPr>
              <w:spacing w:after="0"/>
            </w:pPr>
            <w:r>
              <w:rPr>
                <w:rFonts w:ascii="Arial" w:hAnsi="Arial"/>
                <w:b/>
                <w:sz w:val="12"/>
              </w:rPr>
              <w:t>Interpretation Boundary</w:t>
            </w:r>
          </w:p>
        </w:tc>
      </w:tr>
      <w:tr>
        <w:tc>
          <w:tcPr>
            <w:tcW w:type="dxa" w:w="1461"/>
          </w:tcPr>
          <w:p>
            <w:pPr>
              <w:spacing w:after="0"/>
            </w:pPr>
            <w:r>
              <w:rPr>
                <w:rFonts w:ascii="Arial" w:hAnsi="Arial"/>
                <w:b w:val="0"/>
                <w:sz w:val="12"/>
              </w:rPr>
              <w:t>Example System A</w:t>
            </w:r>
          </w:p>
        </w:tc>
        <w:tc>
          <w:tcPr>
            <w:tcW w:type="dxa" w:w="1461"/>
          </w:tcPr>
          <w:p>
            <w:pPr>
              <w:spacing w:after="0"/>
            </w:pPr>
            <w:r>
              <w:rPr>
                <w:rFonts w:ascii="Arial" w:hAnsi="Arial"/>
                <w:b w:val="0"/>
                <w:sz w:val="12"/>
              </w:rPr>
              <w:t>65.0</w:t>
            </w:r>
          </w:p>
        </w:tc>
        <w:tc>
          <w:tcPr>
            <w:tcW w:type="dxa" w:w="1461"/>
          </w:tcPr>
          <w:p>
            <w:pPr>
              <w:spacing w:after="0"/>
            </w:pPr>
            <w:r>
              <w:rPr>
                <w:rFonts w:ascii="Arial" w:hAnsi="Arial"/>
                <w:b w:val="0"/>
                <w:sz w:val="12"/>
              </w:rPr>
              <w:t>72.0</w:t>
            </w:r>
          </w:p>
        </w:tc>
        <w:tc>
          <w:tcPr>
            <w:tcW w:type="dxa" w:w="1461"/>
          </w:tcPr>
          <w:p>
            <w:pPr>
              <w:spacing w:after="0"/>
            </w:pPr>
            <w:r>
              <w:rPr>
                <w:rFonts w:ascii="Arial" w:hAnsi="Arial"/>
                <w:b w:val="0"/>
                <w:sz w:val="12"/>
              </w:rPr>
              <w:t>55.0</w:t>
            </w:r>
          </w:p>
        </w:tc>
        <w:tc>
          <w:tcPr>
            <w:tcW w:type="dxa" w:w="1461"/>
          </w:tcPr>
          <w:p>
            <w:pPr>
              <w:spacing w:after="0"/>
            </w:pPr>
            <w:r>
              <w:rPr>
                <w:rFonts w:ascii="Arial" w:hAnsi="Arial"/>
                <w:b w:val="0"/>
                <w:sz w:val="12"/>
              </w:rPr>
              <w:t>59.0</w:t>
            </w:r>
          </w:p>
        </w:tc>
        <w:tc>
          <w:tcPr>
            <w:tcW w:type="dxa" w:w="1461"/>
          </w:tcPr>
          <w:p>
            <w:pPr>
              <w:spacing w:after="0"/>
            </w:pPr>
            <w:r>
              <w:rPr>
                <w:rFonts w:ascii="Arial" w:hAnsi="Arial"/>
                <w:b w:val="0"/>
                <w:sz w:val="12"/>
              </w:rPr>
              <w:t>61.8</w:t>
            </w:r>
          </w:p>
        </w:tc>
        <w:tc>
          <w:tcPr>
            <w:tcW w:type="dxa" w:w="1461"/>
          </w:tcPr>
          <w:p>
            <w:pPr>
              <w:spacing w:after="0"/>
            </w:pPr>
            <w:r>
              <w:rPr>
                <w:rFonts w:ascii="Arial" w:hAnsi="Arial"/>
                <w:b w:val="0"/>
                <w:sz w:val="12"/>
              </w:rPr>
              <w:t>Analytical worksheet view; not legal compliance proof or procurement ranking</w:t>
            </w:r>
          </w:p>
        </w:tc>
      </w:tr>
      <w:tr>
        <w:tc>
          <w:tcPr>
            <w:tcW w:type="dxa" w:w="1461"/>
          </w:tcPr>
          <w:p>
            <w:pPr>
              <w:spacing w:after="0"/>
            </w:pPr>
            <w:r>
              <w:rPr>
                <w:rFonts w:ascii="Arial" w:hAnsi="Arial"/>
                <w:b w:val="0"/>
                <w:sz w:val="12"/>
              </w:rPr>
              <w:t>Example System B</w:t>
            </w:r>
          </w:p>
        </w:tc>
        <w:tc>
          <w:tcPr>
            <w:tcW w:type="dxa" w:w="1461"/>
          </w:tcPr>
          <w:p>
            <w:pPr>
              <w:spacing w:after="0"/>
            </w:pPr>
            <w:r>
              <w:rPr>
                <w:rFonts w:ascii="Arial" w:hAnsi="Arial"/>
                <w:b w:val="0"/>
                <w:sz w:val="12"/>
              </w:rPr>
              <w:t>82.0</w:t>
            </w:r>
          </w:p>
        </w:tc>
        <w:tc>
          <w:tcPr>
            <w:tcW w:type="dxa" w:w="1461"/>
          </w:tcPr>
          <w:p>
            <w:pPr>
              <w:spacing w:after="0"/>
            </w:pPr>
            <w:r>
              <w:rPr>
                <w:rFonts w:ascii="Arial" w:hAnsi="Arial"/>
                <w:b w:val="0"/>
                <w:sz w:val="12"/>
              </w:rPr>
              <w:t>60.0</w:t>
            </w:r>
          </w:p>
        </w:tc>
        <w:tc>
          <w:tcPr>
            <w:tcW w:type="dxa" w:w="1461"/>
          </w:tcPr>
          <w:p>
            <w:pPr>
              <w:spacing w:after="0"/>
            </w:pPr>
            <w:r>
              <w:rPr>
                <w:rFonts w:ascii="Arial" w:hAnsi="Arial"/>
                <w:b w:val="0"/>
                <w:sz w:val="12"/>
              </w:rPr>
              <w:t>58.0</w:t>
            </w:r>
          </w:p>
        </w:tc>
        <w:tc>
          <w:tcPr>
            <w:tcW w:type="dxa" w:w="1461"/>
          </w:tcPr>
          <w:p>
            <w:pPr>
              <w:spacing w:after="0"/>
            </w:pPr>
            <w:r>
              <w:rPr>
                <w:rFonts w:ascii="Arial" w:hAnsi="Arial"/>
                <w:b w:val="0"/>
                <w:sz w:val="12"/>
              </w:rPr>
              <w:t>67.6</w:t>
            </w:r>
          </w:p>
        </w:tc>
        <w:tc>
          <w:tcPr>
            <w:tcW w:type="dxa" w:w="1461"/>
          </w:tcPr>
          <w:p>
            <w:pPr>
              <w:spacing w:after="0"/>
            </w:pPr>
            <w:r>
              <w:rPr>
                <w:rFonts w:ascii="Arial" w:hAnsi="Arial"/>
                <w:b w:val="0"/>
                <w:sz w:val="12"/>
              </w:rPr>
              <w:t>58.8</w:t>
            </w:r>
          </w:p>
        </w:tc>
        <w:tc>
          <w:tcPr>
            <w:tcW w:type="dxa" w:w="1461"/>
          </w:tcPr>
          <w:p>
            <w:pPr>
              <w:spacing w:after="0"/>
            </w:pPr>
            <w:r>
              <w:rPr>
                <w:rFonts w:ascii="Arial" w:hAnsi="Arial"/>
                <w:b w:val="0"/>
                <w:sz w:val="12"/>
              </w:rPr>
              <w:t>Analytical worksheet view; not legal compliance proof or deployment readiness threshold</w:t>
            </w:r>
          </w:p>
        </w:tc>
      </w:tr>
      <w:tr>
        <w:tc>
          <w:tcPr>
            <w:tcW w:type="dxa" w:w="1461"/>
          </w:tcPr>
          <w:p>
            <w:pPr>
              <w:spacing w:after="0"/>
            </w:pPr>
            <w:r>
              <w:rPr>
                <w:rFonts w:ascii="Arial" w:hAnsi="Arial"/>
                <w:b w:val="0"/>
                <w:sz w:val="12"/>
              </w:rPr>
              <w:t>Example System C</w:t>
            </w:r>
          </w:p>
        </w:tc>
        <w:tc>
          <w:tcPr>
            <w:tcW w:type="dxa" w:w="1461"/>
          </w:tcPr>
          <w:p>
            <w:pPr>
              <w:spacing w:after="0"/>
            </w:pPr>
            <w:r>
              <w:rPr>
                <w:rFonts w:ascii="Arial" w:hAnsi="Arial"/>
                <w:b w:val="0"/>
                <w:sz w:val="12"/>
              </w:rPr>
              <w:t>48.0</w:t>
            </w:r>
          </w:p>
        </w:tc>
        <w:tc>
          <w:tcPr>
            <w:tcW w:type="dxa" w:w="1461"/>
          </w:tcPr>
          <w:p>
            <w:pPr>
              <w:spacing w:after="0"/>
            </w:pPr>
            <w:r>
              <w:rPr>
                <w:rFonts w:ascii="Arial" w:hAnsi="Arial"/>
                <w:b w:val="0"/>
                <w:sz w:val="12"/>
              </w:rPr>
              <w:t>78.0</w:t>
            </w:r>
          </w:p>
        </w:tc>
        <w:tc>
          <w:tcPr>
            <w:tcW w:type="dxa" w:w="1461"/>
          </w:tcPr>
          <w:p>
            <w:pPr>
              <w:spacing w:after="0"/>
            </w:pPr>
            <w:r>
              <w:rPr>
                <w:rFonts w:ascii="Arial" w:hAnsi="Arial"/>
                <w:b w:val="0"/>
                <w:sz w:val="12"/>
              </w:rPr>
              <w:t>80.0</w:t>
            </w:r>
          </w:p>
        </w:tc>
        <w:tc>
          <w:tcPr>
            <w:tcW w:type="dxa" w:w="1461"/>
          </w:tcPr>
          <w:p>
            <w:pPr>
              <w:spacing w:after="0"/>
            </w:pPr>
            <w:r>
              <w:rPr>
                <w:rFonts w:ascii="Arial" w:hAnsi="Arial"/>
                <w:b w:val="0"/>
                <w:sz w:val="12"/>
              </w:rPr>
              <w:t>67.2</w:t>
            </w:r>
          </w:p>
        </w:tc>
        <w:tc>
          <w:tcPr>
            <w:tcW w:type="dxa" w:w="1461"/>
          </w:tcPr>
          <w:p>
            <w:pPr>
              <w:spacing w:after="0"/>
            </w:pPr>
            <w:r>
              <w:rPr>
                <w:rFonts w:ascii="Arial" w:hAnsi="Arial"/>
                <w:b w:val="0"/>
                <w:sz w:val="12"/>
              </w:rPr>
              <w:t>79.2</w:t>
            </w:r>
          </w:p>
        </w:tc>
        <w:tc>
          <w:tcPr>
            <w:tcW w:type="dxa" w:w="1461"/>
          </w:tcPr>
          <w:p>
            <w:pPr>
              <w:spacing w:after="0"/>
            </w:pPr>
            <w:r>
              <w:rPr>
                <w:rFonts w:ascii="Arial" w:hAnsi="Arial"/>
                <w:b w:val="0"/>
                <w:sz w:val="12"/>
              </w:rPr>
              <w:t>Analytical worksheet view; not vendor ranking or certification signal</w:t>
            </w:r>
          </w:p>
        </w:tc>
      </w:tr>
    </w:tbl>
    <w:p>
      <w:pPr>
        <w:spacing w:after="56"/>
      </w:pPr>
      <w:r>
        <w:t>Optional composite formulas:</w:t>
      </w:r>
    </w:p>
    <w:p>
      <w:pPr>
        <w:spacing w:after="56"/>
      </w:pPr>
      <w:r>
        <w:t>Traditional Composite = (RCCS-T × 0.40) + (ALCS × 0.60)</w:t>
        <w:br/>
        <w:t>Agentic Composite = (RCCS-M × 0.40) + (ALCS × 0.60)</w:t>
      </w:r>
    </w:p>
    <w:p>
      <w:pPr>
        <w:spacing w:after="56"/>
      </w:pPr>
      <w:r>
        <w:t>Interpretation guidance:</w:t>
      </w:r>
    </w:p>
    <w:p>
      <w:pPr>
        <w:pStyle w:val="ListBullet"/>
        <w:spacing w:after="56"/>
      </w:pPr>
      <w:r>
        <w:t>RCCS-T: Traditional regulatory and governance coverage</w:t>
      </w:r>
    </w:p>
    <w:p>
      <w:pPr>
        <w:pStyle w:val="ListBullet"/>
        <w:spacing w:after="56"/>
      </w:pPr>
      <w:r>
        <w:t>RCCS-M: MRO-adjusted regulatory coverage; author analytical and forward-looking</w:t>
      </w:r>
    </w:p>
    <w:p>
      <w:pPr>
        <w:pStyle w:val="ListBullet"/>
        <w:spacing w:after="56"/>
      </w:pPr>
      <w:r>
        <w:t>ALCS: Lifecycle responsibility conformance maturity</w:t>
      </w:r>
    </w:p>
    <w:p>
      <w:pPr>
        <w:pStyle w:val="ListBullet"/>
        <w:spacing w:after="56"/>
      </w:pPr>
      <w:r>
        <w:t>Optional composites: Secondary worksheet views only; never a ranking, procurement selection signal, legal compliance proof, certification signal, regulatory approval signal, or procurement recommendation</w:t>
      </w:r>
    </w:p>
    <w:p>
      <w:pPr>
        <w:spacing w:after="56"/>
      </w:pPr>
      <w:r>
        <w:t>Any numerical bands are analytical interpretation bands only. They are not legal compliance thresholds, deployment readiness thresholds, procurement thresholds, or certification cutoffs.</w:t>
      </w:r>
    </w:p>
    <w:p>
      <w:pPr>
        <w:pStyle w:val="Heading2"/>
      </w:pPr>
      <w:r>
        <w:t>B.4 Score Delta Record Template</w:t>
      </w:r>
    </w:p>
    <w:p>
      <w:pPr>
        <w:spacing w:after="56"/>
      </w:pPr>
      <w:r>
        <w:t>The following template supports tracking score changes over time.</w:t>
      </w:r>
    </w:p>
    <w:p>
      <w:pPr>
        <w:keepNext/>
      </w:pPr>
      <w:r>
        <w:rPr>
          <w:b/>
          <w:sz w:val="16"/>
        </w:rPr>
        <w:t>Table T-B-03: Score Delta Record</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Dimension</w:t>
            </w:r>
          </w:p>
        </w:tc>
        <w:tc>
          <w:tcPr>
            <w:tcW w:type="dxa" w:w="1461"/>
          </w:tcPr>
          <w:p>
            <w:pPr>
              <w:spacing w:after="0"/>
            </w:pPr>
            <w:r>
              <w:rPr>
                <w:rFonts w:ascii="Arial" w:hAnsi="Arial"/>
                <w:b/>
                <w:sz w:val="12"/>
              </w:rPr>
              <w:t>Previous Adjusted Score 0-100</w:t>
            </w:r>
          </w:p>
        </w:tc>
        <w:tc>
          <w:tcPr>
            <w:tcW w:type="dxa" w:w="1461"/>
          </w:tcPr>
          <w:p>
            <w:pPr>
              <w:spacing w:after="0"/>
            </w:pPr>
            <w:r>
              <w:rPr>
                <w:rFonts w:ascii="Arial" w:hAnsi="Arial"/>
                <w:b/>
                <w:sz w:val="12"/>
              </w:rPr>
              <w:t>Updated Adjusted Score 0-100</w:t>
            </w:r>
          </w:p>
        </w:tc>
        <w:tc>
          <w:tcPr>
            <w:tcW w:type="dxa" w:w="1461"/>
          </w:tcPr>
          <w:p>
            <w:pPr>
              <w:spacing w:after="0"/>
            </w:pPr>
            <w:r>
              <w:rPr>
                <w:rFonts w:ascii="Arial" w:hAnsi="Arial"/>
                <w:b/>
                <w:sz w:val="12"/>
              </w:rPr>
              <w:t>Reason for Change</w:t>
            </w:r>
          </w:p>
        </w:tc>
        <w:tc>
          <w:tcPr>
            <w:tcW w:type="dxa" w:w="1461"/>
          </w:tcPr>
          <w:p>
            <w:pPr>
              <w:spacing w:after="0"/>
            </w:pPr>
            <w:r>
              <w:rPr>
                <w:rFonts w:ascii="Arial" w:hAnsi="Arial"/>
                <w:b/>
                <w:sz w:val="12"/>
              </w:rPr>
              <w:t>Evidence Change</w:t>
            </w:r>
          </w:p>
        </w:tc>
        <w:tc>
          <w:tcPr>
            <w:tcW w:type="dxa" w:w="1461"/>
          </w:tcPr>
          <w:p>
            <w:pPr>
              <w:spacing w:after="0"/>
            </w:pPr>
            <w:r>
              <w:rPr>
                <w:rFonts w:ascii="Arial" w:hAnsi="Arial"/>
                <w:b/>
                <w:sz w:val="12"/>
              </w:rPr>
              <w:t>Reviewer</w:t>
            </w:r>
          </w:p>
        </w:tc>
        <w:tc>
          <w:tcPr>
            <w:tcW w:type="dxa" w:w="1461"/>
          </w:tcPr>
          <w:p>
            <w:pPr>
              <w:spacing w:after="0"/>
            </w:pPr>
            <w:r>
              <w:rPr>
                <w:rFonts w:ascii="Arial" w:hAnsi="Arial"/>
                <w:b/>
                <w:sz w:val="12"/>
              </w:rPr>
              <w:t>Date</w:t>
            </w:r>
          </w:p>
        </w:tc>
      </w:tr>
      <w:tr>
        <w:tc>
          <w:tcPr>
            <w:tcW w:type="dxa" w:w="1461"/>
          </w:tcPr>
          <w:p>
            <w:pPr>
              <w:spacing w:after="0"/>
            </w:pPr>
            <w:r>
              <w:rPr>
                <w:rFonts w:ascii="Arial" w:hAnsi="Arial"/>
                <w:b w:val="0"/>
                <w:sz w:val="12"/>
              </w:rPr>
              <w:t>RCCS-04: Record-Keeping</w:t>
            </w:r>
          </w:p>
        </w:tc>
        <w:tc>
          <w:tcPr>
            <w:tcW w:type="dxa" w:w="1461"/>
          </w:tcPr>
          <w:p>
            <w:pPr>
              <w:spacing w:after="0"/>
            </w:pPr>
            <w:r>
              <w:rPr>
                <w:rFonts w:ascii="Arial" w:hAnsi="Arial"/>
                <w:b w:val="0"/>
                <w:sz w:val="12"/>
              </w:rPr>
              <w:t>54.4</w:t>
            </w:r>
          </w:p>
        </w:tc>
        <w:tc>
          <w:tcPr>
            <w:tcW w:type="dxa" w:w="1461"/>
          </w:tcPr>
          <w:p>
            <w:pPr>
              <w:spacing w:after="0"/>
            </w:pPr>
            <w:r>
              <w:rPr>
                <w:rFonts w:ascii="Arial" w:hAnsi="Arial"/>
                <w:b w:val="0"/>
                <w:sz w:val="12"/>
              </w:rPr>
              <w:t>68.0</w:t>
            </w:r>
          </w:p>
        </w:tc>
        <w:tc>
          <w:tcPr>
            <w:tcW w:type="dxa" w:w="1461"/>
          </w:tcPr>
          <w:p>
            <w:pPr>
              <w:spacing w:after="0"/>
            </w:pPr>
            <w:r>
              <w:rPr>
                <w:rFonts w:ascii="Arial" w:hAnsi="Arial"/>
                <w:b w:val="0"/>
                <w:sz w:val="12"/>
              </w:rPr>
              <w:t>System added evidence export API with selective disclosure capability</w:t>
            </w:r>
          </w:p>
        </w:tc>
        <w:tc>
          <w:tcPr>
            <w:tcW w:type="dxa" w:w="1461"/>
          </w:tcPr>
          <w:p>
            <w:pPr>
              <w:spacing w:after="0"/>
            </w:pPr>
            <w:r>
              <w:rPr>
                <w:rFonts w:ascii="Arial" w:hAnsi="Arial"/>
                <w:b w:val="0"/>
                <w:sz w:val="12"/>
              </w:rPr>
              <w:t>L2 product docs updated with new API documentation</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ALCS-02: Delegated Authority Boundary</w:t>
            </w:r>
          </w:p>
        </w:tc>
        <w:tc>
          <w:tcPr>
            <w:tcW w:type="dxa" w:w="1461"/>
          </w:tcPr>
          <w:p>
            <w:pPr>
              <w:spacing w:after="0"/>
            </w:pPr>
            <w:r>
              <w:rPr>
                <w:rFonts w:ascii="Arial" w:hAnsi="Arial"/>
                <w:b w:val="0"/>
                <w:sz w:val="12"/>
              </w:rPr>
              <w:t>40.5</w:t>
            </w:r>
          </w:p>
        </w:tc>
        <w:tc>
          <w:tcPr>
            <w:tcW w:type="dxa" w:w="1461"/>
          </w:tcPr>
          <w:p>
            <w:pPr>
              <w:spacing w:after="0"/>
            </w:pPr>
            <w:r>
              <w:rPr>
                <w:rFonts w:ascii="Arial" w:hAnsi="Arial"/>
                <w:b w:val="0"/>
                <w:sz w:val="12"/>
              </w:rPr>
              <w:t>52.5</w:t>
            </w:r>
          </w:p>
        </w:tc>
        <w:tc>
          <w:tcPr>
            <w:tcW w:type="dxa" w:w="1461"/>
          </w:tcPr>
          <w:p>
            <w:pPr>
              <w:spacing w:after="0"/>
            </w:pPr>
            <w:r>
              <w:rPr>
                <w:rFonts w:ascii="Arial" w:hAnsi="Arial"/>
                <w:b w:val="0"/>
                <w:sz w:val="12"/>
              </w:rPr>
              <w:t>System added authority drift detection and reauthorization workflow</w:t>
            </w:r>
          </w:p>
        </w:tc>
        <w:tc>
          <w:tcPr>
            <w:tcW w:type="dxa" w:w="1461"/>
          </w:tcPr>
          <w:p>
            <w:pPr>
              <w:spacing w:after="0"/>
            </w:pPr>
            <w:r>
              <w:rPr>
                <w:rFonts w:ascii="Arial" w:hAnsi="Arial"/>
                <w:b w:val="0"/>
                <w:sz w:val="12"/>
              </w:rPr>
              <w:t>L3 audit report recorded new capability</w:t>
            </w:r>
          </w:p>
        </w:tc>
        <w:tc>
          <w:tcPr>
            <w:tcW w:type="dxa" w:w="1461"/>
          </w:tcPr>
          <w:p>
            <w:pPr>
              <w:spacing w:after="0"/>
            </w:pPr>
            <w:r>
              <w:rPr>
                <w:rFonts w:ascii="Arial" w:hAnsi="Arial"/>
                <w:b w:val="0"/>
                <w:sz w:val="12"/>
              </w:rPr>
              <w:t>Compliance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RCCS-06: Human Oversight</w:t>
            </w:r>
          </w:p>
        </w:tc>
        <w:tc>
          <w:tcPr>
            <w:tcW w:type="dxa" w:w="1461"/>
          </w:tcPr>
          <w:p>
            <w:pPr>
              <w:spacing w:after="0"/>
            </w:pPr>
            <w:r>
              <w:rPr>
                <w:rFonts w:ascii="Arial" w:hAnsi="Arial"/>
                <w:b w:val="0"/>
                <w:sz w:val="12"/>
              </w:rPr>
              <w:t>13.2</w:t>
            </w:r>
          </w:p>
        </w:tc>
        <w:tc>
          <w:tcPr>
            <w:tcW w:type="dxa" w:w="1461"/>
          </w:tcPr>
          <w:p>
            <w:pPr>
              <w:spacing w:after="0"/>
            </w:pPr>
            <w:r>
              <w:rPr>
                <w:rFonts w:ascii="Arial" w:hAnsi="Arial"/>
                <w:b w:val="0"/>
                <w:sz w:val="12"/>
              </w:rPr>
              <w:t>34.0</w:t>
            </w:r>
          </w:p>
        </w:tc>
        <w:tc>
          <w:tcPr>
            <w:tcW w:type="dxa" w:w="1461"/>
          </w:tcPr>
          <w:p>
            <w:pPr>
              <w:spacing w:after="0"/>
            </w:pPr>
            <w:r>
              <w:rPr>
                <w:rFonts w:ascii="Arial" w:hAnsi="Arial"/>
                <w:b w:val="0"/>
                <w:sz w:val="12"/>
              </w:rPr>
              <w:t>Vendor published official documentation for human-in-the-loop capability</w:t>
            </w:r>
          </w:p>
        </w:tc>
        <w:tc>
          <w:tcPr>
            <w:tcW w:type="dxa" w:w="1461"/>
          </w:tcPr>
          <w:p>
            <w:pPr>
              <w:spacing w:after="0"/>
            </w:pPr>
            <w:r>
              <w:rPr>
                <w:rFonts w:ascii="Arial" w:hAnsi="Arial"/>
                <w:b w:val="0"/>
                <w:sz w:val="12"/>
              </w:rPr>
              <w:t>Evidence level upgraded from L4 (vendor claim) to L2 (product docs)</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bl>
    <w:p>
      <w:pPr>
        <w:spacing w:after="56"/>
      </w:pPr>
      <w:r>
        <w:t>Score delta policy:</w:t>
      </w:r>
    </w:p>
    <w:p>
      <w:pPr>
        <w:pStyle w:val="ListBullet"/>
        <w:spacing w:after="56"/>
      </w:pPr>
      <w:r>
        <w:t>Track all score changes with reason for change, evidence change, reviewer, and date</w:t>
      </w:r>
    </w:p>
    <w:p>
      <w:pPr>
        <w:pStyle w:val="ListBullet"/>
        <w:spacing w:after="56"/>
      </w:pPr>
      <w:r>
        <w:t>Require reviewer approval for all score changes</w:t>
      </w:r>
    </w:p>
    <w:p>
      <w:pPr>
        <w:pStyle w:val="ListBullet"/>
        <w:spacing w:after="56"/>
      </w:pPr>
      <w:r>
        <w:t>Document evidence change explaining why the score changed (new capability, new evidence, evidence level upgrade, etc.)</w:t>
      </w:r>
    </w:p>
    <w:p>
      <w:pPr>
        <w:pStyle w:val="ListBullet"/>
        <w:spacing w:after="56"/>
      </w:pPr>
      <w:r>
        <w:t>Preserve score history to support audit trail and continuous improvement</w:t>
      </w:r>
    </w:p>
    <w:p>
      <w:pPr>
        <w:pStyle w:val="Heading2"/>
      </w:pPr>
      <w:r>
        <w:t>B.5 Negative Control Template</w:t>
      </w:r>
    </w:p>
    <w:p>
      <w:pPr>
        <w:spacing w:after="56"/>
      </w:pPr>
      <w:r>
        <w:t>The following template supports negative control to prevent overclaim.</w:t>
      </w:r>
    </w:p>
    <w:p>
      <w:pPr>
        <w:keepNext/>
      </w:pPr>
      <w:r>
        <w:rPr>
          <w:b/>
          <w:sz w:val="16"/>
        </w:rPr>
        <w:t>Table T-B-04: Negative Control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Claim</w:t>
            </w:r>
          </w:p>
        </w:tc>
        <w:tc>
          <w:tcPr>
            <w:tcW w:type="dxa" w:w="2045"/>
          </w:tcPr>
          <w:p>
            <w:pPr>
              <w:spacing w:after="0"/>
            </w:pPr>
            <w:r>
              <w:rPr>
                <w:rFonts w:ascii="Arial" w:hAnsi="Arial"/>
                <w:b/>
                <w:sz w:val="14"/>
              </w:rPr>
              <w:t>Adjacent Capability</w:t>
            </w:r>
          </w:p>
        </w:tc>
        <w:tc>
          <w:tcPr>
            <w:tcW w:type="dxa" w:w="2045"/>
          </w:tcPr>
          <w:p>
            <w:pPr>
              <w:spacing w:after="0"/>
            </w:pPr>
            <w:r>
              <w:rPr>
                <w:rFonts w:ascii="Arial" w:hAnsi="Arial"/>
                <w:b/>
                <w:sz w:val="14"/>
              </w:rPr>
              <w:t>Why It Does Not Count</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"System provides human oversight"</w:t>
            </w:r>
          </w:p>
        </w:tc>
        <w:tc>
          <w:tcPr>
            <w:tcW w:type="dxa" w:w="2045"/>
          </w:tcPr>
          <w:p>
            <w:pPr>
              <w:spacing w:after="0"/>
            </w:pPr>
            <w:r>
              <w:rPr>
                <w:rFonts w:ascii="Arial" w:hAnsi="Arial"/>
                <w:b w:val="0"/>
                <w:sz w:val="14"/>
              </w:rPr>
              <w:t>System has approval button in UI</w:t>
            </w:r>
          </w:p>
        </w:tc>
        <w:tc>
          <w:tcPr>
            <w:tcW w:type="dxa" w:w="2045"/>
          </w:tcPr>
          <w:p>
            <w:pPr>
              <w:spacing w:after="0"/>
            </w:pPr>
            <w:r>
              <w:rPr>
                <w:rFonts w:ascii="Arial" w:hAnsi="Arial"/>
                <w:b w:val="0"/>
                <w:sz w:val="14"/>
              </w:rPr>
              <w:t>Approval button ≠ human-role-to-MAS responsibility mapping; no role assignment records; no acceptance records; no escalation workflow</w:t>
            </w:r>
          </w:p>
        </w:tc>
        <w:tc>
          <w:tcPr>
            <w:tcW w:type="dxa" w:w="2045"/>
          </w:tcPr>
          <w:p>
            <w:pPr>
              <w:spacing w:after="0"/>
            </w:pPr>
            <w:r>
              <w:rPr>
                <w:rFonts w:ascii="Arial" w:hAnsi="Arial"/>
                <w:b w:val="0"/>
                <w:sz w:val="14"/>
              </w:rPr>
              <w:t>Human-role-to-MAS responsibility mapping (MRO-01); acceptance records (MRO-04); escalation workflow</w:t>
            </w:r>
          </w:p>
        </w:tc>
        <w:tc>
          <w:tcPr>
            <w:tcW w:type="dxa" w:w="2045"/>
          </w:tcPr>
          <w:p>
            <w:pPr>
              <w:spacing w:after="0"/>
            </w:pPr>
            <w:r>
              <w:rPr>
                <w:rFonts w:ascii="Arial" w:hAnsi="Arial"/>
                <w:b w:val="0"/>
                <w:sz w:val="14"/>
              </w:rPr>
              <w:t>Approval button is UI feature, not lifecycle governance object</w:t>
            </w:r>
          </w:p>
        </w:tc>
      </w:tr>
      <w:tr>
        <w:tc>
          <w:tcPr>
            <w:tcW w:type="dxa" w:w="2045"/>
          </w:tcPr>
          <w:p>
            <w:pPr>
              <w:spacing w:after="0"/>
            </w:pPr>
            <w:r>
              <w:rPr>
                <w:rFonts w:ascii="Arial" w:hAnsi="Arial"/>
                <w:b w:val="0"/>
                <w:sz w:val="14"/>
              </w:rPr>
              <w:t>"System provides evidence chain"</w:t>
            </w:r>
          </w:p>
        </w:tc>
        <w:tc>
          <w:tcPr>
            <w:tcW w:type="dxa" w:w="2045"/>
          </w:tcPr>
          <w:p>
            <w:pPr>
              <w:spacing w:after="0"/>
            </w:pPr>
            <w:r>
              <w:rPr>
                <w:rFonts w:ascii="Arial" w:hAnsi="Arial"/>
                <w:b w:val="0"/>
                <w:sz w:val="14"/>
              </w:rPr>
              <w:t>System has logs</w:t>
            </w:r>
          </w:p>
        </w:tc>
        <w:tc>
          <w:tcPr>
            <w:tcW w:type="dxa" w:w="2045"/>
          </w:tcPr>
          <w:p>
            <w:pPr>
              <w:spacing w:after="0"/>
            </w:pPr>
            <w:r>
              <w:rPr>
                <w:rFonts w:ascii="Arial" w:hAnsi="Arial"/>
                <w:b w:val="0"/>
                <w:sz w:val="14"/>
              </w:rPr>
              <w:t>Logs ≠ partitioned evidence chain; no evidence export capability; no selective disclosure; no evidence integrity validation</w:t>
            </w:r>
          </w:p>
        </w:tc>
        <w:tc>
          <w:tcPr>
            <w:tcW w:type="dxa" w:w="2045"/>
          </w:tcPr>
          <w:p>
            <w:pPr>
              <w:spacing w:after="0"/>
            </w:pPr>
            <w:r>
              <w:rPr>
                <w:rFonts w:ascii="Arial" w:hAnsi="Arial"/>
                <w:b w:val="0"/>
                <w:sz w:val="14"/>
              </w:rPr>
              <w:t>MAS evidence partitioning (MRO-08); evidence export capability; selective disclosure; evidence integrity validation</w:t>
            </w:r>
          </w:p>
        </w:tc>
        <w:tc>
          <w:tcPr>
            <w:tcW w:type="dxa" w:w="2045"/>
          </w:tcPr>
          <w:p>
            <w:pPr>
              <w:spacing w:after="0"/>
            </w:pPr>
            <w:r>
              <w:rPr>
                <w:rFonts w:ascii="Arial" w:hAnsi="Arial"/>
                <w:b w:val="0"/>
                <w:sz w:val="14"/>
              </w:rPr>
              <w:t>Logs are execution records, not lifecycle responsibility evidence</w:t>
            </w:r>
          </w:p>
        </w:tc>
      </w:tr>
      <w:tr>
        <w:tc>
          <w:tcPr>
            <w:tcW w:type="dxa" w:w="2045"/>
          </w:tcPr>
          <w:p>
            <w:pPr>
              <w:spacing w:after="0"/>
            </w:pPr>
            <w:r>
              <w:rPr>
                <w:rFonts w:ascii="Arial" w:hAnsi="Arial"/>
                <w:b w:val="0"/>
                <w:sz w:val="14"/>
              </w:rPr>
              <w:t>"System provides authority boundary"</w:t>
            </w:r>
          </w:p>
        </w:tc>
        <w:tc>
          <w:tcPr>
            <w:tcW w:type="dxa" w:w="2045"/>
          </w:tcPr>
          <w:p>
            <w:pPr>
              <w:spacing w:after="0"/>
            </w:pPr>
            <w:r>
              <w:rPr>
                <w:rFonts w:ascii="Arial" w:hAnsi="Arial"/>
                <w:b w:val="0"/>
                <w:sz w:val="14"/>
              </w:rPr>
              <w:t>System has access control</w:t>
            </w:r>
          </w:p>
        </w:tc>
        <w:tc>
          <w:tcPr>
            <w:tcW w:type="dxa" w:w="2045"/>
          </w:tcPr>
          <w:p>
            <w:pPr>
              <w:spacing w:after="0"/>
            </w:pPr>
            <w:r>
              <w:rPr>
                <w:rFonts w:ascii="Arial" w:hAnsi="Arial"/>
                <w:b w:val="0"/>
                <w:sz w:val="14"/>
              </w:rPr>
              <w:t>Access control ≠ delegated authority boundary; no authority grant records; no boundary violation alerts; no drift detection</w:t>
            </w:r>
          </w:p>
        </w:tc>
        <w:tc>
          <w:tcPr>
            <w:tcW w:type="dxa" w:w="2045"/>
          </w:tcPr>
          <w:p>
            <w:pPr>
              <w:spacing w:after="0"/>
            </w:pPr>
            <w:r>
              <w:rPr>
                <w:rFonts w:ascii="Arial" w:hAnsi="Arial"/>
                <w:b w:val="0"/>
                <w:sz w:val="14"/>
              </w:rPr>
              <w:t>Delegated authority boundary (MRO-02); authority grant records; boundary violation alerts; drift detection</w:t>
            </w:r>
          </w:p>
        </w:tc>
        <w:tc>
          <w:tcPr>
            <w:tcW w:type="dxa" w:w="2045"/>
          </w:tcPr>
          <w:p>
            <w:pPr>
              <w:spacing w:after="0"/>
            </w:pPr>
            <w:r>
              <w:rPr>
                <w:rFonts w:ascii="Arial" w:hAnsi="Arial"/>
                <w:b w:val="0"/>
                <w:sz w:val="14"/>
              </w:rPr>
              <w:t>Access control is security feature, not lifecycle governance object</w:t>
            </w:r>
          </w:p>
        </w:tc>
      </w:tr>
      <w:tr>
        <w:tc>
          <w:tcPr>
            <w:tcW w:type="dxa" w:w="2045"/>
          </w:tcPr>
          <w:p>
            <w:pPr>
              <w:spacing w:after="0"/>
            </w:pPr>
            <w:r>
              <w:rPr>
                <w:rFonts w:ascii="Arial" w:hAnsi="Arial"/>
                <w:b w:val="0"/>
                <w:sz w:val="14"/>
              </w:rPr>
              <w:t>"System provides accepted outcome compliance"</w:t>
            </w:r>
          </w:p>
        </w:tc>
        <w:tc>
          <w:tcPr>
            <w:tcW w:type="dxa" w:w="2045"/>
          </w:tcPr>
          <w:p>
            <w:pPr>
              <w:spacing w:after="0"/>
            </w:pPr>
            <w:r>
              <w:rPr>
                <w:rFonts w:ascii="Arial" w:hAnsi="Arial"/>
                <w:b w:val="0"/>
                <w:sz w:val="14"/>
              </w:rPr>
              <w:t>Orchestrator marks task complete</w:t>
            </w:r>
          </w:p>
        </w:tc>
        <w:tc>
          <w:tcPr>
            <w:tcW w:type="dxa" w:w="2045"/>
          </w:tcPr>
          <w:p>
            <w:pPr>
              <w:spacing w:after="0"/>
            </w:pPr>
            <w:r>
              <w:rPr>
                <w:rFonts w:ascii="Arial" w:hAnsi="Arial"/>
                <w:b w:val="0"/>
                <w:sz w:val="14"/>
              </w:rPr>
              <w:t>Task completion ≠ accepted outcome; no accountable human role; no acceptance records; no review workflow</w:t>
            </w:r>
          </w:p>
        </w:tc>
        <w:tc>
          <w:tcPr>
            <w:tcW w:type="dxa" w:w="2045"/>
          </w:tcPr>
          <w:p>
            <w:pPr>
              <w:spacing w:after="0"/>
            </w:pPr>
            <w:r>
              <w:rPr>
                <w:rFonts w:ascii="Arial" w:hAnsi="Arial"/>
                <w:b w:val="0"/>
                <w:sz w:val="14"/>
              </w:rPr>
              <w:t>Accepted outcome compliance (MRO-04); human-role-to-MAS responsibility mapping (MRO-01); acceptance records; review workflow</w:t>
            </w:r>
          </w:p>
        </w:tc>
        <w:tc>
          <w:tcPr>
            <w:tcW w:type="dxa" w:w="2045"/>
          </w:tcPr>
          <w:p>
            <w:pPr>
              <w:spacing w:after="0"/>
            </w:pPr>
            <w:r>
              <w:rPr>
                <w:rFonts w:ascii="Arial" w:hAnsi="Arial"/>
                <w:b w:val="0"/>
                <w:sz w:val="14"/>
              </w:rPr>
              <w:t>Execution completion ≠ accepted outcome</w:t>
            </w:r>
          </w:p>
        </w:tc>
      </w:tr>
      <w:tr>
        <w:tc>
          <w:tcPr>
            <w:tcW w:type="dxa" w:w="2045"/>
          </w:tcPr>
          <w:p>
            <w:pPr>
              <w:spacing w:after="0"/>
            </w:pPr>
            <w:r>
              <w:rPr>
                <w:rFonts w:ascii="Arial" w:hAnsi="Arial"/>
                <w:b w:val="0"/>
                <w:sz w:val="14"/>
              </w:rPr>
              <w:t>"System provides privacy-preserving validation"</w:t>
            </w:r>
          </w:p>
        </w:tc>
        <w:tc>
          <w:tcPr>
            <w:tcW w:type="dxa" w:w="2045"/>
          </w:tcPr>
          <w:p>
            <w:pPr>
              <w:spacing w:after="0"/>
            </w:pPr>
            <w:r>
              <w:rPr>
                <w:rFonts w:ascii="Arial" w:hAnsi="Arial"/>
                <w:b w:val="0"/>
                <w:sz w:val="14"/>
              </w:rPr>
              <w:t>System has data export</w:t>
            </w:r>
          </w:p>
        </w:tc>
        <w:tc>
          <w:tcPr>
            <w:tcW w:type="dxa" w:w="2045"/>
          </w:tcPr>
          <w:p>
            <w:pPr>
              <w:spacing w:after="0"/>
            </w:pPr>
            <w:r>
              <w:rPr>
                <w:rFonts w:ascii="Arial" w:hAnsi="Arial"/>
                <w:b w:val="0"/>
                <w:sz w:val="14"/>
              </w:rPr>
              <w:t>Data export ≠ privacy-preserving validation; no disclosure profile; no redaction profile; no hash manifests; no verdict hashes</w:t>
            </w:r>
          </w:p>
        </w:tc>
        <w:tc>
          <w:tcPr>
            <w:tcW w:type="dxa" w:w="2045"/>
          </w:tcPr>
          <w:p>
            <w:pPr>
              <w:spacing w:after="0"/>
            </w:pPr>
            <w:r>
              <w:rPr>
                <w:rFonts w:ascii="Arial" w:hAnsi="Arial"/>
                <w:b w:val="0"/>
                <w:sz w:val="14"/>
              </w:rPr>
              <w:t>Privacy-preserving third-party validation (MRO-11); disclosure profile; redaction profile; hash manifests; verdict hashes</w:t>
            </w:r>
          </w:p>
        </w:tc>
        <w:tc>
          <w:tcPr>
            <w:tcW w:type="dxa" w:w="2045"/>
          </w:tcPr>
          <w:p>
            <w:pPr>
              <w:spacing w:after="0"/>
            </w:pPr>
            <w:r>
              <w:rPr>
                <w:rFonts w:ascii="Arial" w:hAnsi="Arial"/>
                <w:b w:val="0"/>
                <w:sz w:val="14"/>
              </w:rPr>
              <w:t>Data export is data management feature, not privacy-preserving validation protocol</w:t>
            </w:r>
          </w:p>
        </w:tc>
      </w:tr>
    </w:tbl>
    <w:p>
      <w:pPr>
        <w:spacing w:after="56"/>
      </w:pPr>
      <w:r>
        <w:t>Negative control policy:</w:t>
      </w:r>
    </w:p>
    <w:p>
      <w:pPr>
        <w:pStyle w:val="ListBullet"/>
        <w:spacing w:after="56"/>
      </w:pPr>
      <w:r>
        <w:t>Distinguish adjacent capabilities from lifecycle responsibility objects. Many systems have features that are adjacent to lifecycle governance but do not constitute lifecycle responsibility objects.</w:t>
      </w:r>
    </w:p>
    <w:p>
      <w:pPr>
        <w:pStyle w:val="ListBullet"/>
        <w:spacing w:after="56"/>
      </w:pPr>
      <w:r>
        <w:t>Require explicit evidence for lifecycle responsibility objects. Approval buttons, logs, access control, task completion, and data export are not lifecycle responsibility objects unless they include the required fields and workflows.</w:t>
      </w:r>
    </w:p>
    <w:p>
      <w:pPr>
        <w:pStyle w:val="ListBullet"/>
        <w:spacing w:after="56"/>
      </w:pPr>
      <w:r>
        <w:t>Prevent overclaim. Negative control prevents scoring systems for adjacent capabilities that do not meet lifecycle responsibility object requirements.</w:t>
      </w:r>
    </w:p>
    <w:p>
      <w:pPr>
        <w:pStyle w:val="ListBullet"/>
        <w:spacing w:after="56"/>
      </w:pPr>
      <w:r>
        <w:t>Document why adjacent capabilities do not count. Negative control checklist explains why specific capabilities do not count toward RCCS-T/RCCS-M/ALCS scores.</w:t>
      </w:r>
    </w:p>
    <w:p>
      <w:pPr>
        <w:pStyle w:val="Heading1"/>
      </w:pPr>
      <w:r>
        <w:t>Appendix C — References and Source Notes</w:t>
      </w:r>
    </w:p>
    <w:p>
      <w:pPr>
        <w:spacing w:after="56"/>
      </w:pPr>
      <w:r>
        <w:t>Version: v0.3.2-FRC-R3</w:t>
      </w:r>
    </w:p>
    <w:p>
      <w:pPr>
        <w:pStyle w:val="Heading2"/>
      </w:pPr>
      <w:r>
        <w:t>C.0 Source Boundary</w:t>
      </w:r>
    </w:p>
    <w:p>
      <w:pPr>
        <w:spacing w:after="56"/>
      </w:pPr>
      <w:r>
        <w:t>This appendix provides a source register and citation guidance for the Global AI Compliance White Paper 2026. Phase 1D-11 closes the high-risk citation/access/source-pointer blockers by replacing inaccessible sources, narrowing claims, downgrading lifecycle interpretations to L5, and retaining explicit non-blocking limitations where appropriate.</w:t>
      </w:r>
    </w:p>
    <w:p>
      <w:pPr>
        <w:spacing w:after="56"/>
      </w:pPr>
      <w:r>
        <w:t>Boundary statement:</w:t>
      </w:r>
    </w:p>
    <w:p>
      <w:pPr>
        <w:pStyle w:val="ListBullet"/>
        <w:spacing w:after="56"/>
      </w:pPr>
      <w:r>
        <w:t>This appendix is a source register and claim-binding pointer, not legal proof. The source register lists sources used in the white paper and their current validation status. Phase 1D-11 completed high-risk source closure for publication-candidate review.</w:t>
      </w:r>
    </w:p>
    <w:p>
      <w:pPr>
        <w:pStyle w:val="ListBullet"/>
        <w:spacing w:after="56"/>
      </w:pPr>
      <w:r>
        <w:t>Citation source pointers are classified by claim support. L2 product documentation sources support visible capability surfaces only. Lifecycle-object interpretations remain L5 analytical unless the source directly supports the lifecycle object.</w:t>
      </w:r>
    </w:p>
    <w:p>
      <w:pPr>
        <w:pStyle w:val="ListBullet"/>
        <w:spacing w:after="56"/>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Pr>
        <w:pStyle w:val="ListBullet"/>
        <w:spacing w:after="56"/>
      </w:pPr>
      <w:r>
        <w:t>Source validation is not legal compliance proof. Validated sources support the white paper's analytical framework. They do not prove legal compliance, regulatory approval, or certification.</w:t>
      </w:r>
    </w:p>
    <w:p>
      <w:pPr>
        <w:pStyle w:val="Heading2"/>
      </w:pPr>
      <w:r>
        <w:t>C.1 Evidence Level Policy</w:t>
      </w:r>
    </w:p>
    <w:p>
      <w:pPr>
        <w:spacing w:after="56"/>
      </w:pPr>
      <w:r>
        <w:t>The following table defines evidence levels and their permitted use.</w:t>
      </w:r>
    </w:p>
    <w:p>
      <w:pPr>
        <w:keepNext/>
      </w:pPr>
      <w:r>
        <w:rPr>
          <w:b/>
          <w:sz w:val="16"/>
        </w:rPr>
        <w:t>Table T-C-01: Evidence Level Policy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Source Type</w:t>
            </w:r>
          </w:p>
        </w:tc>
        <w:tc>
          <w:tcPr>
            <w:tcW w:type="dxa" w:w="2045"/>
          </w:tcPr>
          <w:p>
            <w:pPr>
              <w:spacing w:after="0"/>
            </w:pPr>
            <w:r>
              <w:rPr>
                <w:rFonts w:ascii="Arial" w:hAnsi="Arial"/>
                <w:b/>
                <w:sz w:val="14"/>
              </w:rPr>
              <w:t>Permitted Use</w:t>
            </w:r>
          </w:p>
        </w:tc>
        <w:tc>
          <w:tcPr>
            <w:tcW w:type="dxa" w:w="2045"/>
          </w:tcPr>
          <w:p>
            <w:pPr>
              <w:spacing w:after="0"/>
            </w:pPr>
            <w:r>
              <w:rPr>
                <w:rFonts w:ascii="Arial" w:hAnsi="Arial"/>
                <w:b/>
                <w:sz w:val="14"/>
              </w:rPr>
              <w:t>Confidence</w:t>
            </w:r>
          </w:p>
        </w:tc>
        <w:tc>
          <w:tcPr>
            <w:tcW w:type="dxa" w:w="2045"/>
          </w:tcPr>
          <w:p>
            <w:pPr>
              <w:spacing w:after="0"/>
            </w:pPr>
            <w:r>
              <w:rPr>
                <w:rFonts w:ascii="Arial" w:hAnsi="Arial"/>
                <w:b/>
                <w:sz w:val="14"/>
              </w:rPr>
              <w:t>Limitation</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Binding legal text (EU AI Act, GDPR, Colorado AI Act, etc.)</w:t>
            </w:r>
          </w:p>
        </w:tc>
        <w:tc>
          <w:tcPr>
            <w:tcW w:type="dxa" w:w="2045"/>
          </w:tcPr>
          <w:p>
            <w:pPr>
              <w:spacing w:after="0"/>
            </w:pPr>
            <w:r>
              <w:rPr>
                <w:rFonts w:ascii="Arial" w:hAnsi="Arial"/>
                <w:b w:val="0"/>
                <w:sz w:val="14"/>
              </w:rPr>
              <w:t>Regulatory baseline; legal obligation statements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Legal text requires legal interpretation; does not prove organizational compliance</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Formal standards (NIST AI RMF, ISO/IEC 42001, Singapore IMDA, W3C PROV, W3C VC)</w:t>
            </w:r>
          </w:p>
        </w:tc>
        <w:tc>
          <w:tcPr>
            <w:tcW w:type="dxa" w:w="2045"/>
          </w:tcPr>
          <w:p>
            <w:pPr>
              <w:spacing w:after="0"/>
            </w:pPr>
            <w:r>
              <w:rPr>
                <w:rFonts w:ascii="Arial" w:hAnsi="Arial"/>
                <w:b w:val="0"/>
                <w:sz w:val="14"/>
              </w:rPr>
              <w:t>Framework baseline; standard requirements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Standards are voluntary unless mandated by regulation; adoption does not prove compliance</w:t>
            </w:r>
          </w:p>
        </w:tc>
      </w:tr>
      <w:tr>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product documentation (vendor docs, protocol specs, GitHub repos)</w:t>
            </w:r>
          </w:p>
        </w:tc>
        <w:tc>
          <w:tcPr>
            <w:tcW w:type="dxa" w:w="2045"/>
          </w:tcPr>
          <w:p>
            <w:pPr>
              <w:spacing w:after="0"/>
            </w:pPr>
            <w:r>
              <w:rPr>
                <w:rFonts w:ascii="Arial" w:hAnsi="Arial"/>
                <w:b w:val="0"/>
                <w:sz w:val="14"/>
              </w:rPr>
              <w:t>System capability claims; feature descriptions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Product docs describe capability, not operational effectiveness; require validation; may change without notice</w:t>
            </w:r>
          </w:p>
        </w:tc>
      </w:tr>
      <w:tr>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Third-party audit reports, academic papers, industry reports</w:t>
            </w:r>
          </w:p>
        </w:tc>
        <w:tc>
          <w:tcPr>
            <w:tcW w:type="dxa" w:w="2045"/>
          </w:tcPr>
          <w:p>
            <w:pPr>
              <w:spacing w:after="0"/>
            </w:pPr>
            <w:r>
              <w:rPr>
                <w:rFonts w:ascii="Arial" w:hAnsi="Arial"/>
                <w:b w:val="0"/>
                <w:sz w:val="14"/>
              </w:rPr>
              <w:t>Supplemental confidence; independent assessment</w:t>
            </w:r>
          </w:p>
        </w:tc>
        <w:tc>
          <w:tcPr>
            <w:tcW w:type="dxa" w:w="2045"/>
          </w:tcPr>
          <w:p>
            <w:pPr>
              <w:spacing w:after="0"/>
            </w:pPr>
            <w:r>
              <w:rPr>
                <w:rFonts w:ascii="Arial" w:hAnsi="Arial"/>
                <w:b w:val="0"/>
                <w:sz w:val="14"/>
              </w:rPr>
              <w:t>Medium</w:t>
            </w:r>
          </w:p>
        </w:tc>
        <w:tc>
          <w:tcPr>
            <w:tcW w:type="dxa" w:w="2045"/>
          </w:tcPr>
          <w:p>
            <w:pPr>
              <w:spacing w:after="0"/>
            </w:pPr>
            <w:r>
              <w:rPr>
                <w:rFonts w:ascii="Arial" w:hAnsi="Arial"/>
                <w:b w:val="0"/>
                <w:sz w:val="14"/>
              </w:rPr>
              <w:t>Audit reports are point-in-time assessments; academic papers may not reflect current state; industry reports may have bias</w:t>
            </w:r>
          </w:p>
        </w:tc>
      </w:tr>
      <w:tr>
        <w:tc>
          <w:tcPr>
            <w:tcW w:type="dxa" w:w="2045"/>
          </w:tcPr>
          <w:p>
            <w:pPr>
              <w:spacing w:after="0"/>
            </w:pPr>
            <w:r>
              <w:rPr>
                <w:rFonts w:ascii="Arial" w:hAnsi="Arial"/>
                <w:b w:val="0"/>
                <w:sz w:val="14"/>
              </w:rPr>
              <w:t>L4</w:t>
            </w:r>
          </w:p>
        </w:tc>
        <w:tc>
          <w:tcPr>
            <w:tcW w:type="dxa" w:w="2045"/>
          </w:tcPr>
          <w:p>
            <w:pPr>
              <w:spacing w:after="0"/>
            </w:pPr>
            <w:r>
              <w:rPr>
                <w:rFonts w:ascii="Arial" w:hAnsi="Arial"/>
                <w:b w:val="0"/>
                <w:sz w:val="14"/>
              </w:rPr>
              <w:t>Vendor claims, marketing materials, blog posts</w:t>
            </w:r>
          </w:p>
        </w:tc>
        <w:tc>
          <w:tcPr>
            <w:tcW w:type="dxa" w:w="2045"/>
          </w:tcPr>
          <w:p>
            <w:pPr>
              <w:spacing w:after="0"/>
            </w:pPr>
            <w:r>
              <w:rPr>
                <w:rFonts w:ascii="Arial" w:hAnsi="Arial"/>
                <w:b w:val="0"/>
                <w:sz w:val="14"/>
              </w:rPr>
              <w:t>Positioning only; not capability claims</w:t>
            </w:r>
          </w:p>
        </w:tc>
        <w:tc>
          <w:tcPr>
            <w:tcW w:type="dxa" w:w="2045"/>
          </w:tcPr>
          <w:p>
            <w:pPr>
              <w:spacing w:after="0"/>
            </w:pPr>
            <w:r>
              <w:rPr>
                <w:rFonts w:ascii="Arial" w:hAnsi="Arial"/>
                <w:b w:val="0"/>
                <w:sz w:val="14"/>
              </w:rPr>
              <w:t>Low</w:t>
            </w:r>
          </w:p>
        </w:tc>
        <w:tc>
          <w:tcPr>
            <w:tcW w:type="dxa" w:w="2045"/>
          </w:tcPr>
          <w:p>
            <w:pPr>
              <w:spacing w:after="0"/>
            </w:pPr>
            <w:r>
              <w:rPr>
                <w:rFonts w:ascii="Arial" w:hAnsi="Arial"/>
                <w:b w:val="0"/>
                <w:sz w:val="14"/>
              </w:rPr>
              <w:t>Vendor claims require validation; marketing materials may overstate capability; blog posts are not authoritative</w:t>
            </w:r>
          </w:p>
        </w:tc>
      </w:tr>
      <w:tr>
        <w:tc>
          <w:tcPr>
            <w:tcW w:type="dxa" w:w="2045"/>
          </w:tcPr>
          <w:p>
            <w:pPr>
              <w:spacing w:after="0"/>
            </w:pPr>
            <w:r>
              <w:rPr>
                <w:rFonts w:ascii="Arial" w:hAnsi="Arial"/>
                <w:b w:val="0"/>
                <w:sz w:val="14"/>
              </w:rPr>
              <w:t>L5</w:t>
            </w:r>
          </w:p>
        </w:tc>
        <w:tc>
          <w:tcPr>
            <w:tcW w:type="dxa" w:w="2045"/>
          </w:tcPr>
          <w:p>
            <w:pPr>
              <w:spacing w:after="0"/>
            </w:pPr>
            <w:r>
              <w:rPr>
                <w:rFonts w:ascii="Arial" w:hAnsi="Arial"/>
                <w:b w:val="0"/>
                <w:sz w:val="14"/>
              </w:rPr>
              <w:t>Author inference, analytical framework, logical derivation</w:t>
            </w:r>
          </w:p>
        </w:tc>
        <w:tc>
          <w:tcPr>
            <w:tcW w:type="dxa" w:w="2045"/>
          </w:tcPr>
          <w:p>
            <w:pPr>
              <w:spacing w:after="0"/>
            </w:pPr>
            <w:r>
              <w:rPr>
                <w:rFonts w:ascii="Arial" w:hAnsi="Arial"/>
                <w:b w:val="0"/>
                <w:sz w:val="14"/>
              </w:rPr>
              <w:t>Framework design; gap analysis; analytical tools</w:t>
            </w:r>
          </w:p>
        </w:tc>
        <w:tc>
          <w:tcPr>
            <w:tcW w:type="dxa" w:w="2045"/>
          </w:tcPr>
          <w:p>
            <w:pPr>
              <w:spacing w:after="0"/>
            </w:pPr>
            <w:r>
              <w:rPr>
                <w:rFonts w:ascii="Arial" w:hAnsi="Arial"/>
                <w:b w:val="0"/>
                <w:sz w:val="14"/>
              </w:rPr>
              <w:t>Lowest</w:t>
            </w:r>
          </w:p>
        </w:tc>
        <w:tc>
          <w:tcPr>
            <w:tcW w:type="dxa" w:w="2045"/>
          </w:tcPr>
          <w:p>
            <w:pPr>
              <w:spacing w:after="0"/>
            </w:pPr>
            <w:r>
              <w:rPr>
                <w:rFonts w:ascii="Arial" w:hAnsi="Arial"/>
                <w:b w:val="0"/>
                <w:sz w:val="14"/>
              </w:rPr>
              <w:t>Author inference must be marked clearly; does not replace evidence; requires organizational interpretation</w:t>
            </w:r>
          </w:p>
        </w:tc>
      </w:tr>
    </w:tbl>
    <w:p>
      <w:pPr>
        <w:spacing w:after="56"/>
      </w:pPr>
      <w:r>
        <w:t>Evidence level multipliers for RCCS-T/RCCS-M/ALCS scoring:</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pStyle w:val="Heading2"/>
      </w:pPr>
      <w:r>
        <w:t>C.2 Required Source Groups</w:t>
      </w:r>
    </w:p>
    <w:p>
      <w:pPr>
        <w:spacing w:after="56"/>
      </w:pPr>
      <w:r>
        <w:t>The white paper uses five source groups: L1 Binding Legal/Regulatory Sources, L1 Formal Standards, L2 Official Product Documentation, L3 Third-Party Reports, and L5 Author Inference.</w:t>
      </w:r>
    </w:p>
    <w:p>
      <w:pPr>
        <w:pStyle w:val="Heading3"/>
      </w:pPr>
      <w:r>
        <w:t>L1: Binding Legal/Regulatory Sources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EU-AI-ACT</w:t>
            </w:r>
          </w:p>
        </w:tc>
        <w:tc>
          <w:tcPr>
            <w:tcW w:type="dxa" w:w="2045"/>
          </w:tcPr>
          <w:p>
            <w:pPr>
              <w:spacing w:after="0"/>
            </w:pPr>
            <w:r>
              <w:rPr>
                <w:rFonts w:ascii="Arial" w:hAnsi="Arial"/>
                <w:b w:val="0"/>
                <w:sz w:val="14"/>
              </w:rPr>
              <w:t>EU AI Act (Regulation (EU) 2024/1689) Articles 9, 10, 11, 12, 13, 14, 15, 72</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GDPR</w:t>
            </w:r>
          </w:p>
        </w:tc>
        <w:tc>
          <w:tcPr>
            <w:tcW w:type="dxa" w:w="2045"/>
          </w:tcPr>
          <w:p>
            <w:pPr>
              <w:spacing w:after="0"/>
            </w:pPr>
            <w:r>
              <w:rPr>
                <w:rFonts w:ascii="Arial" w:hAnsi="Arial"/>
                <w:b w:val="0"/>
                <w:sz w:val="14"/>
              </w:rPr>
              <w:t>GDPR (Regulation (EU) 2016/679) Article 5, Article 17, Article 28</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COLORADO-AI-ACT</w:t>
            </w:r>
          </w:p>
        </w:tc>
        <w:tc>
          <w:tcPr>
            <w:tcW w:type="dxa" w:w="2045"/>
          </w:tcPr>
          <w:p>
            <w:pPr>
              <w:spacing w:after="0"/>
            </w:pPr>
            <w:r>
              <w:rPr>
                <w:rFonts w:ascii="Arial" w:hAnsi="Arial"/>
                <w:b w:val="0"/>
                <w:sz w:val="14"/>
              </w:rPr>
              <w:t>Colorado AI Act (SB25B-004)</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L1: Formal Standards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NIST-AI-RMF</w:t>
            </w:r>
          </w:p>
        </w:tc>
        <w:tc>
          <w:tcPr>
            <w:tcW w:type="dxa" w:w="2045"/>
          </w:tcPr>
          <w:p>
            <w:pPr>
              <w:spacing w:after="0"/>
            </w:pPr>
            <w:r>
              <w:rPr>
                <w:rFonts w:ascii="Arial" w:hAnsi="Arial"/>
                <w:b w:val="0"/>
                <w:sz w:val="14"/>
              </w:rPr>
              <w:t>NIST AI Risk Management Framework 1.0</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ISO-42001</w:t>
            </w:r>
          </w:p>
        </w:tc>
        <w:tc>
          <w:tcPr>
            <w:tcW w:type="dxa" w:w="2045"/>
          </w:tcPr>
          <w:p>
            <w:pPr>
              <w:spacing w:after="0"/>
            </w:pPr>
            <w:r>
              <w:rPr>
                <w:rFonts w:ascii="Arial" w:hAnsi="Arial"/>
                <w:b w:val="0"/>
                <w:sz w:val="14"/>
              </w:rPr>
              <w:t>ISO/IEC 42001:2023 AI Management System</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SINGAPORE-IMDA</w:t>
            </w:r>
          </w:p>
        </w:tc>
        <w:tc>
          <w:tcPr>
            <w:tcW w:type="dxa" w:w="2045"/>
          </w:tcPr>
          <w:p>
            <w:pPr>
              <w:spacing w:after="0"/>
            </w:pPr>
            <w:r>
              <w:rPr>
                <w:rFonts w:ascii="Arial" w:hAnsi="Arial"/>
                <w:b w:val="0"/>
                <w:sz w:val="14"/>
              </w:rPr>
              <w:t>Singapore IMDA Model AI Governance Framework for Agentic AI</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W3C-PROV</w:t>
            </w:r>
          </w:p>
        </w:tc>
        <w:tc>
          <w:tcPr>
            <w:tcW w:type="dxa" w:w="2045"/>
          </w:tcPr>
          <w:p>
            <w:pPr>
              <w:spacing w:after="0"/>
            </w:pPr>
            <w:r>
              <w:rPr>
                <w:rFonts w:ascii="Arial" w:hAnsi="Arial"/>
                <w:b w:val="0"/>
                <w:sz w:val="14"/>
              </w:rPr>
              <w:t>W3C PROV-DM: The PROV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W3C-VC</w:t>
            </w:r>
          </w:p>
        </w:tc>
        <w:tc>
          <w:tcPr>
            <w:tcW w:type="dxa" w:w="2045"/>
          </w:tcPr>
          <w:p>
            <w:pPr>
              <w:spacing w:after="0"/>
            </w:pPr>
            <w:r>
              <w:rPr>
                <w:rFonts w:ascii="Arial" w:hAnsi="Arial"/>
                <w:b w:val="0"/>
                <w:sz w:val="14"/>
              </w:rPr>
              <w:t>W3C Verifiable Credentials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L2: Official Product Documentation (Claim-Level Reviewed)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IBM watsonx.governance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Microsoft Azure AI Foundry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Responsible AI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point/source family located; exact responsible-AI page pinning remains</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AWS Bedrock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AWS Bedrock Guardrails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guardrails are not delegated-authority proof</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AWS AgentCore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analytical</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Google Vertex 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Google Agent Development Kit (ADK)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ADK primitives are not governance objects by default</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Google Model Armor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safety inspection is not lifecycle responsibility proof</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LangGraph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orchestration mappings remain analytical</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LangSmith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observability mappings remain analytical</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OpenAI Agents SDK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Accessible official Python/JS SDK docs replace inaccessible platform guide for retained SDK-surface claims; platform guide 403 retained as access note</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Tools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Narrowed to accessible SDK primitive claims only; lifecycle-governance mapping remains analytical</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CrewAI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agent role labels are not human accountability roles</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CrewAI GitHub Repository</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Repository entry point located; exact code/API claims require page-level pinning</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MPLP (Multi-Agent Lifecycle Protocol) Official Documentation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Chapters 12, 13</w:t>
            </w:r>
          </w:p>
        </w:tc>
        <w:tc>
          <w:tcPr>
            <w:tcW w:type="dxa" w:w="2045"/>
          </w:tcPr>
          <w:p>
            <w:pPr>
              <w:spacing w:after="0"/>
            </w:pPr>
            <w:r>
              <w:rPr>
                <w:rFonts w:ascii="Arial" w:hAnsi="Arial"/>
                <w:b w:val="0"/>
                <w:sz w:val="14"/>
              </w:rPr>
              <w:t>✓ Entry point located; protocol mapping remains L2 + L5 analytical interpretation</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MPLP Protocol Specification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13</w:t>
            </w:r>
          </w:p>
        </w:tc>
        <w:tc>
          <w:tcPr>
            <w:tcW w:type="dxa" w:w="2045"/>
          </w:tcPr>
          <w:p>
            <w:pPr>
              <w:spacing w:after="0"/>
            </w:pPr>
            <w:r>
              <w:rPr>
                <w:rFonts w:ascii="Arial" w:hAnsi="Arial"/>
                <w:b w:val="0"/>
                <w:sz w:val="14"/>
              </w:rPr>
              <w:t>✓ Bound through MPLP docs entry point; version/citation rendering remains</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Validation Lab Evidence-Based Validation Methodology</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14</w:t>
            </w:r>
          </w:p>
        </w:tc>
        <w:tc>
          <w:tcPr>
            <w:tcW w:type="dxa" w:w="2045"/>
          </w:tcPr>
          <w:p>
            <w:pPr>
              <w:spacing w:after="0"/>
            </w:pPr>
            <w:r>
              <w:rPr>
                <w:rFonts w:ascii="Arial" w:hAnsi="Arial"/>
                <w:b w:val="0"/>
                <w:sz w:val="14"/>
              </w:rPr>
              <w:t>✓ Methodology page cited as public-surface, non-certifying evidence adjudication example only</w:t>
            </w:r>
          </w:p>
        </w:tc>
      </w:tr>
    </w:tbl>
    <w:p>
      <w:pPr>
        <w:pStyle w:val="Heading3"/>
      </w:pPr>
      <w:r>
        <w:t>L5: Author Inference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AUTHOR-INFERENCE-MRO</w:t>
            </w:r>
          </w:p>
        </w:tc>
        <w:tc>
          <w:tcPr>
            <w:tcW w:type="dxa" w:w="2045"/>
          </w:tcPr>
          <w:p>
            <w:pPr>
              <w:spacing w:after="0"/>
            </w:pPr>
            <w:r>
              <w:rPr>
                <w:rFonts w:ascii="Arial" w:hAnsi="Arial"/>
                <w:b w:val="0"/>
                <w:sz w:val="14"/>
              </w:rPr>
              <w:t>Sixteen Missing Regulatory Objects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6</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w:t>
            </w:r>
          </w:p>
        </w:tc>
        <w:tc>
          <w:tcPr>
            <w:tcW w:type="dxa" w:w="2045"/>
          </w:tcPr>
          <w:p>
            <w:pPr>
              <w:spacing w:after="0"/>
            </w:pPr>
            <w:r>
              <w:rPr>
                <w:rFonts w:ascii="Arial" w:hAnsi="Arial"/>
                <w:b w:val="0"/>
                <w:sz w:val="14"/>
              </w:rPr>
              <w:t>RCCS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7</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AUTHOR-INFERENCE-RCCS-M</w:t>
            </w:r>
          </w:p>
        </w:tc>
        <w:tc>
          <w:tcPr>
            <w:tcW w:type="dxa" w:w="2045"/>
          </w:tcPr>
          <w:p>
            <w:pPr>
              <w:spacing w:after="0"/>
            </w:pPr>
            <w:r>
              <w:rPr>
                <w:rFonts w:ascii="Arial" w:hAnsi="Arial"/>
                <w:b w:val="0"/>
                <w:sz w:val="14"/>
              </w:rPr>
              <w:t>RCCS-M — MRO-Adjusted Regulatory Compliance Coverage Score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6-9, Evaluation Results</w:t>
            </w:r>
          </w:p>
        </w:tc>
        <w:tc>
          <w:tcPr>
            <w:tcW w:type="dxa" w:w="2045"/>
          </w:tcPr>
          <w:p>
            <w:pPr>
              <w:spacing w:after="0"/>
            </w:pPr>
            <w:r>
              <w:rPr>
                <w:rFonts w:ascii="Arial" w:hAnsi="Arial"/>
                <w:b w:val="0"/>
                <w:sz w:val="14"/>
              </w:rPr>
              <w:t>✓ Marked as L5; forward-looking author analytical model</w:t>
            </w:r>
          </w:p>
        </w:tc>
      </w:tr>
      <w:tr>
        <w:tc>
          <w:tcPr>
            <w:tcW w:type="dxa" w:w="2045"/>
          </w:tcPr>
          <w:p>
            <w:pPr>
              <w:spacing w:after="0"/>
            </w:pPr>
            <w:r>
              <w:rPr>
                <w:rFonts w:ascii="Arial" w:hAnsi="Arial"/>
                <w:b w:val="0"/>
                <w:sz w:val="14"/>
              </w:rPr>
              <w:t>AUTHOR-INFERENCE-ALCS</w:t>
            </w:r>
          </w:p>
        </w:tc>
        <w:tc>
          <w:tcPr>
            <w:tcW w:type="dxa" w:w="2045"/>
          </w:tcPr>
          <w:p>
            <w:pPr>
              <w:spacing w:after="0"/>
            </w:pPr>
            <w:r>
              <w:rPr>
                <w:rFonts w:ascii="Arial" w:hAnsi="Arial"/>
                <w:b w:val="0"/>
                <w:sz w:val="14"/>
              </w:rPr>
              <w:t>ALCS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8</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AUTHOR-INFERENCE-COMPOSITE</w:t>
            </w:r>
          </w:p>
        </w:tc>
        <w:tc>
          <w:tcPr>
            <w:tcW w:type="dxa" w:w="2045"/>
          </w:tcPr>
          <w:p>
            <w:pPr>
              <w:spacing w:after="0"/>
            </w:pPr>
            <w:r>
              <w:rPr>
                <w:rFonts w:ascii="Arial" w:hAnsi="Arial"/>
                <w:b w:val="0"/>
                <w:sz w:val="14"/>
              </w:rPr>
              <w:t>Composite Scoring Method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9</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AUTHOR-INFERENCE-SYSTEM-MAPPING</w:t>
            </w:r>
          </w:p>
        </w:tc>
        <w:tc>
          <w:tcPr>
            <w:tcW w:type="dxa" w:w="2045"/>
          </w:tcPr>
          <w:p>
            <w:pPr>
              <w:spacing w:after="0"/>
            </w:pPr>
            <w:r>
              <w:rPr>
                <w:rFonts w:ascii="Arial" w:hAnsi="Arial"/>
                <w:b w:val="0"/>
                <w:sz w:val="14"/>
              </w:rPr>
              <w:t>System Mapping Methodology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11, 12</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AUTHOR-INFERENCE-FAILURE-SCENARIOS</w:t>
            </w:r>
          </w:p>
        </w:tc>
        <w:tc>
          <w:tcPr>
            <w:tcW w:type="dxa" w:w="2045"/>
          </w:tcPr>
          <w:p>
            <w:pPr>
              <w:spacing w:after="0"/>
            </w:pPr>
            <w:r>
              <w:rPr>
                <w:rFonts w:ascii="Arial" w:hAnsi="Arial"/>
                <w:b w:val="0"/>
                <w:sz w:val="14"/>
              </w:rPr>
              <w:t>Enterprise Failure Scenarios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15</w:t>
            </w:r>
          </w:p>
        </w:tc>
        <w:tc>
          <w:tcPr>
            <w:tcW w:type="dxa" w:w="2045"/>
          </w:tcPr>
          <w:p>
            <w:pPr>
              <w:spacing w:after="0"/>
            </w:pPr>
            <w:r>
              <w:rPr>
                <w:rFonts w:ascii="Arial" w:hAnsi="Arial"/>
                <w:b w:val="0"/>
                <w:sz w:val="14"/>
              </w:rPr>
              <w:t>✓ Marked as L5</w:t>
            </w:r>
          </w:p>
        </w:tc>
      </w:tr>
    </w:tbl>
    <w:p>
      <w:pPr>
        <w:pStyle w:val="Heading2"/>
      </w:pPr>
      <w:r>
        <w:t>C.3 Source Register</w:t>
      </w:r>
    </w:p>
    <w:p>
      <w:pPr>
        <w:spacing w:after="56"/>
      </w:pPr>
      <w:r>
        <w:t>The following table provides the complete source register for the white paper.</w:t>
      </w:r>
    </w:p>
    <w:p>
      <w:pPr>
        <w:keepNext/>
      </w:pPr>
      <w:r>
        <w:rPr>
          <w:b/>
          <w:sz w:val="16"/>
        </w:rPr>
        <w:t>Table T-C-02: Source Register</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Source Name</w:t>
            </w:r>
          </w:p>
        </w:tc>
        <w:tc>
          <w:tcPr>
            <w:tcW w:type="dxa" w:w="1704"/>
          </w:tcPr>
          <w:p>
            <w:pPr>
              <w:spacing w:after="0"/>
            </w:pPr>
            <w:r>
              <w:rPr>
                <w:rFonts w:ascii="Arial" w:hAnsi="Arial"/>
                <w:b/>
                <w:sz w:val="12"/>
              </w:rPr>
              <w:t>Evidence Level</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Current Status</w:t>
            </w:r>
          </w:p>
        </w:tc>
        <w:tc>
          <w:tcPr>
            <w:tcW w:type="dxa" w:w="1704"/>
          </w:tcPr>
          <w:p>
            <w:pPr>
              <w:spacing w:after="0"/>
            </w:pPr>
            <w:r>
              <w:rPr>
                <w:rFonts w:ascii="Arial" w:hAnsi="Arial"/>
                <w:b/>
                <w:sz w:val="12"/>
              </w:rPr>
              <w:t>Publication Follow-up Action</w:t>
            </w:r>
          </w:p>
        </w:tc>
      </w:tr>
      <w:tr>
        <w:tc>
          <w:tcPr>
            <w:tcW w:type="dxa" w:w="1704"/>
          </w:tcPr>
          <w:p>
            <w:pPr>
              <w:spacing w:after="0"/>
            </w:pPr>
            <w:r>
              <w:rPr>
                <w:rFonts w:ascii="Arial" w:hAnsi="Arial"/>
                <w:b w:val="0"/>
                <w:sz w:val="12"/>
              </w:rPr>
              <w:t>EU-AI-ACT</w:t>
            </w:r>
          </w:p>
        </w:tc>
        <w:tc>
          <w:tcPr>
            <w:tcW w:type="dxa" w:w="1704"/>
          </w:tcPr>
          <w:p>
            <w:pPr>
              <w:spacing w:after="0"/>
            </w:pPr>
            <w:r>
              <w:rPr>
                <w:rFonts w:ascii="Arial" w:hAnsi="Arial"/>
                <w:b w:val="0"/>
                <w:sz w:val="12"/>
              </w:rPr>
              <w:t>EU AI Act (Regulation (EU) 2024/1689)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GDPR</w:t>
            </w:r>
          </w:p>
        </w:tc>
        <w:tc>
          <w:tcPr>
            <w:tcW w:type="dxa" w:w="1704"/>
          </w:tcPr>
          <w:p>
            <w:pPr>
              <w:spacing w:after="0"/>
            </w:pPr>
            <w:r>
              <w:rPr>
                <w:rFonts w:ascii="Arial" w:hAnsi="Arial"/>
                <w:b w:val="0"/>
                <w:sz w:val="12"/>
              </w:rPr>
              <w:t>GDPR (Regulation (EU) 2016/679)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COLORADO-AI-ACT</w:t>
            </w:r>
          </w:p>
        </w:tc>
        <w:tc>
          <w:tcPr>
            <w:tcW w:type="dxa" w:w="1704"/>
          </w:tcPr>
          <w:p>
            <w:pPr>
              <w:spacing w:after="0"/>
            </w:pPr>
            <w:r>
              <w:rPr>
                <w:rFonts w:ascii="Arial" w:hAnsi="Arial"/>
                <w:b w:val="0"/>
                <w:sz w:val="12"/>
              </w:rPr>
              <w:t>Colorado AI Act (SB25B-004)</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NIST-AI-RMF</w:t>
            </w:r>
          </w:p>
        </w:tc>
        <w:tc>
          <w:tcPr>
            <w:tcW w:type="dxa" w:w="1704"/>
          </w:tcPr>
          <w:p>
            <w:pPr>
              <w:spacing w:after="0"/>
            </w:pPr>
            <w:r>
              <w:rPr>
                <w:rFonts w:ascii="Arial" w:hAnsi="Arial"/>
                <w:b w:val="0"/>
                <w:sz w:val="12"/>
              </w:rPr>
              <w:t>NIST AI RMF 1.0</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ISO-42001</w:t>
            </w:r>
          </w:p>
        </w:tc>
        <w:tc>
          <w:tcPr>
            <w:tcW w:type="dxa" w:w="1704"/>
          </w:tcPr>
          <w:p>
            <w:pPr>
              <w:spacing w:after="0"/>
            </w:pPr>
            <w:r>
              <w:rPr>
                <w:rFonts w:ascii="Arial" w:hAnsi="Arial"/>
                <w:b w:val="0"/>
                <w:sz w:val="12"/>
              </w:rPr>
              <w:t>ISO/IEC 42001:2023</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SINGAPORE-IMDA</w:t>
            </w:r>
          </w:p>
        </w:tc>
        <w:tc>
          <w:tcPr>
            <w:tcW w:type="dxa" w:w="1704"/>
          </w:tcPr>
          <w:p>
            <w:pPr>
              <w:spacing w:after="0"/>
            </w:pPr>
            <w:r>
              <w:rPr>
                <w:rFonts w:ascii="Arial" w:hAnsi="Arial"/>
                <w:b w:val="0"/>
                <w:sz w:val="12"/>
              </w:rPr>
              <w:t>Singapore IMDA Model AI Governance Framework for Agentic AI</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W3C-PROV</w:t>
            </w:r>
          </w:p>
        </w:tc>
        <w:tc>
          <w:tcPr>
            <w:tcW w:type="dxa" w:w="1704"/>
          </w:tcPr>
          <w:p>
            <w:pPr>
              <w:spacing w:after="0"/>
            </w:pPr>
            <w:r>
              <w:rPr>
                <w:rFonts w:ascii="Arial" w:hAnsi="Arial"/>
                <w:b w:val="0"/>
                <w:sz w:val="12"/>
              </w:rPr>
              <w:t>W3C PROV-DM</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W3C-VC</w:t>
            </w:r>
          </w:p>
        </w:tc>
        <w:tc>
          <w:tcPr>
            <w:tcW w:type="dxa" w:w="1704"/>
          </w:tcPr>
          <w:p>
            <w:pPr>
              <w:spacing w:after="0"/>
            </w:pPr>
            <w:r>
              <w:rPr>
                <w:rFonts w:ascii="Arial" w:hAnsi="Arial"/>
                <w:b w:val="0"/>
                <w:sz w:val="12"/>
              </w:rPr>
              <w:t>W3C Verifiable Credentials</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IBM-WATSONX-GOVERNANCE-DOCS</w:t>
            </w:r>
          </w:p>
        </w:tc>
        <w:tc>
          <w:tcPr>
            <w:tcW w:type="dxa" w:w="1704"/>
          </w:tcPr>
          <w:p>
            <w:pPr>
              <w:spacing w:after="0"/>
            </w:pPr>
            <w:r>
              <w:rPr>
                <w:rFonts w:ascii="Arial" w:hAnsi="Arial"/>
                <w:b w:val="0"/>
                <w:sz w:val="12"/>
              </w:rPr>
              <w:t>IBM watsonx.governance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official entry points support narrowed capability-surface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MICROSOFT-AZURE-AI-FOUNDRY-DOCS</w:t>
            </w:r>
          </w:p>
        </w:tc>
        <w:tc>
          <w:tcPr>
            <w:tcW w:type="dxa" w:w="1704"/>
          </w:tcPr>
          <w:p>
            <w:pPr>
              <w:spacing w:after="0"/>
            </w:pPr>
            <w:r>
              <w:rPr>
                <w:rFonts w:ascii="Arial" w:hAnsi="Arial"/>
                <w:b w:val="0"/>
                <w:sz w:val="12"/>
              </w:rPr>
              <w:t>Microsoft Azure AI Foundry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Microsoft Learn entry point supports narrowed platform-surface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MICROSOFT-RESPONSIBLE-AI-DOCS</w:t>
            </w:r>
          </w:p>
        </w:tc>
        <w:tc>
          <w:tcPr>
            <w:tcW w:type="dxa" w:w="1704"/>
          </w:tcPr>
          <w:p>
            <w:pPr>
              <w:spacing w:after="0"/>
            </w:pPr>
            <w:r>
              <w:rPr>
                <w:rFonts w:ascii="Arial" w:hAnsi="Arial"/>
                <w:b w:val="0"/>
                <w:sz w:val="12"/>
              </w:rPr>
              <w:t>Microsoft Responsible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as source-family support for retained responsible-AI surface claims</w:t>
            </w:r>
          </w:p>
        </w:tc>
        <w:tc>
          <w:tcPr>
            <w:tcW w:type="dxa" w:w="1704"/>
          </w:tcPr>
          <w:p>
            <w:pPr>
              <w:spacing w:after="0"/>
            </w:pPr>
            <w:r>
              <w:rPr>
                <w:rFonts w:ascii="Arial" w:hAnsi="Arial"/>
                <w:b w:val="0"/>
                <w:sz w:val="12"/>
              </w:rPr>
              <w:t>Keep lifecycle-object scoring analytical unless exact source language directly supports the object</w:t>
            </w:r>
          </w:p>
        </w:tc>
      </w:tr>
      <w:tr>
        <w:tc>
          <w:tcPr>
            <w:tcW w:type="dxa" w:w="1704"/>
          </w:tcPr>
          <w:p>
            <w:pPr>
              <w:spacing w:after="0"/>
            </w:pPr>
            <w:r>
              <w:rPr>
                <w:rFonts w:ascii="Arial" w:hAnsi="Arial"/>
                <w:b w:val="0"/>
                <w:sz w:val="12"/>
              </w:rPr>
              <w:t>AWS-BEDROCK-DOCS</w:t>
            </w:r>
          </w:p>
        </w:tc>
        <w:tc>
          <w:tcPr>
            <w:tcW w:type="dxa" w:w="1704"/>
          </w:tcPr>
          <w:p>
            <w:pPr>
              <w:spacing w:after="0"/>
            </w:pPr>
            <w:r>
              <w:rPr>
                <w:rFonts w:ascii="Arial" w:hAnsi="Arial"/>
                <w:b w:val="0"/>
                <w:sz w:val="12"/>
              </w:rPr>
              <w:t>AWS Bedrock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official entry points support narrowed Bedrock capability-surface claims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AWS-BEDROCK-GUARDRAILS-DOCS</w:t>
            </w:r>
          </w:p>
        </w:tc>
        <w:tc>
          <w:tcPr>
            <w:tcW w:type="dxa" w:w="1704"/>
          </w:tcPr>
          <w:p>
            <w:pPr>
              <w:spacing w:after="0"/>
            </w:pPr>
            <w:r>
              <w:rPr>
                <w:rFonts w:ascii="Arial" w:hAnsi="Arial"/>
                <w:b w:val="0"/>
                <w:sz w:val="12"/>
              </w:rPr>
              <w:t>AWS Bedrock Guardrails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guardrail claims narrowed to documented safety/control surfaces</w:t>
            </w:r>
          </w:p>
        </w:tc>
        <w:tc>
          <w:tcPr>
            <w:tcW w:type="dxa" w:w="1704"/>
          </w:tcPr>
          <w:p>
            <w:pPr>
              <w:spacing w:after="0"/>
            </w:pPr>
            <w:r>
              <w:rPr>
                <w:rFonts w:ascii="Arial" w:hAnsi="Arial"/>
                <w:b w:val="0"/>
                <w:sz w:val="12"/>
              </w:rPr>
              <w:t>Preserve authority-boundary caveat</w:t>
            </w:r>
          </w:p>
        </w:tc>
      </w:tr>
      <w:tr>
        <w:tc>
          <w:tcPr>
            <w:tcW w:type="dxa" w:w="1704"/>
          </w:tcPr>
          <w:p>
            <w:pPr>
              <w:spacing w:after="0"/>
            </w:pPr>
            <w:r>
              <w:rPr>
                <w:rFonts w:ascii="Arial" w:hAnsi="Arial"/>
                <w:b w:val="0"/>
                <w:sz w:val="12"/>
              </w:rPr>
              <w:t>AWS-AGENTCORE-DOCS</w:t>
            </w:r>
          </w:p>
        </w:tc>
        <w:tc>
          <w:tcPr>
            <w:tcW w:type="dxa" w:w="1704"/>
          </w:tcPr>
          <w:p>
            <w:pPr>
              <w:spacing w:after="0"/>
            </w:pPr>
            <w:r>
              <w:rPr>
                <w:rFonts w:ascii="Arial" w:hAnsi="Arial"/>
                <w:b w:val="0"/>
                <w:sz w:val="12"/>
              </w:rPr>
              <w:t>AWS AgentCore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AgentCore claims narrowed to documented runtime/agent surfaces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GOOGLE-VERTEX-AI-DOCS</w:t>
            </w:r>
          </w:p>
        </w:tc>
        <w:tc>
          <w:tcPr>
            <w:tcW w:type="dxa" w:w="1704"/>
          </w:tcPr>
          <w:p>
            <w:pPr>
              <w:spacing w:after="0"/>
            </w:pPr>
            <w:r>
              <w:rPr>
                <w:rFonts w:ascii="Arial" w:hAnsi="Arial"/>
                <w:b w:val="0"/>
                <w:sz w:val="12"/>
              </w:rPr>
              <w:t>Google Vertex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Vertex AI claims narrowed to documented platform surfaces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GOOGLE-ADK-DOCS</w:t>
            </w:r>
          </w:p>
        </w:tc>
        <w:tc>
          <w:tcPr>
            <w:tcW w:type="dxa" w:w="1704"/>
          </w:tcPr>
          <w:p>
            <w:pPr>
              <w:spacing w:after="0"/>
            </w:pPr>
            <w:r>
              <w:rPr>
                <w:rFonts w:ascii="Arial" w:hAnsi="Arial"/>
                <w:b w:val="0"/>
                <w:sz w:val="12"/>
              </w:rPr>
              <w:t>Google ADK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ADK claims narrowed to documented agent-development primitives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GOOGLE-MODEL-ARMOR-DOCS</w:t>
            </w:r>
          </w:p>
        </w:tc>
        <w:tc>
          <w:tcPr>
            <w:tcW w:type="dxa" w:w="1704"/>
          </w:tcPr>
          <w:p>
            <w:pPr>
              <w:spacing w:after="0"/>
            </w:pPr>
            <w:r>
              <w:rPr>
                <w:rFonts w:ascii="Arial" w:hAnsi="Arial"/>
                <w:b w:val="0"/>
                <w:sz w:val="12"/>
              </w:rPr>
              <w:t>Google Model Armor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Model Armor claims narrowed to documented safety inspection surfaces</w:t>
            </w:r>
          </w:p>
        </w:tc>
        <w:tc>
          <w:tcPr>
            <w:tcW w:type="dxa" w:w="1704"/>
          </w:tcPr>
          <w:p>
            <w:pPr>
              <w:spacing w:after="0"/>
            </w:pPr>
            <w:r>
              <w:rPr>
                <w:rFonts w:ascii="Arial" w:hAnsi="Arial"/>
                <w:b w:val="0"/>
                <w:sz w:val="12"/>
              </w:rPr>
              <w:t>Preserve lifecycle-governance caveat</w:t>
            </w:r>
          </w:p>
        </w:tc>
      </w:tr>
      <w:tr>
        <w:tc>
          <w:tcPr>
            <w:tcW w:type="dxa" w:w="1704"/>
          </w:tcPr>
          <w:p>
            <w:pPr>
              <w:spacing w:after="0"/>
            </w:pPr>
            <w:r>
              <w:rPr>
                <w:rFonts w:ascii="Arial" w:hAnsi="Arial"/>
                <w:b w:val="0"/>
                <w:sz w:val="12"/>
              </w:rPr>
              <w:t>LANGGRAPH-DOCS</w:t>
            </w:r>
          </w:p>
        </w:tc>
        <w:tc>
          <w:tcPr>
            <w:tcW w:type="dxa" w:w="1704"/>
          </w:tcPr>
          <w:p>
            <w:pPr>
              <w:spacing w:after="0"/>
            </w:pPr>
            <w:r>
              <w:rPr>
                <w:rFonts w:ascii="Arial" w:hAnsi="Arial"/>
                <w:b w:val="0"/>
                <w:sz w:val="12"/>
              </w:rPr>
              <w:t>LangGraph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LangGraph claims narrowed to documented orchestration surfaces</w:t>
            </w:r>
          </w:p>
        </w:tc>
        <w:tc>
          <w:tcPr>
            <w:tcW w:type="dxa" w:w="1704"/>
          </w:tcPr>
          <w:p>
            <w:pPr>
              <w:spacing w:after="0"/>
            </w:pPr>
            <w:r>
              <w:rPr>
                <w:rFonts w:ascii="Arial" w:hAnsi="Arial"/>
                <w:b w:val="0"/>
                <w:sz w:val="12"/>
              </w:rPr>
              <w:t>Preserve narrowed claim wording and final citation formatting</w:t>
            </w:r>
          </w:p>
        </w:tc>
      </w:tr>
      <w:tr>
        <w:tc>
          <w:tcPr>
            <w:tcW w:type="dxa" w:w="1704"/>
          </w:tcPr>
          <w:p>
            <w:pPr>
              <w:spacing w:after="0"/>
            </w:pPr>
            <w:r>
              <w:rPr>
                <w:rFonts w:ascii="Arial" w:hAnsi="Arial"/>
                <w:b w:val="0"/>
                <w:sz w:val="12"/>
              </w:rPr>
              <w:t>LANGSMITH-DOCS</w:t>
            </w:r>
          </w:p>
        </w:tc>
        <w:tc>
          <w:tcPr>
            <w:tcW w:type="dxa" w:w="1704"/>
          </w:tcPr>
          <w:p>
            <w:pPr>
              <w:spacing w:after="0"/>
            </w:pPr>
            <w:r>
              <w:rPr>
                <w:rFonts w:ascii="Arial" w:hAnsi="Arial"/>
                <w:b w:val="0"/>
                <w:sz w:val="12"/>
              </w:rPr>
              <w:t>LangSmith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LangSmith claims narrowed to documented observability/evaluation surfaces</w:t>
            </w:r>
          </w:p>
        </w:tc>
        <w:tc>
          <w:tcPr>
            <w:tcW w:type="dxa" w:w="1704"/>
          </w:tcPr>
          <w:p>
            <w:pPr>
              <w:spacing w:after="0"/>
            </w:pPr>
            <w:r>
              <w:rPr>
                <w:rFonts w:ascii="Arial" w:hAnsi="Arial"/>
                <w:b w:val="0"/>
                <w:sz w:val="12"/>
              </w:rPr>
              <w:t>Preserve lifecycle-object mapping as analytical where needed</w:t>
            </w:r>
          </w:p>
        </w:tc>
      </w:tr>
      <w:tr>
        <w:tc>
          <w:tcPr>
            <w:tcW w:type="dxa" w:w="1704"/>
          </w:tcPr>
          <w:p>
            <w:pPr>
              <w:spacing w:after="0"/>
            </w:pPr>
            <w:r>
              <w:rPr>
                <w:rFonts w:ascii="Arial" w:hAnsi="Arial"/>
                <w:b w:val="0"/>
                <w:sz w:val="12"/>
              </w:rPr>
              <w:t>OPENAI-AGENTS-SDK-DOCS</w:t>
            </w:r>
          </w:p>
        </w:tc>
        <w:tc>
          <w:tcPr>
            <w:tcW w:type="dxa" w:w="1704"/>
          </w:tcPr>
          <w:p>
            <w:pPr>
              <w:spacing w:after="0"/>
            </w:pPr>
            <w:r>
              <w:rPr>
                <w:rFonts w:ascii="Arial" w:hAnsi="Arial"/>
                <w:b w:val="0"/>
                <w:sz w:val="12"/>
              </w:rPr>
              <w:t>OpenAI Agents SDK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Accessible official Python/JS SDK docs validated; platform guide 403 is a non-blocking access note</w:t>
            </w:r>
          </w:p>
        </w:tc>
        <w:tc>
          <w:tcPr>
            <w:tcW w:type="dxa" w:w="1704"/>
          </w:tcPr>
          <w:p>
            <w:pPr>
              <w:spacing w:after="0"/>
            </w:pPr>
            <w:r>
              <w:rPr>
                <w:rFonts w:ascii="Arial" w:hAnsi="Arial"/>
                <w:b w:val="0"/>
                <w:sz w:val="12"/>
              </w:rPr>
              <w:t>Use accessible official SDK docs for retained agents/tools/handoffs/guardrails/tracing/session claims</w:t>
            </w:r>
          </w:p>
        </w:tc>
      </w:tr>
      <w:tr>
        <w:tc>
          <w:tcPr>
            <w:tcW w:type="dxa" w:w="1704"/>
          </w:tcPr>
          <w:p>
            <w:pPr>
              <w:spacing w:after="0"/>
            </w:pPr>
            <w:r>
              <w:rPr>
                <w:rFonts w:ascii="Arial" w:hAnsi="Arial"/>
                <w:b w:val="0"/>
                <w:sz w:val="12"/>
              </w:rPr>
              <w:t>OPENAI-TOOLS-DOCS</w:t>
            </w:r>
          </w:p>
        </w:tc>
        <w:tc>
          <w:tcPr>
            <w:tcW w:type="dxa" w:w="1704"/>
          </w:tcPr>
          <w:p>
            <w:pPr>
              <w:spacing w:after="0"/>
            </w:pPr>
            <w:r>
              <w:rPr>
                <w:rFonts w:ascii="Arial" w:hAnsi="Arial"/>
                <w:b w:val="0"/>
                <w:sz w:val="12"/>
              </w:rPr>
              <w:t>OpenAI Tools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Narrowed to SDK primitive claims supported by accessible official docs</w:t>
            </w:r>
          </w:p>
        </w:tc>
        <w:tc>
          <w:tcPr>
            <w:tcW w:type="dxa" w:w="1704"/>
          </w:tcPr>
          <w:p>
            <w:pPr>
              <w:spacing w:after="0"/>
            </w:pPr>
            <w:r>
              <w:rPr>
                <w:rFonts w:ascii="Arial" w:hAnsi="Arial"/>
                <w:b w:val="0"/>
                <w:sz w:val="12"/>
              </w:rPr>
              <w:t>Keep liability-boundary and lifecycle-governance mapping analytical</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CrewAI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Closed for high-risk citation review; CrewAI claims narrowed to documented orchestration surfaces</w:t>
            </w:r>
          </w:p>
        </w:tc>
        <w:tc>
          <w:tcPr>
            <w:tcW w:type="dxa" w:w="1704"/>
          </w:tcPr>
          <w:p>
            <w:pPr>
              <w:spacing w:after="0"/>
            </w:pPr>
            <w:r>
              <w:rPr>
                <w:rFonts w:ascii="Arial" w:hAnsi="Arial"/>
                <w:b w:val="0"/>
                <w:sz w:val="12"/>
              </w:rPr>
              <w:t>Preserve human-accountability caveat</w:t>
            </w:r>
          </w:p>
        </w:tc>
      </w:tr>
      <w:tr>
        <w:tc>
          <w:tcPr>
            <w:tcW w:type="dxa" w:w="1704"/>
          </w:tcPr>
          <w:p>
            <w:pPr>
              <w:spacing w:after="0"/>
            </w:pPr>
            <w:r>
              <w:rPr>
                <w:rFonts w:ascii="Arial" w:hAnsi="Arial"/>
                <w:b w:val="0"/>
                <w:sz w:val="12"/>
              </w:rPr>
              <w:t>CREWAI-GITHUB</w:t>
            </w:r>
          </w:p>
        </w:tc>
        <w:tc>
          <w:tcPr>
            <w:tcW w:type="dxa" w:w="1704"/>
          </w:tcPr>
          <w:p>
            <w:pPr>
              <w:spacing w:after="0"/>
            </w:pPr>
            <w:r>
              <w:rPr>
                <w:rFonts w:ascii="Arial" w:hAnsi="Arial"/>
                <w:b w:val="0"/>
                <w:sz w:val="12"/>
              </w:rPr>
              <w:t>CrewAI GitHub</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Repository entry point located; exact code/API claims require page-level pinning</w:t>
            </w:r>
          </w:p>
        </w:tc>
        <w:tc>
          <w:tcPr>
            <w:tcW w:type="dxa" w:w="1704"/>
          </w:tcPr>
          <w:p>
            <w:pPr>
              <w:spacing w:after="0"/>
            </w:pPr>
            <w:r>
              <w:rPr>
                <w:rFonts w:ascii="Arial" w:hAnsi="Arial"/>
                <w:b w:val="0"/>
                <w:sz w:val="12"/>
              </w:rPr>
              <w:t>Pin exact repository paths only for code/API-specific claims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MPLP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Chapters 12, 13</w:t>
            </w:r>
          </w:p>
        </w:tc>
        <w:tc>
          <w:tcPr>
            <w:tcW w:type="dxa" w:w="1704"/>
          </w:tcPr>
          <w:p>
            <w:pPr>
              <w:spacing w:after="0"/>
            </w:pPr>
            <w:r>
              <w:rPr>
                <w:rFonts w:ascii="Arial" w:hAnsi="Arial"/>
                <w:b w:val="0"/>
                <w:sz w:val="12"/>
              </w:rPr>
              <w:t>Closed for protocol identity claims; GAIC MRO/ALCS mapping remains author analytical mapping where not directly stated</w:t>
            </w:r>
          </w:p>
        </w:tc>
        <w:tc>
          <w:tcPr>
            <w:tcW w:type="dxa" w:w="1704"/>
          </w:tcPr>
          <w:p>
            <w:pPr>
              <w:spacing w:after="0"/>
            </w:pPr>
            <w:r>
              <w:rPr>
                <w:rFonts w:ascii="Arial" w:hAnsi="Arial"/>
                <w:b w:val="0"/>
                <w:sz w:val="12"/>
              </w:rPr>
              <w:t>Preserve conflict-of-interest boundary</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MPLP Spec</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13</w:t>
            </w:r>
          </w:p>
        </w:tc>
        <w:tc>
          <w:tcPr>
            <w:tcW w:type="dxa" w:w="1704"/>
          </w:tcPr>
          <w:p>
            <w:pPr>
              <w:spacing w:after="0"/>
            </w:pPr>
            <w:r>
              <w:rPr>
                <w:rFonts w:ascii="Arial" w:hAnsi="Arial"/>
                <w:b w:val="0"/>
                <w:sz w:val="12"/>
              </w:rPr>
              <w:t>Closed through MPLP docs entry point for protocol identity support</w:t>
            </w:r>
          </w:p>
        </w:tc>
        <w:tc>
          <w:tcPr>
            <w:tcW w:type="dxa" w:w="1704"/>
          </w:tcPr>
          <w:p>
            <w:pPr>
              <w:spacing w:after="0"/>
            </w:pPr>
            <w:r>
              <w:rPr>
                <w:rFonts w:ascii="Arial" w:hAnsi="Arial"/>
                <w:b w:val="0"/>
                <w:sz w:val="12"/>
              </w:rPr>
              <w:t>Preserve version/citation details during final proof</w:t>
            </w:r>
          </w:p>
        </w:tc>
      </w:tr>
      <w:tr>
        <w:tc>
          <w:tcPr>
            <w:tcW w:type="dxa" w:w="1704"/>
          </w:tcPr>
          <w:p>
            <w:pPr>
              <w:spacing w:after="0"/>
            </w:pPr>
            <w:r>
              <w:rPr>
                <w:rFonts w:ascii="Arial" w:hAnsi="Arial"/>
                <w:b w:val="0"/>
                <w:sz w:val="12"/>
              </w:rPr>
              <w:t>VALIDATION-LAB-METHODOLOGY</w:t>
            </w:r>
          </w:p>
        </w:tc>
        <w:tc>
          <w:tcPr>
            <w:tcW w:type="dxa" w:w="1704"/>
          </w:tcPr>
          <w:p>
            <w:pPr>
              <w:spacing w:after="0"/>
            </w:pPr>
            <w:r>
              <w:rPr>
                <w:rFonts w:ascii="Arial" w:hAnsi="Arial"/>
                <w:b w:val="0"/>
                <w:sz w:val="12"/>
              </w:rPr>
              <w:t>Validation Lab Methodology</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14</w:t>
            </w:r>
          </w:p>
        </w:tc>
        <w:tc>
          <w:tcPr>
            <w:tcW w:type="dxa" w:w="1704"/>
          </w:tcPr>
          <w:p>
            <w:pPr>
              <w:spacing w:after="0"/>
            </w:pPr>
            <w:r>
              <w:rPr>
                <w:rFonts w:ascii="Arial" w:hAnsi="Arial"/>
                <w:b w:val="0"/>
                <w:sz w:val="12"/>
              </w:rPr>
              <w:t>Methodology page cited and boundary narrowed</w:t>
            </w:r>
          </w:p>
        </w:tc>
        <w:tc>
          <w:tcPr>
            <w:tcW w:type="dxa" w:w="1704"/>
          </w:tcPr>
          <w:p>
            <w:pPr>
              <w:spacing w:after="0"/>
            </w:pPr>
            <w:r>
              <w:rPr>
                <w:rFonts w:ascii="Arial" w:hAnsi="Arial"/>
                <w:b w:val="0"/>
                <w:sz w:val="12"/>
              </w:rPr>
              <w:t>Retain as public-surface non-certifying example only</w:t>
            </w:r>
          </w:p>
        </w:tc>
      </w:tr>
      <w:tr>
        <w:tc>
          <w:tcPr>
            <w:tcW w:type="dxa" w:w="1704"/>
          </w:tcPr>
          <w:p>
            <w:pPr>
              <w:spacing w:after="0"/>
            </w:pPr>
            <w:r>
              <w:rPr>
                <w:rFonts w:ascii="Arial" w:hAnsi="Arial"/>
                <w:b w:val="0"/>
                <w:sz w:val="12"/>
              </w:rPr>
              <w:t>AUTHOR-INFERENCE-MRO</w:t>
            </w:r>
          </w:p>
        </w:tc>
        <w:tc>
          <w:tcPr>
            <w:tcW w:type="dxa" w:w="1704"/>
          </w:tcPr>
          <w:p>
            <w:pPr>
              <w:spacing w:after="0"/>
            </w:pPr>
            <w:r>
              <w:rPr>
                <w:rFonts w:ascii="Arial" w:hAnsi="Arial"/>
                <w:b w:val="0"/>
                <w:sz w:val="12"/>
              </w:rPr>
              <w:t>Sixteen MROs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6</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w:t>
            </w:r>
          </w:p>
        </w:tc>
        <w:tc>
          <w:tcPr>
            <w:tcW w:type="dxa" w:w="1704"/>
          </w:tcPr>
          <w:p>
            <w:pPr>
              <w:spacing w:after="0"/>
            </w:pPr>
            <w:r>
              <w:rPr>
                <w:rFonts w:ascii="Arial" w:hAnsi="Arial"/>
                <w:b w:val="0"/>
                <w:sz w:val="12"/>
              </w:rPr>
              <w:t>RCCS-T / traditional RCCS framework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7</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AUTHOR-INFERENCE-RCCS-M</w:t>
            </w:r>
          </w:p>
        </w:tc>
        <w:tc>
          <w:tcPr>
            <w:tcW w:type="dxa" w:w="1704"/>
          </w:tcPr>
          <w:p>
            <w:pPr>
              <w:spacing w:after="0"/>
            </w:pPr>
            <w:r>
              <w:rPr>
                <w:rFonts w:ascii="Arial" w:hAnsi="Arial"/>
                <w:b w:val="0"/>
                <w:sz w:val="12"/>
              </w:rPr>
              <w:t>RCCS-M — MRO-Adjusted Regulatory Compliance Coverage Score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6-9, Evaluation Results</w:t>
            </w:r>
          </w:p>
        </w:tc>
        <w:tc>
          <w:tcPr>
            <w:tcW w:type="dxa" w:w="1704"/>
          </w:tcPr>
          <w:p>
            <w:pPr>
              <w:spacing w:after="0"/>
            </w:pPr>
            <w:r>
              <w:rPr>
                <w:rFonts w:ascii="Arial" w:hAnsi="Arial"/>
                <w:b w:val="0"/>
                <w:sz w:val="12"/>
              </w:rPr>
              <w:t>✓ Marked as L5; author analytical, forward-looking, not current law</w:t>
            </w:r>
          </w:p>
        </w:tc>
        <w:tc>
          <w:tcPr>
            <w:tcW w:type="dxa" w:w="1704"/>
          </w:tcPr>
          <w:p>
            <w:pPr>
              <w:spacing w:after="0"/>
            </w:pPr>
            <w:r>
              <w:rPr>
                <w:rFonts w:ascii="Arial" w:hAnsi="Arial"/>
                <w:b w:val="0"/>
                <w:sz w:val="12"/>
              </w:rPr>
              <w:t>Preserve boundary wording and MPLP COI</w:t>
            </w:r>
          </w:p>
        </w:tc>
      </w:tr>
      <w:tr>
        <w:tc>
          <w:tcPr>
            <w:tcW w:type="dxa" w:w="1704"/>
          </w:tcPr>
          <w:p>
            <w:pPr>
              <w:spacing w:after="0"/>
            </w:pPr>
            <w:r>
              <w:rPr>
                <w:rFonts w:ascii="Arial" w:hAnsi="Arial"/>
                <w:b w:val="0"/>
                <w:sz w:val="12"/>
              </w:rPr>
              <w:t>AUTHOR-INFERENCE-ALCS</w:t>
            </w:r>
          </w:p>
        </w:tc>
        <w:tc>
          <w:tcPr>
            <w:tcW w:type="dxa" w:w="1704"/>
          </w:tcPr>
          <w:p>
            <w:pPr>
              <w:spacing w:after="0"/>
            </w:pPr>
            <w:r>
              <w:rPr>
                <w:rFonts w:ascii="Arial" w:hAnsi="Arial"/>
                <w:b w:val="0"/>
                <w:sz w:val="12"/>
              </w:rPr>
              <w:t>ALCS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8</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AUTHOR-INFERENCE-COMPOSITE</w:t>
            </w:r>
          </w:p>
        </w:tc>
        <w:tc>
          <w:tcPr>
            <w:tcW w:type="dxa" w:w="1704"/>
          </w:tcPr>
          <w:p>
            <w:pPr>
              <w:spacing w:after="0"/>
            </w:pPr>
            <w:r>
              <w:rPr>
                <w:rFonts w:ascii="Arial" w:hAnsi="Arial"/>
                <w:b w:val="0"/>
                <w:sz w:val="12"/>
              </w:rPr>
              <w:t>Composite Scoring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9</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AUTHOR-INFERENCE-SYSTEM-MAPPING</w:t>
            </w:r>
          </w:p>
        </w:tc>
        <w:tc>
          <w:tcPr>
            <w:tcW w:type="dxa" w:w="1704"/>
          </w:tcPr>
          <w:p>
            <w:pPr>
              <w:spacing w:after="0"/>
            </w:pPr>
            <w:r>
              <w:rPr>
                <w:rFonts w:ascii="Arial" w:hAnsi="Arial"/>
                <w:b w:val="0"/>
                <w:sz w:val="12"/>
              </w:rPr>
              <w:t>System Mapping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11, 12</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AUTHOR-INFERENCE-FAILURE-SCENARIOS</w:t>
            </w:r>
          </w:p>
        </w:tc>
        <w:tc>
          <w:tcPr>
            <w:tcW w:type="dxa" w:w="1704"/>
          </w:tcPr>
          <w:p>
            <w:pPr>
              <w:spacing w:after="0"/>
            </w:pPr>
            <w:r>
              <w:rPr>
                <w:rFonts w:ascii="Arial" w:hAnsi="Arial"/>
                <w:b w:val="0"/>
                <w:sz w:val="12"/>
              </w:rPr>
              <w:t>Failure Scenarios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15</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bl>
    <w:p>
      <w:pPr>
        <w:pStyle w:val="Heading2"/>
      </w:pPr>
      <w:r>
        <w:t>C.4 Citation Closure Ledger</w:t>
      </w:r>
    </w:p>
    <w:p>
      <w:pPr>
        <w:spacing w:after="56"/>
      </w:pPr>
      <w:r>
        <w:t>The following table lists Phase 1D-11 source closure results after claim-level source review.</w:t>
      </w:r>
    </w:p>
    <w:p>
      <w:pPr>
        <w:keepNext/>
      </w:pPr>
      <w:r>
        <w:rPr>
          <w:b/>
          <w:sz w:val="16"/>
        </w:rPr>
        <w:t>Table T-C-03: Citation Revalidation Queue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URL / Source Pointer</w:t>
            </w:r>
          </w:p>
        </w:tc>
        <w:tc>
          <w:tcPr>
            <w:tcW w:type="dxa" w:w="2045"/>
          </w:tcPr>
          <w:p>
            <w:pPr>
              <w:spacing w:after="0"/>
            </w:pPr>
            <w:r>
              <w:rPr>
                <w:rFonts w:ascii="Arial" w:hAnsi="Arial"/>
                <w:b/>
                <w:sz w:val="14"/>
              </w:rPr>
              <w:t>Closure Result</w:t>
            </w:r>
          </w:p>
        </w:tc>
        <w:tc>
          <w:tcPr>
            <w:tcW w:type="dxa" w:w="2045"/>
          </w:tcPr>
          <w:p>
            <w:pPr>
              <w:spacing w:after="0"/>
            </w:pPr>
            <w:r>
              <w:rPr>
                <w:rFonts w:ascii="Arial" w:hAnsi="Arial"/>
                <w:b/>
                <w:sz w:val="14"/>
              </w:rPr>
              <w:t>Remaining Limitation</w:t>
            </w:r>
          </w:p>
        </w:tc>
        <w:tc>
          <w:tcPr>
            <w:tcW w:type="dxa" w:w="2045"/>
          </w:tcPr>
          <w:p>
            <w:pPr>
              <w:spacing w:after="0"/>
            </w:pPr>
            <w:r>
              <w:rPr>
                <w:rFonts w:ascii="Arial" w:hAnsi="Arial"/>
                <w:b/>
                <w:sz w:val="14"/>
              </w:rPr>
              <w:t>Release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https://www.ibm.com/products/watsonx-governance; https://www.ibm.com/docs/en/watsonx</w:t>
            </w:r>
          </w:p>
        </w:tc>
        <w:tc>
          <w:tcPr>
            <w:tcW w:type="dxa" w:w="2045"/>
          </w:tcPr>
          <w:p>
            <w:pPr>
              <w:spacing w:after="0"/>
            </w:pPr>
            <w:r>
              <w:rPr>
                <w:rFonts w:ascii="Arial" w:hAnsi="Arial"/>
                <w:b w:val="0"/>
                <w:sz w:val="14"/>
              </w:rPr>
              <w:t>Official entry points accessible; governance capability claims narrowed to documented surfaces</w:t>
            </w:r>
          </w:p>
        </w:tc>
        <w:tc>
          <w:tcPr>
            <w:tcW w:type="dxa" w:w="2045"/>
          </w:tcPr>
          <w:p>
            <w:pPr>
              <w:spacing w:after="0"/>
            </w:pPr>
            <w:r>
              <w:rPr>
                <w:rFonts w:ascii="Arial" w:hAnsi="Arial"/>
                <w:b w:val="0"/>
                <w:sz w:val="14"/>
              </w:rPr>
              <w:t>ALCS lifecycle-object mapping remains L5 where not directly documented</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https://learn.microsoft.com/en-us/azure/foundry/</w:t>
            </w:r>
          </w:p>
        </w:tc>
        <w:tc>
          <w:tcPr>
            <w:tcW w:type="dxa" w:w="2045"/>
          </w:tcPr>
          <w:p>
            <w:pPr>
              <w:spacing w:after="0"/>
            </w:pPr>
            <w:r>
              <w:rPr>
                <w:rFonts w:ascii="Arial" w:hAnsi="Arial"/>
                <w:b w:val="0"/>
                <w:sz w:val="14"/>
              </w:rPr>
              <w:t>Official entry point accessible; platform/agent claims narrowed</w:t>
            </w:r>
          </w:p>
        </w:tc>
        <w:tc>
          <w:tcPr>
            <w:tcW w:type="dxa" w:w="2045"/>
          </w:tcPr>
          <w:p>
            <w:pPr>
              <w:spacing w:after="0"/>
            </w:pPr>
            <w:r>
              <w:rPr>
                <w:rFonts w:ascii="Arial" w:hAnsi="Arial"/>
                <w:b w:val="0"/>
                <w:sz w:val="14"/>
              </w:rPr>
              <w:t>ALCS lifecycle-object mapping remains L5 where not directly documented</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AWS-BEDROCK-DOCS / GUARDRAILS / AGENTCORE</w:t>
            </w:r>
          </w:p>
        </w:tc>
        <w:tc>
          <w:tcPr>
            <w:tcW w:type="dxa" w:w="2045"/>
          </w:tcPr>
          <w:p>
            <w:pPr>
              <w:spacing w:after="0"/>
            </w:pPr>
            <w:r>
              <w:rPr>
                <w:rFonts w:ascii="Arial" w:hAnsi="Arial"/>
                <w:b w:val="0"/>
                <w:sz w:val="14"/>
              </w:rPr>
              <w:t>AWS official docs URLs</w:t>
            </w:r>
          </w:p>
        </w:tc>
        <w:tc>
          <w:tcPr>
            <w:tcW w:type="dxa" w:w="2045"/>
          </w:tcPr>
          <w:p>
            <w:pPr>
              <w:spacing w:after="0"/>
            </w:pPr>
            <w:r>
              <w:rPr>
                <w:rFonts w:ascii="Arial" w:hAnsi="Arial"/>
                <w:b w:val="0"/>
                <w:sz w:val="14"/>
              </w:rPr>
              <w:t>Official entry points accessible; guardrail/runtime claims narrowed</w:t>
            </w:r>
          </w:p>
        </w:tc>
        <w:tc>
          <w:tcPr>
            <w:tcW w:type="dxa" w:w="2045"/>
          </w:tcPr>
          <w:p>
            <w:pPr>
              <w:spacing w:after="0"/>
            </w:pPr>
            <w:r>
              <w:rPr>
                <w:rFonts w:ascii="Arial" w:hAnsi="Arial"/>
                <w:b w:val="0"/>
                <w:sz w:val="14"/>
              </w:rPr>
              <w:t>Guardrails/runtime features are not delegated-authority proof</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GOOGLE-VERTEX-AI-DOCS / ADK / MODEL ARMOR</w:t>
            </w:r>
          </w:p>
        </w:tc>
        <w:tc>
          <w:tcPr>
            <w:tcW w:type="dxa" w:w="2045"/>
          </w:tcPr>
          <w:p>
            <w:pPr>
              <w:spacing w:after="0"/>
            </w:pPr>
            <w:r>
              <w:rPr>
                <w:rFonts w:ascii="Arial" w:hAnsi="Arial"/>
                <w:b w:val="0"/>
                <w:sz w:val="14"/>
              </w:rPr>
              <w:t>Google official docs URLs</w:t>
            </w:r>
          </w:p>
        </w:tc>
        <w:tc>
          <w:tcPr>
            <w:tcW w:type="dxa" w:w="2045"/>
          </w:tcPr>
          <w:p>
            <w:pPr>
              <w:spacing w:after="0"/>
            </w:pPr>
            <w:r>
              <w:rPr>
                <w:rFonts w:ascii="Arial" w:hAnsi="Arial"/>
                <w:b w:val="0"/>
                <w:sz w:val="14"/>
              </w:rPr>
              <w:t>Official entry points accessible; safety/agent claims narrowed</w:t>
            </w:r>
          </w:p>
        </w:tc>
        <w:tc>
          <w:tcPr>
            <w:tcW w:type="dxa" w:w="2045"/>
          </w:tcPr>
          <w:p>
            <w:pPr>
              <w:spacing w:after="0"/>
            </w:pPr>
            <w:r>
              <w:rPr>
                <w:rFonts w:ascii="Arial" w:hAnsi="Arial"/>
                <w:b w:val="0"/>
                <w:sz w:val="14"/>
              </w:rPr>
              <w:t>Model safety and ADK primitives are not lifecycle responsibility proof</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LANGGRAPH-DOCS / LANGSMITH-DOCS</w:t>
            </w:r>
          </w:p>
        </w:tc>
        <w:tc>
          <w:tcPr>
            <w:tcW w:type="dxa" w:w="2045"/>
          </w:tcPr>
          <w:p>
            <w:pPr>
              <w:spacing w:after="0"/>
            </w:pPr>
            <w:r>
              <w:rPr>
                <w:rFonts w:ascii="Arial" w:hAnsi="Arial"/>
                <w:b w:val="0"/>
                <w:sz w:val="14"/>
              </w:rPr>
              <w:t>LangChain official docs URLs</w:t>
            </w:r>
          </w:p>
        </w:tc>
        <w:tc>
          <w:tcPr>
            <w:tcW w:type="dxa" w:w="2045"/>
          </w:tcPr>
          <w:p>
            <w:pPr>
              <w:spacing w:after="0"/>
            </w:pPr>
            <w:r>
              <w:rPr>
                <w:rFonts w:ascii="Arial" w:hAnsi="Arial"/>
                <w:b w:val="0"/>
                <w:sz w:val="14"/>
              </w:rPr>
              <w:t>Official entry points accessible; orchestration/observability claims narrowed</w:t>
            </w:r>
          </w:p>
        </w:tc>
        <w:tc>
          <w:tcPr>
            <w:tcW w:type="dxa" w:w="2045"/>
          </w:tcPr>
          <w:p>
            <w:pPr>
              <w:spacing w:after="0"/>
            </w:pPr>
            <w:r>
              <w:rPr>
                <w:rFonts w:ascii="Arial" w:hAnsi="Arial"/>
                <w:b w:val="0"/>
                <w:sz w:val="14"/>
              </w:rPr>
              <w:t>Lifecycle governance requires implementer integration</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OPENAI-AGENTS-SDK-DOCS / OPENAI-TOOLS-DOCS</w:t>
            </w:r>
          </w:p>
        </w:tc>
        <w:tc>
          <w:tcPr>
            <w:tcW w:type="dxa" w:w="2045"/>
          </w:tcPr>
          <w:p>
            <w:pPr>
              <w:spacing w:after="0"/>
            </w:pPr>
            <w:r>
              <w:rPr>
                <w:rFonts w:ascii="Arial" w:hAnsi="Arial"/>
                <w:b w:val="0"/>
                <w:sz w:val="14"/>
              </w:rPr>
              <w:t>https://openai.github.io/openai-agents-python/; https://openai.github.io/openai-agents-js/</w:t>
            </w:r>
          </w:p>
        </w:tc>
        <w:tc>
          <w:tcPr>
            <w:tcW w:type="dxa" w:w="2045"/>
          </w:tcPr>
          <w:p>
            <w:pPr>
              <w:spacing w:after="0"/>
            </w:pPr>
            <w:r>
              <w:rPr>
                <w:rFonts w:ascii="Arial" w:hAnsi="Arial"/>
                <w:b w:val="0"/>
                <w:sz w:val="14"/>
              </w:rPr>
              <w:t>Inaccessible platform guide replaced by accessible official SDK docs for SDK claims</w:t>
            </w:r>
          </w:p>
        </w:tc>
        <w:tc>
          <w:tcPr>
            <w:tcW w:type="dxa" w:w="2045"/>
          </w:tcPr>
          <w:p>
            <w:pPr>
              <w:spacing w:after="0"/>
            </w:pPr>
            <w:r>
              <w:rPr>
                <w:rFonts w:ascii="Arial" w:hAnsi="Arial"/>
                <w:b w:val="0"/>
                <w:sz w:val="14"/>
              </w:rPr>
              <w:t>Platform guide HTTP 403 retained as access note only</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CREWAI-DOCS / CREWAI-GITHUB</w:t>
            </w:r>
          </w:p>
        </w:tc>
        <w:tc>
          <w:tcPr>
            <w:tcW w:type="dxa" w:w="2045"/>
          </w:tcPr>
          <w:p>
            <w:pPr>
              <w:spacing w:after="0"/>
            </w:pPr>
            <w:r>
              <w:rPr>
                <w:rFonts w:ascii="Arial" w:hAnsi="Arial"/>
                <w:b w:val="0"/>
                <w:sz w:val="14"/>
              </w:rPr>
              <w:t>https://docs.crewai.com/; https://github.com/crewAIInc/crewAI</w:t>
            </w:r>
          </w:p>
        </w:tc>
        <w:tc>
          <w:tcPr>
            <w:tcW w:type="dxa" w:w="2045"/>
          </w:tcPr>
          <w:p>
            <w:pPr>
              <w:spacing w:after="0"/>
            </w:pPr>
            <w:r>
              <w:rPr>
                <w:rFonts w:ascii="Arial" w:hAnsi="Arial"/>
                <w:b w:val="0"/>
                <w:sz w:val="14"/>
              </w:rPr>
              <w:t>Official docs/repository accessible; orchestration claims narrowed</w:t>
            </w:r>
          </w:p>
        </w:tc>
        <w:tc>
          <w:tcPr>
            <w:tcW w:type="dxa" w:w="2045"/>
          </w:tcPr>
          <w:p>
            <w:pPr>
              <w:spacing w:after="0"/>
            </w:pPr>
            <w:r>
              <w:rPr>
                <w:rFonts w:ascii="Arial" w:hAnsi="Arial"/>
                <w:b w:val="0"/>
                <w:sz w:val="14"/>
              </w:rPr>
              <w:t>Human accountability/lifecycle governance remains implementer-built</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MPLP-DOCS / MPLP-SPEC</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Protocol identity source-bound; conflict-of-interest boundary preserved</w:t>
            </w:r>
          </w:p>
        </w:tc>
        <w:tc>
          <w:tcPr>
            <w:tcW w:type="dxa" w:w="2045"/>
          </w:tcPr>
          <w:p>
            <w:pPr>
              <w:spacing w:after="0"/>
            </w:pPr>
            <w:r>
              <w:rPr>
                <w:rFonts w:ascii="Arial" w:hAnsi="Arial"/>
                <w:b w:val="0"/>
                <w:sz w:val="14"/>
              </w:rPr>
              <w:t>GAIC MRO/ALCS mapping remains author analytical mapping</w:t>
            </w:r>
          </w:p>
        </w:tc>
        <w:tc>
          <w:tcPr>
            <w:tcW w:type="dxa" w:w="2045"/>
          </w:tcPr>
          <w:p>
            <w:pPr>
              <w:spacing w:after="0"/>
            </w:pPr>
            <w:r>
              <w:rPr>
                <w:rFonts w:ascii="Arial" w:hAnsi="Arial"/>
                <w:b w:val="0"/>
                <w:sz w:val="14"/>
              </w:rPr>
              <w:t>Non-blocking</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https://lab.mplp.io/methodology</w:t>
            </w:r>
          </w:p>
        </w:tc>
        <w:tc>
          <w:tcPr>
            <w:tcW w:type="dxa" w:w="2045"/>
          </w:tcPr>
          <w:p>
            <w:pPr>
              <w:spacing w:after="0"/>
            </w:pPr>
            <w:r>
              <w:rPr>
                <w:rFonts w:ascii="Arial" w:hAnsi="Arial"/>
                <w:b w:val="0"/>
                <w:sz w:val="14"/>
              </w:rPr>
              <w:t>Closed as public-surface non-certifying methodology example</w:t>
            </w:r>
          </w:p>
        </w:tc>
        <w:tc>
          <w:tcPr>
            <w:tcW w:type="dxa" w:w="2045"/>
          </w:tcPr>
          <w:p>
            <w:pPr>
              <w:spacing w:after="0"/>
            </w:pPr>
            <w:r>
              <w:rPr>
                <w:rFonts w:ascii="Arial" w:hAnsi="Arial"/>
                <w:b w:val="0"/>
                <w:sz w:val="14"/>
              </w:rPr>
              <w:t>Does not support certification, endorsement, audit opinion, or legal compliance proof</w:t>
            </w:r>
          </w:p>
        </w:tc>
        <w:tc>
          <w:tcPr>
            <w:tcW w:type="dxa" w:w="2045"/>
          </w:tcPr>
          <w:p>
            <w:pPr>
              <w:spacing w:after="0"/>
            </w:pPr>
            <w:r>
              <w:rPr>
                <w:rFonts w:ascii="Arial" w:hAnsi="Arial"/>
                <w:b w:val="0"/>
                <w:sz w:val="14"/>
              </w:rPr>
              <w:t>Non-blocking</w:t>
            </w:r>
          </w:p>
        </w:tc>
      </w:tr>
    </w:tbl>
    <w:p>
      <w:pPr>
        <w:pStyle w:val="Heading2"/>
      </w:pPr>
      <w:r>
        <w:t>C.5 Source Notes and Revalidation Policy</w:t>
      </w:r>
    </w:p>
    <w:p>
      <w:pPr>
        <w:pStyle w:val="Heading3"/>
      </w:pPr>
      <w:r>
        <w:t>Source Notes</w:t>
      </w:r>
    </w:p>
    <w:p>
      <w:pPr>
        <w:pStyle w:val="ListBullet"/>
        <w:spacing w:after="56"/>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Pr>
        <w:pStyle w:val="ListBullet"/>
        <w:spacing w:after="56"/>
      </w:pPr>
      <w:r>
        <w:t>L2 sources (official product documentation) are referenced in Chapters 12, 13, and 14 and support documented product/protocol capability surfaces. Phase 1D-11 records closure dispositions for high-risk source pointers. L2 sources do not prove deployment practice, audit success, lifecycle responsibility-object implementation, or legal compliance.</w:t>
      </w:r>
    </w:p>
    <w:p>
      <w:pPr>
        <w:pStyle w:val="ListBullet"/>
        <w:spacing w:after="56"/>
      </w:pPr>
      <w:r>
        <w:t>L5 sources (author inference) are used in Chapters 6-9, 11-12, and 15 to define the analytical framework (MROs, RCCS-T, RCCS-M, ALCS, optional composite views, System Mapping, Failure Scenarios). These sources are marked as author inference and do not replace evidence-based analysis.</w:t>
      </w:r>
    </w:p>
    <w:p>
      <w:pPr>
        <w:pStyle w:val="ListBullet"/>
        <w:spacing w:after="56"/>
      </w:pPr>
      <w:r>
        <w:t>AUTHOR-INFERENCE-RCCS-M marks the MRO-adjusted regulatory coverage model. RCCS-M is an author analytical, forward-looking model grounded in MRO analysis. It is not current law, certification, legal compliance proof, a regulator-approved benchmark, a procurement benchmark, a vendor ranking, or an official standard.</w:t>
      </w:r>
    </w:p>
    <w:p>
      <w:pPr>
        <w:pStyle w:val="ListBullet"/>
        <w:spacing w:after="56"/>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publication-candidate QA must preserve that boundary.</w:t>
      </w:r>
    </w:p>
    <w:p>
      <w:pPr>
        <w:pStyle w:val="Heading3"/>
      </w:pPr>
      <w:r>
        <w:t>Revalidation Policy</w:t>
      </w:r>
    </w:p>
    <w:p>
      <w:pPr>
        <w:spacing w:after="56"/>
      </w:pPr>
      <w:r>
        <w:t>Publication-candidate source governance must:</w:t>
      </w:r>
    </w:p>
    <w:p>
      <w:pPr>
        <w:pStyle w:val="ListNumber"/>
        <w:spacing w:after="56"/>
      </w:pPr>
      <w:r>
        <w:t>Keep L2 product documentation tied to narrowed capability-surface claims and preserve L5 mapping labels where lifecycle support is analytical</w:t>
      </w:r>
    </w:p>
    <w:p>
      <w:pPr>
        <w:pStyle w:val="ListNumber"/>
        <w:spacing w:after="56"/>
      </w:pPr>
      <w:r>
        <w:t>Verify all L1 legal/regulatory citations for accuracy and completeness</w:t>
      </w:r>
    </w:p>
    <w:p>
      <w:pPr>
        <w:pStyle w:val="ListNumber"/>
        <w:spacing w:after="56"/>
      </w:pPr>
      <w:r>
        <w:t>Mark all L5 author inference clearly in the text</w:t>
      </w:r>
    </w:p>
    <w:p>
      <w:pPr>
        <w:pStyle w:val="ListNumber"/>
        <w:spacing w:after="56"/>
      </w:pPr>
      <w:r>
        <w:t>Preserve MPLP and Validation Lab boundary discipline and keep the Validation Lab methodology citation limited to public-surface non-certifying support</w:t>
      </w:r>
    </w:p>
    <w:p>
      <w:pPr>
        <w:pStyle w:val="ListNumber"/>
        <w:spacing w:after="56"/>
      </w:pPr>
      <w:r>
        <w:t>Remove or mark as inference any unsupported claims</w:t>
      </w:r>
    </w:p>
    <w:p>
      <w:pPr>
        <w:pStyle w:val="ListNumber"/>
        <w:spacing w:after="56"/>
      </w:pPr>
      <w:r>
        <w:t>Maintain the claim evidence register documenting all source validation and downgrade actions</w:t>
      </w:r>
    </w:p>
    <w:p>
      <w:pPr>
        <w:pStyle w:val="Heading1"/>
      </w:pPr>
      <w:r>
        <w:t>Appendix D — Expanded Cross-System MRO Mapping</w:t>
      </w:r>
    </w:p>
    <w:p>
      <w:pPr>
        <w:spacing w:after="56"/>
      </w:pPr>
      <w:r>
        <w:t>Version: v0.3.2-FRC-R3</w:t>
      </w:r>
    </w:p>
    <w:p>
      <w:pPr>
        <w:pStyle w:val="Heading2"/>
      </w:pPr>
      <w:r>
        <w:t>D.0 Mapping Boundary</w:t>
      </w:r>
    </w:p>
    <w:p>
      <w:pPr>
        <w:spacing w:after="56"/>
      </w:pPr>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Pr>
        <w:spacing w:after="56"/>
      </w:pPr>
      <w:r>
        <w:t>Boundary statement:</w:t>
      </w:r>
    </w:p>
    <w:p>
      <w:pPr>
        <w:pStyle w:val="ListBullet"/>
        <w:spacing w:after="56"/>
      </w:pPr>
      <w:r>
        <w:t>This mapping is analytical only. The mapping compares systems by responsibility semantics, not product quality, market leadership, or procurement suitability.</w:t>
      </w:r>
    </w:p>
    <w:p>
      <w:pPr>
        <w:pStyle w:val="ListBullet"/>
        <w:spacing w:after="56"/>
      </w:pPr>
      <w:r>
        <w:t>This mapping is not a product ranking. Systems are not ranked by score or quality. The mapping identifies where systems appear to provide lifecycle responsibility object primitives and where gaps may exist.</w:t>
      </w:r>
    </w:p>
    <w:p>
      <w:pPr>
        <w:pStyle w:val="ListBullet"/>
        <w:spacing w:after="56"/>
      </w:pPr>
      <w:r>
        <w:t>This mapping is not certification. The presence of lifecycle responsibility object primitives does not certify a system as compliant, approved, or enterprise-ready.</w:t>
      </w:r>
    </w:p>
    <w:p>
      <w:pPr>
        <w:pStyle w:val="ListBullet"/>
        <w:spacing w:after="56"/>
      </w:pPr>
      <w:r>
        <w:t>This mapping is not a procurement recommendation. Organizations must evaluate systems within their specific legal, regulatory, and operational context. This mapping provides analytical input, not procurement guidance.</w:t>
      </w:r>
    </w:p>
    <w:p>
      <w:pPr>
        <w:pStyle w:val="ListBullet"/>
        <w:spacing w:after="56"/>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Pr>
        <w:pStyle w:val="ListBullet"/>
        <w:spacing w:after="56"/>
      </w:pPr>
      <w:r>
        <w:t>This mapping uses qualitative values. The mapping uses qualitative values (Strong object-level mapping, Strong workflow/feature mapping, Partial or adjacent capability, Weak or implementer-built only, Not visible in public evidence, explicit non-blocking limitation where applicable) rather than numeric scores to avoid creating a false precision ranking.</w:t>
      </w:r>
    </w:p>
    <w:p>
      <w:pPr>
        <w:pStyle w:val="Heading2"/>
      </w:pPr>
      <w:r>
        <w:t>D.1 How to Read the Expanded MRO Mapping</w:t>
      </w:r>
    </w:p>
    <w:p>
      <w:pPr>
        <w:spacing w:after="56"/>
      </w:pPr>
      <w:r>
        <w:t>The expanded MRO mapping (Table T-D-01) maps all sixteen Missing Regulatory Objects across all eight representative systems.</w:t>
      </w:r>
    </w:p>
    <w:p>
      <w:pPr>
        <w:spacing w:after="56"/>
      </w:pPr>
      <w:r>
        <w:t>Qualitative values:</w:t>
      </w:r>
    </w:p>
    <w:p>
      <w:pPr>
        <w:pStyle w:val="ListBullet"/>
        <w:spacing w:after="56"/>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Pr>
        <w:pStyle w:val="ListBullet"/>
        <w:spacing w:after="56"/>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Pr>
        <w:pStyle w:val="ListBullet"/>
        <w:spacing w:after="56"/>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Pr>
        <w:pStyle w:val="ListBullet"/>
        <w:spacing w:after="56"/>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Pr>
        <w:pStyle w:val="ListBullet"/>
        <w:spacing w:after="56"/>
      </w:pPr>
      <w:r>
        <w:t>Not visible in public evidence: Lifecycle responsibility object primitives are not visible in public product documentation or protocol specifications. This does not prove the capability does not exist; it means public evidence is not available.</w:t>
      </w:r>
    </w:p>
    <w:p>
      <w:pPr>
        <w:pStyle w:val="ListBullet"/>
        <w:spacing w:after="56"/>
      </w:pPr>
      <w:r>
        <w:t>Explicit non-blocking limitation: Mapping remains analytical because official sources support adjacent capability surfaces but do not directly state the lifecycle responsibility object.</w:t>
      </w:r>
    </w:p>
    <w:p>
      <w:pPr>
        <w:spacing w:after="56"/>
      </w:pPr>
      <w:r>
        <w:t>Reading the table:</w:t>
      </w:r>
    </w:p>
    <w:p>
      <w:pPr>
        <w:pStyle w:val="ListBullet"/>
        <w:spacing w:after="56"/>
      </w:pPr>
      <w:r>
        <w:t>Rows: Sixteen Missing Regulatory Objects (MRO-01 through MRO-16)</w:t>
      </w:r>
    </w:p>
    <w:p>
      <w:pPr>
        <w:pStyle w:val="ListBullet"/>
        <w:spacing w:after="56"/>
      </w:pPr>
      <w:r>
        <w:t>Columns: Eight representative systems (MPLP, IBM, Microsoft, AWS, Google, LangGraph/LangSmith, OpenAI, CrewAI)</w:t>
      </w:r>
    </w:p>
    <w:p>
      <w:pPr>
        <w:pStyle w:val="ListBullet"/>
        <w:spacing w:after="56"/>
      </w:pPr>
      <w:r>
        <w:t>Cells: Qualitative mapping value for each MRO × System combination</w:t>
      </w:r>
    </w:p>
    <w:p>
      <w:pPr>
        <w:pStyle w:val="ListBullet"/>
        <w:spacing w:after="56"/>
      </w:pPr>
      <w:r>
        <w:t>Notes column: Additional context or boundary notes</w:t>
      </w:r>
    </w:p>
    <w:p>
      <w:pPr>
        <w:pStyle w:val="Heading2"/>
      </w:pPr>
      <w:r>
        <w:t>D.2 Expanded Cross-System MRO Mapping</w:t>
      </w:r>
    </w:p>
    <w:p>
      <w:pPr>
        <w:spacing w:after="56"/>
      </w:pPr>
      <w:r>
        <w:t>Note: This table is very wide (10 columns) and requires landscape layout. Phase 1C layout audit documented the risk; Phase 1D rendering QA remains required.</w:t>
      </w:r>
    </w:p>
    <w:p>
      <w:pPr>
        <w:keepNext/>
      </w:pPr>
      <w:r>
        <w:rPr>
          <w:b/>
          <w:sz w:val="16"/>
        </w:rPr>
        <w:t>Table T-D-01: Expanded Cross-System MRO Mapping</w:t>
      </w:r>
    </w:p>
    <w:tbl>
      <w:tblPr>
        <w:tblStyle w:val="TableGrid"/>
        <w:tblW w:type="auto" w:w="0"/>
        <w:tblLayout w:type="autofit"/>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pPr>
            <w:r>
              <w:rPr>
                <w:rFonts w:ascii="Arial" w:hAnsi="Arial"/>
                <w:b/>
                <w:sz w:val="12"/>
              </w:rPr>
              <w:t>MRO ID</w:t>
            </w:r>
          </w:p>
        </w:tc>
        <w:tc>
          <w:tcPr>
            <w:tcW w:type="dxa" w:w="929"/>
          </w:tcPr>
          <w:p>
            <w:pPr>
              <w:spacing w:after="0"/>
            </w:pPr>
            <w:r>
              <w:rPr>
                <w:rFonts w:ascii="Arial" w:hAnsi="Arial"/>
                <w:b/>
                <w:sz w:val="12"/>
              </w:rPr>
              <w:t>MRO Name</w:t>
            </w:r>
          </w:p>
        </w:tc>
        <w:tc>
          <w:tcPr>
            <w:tcW w:type="dxa" w:w="929"/>
          </w:tcPr>
          <w:p>
            <w:pPr>
              <w:spacing w:after="0"/>
            </w:pPr>
            <w:r>
              <w:rPr>
                <w:rFonts w:ascii="Arial" w:hAnsi="Arial"/>
                <w:b/>
                <w:sz w:val="12"/>
              </w:rPr>
              <w:t>MPLP</w:t>
            </w:r>
          </w:p>
        </w:tc>
        <w:tc>
          <w:tcPr>
            <w:tcW w:type="dxa" w:w="929"/>
          </w:tcPr>
          <w:p>
            <w:pPr>
              <w:spacing w:after="0"/>
            </w:pPr>
            <w:r>
              <w:rPr>
                <w:rFonts w:ascii="Arial" w:hAnsi="Arial"/>
                <w:b/>
                <w:sz w:val="12"/>
              </w:rPr>
              <w:t>IBM watsonx.governance</w:t>
            </w:r>
          </w:p>
        </w:tc>
        <w:tc>
          <w:tcPr>
            <w:tcW w:type="dxa" w:w="929"/>
          </w:tcPr>
          <w:p>
            <w:pPr>
              <w:spacing w:after="0"/>
            </w:pPr>
            <w:r>
              <w:rPr>
                <w:rFonts w:ascii="Arial" w:hAnsi="Arial"/>
                <w:b/>
                <w:sz w:val="12"/>
              </w:rPr>
              <w:t>Microsoft Azure AI Foundry</w:t>
            </w:r>
          </w:p>
        </w:tc>
        <w:tc>
          <w:tcPr>
            <w:tcW w:type="dxa" w:w="929"/>
          </w:tcPr>
          <w:p>
            <w:pPr>
              <w:spacing w:after="0"/>
            </w:pPr>
            <w:r>
              <w:rPr>
                <w:rFonts w:ascii="Arial" w:hAnsi="Arial"/>
                <w:b/>
                <w:sz w:val="12"/>
              </w:rPr>
              <w:t>AWS Bedrock / Guardrails / AgentCore</w:t>
            </w:r>
          </w:p>
        </w:tc>
        <w:tc>
          <w:tcPr>
            <w:tcW w:type="dxa" w:w="929"/>
          </w:tcPr>
          <w:p>
            <w:pPr>
              <w:spacing w:after="0"/>
            </w:pPr>
            <w:r>
              <w:rPr>
                <w:rFonts w:ascii="Arial" w:hAnsi="Arial"/>
                <w:b/>
                <w:sz w:val="12"/>
              </w:rPr>
              <w:t>Google Vertex AI / ADK / Model Armor</w:t>
            </w:r>
          </w:p>
        </w:tc>
        <w:tc>
          <w:tcPr>
            <w:tcW w:type="dxa" w:w="929"/>
          </w:tcPr>
          <w:p>
            <w:pPr>
              <w:spacing w:after="0"/>
            </w:pPr>
            <w:r>
              <w:rPr>
                <w:rFonts w:ascii="Arial" w:hAnsi="Arial"/>
                <w:b/>
                <w:sz w:val="12"/>
              </w:rPr>
              <w:t>LangGraph / LangSmith</w:t>
            </w:r>
          </w:p>
        </w:tc>
        <w:tc>
          <w:tcPr>
            <w:tcW w:type="dxa" w:w="929"/>
          </w:tcPr>
          <w:p>
            <w:pPr>
              <w:spacing w:after="0"/>
            </w:pPr>
            <w:r>
              <w:rPr>
                <w:rFonts w:ascii="Arial" w:hAnsi="Arial"/>
                <w:b/>
                <w:sz w:val="12"/>
              </w:rPr>
              <w:t>OpenAI Agents SDK</w:t>
            </w:r>
          </w:p>
        </w:tc>
        <w:tc>
          <w:tcPr>
            <w:tcW w:type="dxa" w:w="929"/>
          </w:tcPr>
          <w:p>
            <w:pPr>
              <w:spacing w:after="0"/>
            </w:pPr>
            <w:r>
              <w:rPr>
                <w:rFonts w:ascii="Arial" w:hAnsi="Arial"/>
                <w:b/>
                <w:sz w:val="12"/>
              </w:rPr>
              <w:t>CrewAI</w:t>
            </w:r>
          </w:p>
        </w:tc>
        <w:tc>
          <w:tcPr>
            <w:tcW w:type="dxa" w:w="929"/>
          </w:tcPr>
          <w:p>
            <w:pPr>
              <w:spacing w:after="0"/>
            </w:pPr>
            <w:r>
              <w:rPr>
                <w:rFonts w:ascii="Arial" w:hAnsi="Arial"/>
                <w:b/>
                <w:sz w:val="12"/>
              </w:rPr>
              <w:t>Notes</w:t>
            </w:r>
          </w:p>
        </w:tc>
      </w:tr>
      <w:tr>
        <w:tc>
          <w:tcPr>
            <w:tcW w:type="dxa" w:w="929"/>
          </w:tcPr>
          <w:p>
            <w:pPr>
              <w:spacing w:after="0"/>
            </w:pPr>
            <w:r>
              <w:rPr>
                <w:rFonts w:ascii="Arial" w:hAnsi="Arial"/>
                <w:b w:val="0"/>
                <w:sz w:val="12"/>
              </w:rPr>
              <w:t>MRO-01</w:t>
            </w:r>
          </w:p>
        </w:tc>
        <w:tc>
          <w:tcPr>
            <w:tcW w:type="dxa" w:w="929"/>
          </w:tcPr>
          <w:p>
            <w:pPr>
              <w:spacing w:after="0"/>
            </w:pPr>
            <w:r>
              <w:rPr>
                <w:rFonts w:ascii="Arial" w:hAnsi="Arial"/>
                <w:b w:val="0"/>
                <w:sz w:val="12"/>
              </w:rPr>
              <w:t>Human Role to MAS Responsibility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Role semantics appear explicit; IBM: Governance workflows may support role mapping; Others: Adjacent capabilities may exist but not lifecycle-specific.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MRO-02</w:t>
            </w:r>
          </w:p>
        </w:tc>
        <w:tc>
          <w:tcPr>
            <w:tcW w:type="dxa" w:w="929"/>
          </w:tcPr>
          <w:p>
            <w:pPr>
              <w:spacing w:after="0"/>
            </w:pPr>
            <w:r>
              <w:rPr>
                <w:rFonts w:ascii="Arial" w:hAnsi="Arial"/>
                <w:b w:val="0"/>
                <w:sz w:val="12"/>
              </w:rPr>
              <w:t>Delegated Authority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Authority boundary semantics appear explicit; AWS: Guardrails may provide boundary enforcement; Others: Access control ≠ authority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MRO-03</w:t>
            </w:r>
          </w:p>
        </w:tc>
        <w:tc>
          <w:tcPr>
            <w:tcW w:type="dxa" w:w="929"/>
          </w:tcPr>
          <w:p>
            <w:pPr>
              <w:spacing w:after="0"/>
            </w:pPr>
            <w:r>
              <w:rPr>
                <w:rFonts w:ascii="Arial" w:hAnsi="Arial"/>
                <w:b w:val="0"/>
                <w:sz w:val="12"/>
              </w:rPr>
              <w:t>Agent Role is not Human Role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Role distinction appears explicit; IBM: Governance workflows may distinguish roles; CrewAI: Agent role labels exist but ≠ accountability roles.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MRO-04</w:t>
            </w:r>
          </w:p>
        </w:tc>
        <w:tc>
          <w:tcPr>
            <w:tcW w:type="dxa" w:w="929"/>
          </w:tcPr>
          <w:p>
            <w:pPr>
              <w:spacing w:after="0"/>
            </w:pPr>
            <w:r>
              <w:rPr>
                <w:rFonts w:ascii="Arial" w:hAnsi="Arial"/>
                <w:b w:val="0"/>
                <w:sz w:val="12"/>
              </w:rPr>
              <w:t>Accepted Outcome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Confirm semantics appear explicit; IBM: Approval workflows may exist; Others: Task completion ≠ accepted outcome.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MRO-05</w:t>
            </w:r>
          </w:p>
        </w:tc>
        <w:tc>
          <w:tcPr>
            <w:tcW w:type="dxa" w:w="929"/>
          </w:tcPr>
          <w:p>
            <w:pPr>
              <w:spacing w:after="0"/>
            </w:pPr>
            <w:r>
              <w:rPr>
                <w:rFonts w:ascii="Arial" w:hAnsi="Arial"/>
                <w:b w:val="0"/>
                <w:sz w:val="12"/>
              </w:rPr>
              <w:t>Tool-Action Liability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Tool-action semantics appear explicit; AWS: Guardrails may provide tool-action controls; Others: Tool calling ≠ liability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MRO-06</w:t>
            </w:r>
          </w:p>
        </w:tc>
        <w:tc>
          <w:tcPr>
            <w:tcW w:type="dxa" w:w="929"/>
          </w:tcPr>
          <w:p>
            <w:pPr>
              <w:spacing w:after="0"/>
            </w:pPr>
            <w:r>
              <w:rPr>
                <w:rFonts w:ascii="Arial" w:hAnsi="Arial"/>
                <w:b w:val="0"/>
                <w:sz w:val="12"/>
              </w:rPr>
              <w:t>Responsibility Transfer Across Agents</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Handoff semantics appear explicit; LangGraph: Orchestration may support handoff; Others: Handoff ≠ responsibility transfer.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MRO-07</w:t>
            </w:r>
          </w:p>
        </w:tc>
        <w:tc>
          <w:tcPr>
            <w:tcW w:type="dxa" w:w="929"/>
          </w:tcPr>
          <w:p>
            <w:pPr>
              <w:spacing w:after="0"/>
            </w:pPr>
            <w:r>
              <w:rPr>
                <w:rFonts w:ascii="Arial" w:hAnsi="Arial"/>
                <w:b w:val="0"/>
                <w:sz w:val="12"/>
              </w:rPr>
              <w:t>Authority Drift</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Drift detection semantics appear explicit; IBM: Model monitoring may detect drift; Others: Monitoring ≠ authority drift detection.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MRO-08</w:t>
            </w:r>
          </w:p>
        </w:tc>
        <w:tc>
          <w:tcPr>
            <w:tcW w:type="dxa" w:w="929"/>
          </w:tcPr>
          <w:p>
            <w:pPr>
              <w:spacing w:after="0"/>
            </w:pPr>
            <w:r>
              <w:rPr>
                <w:rFonts w:ascii="Arial" w:hAnsi="Arial"/>
                <w:b w:val="0"/>
                <w:sz w:val="12"/>
              </w:rPr>
              <w:t>MAS Evidence Partitioning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Evidence partitioning semantics appear explicit; IBM: Audit trail partitioning may exist; LangSmith: Trace partitioning may exist; Others: Logs ≠ partitioned evidence.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MRO-09</w:t>
            </w:r>
          </w:p>
        </w:tc>
        <w:tc>
          <w:tcPr>
            <w:tcW w:type="dxa" w:w="929"/>
          </w:tcPr>
          <w:p>
            <w:pPr>
              <w:spacing w:after="0"/>
            </w:pPr>
            <w:r>
              <w:rPr>
                <w:rFonts w:ascii="Arial" w:hAnsi="Arial"/>
                <w:b w:val="0"/>
                <w:sz w:val="12"/>
              </w:rPr>
              <w:t>Cross-Project Reuse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Reuse validation semantics appear explicit; Others: Reuse ≠ reuse compliance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MRO-10</w:t>
            </w:r>
          </w:p>
        </w:tc>
        <w:tc>
          <w:tcPr>
            <w:tcW w:type="dxa" w:w="929"/>
          </w:tcPr>
          <w:p>
            <w:pPr>
              <w:spacing w:after="0"/>
            </w:pPr>
            <w:r>
              <w:rPr>
                <w:rFonts w:ascii="Arial" w:hAnsi="Arial"/>
                <w:b w:val="0"/>
                <w:sz w:val="12"/>
              </w:rPr>
              <w:t>Privacy / GDPR Lifecycle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Privacy lifecycle semantics appear explicit; IBM/Microsoft/Google: Data governance workflows may exist; Others: Data governance ≠ lifecycle privacy mapping.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MRO-11</w:t>
            </w:r>
          </w:p>
        </w:tc>
        <w:tc>
          <w:tcPr>
            <w:tcW w:type="dxa" w:w="929"/>
          </w:tcPr>
          <w:p>
            <w:pPr>
              <w:spacing w:after="0"/>
            </w:pPr>
            <w:r>
              <w:rPr>
                <w:rFonts w:ascii="Arial" w:hAnsi="Arial"/>
                <w:b w:val="0"/>
                <w:sz w:val="12"/>
              </w:rPr>
              <w:t>Privacy-Preserving Third-Party Validation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Validation semantics appear explicit; Others: Validation ≠ privacy-preserving validation protocol.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MRO-12</w:t>
            </w:r>
          </w:p>
        </w:tc>
        <w:tc>
          <w:tcPr>
            <w:tcW w:type="dxa" w:w="929"/>
          </w:tcPr>
          <w:p>
            <w:pPr>
              <w:spacing w:after="0"/>
            </w:pPr>
            <w:r>
              <w:rPr>
                <w:rFonts w:ascii="Arial" w:hAnsi="Arial"/>
                <w:b w:val="0"/>
                <w:sz w:val="12"/>
              </w:rPr>
              <w:t>Evidence Minimization and Selective Disclosure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Selective disclosure semantics appear explicit; IBM: Evidence export with minimization may exist; Others: Data export ≠ selective disclosure.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MRO-13</w:t>
            </w:r>
          </w:p>
        </w:tc>
        <w:tc>
          <w:tcPr>
            <w:tcW w:type="dxa" w:w="929"/>
          </w:tcPr>
          <w:p>
            <w:pPr>
              <w:spacing w:after="0"/>
            </w:pPr>
            <w:r>
              <w:rPr>
                <w:rFonts w:ascii="Arial" w:hAnsi="Arial"/>
                <w:b w:val="0"/>
                <w:sz w:val="12"/>
              </w:rPr>
              <w:t>Data Subject Rights vs Evidence Retention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Retention reconciliation semantics appear explicit; IBM/Microsoft/Google: Data subject rights workflows may exist; Others: Data retention ≠ evidence retention reconciliation.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MRO-14</w:t>
            </w:r>
          </w:p>
        </w:tc>
        <w:tc>
          <w:tcPr>
            <w:tcW w:type="dxa" w:w="929"/>
          </w:tcPr>
          <w:p>
            <w:pPr>
              <w:spacing w:after="0"/>
            </w:pPr>
            <w:r>
              <w:rPr>
                <w:rFonts w:ascii="Arial" w:hAnsi="Arial"/>
                <w:b w:val="0"/>
                <w:sz w:val="12"/>
              </w:rPr>
              <w:t>Third-Party Processor / Subprocessor Chain</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IBM/Microsoft/AWS/Google: Processor chain documentation may exist; MPLP: Network semantics may support but require integration; Others: Processor chain ≠ responsibility chain.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MRO-15</w:t>
            </w:r>
          </w:p>
        </w:tc>
        <w:tc>
          <w:tcPr>
            <w:tcW w:type="dxa" w:w="929"/>
          </w:tcPr>
          <w:p>
            <w:pPr>
              <w:spacing w:after="0"/>
            </w:pPr>
            <w:r>
              <w:rPr>
                <w:rFonts w:ascii="Arial" w:hAnsi="Arial"/>
                <w:b w:val="0"/>
                <w:sz w:val="12"/>
              </w:rPr>
              <w:t>Vendor / Model / Runtime Substitution Conformance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Substitution conformance semantics appear explicit; IBM: Model version management may exist; Others: Model substitution ≠ conformance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MRO-16</w:t>
            </w:r>
          </w:p>
        </w:tc>
        <w:tc>
          <w:tcPr>
            <w:tcW w:type="dxa" w:w="929"/>
          </w:tcPr>
          <w:p>
            <w:pPr>
              <w:spacing w:after="0"/>
            </w:pPr>
            <w:r>
              <w:rPr>
                <w:rFonts w:ascii="Arial" w:hAnsi="Arial"/>
                <w:b w:val="0"/>
                <w:sz w:val="12"/>
              </w:rPr>
              <w:t>Incident, Dispute, and Remediation 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Closure semantics appear explicit; IBM: Incident management workflows may exist; Others: Incident response ≠ remediation closure with lifecycle evidence. Revalidated provisional; exact cell-level lifecycle-object support remains source-bound, narrowed, or L5 analytical interpretation.</w:t>
            </w:r>
          </w:p>
        </w:tc>
      </w:tr>
    </w:tbl>
    <w:p>
      <w:pPr>
        <w:pStyle w:val="Heading2"/>
      </w:pPr>
      <w:r>
        <w:t>D.3 Pattern-Level Interpretation</w:t>
      </w:r>
    </w:p>
    <w:p>
      <w:pPr>
        <w:spacing w:after="56"/>
      </w:pPr>
      <w:r>
        <w:t>The expanded MRO mapping reveals several provisional patterns across system categories. All mappings remain revalidated provisional after Phase 1C claim-level source binding.</w:t>
      </w:r>
    </w:p>
    <w:p>
      <w:pPr>
        <w:spacing w:after="56"/>
      </w:pPr>
      <w:r>
        <w:t>Pattern 1: Lifecycle protocol paths (MPLP) provisionally show strong object-level mapping across most MROs.</w:t>
      </w:r>
    </w:p>
    <w:p>
      <w:pPr>
        <w:spacing w:after="56"/>
      </w:pPr>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Pr>
        <w:spacing w:after="56"/>
      </w:pPr>
      <w:r>
        <w:t>Pattern 2: Enterprise AI governance platforms (IBM watsonx.governance) provisionally show strong workflow/feature mapping across governance-related MROs.</w:t>
      </w:r>
    </w:p>
    <w:p>
      <w:pPr>
        <w:spacing w:after="56"/>
      </w:pPr>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Pr>
        <w:spacing w:after="56"/>
      </w:pPr>
      <w:r>
        <w:t>Pattern 3: Cloud AI platforms (Microsoft, AWS, Google) provisionally show strong workflow/feature mapping for data governance and processor chain MROs, but partial or adjacent capability for lifecycle-specific MROs.</w:t>
      </w:r>
    </w:p>
    <w:p>
      <w:pPr>
        <w:spacing w:after="56"/>
      </w:pPr>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Pr>
        <w:spacing w:after="56"/>
      </w:pPr>
      <w:r>
        <w:t>Pattern 4: Agent orchestration frameworks (LangGraph/LangSmith) provisionally show strong workflow/feature mapping for evidence partitioning and responsibility transfer, but partial or adjacent capability for other MROs.</w:t>
      </w:r>
    </w:p>
    <w:p>
      <w:pPr>
        <w:spacing w:after="56"/>
      </w:pPr>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Pr>
        <w:spacing w:after="56"/>
      </w:pPr>
      <w:r>
        <w:t>Pattern 5: Developer agent SDKs (OpenAI Agents SDK, CrewAI) provisionally show weak or implementer-built only for most MROs.</w:t>
      </w:r>
    </w:p>
    <w:p>
      <w:pPr>
        <w:spacing w:after="56"/>
      </w:pPr>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Pr>
        <w:spacing w:after="56"/>
      </w:pPr>
      <w:r>
        <w:t>Pattern 6: The field gap is not lack of AI tools. The field gap is lack of explicit lifecycle responsibility objects.</w:t>
      </w:r>
    </w:p>
    <w:p>
      <w:pPr>
        <w:spacing w:after="56"/>
      </w:pPr>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Pr>
        <w:pStyle w:val="Heading2"/>
      </w:pPr>
      <w:r>
        <w:t>D.4 Phase 1C Claim-Level Source Binding Note</w:t>
      </w:r>
    </w:p>
    <w:p>
      <w:pPr>
        <w:spacing w:after="56"/>
      </w:pPr>
      <w:r>
        <w:t>This appendix is based on public product documentation and protocol specifications available as of the white paper publication date. Phase 1D-11 completed high-risk source closure for Appendix D by narrowing source-supported claims and retaining L5 analytical labels where official sources do not directly define lifecycle responsibility objects. Remaining final proofing work is to:</w:t>
      </w:r>
    </w:p>
    <w:p>
      <w:pPr>
        <w:pStyle w:val="ListNumber"/>
        <w:spacing w:after="56"/>
      </w:pPr>
      <w:r>
        <w:t>Preserve narrowed citation wording for high-risk MRO cell claims</w:t>
      </w:r>
    </w:p>
    <w:p>
      <w:pPr>
        <w:pStyle w:val="ListNumber"/>
        <w:spacing w:after="56"/>
      </w:pPr>
      <w:r>
        <w:t>Preserve L5 analytical status for MRO mappings not directly stated in official documentation</w:t>
      </w:r>
    </w:p>
    <w:p>
      <w:pPr>
        <w:pStyle w:val="ListNumber"/>
        <w:spacing w:after="56"/>
      </w:pPr>
      <w:r>
        <w:t>Retain provisional wording for all cross-system cells until publication approval</w:t>
      </w:r>
    </w:p>
    <w:p>
      <w:pPr>
        <w:pStyle w:val="ListNumber"/>
        <w:spacing w:after="56"/>
      </w:pPr>
      <w:r>
        <w:t>Verify all qualitative mapping values during final proofing</w:t>
      </w:r>
    </w:p>
    <w:p>
      <w:pPr>
        <w:pStyle w:val="ListNumber"/>
        <w:spacing w:after="56"/>
      </w:pPr>
      <w:r>
        <w:t>Mark uncertain mappings as explicit non-blocking limitations if exact lifecycle-object support cannot be pinned</w:t>
      </w:r>
    </w:p>
    <w:p>
      <w:pPr>
        <w:spacing w:after="56"/>
      </w:pPr>
      <w:r>
        <w:t>Phase 1D wide-table evaluation: Table T-D-01 is very wide (10 columns) and may require splitting, rotation, or alternative layout for readability in DOCX/PDF format.</w:t>
      </w:r>
    </w:p>
    <w:p>
      <w:pPr>
        <w:pStyle w:val="Heading1"/>
      </w:pPr>
      <w:r>
        <w:t>Appendix E — RCCS-T Detailed Rubrics and RCCS-M Adjustment Matrix</w:t>
      </w:r>
    </w:p>
    <w:p>
      <w:pPr>
        <w:spacing w:after="56"/>
      </w:pPr>
      <w:r>
        <w:t>Version: v0.3.2-FRC-R3</w:t>
      </w:r>
    </w:p>
    <w:p>
      <w:pPr>
        <w:pStyle w:val="Heading2"/>
      </w:pPr>
      <w:r>
        <w:t>E.0 RCCS-T / RCCS-M Rubric Boundary</w:t>
      </w:r>
    </w:p>
    <w:p>
      <w:pPr>
        <w:spacing w:after="56"/>
      </w:pPr>
      <w:r>
        <w:t>This appendix provides detailed scoring rubrics for all ten RCCS (Regulatory Compliance Coverage Score) dimensions. The existing detailed rubrics serve as RCCS-T baseline rubrics: they evaluate traditional regulatory and governance coverage primitives such as risk management, data governance, documentation, record-keeping, transparency, human oversight, security, accountability, contestability, and monitoring.</w:t>
      </w:r>
    </w:p>
    <w:p>
      <w:pPr>
        <w:spacing w:after="56"/>
      </w:pPr>
      <w:r>
        <w:t>RCCS-M uses the same ten dimensions and weights but applies MRO adjustment tests. RCCS-M evaluates whether the traditional regulatory obligation can be represented as Missing Regulatory Objects and lifecycle responsibility semantics. High RCCS-T does not automatically imply high RCCS-M.</w:t>
      </w:r>
    </w:p>
    <w:p>
      <w:pPr>
        <w:spacing w:after="56"/>
      </w:pPr>
      <w:r>
        <w:t>These rubrics are analytical tools for evaluating system capability. They are not legal compliance scores, certifications, regulatory approvals, legal compliance proof, regulator-approved benchmarks, procurement benchmarks, vendor rankings, or procurement selection signals.</w:t>
      </w:r>
    </w:p>
    <w:p>
      <w:pPr>
        <w:spacing w:after="56"/>
      </w:pPr>
      <w:r>
        <w:t>Boundary statement:</w:t>
      </w:r>
    </w:p>
    <w:p>
      <w:pPr>
        <w:pStyle w:val="ListBullet"/>
        <w:spacing w:after="56"/>
      </w:pPr>
      <w:r>
        <w:t>RCCS-T measures traditional regulatory compliance coverage primitives. RCCS-T evaluates whether a system provides primitives that can support familiar regulatory compliance coverage requirements. It does not prove legal compliance, regulatory approval, certification, audit readiness, or operational effectiveness.</w:t>
      </w:r>
    </w:p>
    <w:p>
      <w:pPr>
        <w:pStyle w:val="ListBullet"/>
        <w:spacing w:after="56"/>
      </w:pPr>
      <w:r>
        <w:t>RCCS-M measures MRO-adjusted regulatory coverage. RCCS-M evaluates whether those same obligations can be expressed through lifecycle responsibility objects such as authority boundaries, responsibility mappings, accepted outcome states, partitioned evidence, privacy lifecycle maps, substitution conformance records, and incident/dispute/remediation closure records.</w:t>
      </w:r>
    </w:p>
    <w:p>
      <w:pPr>
        <w:pStyle w:val="ListBullet"/>
        <w:spacing w:after="56"/>
      </w:pPr>
      <w:r>
        <w:t>High RCCS scores do not prove legal compliance. A high RCCS score indicates that a system provides primitives for regulatory compliance coverage. It does not prove that the system is legally compliant, operationally effective, or enterprise-ready.</w:t>
      </w:r>
    </w:p>
    <w:p>
      <w:pPr>
        <w:pStyle w:val="ListBullet"/>
        <w:spacing w:after="56"/>
      </w:pPr>
      <w:r>
        <w:t>Low RCCS scores do not prove non-compliance. A low RCCS score indicates gaps in regulatory compliance coverage primitives. It does not prove that the system is non-compliant, unsafe, or unsuitable for deployment.</w:t>
      </w:r>
    </w:p>
    <w:p>
      <w:pPr>
        <w:pStyle w:val="ListBullet"/>
        <w:spacing w:after="56"/>
      </w:pPr>
      <w:r>
        <w:t>RCCS scores are context-independent. RCCS scores measure system capability, not organizational practice. Organizations must interpret scores within their legal, regulatory, and operational context.</w:t>
      </w:r>
    </w:p>
    <w:p>
      <w:pPr>
        <w:pStyle w:val="ListBullet"/>
        <w:spacing w:after="56"/>
      </w:pPr>
      <w:r>
        <w:t>RCCS scores require evidence. All scores must be supported by evidence. The evidence level (L1-L5) affects the score multiplier using the canonical formula from Phase 1B-8C.</w:t>
      </w:r>
    </w:p>
    <w:p>
      <w:pPr>
        <w:pStyle w:val="ListBullet"/>
        <w:spacing w:after="56"/>
      </w:pPr>
      <w:r>
        <w:t>RCCS scores are not product rankings. Rubrics compare systems by regulatory compliance coverage primitives and MRO-adjusted lifecycle object expression, not product quality, market leadership, or procurement suitability.</w:t>
      </w:r>
    </w:p>
    <w:p>
      <w:pPr>
        <w:pStyle w:val="Heading2"/>
      </w:pPr>
      <w:r>
        <w:t>E.1 How to Use RCCS-T and RCCS-M Rubrics</w:t>
      </w:r>
    </w:p>
    <w:p>
      <w:pPr>
        <w:spacing w:after="56"/>
      </w:pPr>
      <w:r>
        <w:t>Scoring process:</w:t>
      </w:r>
    </w:p>
    <w:p>
      <w:pPr>
        <w:pStyle w:val="ListNumber"/>
        <w:spacing w:after="56"/>
      </w:pPr>
      <w:r>
        <w:t>Assess RCCS-T raw capability (0-5) based on traditional governance/control coverage against the detailed rubric</w:t>
      </w:r>
    </w:p>
    <w:p>
      <w:pPr>
        <w:pStyle w:val="ListNumber"/>
        <w:spacing w:after="56"/>
      </w:pPr>
      <w:r>
        <w:t>Assess RCCS-M raw capability (0-5) using the RCCS-M adjustment matrix in Table T-E-11</w:t>
      </w:r>
    </w:p>
    <w:p>
      <w:pPr>
        <w:pStyle w:val="ListNumber"/>
        <w:spacing w:after="56"/>
      </w:pPr>
      <w:r>
        <w:t>Identify evidence level (L1-L5) based on source type for each lens</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regulatory compliance coverage primitives. For RCCS-M, negative controls also prevent ordinary feature support from being treated as lifecycle responsibility object expression.</w:t>
      </w:r>
    </w:p>
    <w:p>
      <w:pPr>
        <w:pStyle w:val="Heading2"/>
      </w:pPr>
      <w:r>
        <w:t>E.2 RCCS Detailed Rubrics</w:t>
      </w:r>
    </w:p>
    <w:p>
      <w:pPr>
        <w:pStyle w:val="Heading3"/>
      </w:pPr>
      <w:r>
        <w:t>RCCS-01: Risk Management</w:t>
      </w:r>
    </w:p>
    <w:p>
      <w:pPr>
        <w:spacing w:after="56"/>
      </w:pPr>
      <w:r>
        <w:t>Core question: Does the system provide primitives for AI risk identification, assessment, mitigation, and monitoring?</w:t>
      </w:r>
    </w:p>
    <w:p>
      <w:pPr>
        <w:spacing w:after="56"/>
      </w:pPr>
      <w:r>
        <w:t>What counts: Risk assessment frameworks, risk registers, risk mitigation controls, risk monitoring dashboards, risk escalation workflows</w:t>
      </w:r>
    </w:p>
    <w:p>
      <w:pPr>
        <w:spacing w:after="56"/>
      </w:pPr>
      <w:r>
        <w:t>What does not count: General software risk management, non-AI-specific risk controls, risk management without AI lifecycle integration</w:t>
      </w:r>
    </w:p>
    <w:p>
      <w:pPr>
        <w:keepNext/>
      </w:pPr>
      <w:r>
        <w:rPr>
          <w:b/>
          <w:sz w:val="16"/>
        </w:rPr>
        <w:t>Table T-E-01: RCCS-01 Risk Management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risk management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risk assessment, no risk register, no risk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risk management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risk management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Risk management mentioned in marketing docs but no implementation details</w:t>
            </w:r>
          </w:p>
        </w:tc>
        <w:tc>
          <w:tcPr>
            <w:tcW w:type="dxa" w:w="1704"/>
          </w:tcPr>
          <w:p>
            <w:pPr>
              <w:spacing w:after="0"/>
            </w:pPr>
            <w:r>
              <w:rPr>
                <w:rFonts w:ascii="Arial" w:hAnsi="Arial"/>
                <w:b w:val="0"/>
                <w:sz w:val="12"/>
              </w:rPr>
              <w:t>Risk management mentioned ≠ risk management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risk management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Risk assessment template exists but no risk register or monitoring</w:t>
            </w:r>
          </w:p>
        </w:tc>
        <w:tc>
          <w:tcPr>
            <w:tcW w:type="dxa" w:w="1704"/>
          </w:tcPr>
          <w:p>
            <w:pPr>
              <w:spacing w:after="0"/>
            </w:pPr>
            <w:r>
              <w:rPr>
                <w:rFonts w:ascii="Arial" w:hAnsi="Arial"/>
                <w:b w:val="0"/>
                <w:sz w:val="12"/>
              </w:rPr>
              <w:t>Risk template ≠ risk assessment workflow</w:t>
            </w:r>
          </w:p>
        </w:tc>
        <w:tc>
          <w:tcPr>
            <w:tcW w:type="dxa" w:w="1704"/>
          </w:tcPr>
          <w:p>
            <w:pPr>
              <w:spacing w:after="0"/>
            </w:pPr>
            <w:r>
              <w:rPr>
                <w:rFonts w:ascii="Arial" w:hAnsi="Arial"/>
                <w:b w:val="0"/>
                <w:sz w:val="12"/>
              </w:rPr>
              <w:t>Partial coverage;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risk management</w:t>
            </w:r>
          </w:p>
        </w:tc>
        <w:tc>
          <w:tcPr>
            <w:tcW w:type="dxa" w:w="1704"/>
          </w:tcPr>
          <w:p>
            <w:pPr>
              <w:spacing w:after="0"/>
            </w:pPr>
            <w:r>
              <w:rPr>
                <w:rFonts w:ascii="Arial" w:hAnsi="Arial"/>
                <w:b w:val="0"/>
                <w:sz w:val="12"/>
              </w:rPr>
              <w:t>Product documentation with risk assessment and register</w:t>
            </w:r>
          </w:p>
        </w:tc>
        <w:tc>
          <w:tcPr>
            <w:tcW w:type="dxa" w:w="1704"/>
          </w:tcPr>
          <w:p>
            <w:pPr>
              <w:spacing w:after="0"/>
            </w:pPr>
            <w:r>
              <w:rPr>
                <w:rFonts w:ascii="Arial" w:hAnsi="Arial"/>
                <w:b w:val="0"/>
                <w:sz w:val="12"/>
              </w:rPr>
              <w:t>Risk assessment workflow, risk register, basic mitigation controls</w:t>
            </w:r>
          </w:p>
        </w:tc>
        <w:tc>
          <w:tcPr>
            <w:tcW w:type="dxa" w:w="1704"/>
          </w:tcPr>
          <w:p>
            <w:pPr>
              <w:spacing w:after="0"/>
            </w:pPr>
            <w:r>
              <w:rPr>
                <w:rFonts w:ascii="Arial" w:hAnsi="Arial"/>
                <w:b w:val="0"/>
                <w:sz w:val="12"/>
              </w:rPr>
              <w:t>Risk register ≠ risk monitoring or escalation</w:t>
            </w:r>
          </w:p>
        </w:tc>
        <w:tc>
          <w:tcPr>
            <w:tcW w:type="dxa" w:w="1704"/>
          </w:tcPr>
          <w:p>
            <w:pPr>
              <w:spacing w:after="0"/>
            </w:pPr>
            <w:r>
              <w:rPr>
                <w:rFonts w:ascii="Arial" w:hAnsi="Arial"/>
                <w:b w:val="0"/>
                <w:sz w:val="12"/>
              </w:rPr>
              <w:t>Moderate coverage; monitoring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risk management</w:t>
            </w:r>
          </w:p>
        </w:tc>
        <w:tc>
          <w:tcPr>
            <w:tcW w:type="dxa" w:w="1704"/>
          </w:tcPr>
          <w:p>
            <w:pPr>
              <w:spacing w:after="0"/>
            </w:pPr>
            <w:r>
              <w:rPr>
                <w:rFonts w:ascii="Arial" w:hAnsi="Arial"/>
                <w:b w:val="0"/>
                <w:sz w:val="12"/>
              </w:rPr>
              <w:t>Product documentation with risk assessment, register, mitigation, and monitoring</w:t>
            </w:r>
          </w:p>
        </w:tc>
        <w:tc>
          <w:tcPr>
            <w:tcW w:type="dxa" w:w="1704"/>
          </w:tcPr>
          <w:p>
            <w:pPr>
              <w:spacing w:after="0"/>
            </w:pPr>
            <w:r>
              <w:rPr>
                <w:rFonts w:ascii="Arial" w:hAnsi="Arial"/>
                <w:b w:val="0"/>
                <w:sz w:val="12"/>
              </w:rPr>
              <w:t>Risk assessment workflow, risk register, mitigation controls, risk monitoring dashboard</w:t>
            </w:r>
          </w:p>
        </w:tc>
        <w:tc>
          <w:tcPr>
            <w:tcW w:type="dxa" w:w="1704"/>
          </w:tcPr>
          <w:p>
            <w:pPr>
              <w:spacing w:after="0"/>
            </w:pPr>
            <w:r>
              <w:rPr>
                <w:rFonts w:ascii="Arial" w:hAnsi="Arial"/>
                <w:b w:val="0"/>
                <w:sz w:val="12"/>
              </w:rPr>
              <w:t>Risk monitoring ≠ risk escalation or continuous improvement</w:t>
            </w:r>
          </w:p>
        </w:tc>
        <w:tc>
          <w:tcPr>
            <w:tcW w:type="dxa" w:w="1704"/>
          </w:tcPr>
          <w:p>
            <w:pPr>
              <w:spacing w:after="0"/>
            </w:pPr>
            <w:r>
              <w:rPr>
                <w:rFonts w:ascii="Arial" w:hAnsi="Arial"/>
                <w:b w:val="0"/>
                <w:sz w:val="12"/>
              </w:rPr>
              <w:t>Strong coverage; escalation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9 risk management system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RCCS-02: Data Governance</w:t>
      </w:r>
    </w:p>
    <w:p>
      <w:pPr>
        <w:spacing w:after="56"/>
      </w:pPr>
      <w:r>
        <w:t>Core question: Does the system provide primitives for data governance including data quality, data lineage, data access control, and data retention?</w:t>
      </w:r>
    </w:p>
    <w:p>
      <w:pPr>
        <w:spacing w:after="56"/>
      </w:pPr>
      <w:r>
        <w:t>What counts: Data quality checks, data lineage tracking, data access control, data retention policies, data subject rights workflows</w:t>
      </w:r>
    </w:p>
    <w:p>
      <w:pPr>
        <w:spacing w:after="56"/>
      </w:pPr>
      <w:r>
        <w:t>What does not count: General database management, data storage without governance, data access control without lifecycle integration</w:t>
      </w:r>
    </w:p>
    <w:p>
      <w:pPr>
        <w:keepNext/>
      </w:pPr>
      <w:r>
        <w:rPr>
          <w:b/>
          <w:sz w:val="16"/>
        </w:rPr>
        <w:t>Table T-E-02: RCCS-02 Data Governance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governance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quality checks, no data lineage, no data access control</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governance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governance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governance mentioned in marketing docs but no implementation details</w:t>
            </w:r>
          </w:p>
        </w:tc>
        <w:tc>
          <w:tcPr>
            <w:tcW w:type="dxa" w:w="1704"/>
          </w:tcPr>
          <w:p>
            <w:pPr>
              <w:spacing w:after="0"/>
            </w:pPr>
            <w:r>
              <w:rPr>
                <w:rFonts w:ascii="Arial" w:hAnsi="Arial"/>
                <w:b w:val="0"/>
                <w:sz w:val="12"/>
              </w:rPr>
              <w:t>Data governance mentioned ≠ data governance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governance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quality checks exist but no data lineage or retention policies</w:t>
            </w:r>
          </w:p>
        </w:tc>
        <w:tc>
          <w:tcPr>
            <w:tcW w:type="dxa" w:w="1704"/>
          </w:tcPr>
          <w:p>
            <w:pPr>
              <w:spacing w:after="0"/>
            </w:pPr>
            <w:r>
              <w:rPr>
                <w:rFonts w:ascii="Arial" w:hAnsi="Arial"/>
                <w:b w:val="0"/>
                <w:sz w:val="12"/>
              </w:rPr>
              <w:t>Data quality ≠ data lineage or retention</w:t>
            </w:r>
          </w:p>
        </w:tc>
        <w:tc>
          <w:tcPr>
            <w:tcW w:type="dxa" w:w="1704"/>
          </w:tcPr>
          <w:p>
            <w:pPr>
              <w:spacing w:after="0"/>
            </w:pPr>
            <w:r>
              <w:rPr>
                <w:rFonts w:ascii="Arial" w:hAnsi="Arial"/>
                <w:b w:val="0"/>
                <w:sz w:val="12"/>
              </w:rPr>
              <w:t>Partial coverage; lineage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governance</w:t>
            </w:r>
          </w:p>
        </w:tc>
        <w:tc>
          <w:tcPr>
            <w:tcW w:type="dxa" w:w="1704"/>
          </w:tcPr>
          <w:p>
            <w:pPr>
              <w:spacing w:after="0"/>
            </w:pPr>
            <w:r>
              <w:rPr>
                <w:rFonts w:ascii="Arial" w:hAnsi="Arial"/>
                <w:b w:val="0"/>
                <w:sz w:val="12"/>
              </w:rPr>
              <w:t>Product documentation with data quality, lineage, and access control</w:t>
            </w:r>
          </w:p>
        </w:tc>
        <w:tc>
          <w:tcPr>
            <w:tcW w:type="dxa" w:w="1704"/>
          </w:tcPr>
          <w:p>
            <w:pPr>
              <w:spacing w:after="0"/>
            </w:pPr>
            <w:r>
              <w:rPr>
                <w:rFonts w:ascii="Arial" w:hAnsi="Arial"/>
                <w:b w:val="0"/>
                <w:sz w:val="12"/>
              </w:rPr>
              <w:t>Data quality checks, data lineage tracking, data access control</w:t>
            </w:r>
          </w:p>
        </w:tc>
        <w:tc>
          <w:tcPr>
            <w:tcW w:type="dxa" w:w="1704"/>
          </w:tcPr>
          <w:p>
            <w:pPr>
              <w:spacing w:after="0"/>
            </w:pPr>
            <w:r>
              <w:rPr>
                <w:rFonts w:ascii="Arial" w:hAnsi="Arial"/>
                <w:b w:val="0"/>
                <w:sz w:val="12"/>
              </w:rPr>
              <w:t>Data access control ≠ data retention or subject rights</w:t>
            </w:r>
          </w:p>
        </w:tc>
        <w:tc>
          <w:tcPr>
            <w:tcW w:type="dxa" w:w="1704"/>
          </w:tcPr>
          <w:p>
            <w:pPr>
              <w:spacing w:after="0"/>
            </w:pPr>
            <w:r>
              <w:rPr>
                <w:rFonts w:ascii="Arial" w:hAnsi="Arial"/>
                <w:b w:val="0"/>
                <w:sz w:val="12"/>
              </w:rPr>
              <w:t>Moderate coverage; retention and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governance</w:t>
            </w:r>
          </w:p>
        </w:tc>
        <w:tc>
          <w:tcPr>
            <w:tcW w:type="dxa" w:w="1704"/>
          </w:tcPr>
          <w:p>
            <w:pPr>
              <w:spacing w:after="0"/>
            </w:pPr>
            <w:r>
              <w:rPr>
                <w:rFonts w:ascii="Arial" w:hAnsi="Arial"/>
                <w:b w:val="0"/>
                <w:sz w:val="12"/>
              </w:rPr>
              <w:t>Product documentation with data quality, lineage, access control, and retention</w:t>
            </w:r>
          </w:p>
        </w:tc>
        <w:tc>
          <w:tcPr>
            <w:tcW w:type="dxa" w:w="1704"/>
          </w:tcPr>
          <w:p>
            <w:pPr>
              <w:spacing w:after="0"/>
            </w:pPr>
            <w:r>
              <w:rPr>
                <w:rFonts w:ascii="Arial" w:hAnsi="Arial"/>
                <w:b w:val="0"/>
                <w:sz w:val="12"/>
              </w:rPr>
              <w:t>Data quality checks, data lineage tracking, data access control, data retention policies</w:t>
            </w:r>
          </w:p>
        </w:tc>
        <w:tc>
          <w:tcPr>
            <w:tcW w:type="dxa" w:w="1704"/>
          </w:tcPr>
          <w:p>
            <w:pPr>
              <w:spacing w:after="0"/>
            </w:pPr>
            <w:r>
              <w:rPr>
                <w:rFonts w:ascii="Arial" w:hAnsi="Arial"/>
                <w:b w:val="0"/>
                <w:sz w:val="12"/>
              </w:rPr>
              <w:t>Data retention ≠ data subject rights workflows</w:t>
            </w:r>
          </w:p>
        </w:tc>
        <w:tc>
          <w:tcPr>
            <w:tcW w:type="dxa" w:w="1704"/>
          </w:tcPr>
          <w:p>
            <w:pPr>
              <w:spacing w:after="0"/>
            </w:pPr>
            <w:r>
              <w:rPr>
                <w:rFonts w:ascii="Arial" w:hAnsi="Arial"/>
                <w:b w:val="0"/>
                <w:sz w:val="12"/>
              </w:rPr>
              <w:t>Strong coverage;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governance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RCCS-03: Documentation</w:t>
      </w:r>
    </w:p>
    <w:p>
      <w:pPr>
        <w:spacing w:after="56"/>
      </w:pPr>
      <w:r>
        <w:t>Core question: Does the system provide primitives for AI system documentation including model cards, system cards, and technical documentation?</w:t>
      </w:r>
    </w:p>
    <w:p>
      <w:pPr>
        <w:spacing w:after="56"/>
      </w:pPr>
      <w:r>
        <w:t>What counts: Model cards, system cards, technical documentation, API documentation, deployment documentation</w:t>
      </w:r>
    </w:p>
    <w:p>
      <w:pPr>
        <w:spacing w:after="56"/>
      </w:pPr>
      <w:r>
        <w:t>What does not count: General software documentation, marketing materials, documentation without AI lifecycle integration</w:t>
      </w:r>
    </w:p>
    <w:p>
      <w:pPr>
        <w:keepNext/>
      </w:pPr>
      <w:r>
        <w:rPr>
          <w:b/>
          <w:sz w:val="16"/>
        </w:rPr>
        <w:t>Table T-E-03: RCCS-03 Documentation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documentation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model cards, no system cards, no technical documentation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documentation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documentation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Documentation mentioned in marketing docs but no implementation details</w:t>
            </w:r>
          </w:p>
        </w:tc>
        <w:tc>
          <w:tcPr>
            <w:tcW w:type="dxa" w:w="1704"/>
          </w:tcPr>
          <w:p>
            <w:pPr>
              <w:spacing w:after="0"/>
            </w:pPr>
            <w:r>
              <w:rPr>
                <w:rFonts w:ascii="Arial" w:hAnsi="Arial"/>
                <w:b w:val="0"/>
                <w:sz w:val="12"/>
              </w:rPr>
              <w:t>Documentation mentioned ≠ documentation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documentation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Model card template exists but no system card or deployment documentation</w:t>
            </w:r>
          </w:p>
        </w:tc>
        <w:tc>
          <w:tcPr>
            <w:tcW w:type="dxa" w:w="1704"/>
          </w:tcPr>
          <w:p>
            <w:pPr>
              <w:spacing w:after="0"/>
            </w:pPr>
            <w:r>
              <w:rPr>
                <w:rFonts w:ascii="Arial" w:hAnsi="Arial"/>
                <w:b w:val="0"/>
                <w:sz w:val="12"/>
              </w:rPr>
              <w:t>Model card ≠ system card or deployment documentation</w:t>
            </w:r>
          </w:p>
        </w:tc>
        <w:tc>
          <w:tcPr>
            <w:tcW w:type="dxa" w:w="1704"/>
          </w:tcPr>
          <w:p>
            <w:pPr>
              <w:spacing w:after="0"/>
            </w:pPr>
            <w:r>
              <w:rPr>
                <w:rFonts w:ascii="Arial" w:hAnsi="Arial"/>
                <w:b w:val="0"/>
                <w:sz w:val="12"/>
              </w:rPr>
              <w:t>Partial coverage; system card and deployment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documentation</w:t>
            </w:r>
          </w:p>
        </w:tc>
        <w:tc>
          <w:tcPr>
            <w:tcW w:type="dxa" w:w="1704"/>
          </w:tcPr>
          <w:p>
            <w:pPr>
              <w:spacing w:after="0"/>
            </w:pPr>
            <w:r>
              <w:rPr>
                <w:rFonts w:ascii="Arial" w:hAnsi="Arial"/>
                <w:b w:val="0"/>
                <w:sz w:val="12"/>
              </w:rPr>
              <w:t>Product documentation with model cards and system cards</w:t>
            </w:r>
          </w:p>
        </w:tc>
        <w:tc>
          <w:tcPr>
            <w:tcW w:type="dxa" w:w="1704"/>
          </w:tcPr>
          <w:p>
            <w:pPr>
              <w:spacing w:after="0"/>
            </w:pPr>
            <w:r>
              <w:rPr>
                <w:rFonts w:ascii="Arial" w:hAnsi="Arial"/>
                <w:b w:val="0"/>
                <w:sz w:val="12"/>
              </w:rPr>
              <w:t>Model card template, system card template, basic technical documentation</w:t>
            </w:r>
          </w:p>
        </w:tc>
        <w:tc>
          <w:tcPr>
            <w:tcW w:type="dxa" w:w="1704"/>
          </w:tcPr>
          <w:p>
            <w:pPr>
              <w:spacing w:after="0"/>
            </w:pPr>
            <w:r>
              <w:rPr>
                <w:rFonts w:ascii="Arial" w:hAnsi="Arial"/>
                <w:b w:val="0"/>
                <w:sz w:val="12"/>
              </w:rPr>
              <w:t>System card ≠ deployment documentation or API documentation</w:t>
            </w:r>
          </w:p>
        </w:tc>
        <w:tc>
          <w:tcPr>
            <w:tcW w:type="dxa" w:w="1704"/>
          </w:tcPr>
          <w:p>
            <w:pPr>
              <w:spacing w:after="0"/>
            </w:pPr>
            <w:r>
              <w:rPr>
                <w:rFonts w:ascii="Arial" w:hAnsi="Arial"/>
                <w:b w:val="0"/>
                <w:sz w:val="12"/>
              </w:rPr>
              <w:t>Moderate coverage; deployment and API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documentation</w:t>
            </w:r>
          </w:p>
        </w:tc>
        <w:tc>
          <w:tcPr>
            <w:tcW w:type="dxa" w:w="1704"/>
          </w:tcPr>
          <w:p>
            <w:pPr>
              <w:spacing w:after="0"/>
            </w:pPr>
            <w:r>
              <w:rPr>
                <w:rFonts w:ascii="Arial" w:hAnsi="Arial"/>
                <w:b w:val="0"/>
                <w:sz w:val="12"/>
              </w:rPr>
              <w:t>Product documentation with model cards, system cards, and technical documentation</w:t>
            </w:r>
          </w:p>
        </w:tc>
        <w:tc>
          <w:tcPr>
            <w:tcW w:type="dxa" w:w="1704"/>
          </w:tcPr>
          <w:p>
            <w:pPr>
              <w:spacing w:after="0"/>
            </w:pPr>
            <w:r>
              <w:rPr>
                <w:rFonts w:ascii="Arial" w:hAnsi="Arial"/>
                <w:b w:val="0"/>
                <w:sz w:val="12"/>
              </w:rPr>
              <w:t>Model card template, system card template, technical documentation, API documentation</w:t>
            </w:r>
          </w:p>
        </w:tc>
        <w:tc>
          <w:tcPr>
            <w:tcW w:type="dxa" w:w="1704"/>
          </w:tcPr>
          <w:p>
            <w:pPr>
              <w:spacing w:after="0"/>
            </w:pPr>
            <w:r>
              <w:rPr>
                <w:rFonts w:ascii="Arial" w:hAnsi="Arial"/>
                <w:b w:val="0"/>
                <w:sz w:val="12"/>
              </w:rPr>
              <w:t>API documentation ≠ deployment documentation or lifecycle documentation</w:t>
            </w:r>
          </w:p>
        </w:tc>
        <w:tc>
          <w:tcPr>
            <w:tcW w:type="dxa" w:w="1704"/>
          </w:tcPr>
          <w:p>
            <w:pPr>
              <w:spacing w:after="0"/>
            </w:pPr>
            <w:r>
              <w:rPr>
                <w:rFonts w:ascii="Arial" w:hAnsi="Arial"/>
                <w:b w:val="0"/>
                <w:sz w:val="12"/>
              </w:rPr>
              <w:t>Strong coverage; deployment and lifecycle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11 technical documentation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RCCS-04: Record-Keeping</w:t>
      </w:r>
    </w:p>
    <w:p>
      <w:pPr>
        <w:spacing w:after="56"/>
      </w:pPr>
      <w:r>
        <w:t>Core question: Does the system provide primitives for record-keeping including audit trails, logs, and evidence export?</w:t>
      </w:r>
    </w:p>
    <w:p>
      <w:pPr>
        <w:spacing w:after="56"/>
      </w:pPr>
      <w:r>
        <w:t>What counts: Audit trails, logs, evidence export capability, log retention policies, log integrity validation</w:t>
      </w:r>
    </w:p>
    <w:p>
      <w:pPr>
        <w:spacing w:after="56"/>
      </w:pPr>
      <w:r>
        <w:t>What does not count: General application logs, logs without lifecycle integration, logs without export capability</w:t>
      </w:r>
    </w:p>
    <w:p>
      <w:pPr>
        <w:keepNext/>
      </w:pPr>
      <w:r>
        <w:rPr>
          <w:b/>
          <w:sz w:val="16"/>
        </w:rPr>
        <w:t>Table T-E-04: RCCS-04 Record-Keeping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record-keeping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audit trails, no logs, no evidence export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record-keeping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record-keeping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Record-keeping mentioned in marketing docs but no implementation details</w:t>
            </w:r>
          </w:p>
        </w:tc>
        <w:tc>
          <w:tcPr>
            <w:tcW w:type="dxa" w:w="1704"/>
          </w:tcPr>
          <w:p>
            <w:pPr>
              <w:spacing w:after="0"/>
            </w:pPr>
            <w:r>
              <w:rPr>
                <w:rFonts w:ascii="Arial" w:hAnsi="Arial"/>
                <w:b w:val="0"/>
                <w:sz w:val="12"/>
              </w:rPr>
              <w:t>Record-keeping mentioned ≠ record-keeping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record-keeping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Audit trails exist but no evidence export or retention policies</w:t>
            </w:r>
          </w:p>
        </w:tc>
        <w:tc>
          <w:tcPr>
            <w:tcW w:type="dxa" w:w="1704"/>
          </w:tcPr>
          <w:p>
            <w:pPr>
              <w:spacing w:after="0"/>
            </w:pPr>
            <w:r>
              <w:rPr>
                <w:rFonts w:ascii="Arial" w:hAnsi="Arial"/>
                <w:b w:val="0"/>
                <w:sz w:val="12"/>
              </w:rPr>
              <w:t>Audit trails ≠ evidence export or retention</w:t>
            </w:r>
          </w:p>
        </w:tc>
        <w:tc>
          <w:tcPr>
            <w:tcW w:type="dxa" w:w="1704"/>
          </w:tcPr>
          <w:p>
            <w:pPr>
              <w:spacing w:after="0"/>
            </w:pPr>
            <w:r>
              <w:rPr>
                <w:rFonts w:ascii="Arial" w:hAnsi="Arial"/>
                <w:b w:val="0"/>
                <w:sz w:val="12"/>
              </w:rPr>
              <w:t>Partial coverage; export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record-keeping</w:t>
            </w:r>
          </w:p>
        </w:tc>
        <w:tc>
          <w:tcPr>
            <w:tcW w:type="dxa" w:w="1704"/>
          </w:tcPr>
          <w:p>
            <w:pPr>
              <w:spacing w:after="0"/>
            </w:pPr>
            <w:r>
              <w:rPr>
                <w:rFonts w:ascii="Arial" w:hAnsi="Arial"/>
                <w:b w:val="0"/>
                <w:sz w:val="12"/>
              </w:rPr>
              <w:t>Product documentation with audit trails and evidence export</w:t>
            </w:r>
          </w:p>
        </w:tc>
        <w:tc>
          <w:tcPr>
            <w:tcW w:type="dxa" w:w="1704"/>
          </w:tcPr>
          <w:p>
            <w:pPr>
              <w:spacing w:after="0"/>
            </w:pPr>
            <w:r>
              <w:rPr>
                <w:rFonts w:ascii="Arial" w:hAnsi="Arial"/>
                <w:b w:val="0"/>
                <w:sz w:val="12"/>
              </w:rPr>
              <w:t>Audit trails, evidence export capability, basic log retention policies</w:t>
            </w:r>
          </w:p>
        </w:tc>
        <w:tc>
          <w:tcPr>
            <w:tcW w:type="dxa" w:w="1704"/>
          </w:tcPr>
          <w:p>
            <w:pPr>
              <w:spacing w:after="0"/>
            </w:pPr>
            <w:r>
              <w:rPr>
                <w:rFonts w:ascii="Arial" w:hAnsi="Arial"/>
                <w:b w:val="0"/>
                <w:sz w:val="12"/>
              </w:rPr>
              <w:t>Evidence export ≠ log integrity validation or selective disclosure</w:t>
            </w:r>
          </w:p>
        </w:tc>
        <w:tc>
          <w:tcPr>
            <w:tcW w:type="dxa" w:w="1704"/>
          </w:tcPr>
          <w:p>
            <w:pPr>
              <w:spacing w:after="0"/>
            </w:pPr>
            <w:r>
              <w:rPr>
                <w:rFonts w:ascii="Arial" w:hAnsi="Arial"/>
                <w:b w:val="0"/>
                <w:sz w:val="12"/>
              </w:rPr>
              <w:t>Moderate coverage; integrity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record-keeping</w:t>
            </w:r>
          </w:p>
        </w:tc>
        <w:tc>
          <w:tcPr>
            <w:tcW w:type="dxa" w:w="1704"/>
          </w:tcPr>
          <w:p>
            <w:pPr>
              <w:spacing w:after="0"/>
            </w:pPr>
            <w:r>
              <w:rPr>
                <w:rFonts w:ascii="Arial" w:hAnsi="Arial"/>
                <w:b w:val="0"/>
                <w:sz w:val="12"/>
              </w:rPr>
              <w:t>Product documentation with audit trails, evidence export, and retention</w:t>
            </w:r>
          </w:p>
        </w:tc>
        <w:tc>
          <w:tcPr>
            <w:tcW w:type="dxa" w:w="1704"/>
          </w:tcPr>
          <w:p>
            <w:pPr>
              <w:spacing w:after="0"/>
            </w:pPr>
            <w:r>
              <w:rPr>
                <w:rFonts w:ascii="Arial" w:hAnsi="Arial"/>
                <w:b w:val="0"/>
                <w:sz w:val="12"/>
              </w:rPr>
              <w:t>Audit trails, evidence export capability, log retention policies, log integrity validation</w:t>
            </w:r>
          </w:p>
        </w:tc>
        <w:tc>
          <w:tcPr>
            <w:tcW w:type="dxa" w:w="1704"/>
          </w:tcPr>
          <w:p>
            <w:pPr>
              <w:spacing w:after="0"/>
            </w:pPr>
            <w:r>
              <w:rPr>
                <w:rFonts w:ascii="Arial" w:hAnsi="Arial"/>
                <w:b w:val="0"/>
                <w:sz w:val="12"/>
              </w:rPr>
              <w:t>Log integrity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12 record-keeping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RCCS-05: Transparency</w:t>
      </w:r>
    </w:p>
    <w:p>
      <w:pPr>
        <w:spacing w:after="56"/>
      </w:pPr>
      <w:r>
        <w:t>Core question: Does the system provide primitives for transparency including explainability, interpretability, and disclosure?</w:t>
      </w:r>
    </w:p>
    <w:p>
      <w:pPr>
        <w:spacing w:after="56"/>
      </w:pPr>
      <w:r>
        <w:t>What counts: Explainability tools, interpretability methods, disclosure mechanisms, transparency reports</w:t>
      </w:r>
    </w:p>
    <w:p>
      <w:pPr>
        <w:spacing w:after="56"/>
      </w:pPr>
      <w:r>
        <w:t>What does not count: General UI transparency, transparency without AI lifecycle integration, transparency without disclosure capability</w:t>
      </w:r>
    </w:p>
    <w:p>
      <w:pPr>
        <w:keepNext/>
      </w:pPr>
      <w:r>
        <w:rPr>
          <w:b/>
          <w:sz w:val="16"/>
        </w:rPr>
        <w:t>Table T-E-05: RCCS-05 Transparency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transparency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explainability, no interpretability, no disclosure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transparency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transparency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Transparency mentioned in marketing docs but no implementation details</w:t>
            </w:r>
          </w:p>
        </w:tc>
        <w:tc>
          <w:tcPr>
            <w:tcW w:type="dxa" w:w="1704"/>
          </w:tcPr>
          <w:p>
            <w:pPr>
              <w:spacing w:after="0"/>
            </w:pPr>
            <w:r>
              <w:rPr>
                <w:rFonts w:ascii="Arial" w:hAnsi="Arial"/>
                <w:b w:val="0"/>
                <w:sz w:val="12"/>
              </w:rPr>
              <w:t>Transparency mentioned ≠ transparency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transparency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Explainability tools exist but no interpretability or disclosure mechanisms</w:t>
            </w:r>
          </w:p>
        </w:tc>
        <w:tc>
          <w:tcPr>
            <w:tcW w:type="dxa" w:w="1704"/>
          </w:tcPr>
          <w:p>
            <w:pPr>
              <w:spacing w:after="0"/>
            </w:pPr>
            <w:r>
              <w:rPr>
                <w:rFonts w:ascii="Arial" w:hAnsi="Arial"/>
                <w:b w:val="0"/>
                <w:sz w:val="12"/>
              </w:rPr>
              <w:t>Explainability ≠ interpretability or disclosure</w:t>
            </w:r>
          </w:p>
        </w:tc>
        <w:tc>
          <w:tcPr>
            <w:tcW w:type="dxa" w:w="1704"/>
          </w:tcPr>
          <w:p>
            <w:pPr>
              <w:spacing w:after="0"/>
            </w:pPr>
            <w:r>
              <w:rPr>
                <w:rFonts w:ascii="Arial" w:hAnsi="Arial"/>
                <w:b w:val="0"/>
                <w:sz w:val="12"/>
              </w:rPr>
              <w:t>Partial coverage; interpretability and disclosure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transparency</w:t>
            </w:r>
          </w:p>
        </w:tc>
        <w:tc>
          <w:tcPr>
            <w:tcW w:type="dxa" w:w="1704"/>
          </w:tcPr>
          <w:p>
            <w:pPr>
              <w:spacing w:after="0"/>
            </w:pPr>
            <w:r>
              <w:rPr>
                <w:rFonts w:ascii="Arial" w:hAnsi="Arial"/>
                <w:b w:val="0"/>
                <w:sz w:val="12"/>
              </w:rPr>
              <w:t>Product documentation with explainability and interpretability</w:t>
            </w:r>
          </w:p>
        </w:tc>
        <w:tc>
          <w:tcPr>
            <w:tcW w:type="dxa" w:w="1704"/>
          </w:tcPr>
          <w:p>
            <w:pPr>
              <w:spacing w:after="0"/>
            </w:pPr>
            <w:r>
              <w:rPr>
                <w:rFonts w:ascii="Arial" w:hAnsi="Arial"/>
                <w:b w:val="0"/>
                <w:sz w:val="12"/>
              </w:rPr>
              <w:t>Explainability tools, interpretability methods, basic disclosure mechanisms</w:t>
            </w:r>
          </w:p>
        </w:tc>
        <w:tc>
          <w:tcPr>
            <w:tcW w:type="dxa" w:w="1704"/>
          </w:tcPr>
          <w:p>
            <w:pPr>
              <w:spacing w:after="0"/>
            </w:pPr>
            <w:r>
              <w:rPr>
                <w:rFonts w:ascii="Arial" w:hAnsi="Arial"/>
                <w:b w:val="0"/>
                <w:sz w:val="12"/>
              </w:rPr>
              <w:t>Disclosure mechanisms ≠ transparency reports or selective disclosure</w:t>
            </w:r>
          </w:p>
        </w:tc>
        <w:tc>
          <w:tcPr>
            <w:tcW w:type="dxa" w:w="1704"/>
          </w:tcPr>
          <w:p>
            <w:pPr>
              <w:spacing w:after="0"/>
            </w:pPr>
            <w:r>
              <w:rPr>
                <w:rFonts w:ascii="Arial" w:hAnsi="Arial"/>
                <w:b w:val="0"/>
                <w:sz w:val="12"/>
              </w:rPr>
              <w:t>Moderate coverage; reporting and selective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transparency</w:t>
            </w:r>
          </w:p>
        </w:tc>
        <w:tc>
          <w:tcPr>
            <w:tcW w:type="dxa" w:w="1704"/>
          </w:tcPr>
          <w:p>
            <w:pPr>
              <w:spacing w:after="0"/>
            </w:pPr>
            <w:r>
              <w:rPr>
                <w:rFonts w:ascii="Arial" w:hAnsi="Arial"/>
                <w:b w:val="0"/>
                <w:sz w:val="12"/>
              </w:rPr>
              <w:t>Product documentation with explainability, interpretability, and disclosure</w:t>
            </w:r>
          </w:p>
        </w:tc>
        <w:tc>
          <w:tcPr>
            <w:tcW w:type="dxa" w:w="1704"/>
          </w:tcPr>
          <w:p>
            <w:pPr>
              <w:spacing w:after="0"/>
            </w:pPr>
            <w:r>
              <w:rPr>
                <w:rFonts w:ascii="Arial" w:hAnsi="Arial"/>
                <w:b w:val="0"/>
                <w:sz w:val="12"/>
              </w:rPr>
              <w:t>Explainability tools, interpretability methods, disclosure mechanisms, transparency reports</w:t>
            </w:r>
          </w:p>
        </w:tc>
        <w:tc>
          <w:tcPr>
            <w:tcW w:type="dxa" w:w="1704"/>
          </w:tcPr>
          <w:p>
            <w:pPr>
              <w:spacing w:after="0"/>
            </w:pPr>
            <w:r>
              <w:rPr>
                <w:rFonts w:ascii="Arial" w:hAnsi="Arial"/>
                <w:b w:val="0"/>
                <w:sz w:val="12"/>
              </w:rPr>
              <w:t>Transparency reports ≠ selective disclosure or evidence minimization</w:t>
            </w:r>
          </w:p>
        </w:tc>
        <w:tc>
          <w:tcPr>
            <w:tcW w:type="dxa" w:w="1704"/>
          </w:tcPr>
          <w:p>
            <w:pPr>
              <w:spacing w:after="0"/>
            </w:pPr>
            <w:r>
              <w:rPr>
                <w:rFonts w:ascii="Arial" w:hAnsi="Arial"/>
                <w:b w:val="0"/>
                <w:sz w:val="12"/>
              </w:rPr>
              <w:t>Strong coverage; selective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13 transparency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RCCS-06: Human Oversight</w:t>
      </w:r>
    </w:p>
    <w:p>
      <w:pPr>
        <w:spacing w:after="56"/>
      </w:pPr>
      <w:r>
        <w:t>Core question: Does the system provide primitives for human oversight including human-in-the-loop, human-on-the-loop, and human review workflows?</w:t>
      </w:r>
    </w:p>
    <w:p>
      <w:pPr>
        <w:spacing w:after="56"/>
      </w:pPr>
      <w:r>
        <w:t>What counts: Human-in-the-loop workflows, human-on-the-loop monitoring, human review workflows, escalation mechanisms</w:t>
      </w:r>
    </w:p>
    <w:p>
      <w:pPr>
        <w:spacing w:after="56"/>
      </w:pPr>
      <w:r>
        <w:t>What does not count: General approval buttons, human oversight without lifecycle integration, human oversight without accountability mapping</w:t>
      </w:r>
    </w:p>
    <w:p>
      <w:pPr>
        <w:keepNext/>
      </w:pPr>
      <w:r>
        <w:rPr>
          <w:b/>
          <w:sz w:val="16"/>
        </w:rPr>
        <w:t>Table T-E-06: RCCS-06 Human Oversight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 oversight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human-in-the-loop, no human-on-the-loop, no human review</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 oversight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 oversight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 oversight mentioned in marketing docs but no implementation details</w:t>
            </w:r>
          </w:p>
        </w:tc>
        <w:tc>
          <w:tcPr>
            <w:tcW w:type="dxa" w:w="1704"/>
          </w:tcPr>
          <w:p>
            <w:pPr>
              <w:spacing w:after="0"/>
            </w:pPr>
            <w:r>
              <w:rPr>
                <w:rFonts w:ascii="Arial" w:hAnsi="Arial"/>
                <w:b w:val="0"/>
                <w:sz w:val="12"/>
              </w:rPr>
              <w:t>Human oversight mentioned ≠ human oversight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 oversight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Approval button exists but no human-role-to-MAS responsibility mapping or escalation</w:t>
            </w:r>
          </w:p>
        </w:tc>
        <w:tc>
          <w:tcPr>
            <w:tcW w:type="dxa" w:w="1704"/>
          </w:tcPr>
          <w:p>
            <w:pPr>
              <w:spacing w:after="0"/>
            </w:pPr>
            <w:r>
              <w:rPr>
                <w:rFonts w:ascii="Arial" w:hAnsi="Arial"/>
                <w:b w:val="0"/>
                <w:sz w:val="12"/>
              </w:rPr>
              <w:t>Approval button ≠ human-role-to-MAS responsibility mapping</w:t>
            </w:r>
          </w:p>
        </w:tc>
        <w:tc>
          <w:tcPr>
            <w:tcW w:type="dxa" w:w="1704"/>
          </w:tcPr>
          <w:p>
            <w:pPr>
              <w:spacing w:after="0"/>
            </w:pPr>
            <w:r>
              <w:rPr>
                <w:rFonts w:ascii="Arial" w:hAnsi="Arial"/>
                <w:b w:val="0"/>
                <w:sz w:val="12"/>
              </w:rPr>
              <w:t>Partial coverage; responsibility mapping and escalation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 oversight</w:t>
            </w:r>
          </w:p>
        </w:tc>
        <w:tc>
          <w:tcPr>
            <w:tcW w:type="dxa" w:w="1704"/>
          </w:tcPr>
          <w:p>
            <w:pPr>
              <w:spacing w:after="0"/>
            </w:pPr>
            <w:r>
              <w:rPr>
                <w:rFonts w:ascii="Arial" w:hAnsi="Arial"/>
                <w:b w:val="0"/>
                <w:sz w:val="12"/>
              </w:rPr>
              <w:t>Product documentation with human-in-the-loop and human-on-the-loop</w:t>
            </w:r>
          </w:p>
        </w:tc>
        <w:tc>
          <w:tcPr>
            <w:tcW w:type="dxa" w:w="1704"/>
          </w:tcPr>
          <w:p>
            <w:pPr>
              <w:spacing w:after="0"/>
            </w:pPr>
            <w:r>
              <w:rPr>
                <w:rFonts w:ascii="Arial" w:hAnsi="Arial"/>
                <w:b w:val="0"/>
                <w:sz w:val="12"/>
              </w:rPr>
              <w:t>Human-in-the-loop workflows, human-on-the-loop monitoring, basic human review workflows</w:t>
            </w:r>
          </w:p>
        </w:tc>
        <w:tc>
          <w:tcPr>
            <w:tcW w:type="dxa" w:w="1704"/>
          </w:tcPr>
          <w:p>
            <w:pPr>
              <w:spacing w:after="0"/>
            </w:pPr>
            <w:r>
              <w:rPr>
                <w:rFonts w:ascii="Arial" w:hAnsi="Arial"/>
                <w:b w:val="0"/>
                <w:sz w:val="12"/>
              </w:rPr>
              <w:t>Human review ≠ escalation mechanisms or accountability mapping</w:t>
            </w:r>
          </w:p>
        </w:tc>
        <w:tc>
          <w:tcPr>
            <w:tcW w:type="dxa" w:w="1704"/>
          </w:tcPr>
          <w:p>
            <w:pPr>
              <w:spacing w:after="0"/>
            </w:pPr>
            <w:r>
              <w:rPr>
                <w:rFonts w:ascii="Arial" w:hAnsi="Arial"/>
                <w:b w:val="0"/>
                <w:sz w:val="12"/>
              </w:rPr>
              <w:t>Moderate coverage; escalation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 oversight</w:t>
            </w:r>
          </w:p>
        </w:tc>
        <w:tc>
          <w:tcPr>
            <w:tcW w:type="dxa" w:w="1704"/>
          </w:tcPr>
          <w:p>
            <w:pPr>
              <w:spacing w:after="0"/>
            </w:pPr>
            <w:r>
              <w:rPr>
                <w:rFonts w:ascii="Arial" w:hAnsi="Arial"/>
                <w:b w:val="0"/>
                <w:sz w:val="12"/>
              </w:rPr>
              <w:t>Product documentation with human-in-the-loop, human-on-the-loop, and escalation</w:t>
            </w:r>
          </w:p>
        </w:tc>
        <w:tc>
          <w:tcPr>
            <w:tcW w:type="dxa" w:w="1704"/>
          </w:tcPr>
          <w:p>
            <w:pPr>
              <w:spacing w:after="0"/>
            </w:pPr>
            <w:r>
              <w:rPr>
                <w:rFonts w:ascii="Arial" w:hAnsi="Arial"/>
                <w:b w:val="0"/>
                <w:sz w:val="12"/>
              </w:rPr>
              <w:t>Human-in-the-loop workflows, human-on-the-loop monitoring, human review workflows, escalation mechanisms</w:t>
            </w:r>
          </w:p>
        </w:tc>
        <w:tc>
          <w:tcPr>
            <w:tcW w:type="dxa" w:w="1704"/>
          </w:tcPr>
          <w:p>
            <w:pPr>
              <w:spacing w:after="0"/>
            </w:pPr>
            <w:r>
              <w:rPr>
                <w:rFonts w:ascii="Arial" w:hAnsi="Arial"/>
                <w:b w:val="0"/>
                <w:sz w:val="12"/>
              </w:rPr>
              <w:t>Escalation mechanisms ≠ accountability mapping or accepted outcome compliance</w:t>
            </w:r>
          </w:p>
        </w:tc>
        <w:tc>
          <w:tcPr>
            <w:tcW w:type="dxa" w:w="1704"/>
          </w:tcPr>
          <w:p>
            <w:pPr>
              <w:spacing w:after="0"/>
            </w:pPr>
            <w:r>
              <w:rPr>
                <w:rFonts w:ascii="Arial" w:hAnsi="Arial"/>
                <w:b w:val="0"/>
                <w:sz w:val="12"/>
              </w:rPr>
              <w:t>Strong coverage; accountability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RCCS-07: Security</w:t>
      </w:r>
    </w:p>
    <w:p>
      <w:pPr>
        <w:spacing w:after="56"/>
      </w:pPr>
      <w:r>
        <w:t>Core question: Does the system provide primitives for security including access control, authentication, authorization, and security monitoring?</w:t>
      </w:r>
    </w:p>
    <w:p>
      <w:pPr>
        <w:spacing w:after="56"/>
      </w:pPr>
      <w:r>
        <w:t>What counts: Access control, authentication, authorization, security monitoring, security incident response</w:t>
      </w:r>
    </w:p>
    <w:p>
      <w:pPr>
        <w:spacing w:after="56"/>
      </w:pPr>
      <w:r>
        <w:t>What does not count: General application security, security without AI lifecycle integration, security without lifecycle evidence</w:t>
      </w:r>
    </w:p>
    <w:p>
      <w:pPr>
        <w:keepNext/>
      </w:pPr>
      <w:r>
        <w:rPr>
          <w:b/>
          <w:sz w:val="16"/>
        </w:rPr>
        <w:t>Table T-E-07: RCCS-07 Security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security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access control, no authentication, no authorization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security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security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Security mentioned in marketing docs but no implementation details</w:t>
            </w:r>
          </w:p>
        </w:tc>
        <w:tc>
          <w:tcPr>
            <w:tcW w:type="dxa" w:w="1704"/>
          </w:tcPr>
          <w:p>
            <w:pPr>
              <w:spacing w:after="0"/>
            </w:pPr>
            <w:r>
              <w:rPr>
                <w:rFonts w:ascii="Arial" w:hAnsi="Arial"/>
                <w:b w:val="0"/>
                <w:sz w:val="12"/>
              </w:rPr>
              <w:t>Security mentioned ≠ security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security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Access control exists but no authentication or authorization for AI lifecycle</w:t>
            </w:r>
          </w:p>
        </w:tc>
        <w:tc>
          <w:tcPr>
            <w:tcW w:type="dxa" w:w="1704"/>
          </w:tcPr>
          <w:p>
            <w:pPr>
              <w:spacing w:after="0"/>
            </w:pPr>
            <w:r>
              <w:rPr>
                <w:rFonts w:ascii="Arial" w:hAnsi="Arial"/>
                <w:b w:val="0"/>
                <w:sz w:val="12"/>
              </w:rPr>
              <w:t>Access control ≠ authentication or authorization</w:t>
            </w:r>
          </w:p>
        </w:tc>
        <w:tc>
          <w:tcPr>
            <w:tcW w:type="dxa" w:w="1704"/>
          </w:tcPr>
          <w:p>
            <w:pPr>
              <w:spacing w:after="0"/>
            </w:pPr>
            <w:r>
              <w:rPr>
                <w:rFonts w:ascii="Arial" w:hAnsi="Arial"/>
                <w:b w:val="0"/>
                <w:sz w:val="12"/>
              </w:rPr>
              <w:t>Partial coverage; authentication and authorization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security</w:t>
            </w:r>
          </w:p>
        </w:tc>
        <w:tc>
          <w:tcPr>
            <w:tcW w:type="dxa" w:w="1704"/>
          </w:tcPr>
          <w:p>
            <w:pPr>
              <w:spacing w:after="0"/>
            </w:pPr>
            <w:r>
              <w:rPr>
                <w:rFonts w:ascii="Arial" w:hAnsi="Arial"/>
                <w:b w:val="0"/>
                <w:sz w:val="12"/>
              </w:rPr>
              <w:t>Product documentation with access control, authentication, and authorization</w:t>
            </w:r>
          </w:p>
        </w:tc>
        <w:tc>
          <w:tcPr>
            <w:tcW w:type="dxa" w:w="1704"/>
          </w:tcPr>
          <w:p>
            <w:pPr>
              <w:spacing w:after="0"/>
            </w:pPr>
            <w:r>
              <w:rPr>
                <w:rFonts w:ascii="Arial" w:hAnsi="Arial"/>
                <w:b w:val="0"/>
                <w:sz w:val="12"/>
              </w:rPr>
              <w:t>Access control, authentication, authorization, basic security monitoring</w:t>
            </w:r>
          </w:p>
        </w:tc>
        <w:tc>
          <w:tcPr>
            <w:tcW w:type="dxa" w:w="1704"/>
          </w:tcPr>
          <w:p>
            <w:pPr>
              <w:spacing w:after="0"/>
            </w:pPr>
            <w:r>
              <w:rPr>
                <w:rFonts w:ascii="Arial" w:hAnsi="Arial"/>
                <w:b w:val="0"/>
                <w:sz w:val="12"/>
              </w:rPr>
              <w:t>Security monitoring ≠ security incident response or lifecycle evidence</w:t>
            </w:r>
          </w:p>
        </w:tc>
        <w:tc>
          <w:tcPr>
            <w:tcW w:type="dxa" w:w="1704"/>
          </w:tcPr>
          <w:p>
            <w:pPr>
              <w:spacing w:after="0"/>
            </w:pPr>
            <w:r>
              <w:rPr>
                <w:rFonts w:ascii="Arial" w:hAnsi="Arial"/>
                <w:b w:val="0"/>
                <w:sz w:val="12"/>
              </w:rPr>
              <w:t>Moderate coverage; incident response and lifecycle evidence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security</w:t>
            </w:r>
          </w:p>
        </w:tc>
        <w:tc>
          <w:tcPr>
            <w:tcW w:type="dxa" w:w="1704"/>
          </w:tcPr>
          <w:p>
            <w:pPr>
              <w:spacing w:after="0"/>
            </w:pPr>
            <w:r>
              <w:rPr>
                <w:rFonts w:ascii="Arial" w:hAnsi="Arial"/>
                <w:b w:val="0"/>
                <w:sz w:val="12"/>
              </w:rPr>
              <w:t>Product documentation with access control, authentication, authorization, and monitoring</w:t>
            </w:r>
          </w:p>
        </w:tc>
        <w:tc>
          <w:tcPr>
            <w:tcW w:type="dxa" w:w="1704"/>
          </w:tcPr>
          <w:p>
            <w:pPr>
              <w:spacing w:after="0"/>
            </w:pPr>
            <w:r>
              <w:rPr>
                <w:rFonts w:ascii="Arial" w:hAnsi="Arial"/>
                <w:b w:val="0"/>
                <w:sz w:val="12"/>
              </w:rPr>
              <w:t>Access control, authentication, authorization, security monitoring, security incident response</w:t>
            </w:r>
          </w:p>
        </w:tc>
        <w:tc>
          <w:tcPr>
            <w:tcW w:type="dxa" w:w="1704"/>
          </w:tcPr>
          <w:p>
            <w:pPr>
              <w:spacing w:after="0"/>
            </w:pPr>
            <w:r>
              <w:rPr>
                <w:rFonts w:ascii="Arial" w:hAnsi="Arial"/>
                <w:b w:val="0"/>
                <w:sz w:val="12"/>
              </w:rPr>
              <w:t>Security incident response ≠ lifecycle evidence or delegated authority boundary</w:t>
            </w:r>
          </w:p>
        </w:tc>
        <w:tc>
          <w:tcPr>
            <w:tcW w:type="dxa" w:w="1704"/>
          </w:tcPr>
          <w:p>
            <w:pPr>
              <w:spacing w:after="0"/>
            </w:pPr>
            <w:r>
              <w:rPr>
                <w:rFonts w:ascii="Arial" w:hAnsi="Arial"/>
                <w:b w:val="0"/>
                <w:sz w:val="12"/>
              </w:rPr>
              <w:t>Strong coverage; lifecycle evidence and authority boundary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Baseline source: NIST AI RMF security requirements; implementation evidence: audit report, operational artifact, protocol evidence, or validated workflow record</w:t>
            </w:r>
          </w:p>
        </w:tc>
        <w:tc>
          <w:tcPr>
            <w:tcW w:type="dxa" w:w="1704"/>
          </w:tcPr>
          <w:p>
            <w:pPr>
              <w:spacing w:after="0"/>
            </w:pPr>
            <w:r>
              <w:rPr>
                <w:rFonts w:ascii="Arial" w:hAnsi="Arial"/>
                <w:b w:val="0"/>
                <w:sz w:val="12"/>
              </w:rPr>
              <w:t>Legal or standards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RCCS-08: Accountability</w:t>
      </w:r>
    </w:p>
    <w:p>
      <w:pPr>
        <w:spacing w:after="56"/>
      </w:pPr>
      <w:r>
        <w:t>Core question: Does the system provide primitives for accountability including role assignment, responsibility mapping, and accountability tracking?</w:t>
      </w:r>
    </w:p>
    <w:p>
      <w:pPr>
        <w:spacing w:after="56"/>
      </w:pPr>
      <w:r>
        <w:t>What counts: Role assignment, responsibility mapping, accountability tracking, accountability escalation</w:t>
      </w:r>
    </w:p>
    <w:p>
      <w:pPr>
        <w:spacing w:after="56"/>
      </w:pPr>
      <w:r>
        <w:t>What does not count: General user management, accountability without lifecycle integration, accountability without accepted outcome compliance</w:t>
      </w:r>
    </w:p>
    <w:p>
      <w:pPr>
        <w:keepNext/>
      </w:pPr>
      <w:r>
        <w:rPr>
          <w:b/>
          <w:sz w:val="16"/>
        </w:rPr>
        <w:t>Table T-E-08: RCCS-08 Accountability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accountability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role assignment, no responsibility mapping, no accountability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accountability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accountability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Accountability mentioned in marketing docs but no implementation details</w:t>
            </w:r>
          </w:p>
        </w:tc>
        <w:tc>
          <w:tcPr>
            <w:tcW w:type="dxa" w:w="1704"/>
          </w:tcPr>
          <w:p>
            <w:pPr>
              <w:spacing w:after="0"/>
            </w:pPr>
            <w:r>
              <w:rPr>
                <w:rFonts w:ascii="Arial" w:hAnsi="Arial"/>
                <w:b w:val="0"/>
                <w:sz w:val="12"/>
              </w:rPr>
              <w:t>Accountability mentioned ≠ accountability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accountability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Role assignment exists but no responsibility mapping or accountability tracking</w:t>
            </w:r>
          </w:p>
        </w:tc>
        <w:tc>
          <w:tcPr>
            <w:tcW w:type="dxa" w:w="1704"/>
          </w:tcPr>
          <w:p>
            <w:pPr>
              <w:spacing w:after="0"/>
            </w:pPr>
            <w:r>
              <w:rPr>
                <w:rFonts w:ascii="Arial" w:hAnsi="Arial"/>
                <w:b w:val="0"/>
                <w:sz w:val="12"/>
              </w:rPr>
              <w:t>Role assignment ≠ responsibility mapping or accountability tracking</w:t>
            </w:r>
          </w:p>
        </w:tc>
        <w:tc>
          <w:tcPr>
            <w:tcW w:type="dxa" w:w="1704"/>
          </w:tcPr>
          <w:p>
            <w:pPr>
              <w:spacing w:after="0"/>
            </w:pPr>
            <w:r>
              <w:rPr>
                <w:rFonts w:ascii="Arial" w:hAnsi="Arial"/>
                <w:b w:val="0"/>
                <w:sz w:val="12"/>
              </w:rPr>
              <w:t>Partial coverage; responsibility mapping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accountability</w:t>
            </w:r>
          </w:p>
        </w:tc>
        <w:tc>
          <w:tcPr>
            <w:tcW w:type="dxa" w:w="1704"/>
          </w:tcPr>
          <w:p>
            <w:pPr>
              <w:spacing w:after="0"/>
            </w:pPr>
            <w:r>
              <w:rPr>
                <w:rFonts w:ascii="Arial" w:hAnsi="Arial"/>
                <w:b w:val="0"/>
                <w:sz w:val="12"/>
              </w:rPr>
              <w:t>Product documentation with role assignment and responsibility mapping</w:t>
            </w:r>
          </w:p>
        </w:tc>
        <w:tc>
          <w:tcPr>
            <w:tcW w:type="dxa" w:w="1704"/>
          </w:tcPr>
          <w:p>
            <w:pPr>
              <w:spacing w:after="0"/>
            </w:pPr>
            <w:r>
              <w:rPr>
                <w:rFonts w:ascii="Arial" w:hAnsi="Arial"/>
                <w:b w:val="0"/>
                <w:sz w:val="12"/>
              </w:rPr>
              <w:t>Role assignment, responsibility mapping, basic accountability tracking</w:t>
            </w:r>
          </w:p>
        </w:tc>
        <w:tc>
          <w:tcPr>
            <w:tcW w:type="dxa" w:w="1704"/>
          </w:tcPr>
          <w:p>
            <w:pPr>
              <w:spacing w:after="0"/>
            </w:pPr>
            <w:r>
              <w:rPr>
                <w:rFonts w:ascii="Arial" w:hAnsi="Arial"/>
                <w:b w:val="0"/>
                <w:sz w:val="12"/>
              </w:rPr>
              <w:t>Accountability tracking ≠ accountability escalation or accepted outcome compliance</w:t>
            </w:r>
          </w:p>
        </w:tc>
        <w:tc>
          <w:tcPr>
            <w:tcW w:type="dxa" w:w="1704"/>
          </w:tcPr>
          <w:p>
            <w:pPr>
              <w:spacing w:after="0"/>
            </w:pPr>
            <w:r>
              <w:rPr>
                <w:rFonts w:ascii="Arial" w:hAnsi="Arial"/>
                <w:b w:val="0"/>
                <w:sz w:val="12"/>
              </w:rPr>
              <w:t>Moderate coverage; escalation and accepted outcome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accountability</w:t>
            </w:r>
          </w:p>
        </w:tc>
        <w:tc>
          <w:tcPr>
            <w:tcW w:type="dxa" w:w="1704"/>
          </w:tcPr>
          <w:p>
            <w:pPr>
              <w:spacing w:after="0"/>
            </w:pPr>
            <w:r>
              <w:rPr>
                <w:rFonts w:ascii="Arial" w:hAnsi="Arial"/>
                <w:b w:val="0"/>
                <w:sz w:val="12"/>
              </w:rPr>
              <w:t>Product documentation with role assignment, responsibility mapping, and tracking</w:t>
            </w:r>
          </w:p>
        </w:tc>
        <w:tc>
          <w:tcPr>
            <w:tcW w:type="dxa" w:w="1704"/>
          </w:tcPr>
          <w:p>
            <w:pPr>
              <w:spacing w:after="0"/>
            </w:pPr>
            <w:r>
              <w:rPr>
                <w:rFonts w:ascii="Arial" w:hAnsi="Arial"/>
                <w:b w:val="0"/>
                <w:sz w:val="12"/>
              </w:rPr>
              <w:t>Role assignment, responsibility mapping, accountability tracking, accountability escalation</w:t>
            </w:r>
          </w:p>
        </w:tc>
        <w:tc>
          <w:tcPr>
            <w:tcW w:type="dxa" w:w="1704"/>
          </w:tcPr>
          <w:p>
            <w:pPr>
              <w:spacing w:after="0"/>
            </w:pPr>
            <w:r>
              <w:rPr>
                <w:rFonts w:ascii="Arial" w:hAnsi="Arial"/>
                <w:b w:val="0"/>
                <w:sz w:val="12"/>
              </w:rPr>
              <w:t>Accountability escalation ≠ accepted outcome compliance or human-role-to-MAS mapping</w:t>
            </w:r>
          </w:p>
        </w:tc>
        <w:tc>
          <w:tcPr>
            <w:tcW w:type="dxa" w:w="1704"/>
          </w:tcPr>
          <w:p>
            <w:pPr>
              <w:spacing w:after="0"/>
            </w:pPr>
            <w:r>
              <w:rPr>
                <w:rFonts w:ascii="Arial" w:hAnsi="Arial"/>
                <w:b w:val="0"/>
                <w:sz w:val="12"/>
              </w:rPr>
              <w:t>Strong coverage; accepted outcome and human-role-to-MAS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RCCS-09: Contestability</w:t>
      </w:r>
    </w:p>
    <w:p>
      <w:pPr>
        <w:spacing w:after="56"/>
      </w:pPr>
      <w:r>
        <w:t>Core question: Does the system provide primitives for contestability including dispute resolution, appeal mechanisms, and remediation workflows?</w:t>
      </w:r>
    </w:p>
    <w:p>
      <w:pPr>
        <w:spacing w:after="56"/>
      </w:pPr>
      <w:r>
        <w:t>What counts: Dispute resolution workflows, appeal mechanisms, remediation workflows, contestability tracking</w:t>
      </w:r>
    </w:p>
    <w:p>
      <w:pPr>
        <w:spacing w:after="56"/>
      </w:pPr>
      <w:r>
        <w:t>What does not count: General customer support, contestability without lifecycle integration, contestability without remediation closure</w:t>
      </w:r>
    </w:p>
    <w:p>
      <w:pPr>
        <w:keepNext/>
      </w:pPr>
      <w:r>
        <w:rPr>
          <w:b/>
          <w:sz w:val="16"/>
        </w:rPr>
        <w:t>Table T-E-09: RCCS-09 Contestability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contestability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dispute resolution, no appeal mechanisms, no remediation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contestability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contestability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Contestability mentioned in marketing docs but no implementation details</w:t>
            </w:r>
          </w:p>
        </w:tc>
        <w:tc>
          <w:tcPr>
            <w:tcW w:type="dxa" w:w="1704"/>
          </w:tcPr>
          <w:p>
            <w:pPr>
              <w:spacing w:after="0"/>
            </w:pPr>
            <w:r>
              <w:rPr>
                <w:rFonts w:ascii="Arial" w:hAnsi="Arial"/>
                <w:b w:val="0"/>
                <w:sz w:val="12"/>
              </w:rPr>
              <w:t>Contestability mentioned ≠ contestability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contestability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Dispute resolution workflow exists but no appeal mechanisms or remediation workflows</w:t>
            </w:r>
          </w:p>
        </w:tc>
        <w:tc>
          <w:tcPr>
            <w:tcW w:type="dxa" w:w="1704"/>
          </w:tcPr>
          <w:p>
            <w:pPr>
              <w:spacing w:after="0"/>
            </w:pPr>
            <w:r>
              <w:rPr>
                <w:rFonts w:ascii="Arial" w:hAnsi="Arial"/>
                <w:b w:val="0"/>
                <w:sz w:val="12"/>
              </w:rPr>
              <w:t>Dispute resolution ≠ appeal mechanisms or remediation workflows</w:t>
            </w:r>
          </w:p>
        </w:tc>
        <w:tc>
          <w:tcPr>
            <w:tcW w:type="dxa" w:w="1704"/>
          </w:tcPr>
          <w:p>
            <w:pPr>
              <w:spacing w:after="0"/>
            </w:pPr>
            <w:r>
              <w:rPr>
                <w:rFonts w:ascii="Arial" w:hAnsi="Arial"/>
                <w:b w:val="0"/>
                <w:sz w:val="12"/>
              </w:rPr>
              <w:t>Partial coverage; appeal and remediation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contestability</w:t>
            </w:r>
          </w:p>
        </w:tc>
        <w:tc>
          <w:tcPr>
            <w:tcW w:type="dxa" w:w="1704"/>
          </w:tcPr>
          <w:p>
            <w:pPr>
              <w:spacing w:after="0"/>
            </w:pPr>
            <w:r>
              <w:rPr>
                <w:rFonts w:ascii="Arial" w:hAnsi="Arial"/>
                <w:b w:val="0"/>
                <w:sz w:val="12"/>
              </w:rPr>
              <w:t>Product documentation with dispute resolution and appeal mechanisms</w:t>
            </w:r>
          </w:p>
        </w:tc>
        <w:tc>
          <w:tcPr>
            <w:tcW w:type="dxa" w:w="1704"/>
          </w:tcPr>
          <w:p>
            <w:pPr>
              <w:spacing w:after="0"/>
            </w:pPr>
            <w:r>
              <w:rPr>
                <w:rFonts w:ascii="Arial" w:hAnsi="Arial"/>
                <w:b w:val="0"/>
                <w:sz w:val="12"/>
              </w:rPr>
              <w:t>Dispute resolution workflows, appeal mechanisms, basic remediation workflows</w:t>
            </w:r>
          </w:p>
        </w:tc>
        <w:tc>
          <w:tcPr>
            <w:tcW w:type="dxa" w:w="1704"/>
          </w:tcPr>
          <w:p>
            <w:pPr>
              <w:spacing w:after="0"/>
            </w:pPr>
            <w:r>
              <w:rPr>
                <w:rFonts w:ascii="Arial" w:hAnsi="Arial"/>
                <w:b w:val="0"/>
                <w:sz w:val="12"/>
              </w:rPr>
              <w:t>Remediation workflows ≠ remediation closure or contestability tracking</w:t>
            </w:r>
          </w:p>
        </w:tc>
        <w:tc>
          <w:tcPr>
            <w:tcW w:type="dxa" w:w="1704"/>
          </w:tcPr>
          <w:p>
            <w:pPr>
              <w:spacing w:after="0"/>
            </w:pPr>
            <w:r>
              <w:rPr>
                <w:rFonts w:ascii="Arial" w:hAnsi="Arial"/>
                <w:b w:val="0"/>
                <w:sz w:val="12"/>
              </w:rPr>
              <w:t>Moderate coverage; closure and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contestability</w:t>
            </w:r>
          </w:p>
        </w:tc>
        <w:tc>
          <w:tcPr>
            <w:tcW w:type="dxa" w:w="1704"/>
          </w:tcPr>
          <w:p>
            <w:pPr>
              <w:spacing w:after="0"/>
            </w:pPr>
            <w:r>
              <w:rPr>
                <w:rFonts w:ascii="Arial" w:hAnsi="Arial"/>
                <w:b w:val="0"/>
                <w:sz w:val="12"/>
              </w:rPr>
              <w:t>Product documentation with dispute resolution, appeal, and remediation</w:t>
            </w:r>
          </w:p>
        </w:tc>
        <w:tc>
          <w:tcPr>
            <w:tcW w:type="dxa" w:w="1704"/>
          </w:tcPr>
          <w:p>
            <w:pPr>
              <w:spacing w:after="0"/>
            </w:pPr>
            <w:r>
              <w:rPr>
                <w:rFonts w:ascii="Arial" w:hAnsi="Arial"/>
                <w:b w:val="0"/>
                <w:sz w:val="12"/>
              </w:rPr>
              <w:t>Dispute resolution workflows, appeal mechanisms, remediation workflows, contestability tracking</w:t>
            </w:r>
          </w:p>
        </w:tc>
        <w:tc>
          <w:tcPr>
            <w:tcW w:type="dxa" w:w="1704"/>
          </w:tcPr>
          <w:p>
            <w:pPr>
              <w:spacing w:after="0"/>
            </w:pPr>
            <w:r>
              <w:rPr>
                <w:rFonts w:ascii="Arial" w:hAnsi="Arial"/>
                <w:b w:val="0"/>
                <w:sz w:val="12"/>
              </w:rPr>
              <w:t>Contestability tracking ≠ remediation closure or incident/dispute/remediation closure</w:t>
            </w:r>
          </w:p>
        </w:tc>
        <w:tc>
          <w:tcPr>
            <w:tcW w:type="dxa" w:w="1704"/>
          </w:tcPr>
          <w:p>
            <w:pPr>
              <w:spacing w:after="0"/>
            </w:pPr>
            <w:r>
              <w:rPr>
                <w:rFonts w:ascii="Arial" w:hAnsi="Arial"/>
                <w:b w:val="0"/>
                <w:sz w:val="12"/>
              </w:rPr>
              <w:t>Strong coverage; closure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22 right to contest automated decision-making;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RCCS-10: Monitoring</w:t>
      </w:r>
    </w:p>
    <w:p>
      <w:pPr>
        <w:spacing w:after="56"/>
      </w:pPr>
      <w:r>
        <w:t>Core question: Does the system provide primitives for monitoring including performance monitoring, drift detection, and continuous improvement?</w:t>
      </w:r>
    </w:p>
    <w:p>
      <w:pPr>
        <w:spacing w:after="56"/>
      </w:pPr>
      <w:r>
        <w:t>What counts: Performance monitoring, drift detection, continuous improvement workflows, monitoring dashboards</w:t>
      </w:r>
    </w:p>
    <w:p>
      <w:pPr>
        <w:spacing w:after="56"/>
      </w:pPr>
      <w:r>
        <w:t>What does not count: General application monitoring, monitoring without AI lifecycle integration, monitoring without drift detection</w:t>
      </w:r>
    </w:p>
    <w:p>
      <w:pPr>
        <w:keepNext/>
      </w:pPr>
      <w:r>
        <w:rPr>
          <w:b/>
          <w:sz w:val="16"/>
        </w:rPr>
        <w:t>Table T-E-10: RCCS-10 Monitoring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monitoring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performance monitoring, no drift detection, no continuous improvement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monitoring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monitoring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Monitoring mentioned in marketing docs but no implementation details</w:t>
            </w:r>
          </w:p>
        </w:tc>
        <w:tc>
          <w:tcPr>
            <w:tcW w:type="dxa" w:w="1704"/>
          </w:tcPr>
          <w:p>
            <w:pPr>
              <w:spacing w:after="0"/>
            </w:pPr>
            <w:r>
              <w:rPr>
                <w:rFonts w:ascii="Arial" w:hAnsi="Arial"/>
                <w:b w:val="0"/>
                <w:sz w:val="12"/>
              </w:rPr>
              <w:t>Monitoring mentioned ≠ monitoring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monitoring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Performance monitoring exists but no drift detection or continuous improvement</w:t>
            </w:r>
          </w:p>
        </w:tc>
        <w:tc>
          <w:tcPr>
            <w:tcW w:type="dxa" w:w="1704"/>
          </w:tcPr>
          <w:p>
            <w:pPr>
              <w:spacing w:after="0"/>
            </w:pPr>
            <w:r>
              <w:rPr>
                <w:rFonts w:ascii="Arial" w:hAnsi="Arial"/>
                <w:b w:val="0"/>
                <w:sz w:val="12"/>
              </w:rPr>
              <w:t>Performance monitoring ≠ drift detection or continuous improvement</w:t>
            </w:r>
          </w:p>
        </w:tc>
        <w:tc>
          <w:tcPr>
            <w:tcW w:type="dxa" w:w="1704"/>
          </w:tcPr>
          <w:p>
            <w:pPr>
              <w:spacing w:after="0"/>
            </w:pPr>
            <w:r>
              <w:rPr>
                <w:rFonts w:ascii="Arial" w:hAnsi="Arial"/>
                <w:b w:val="0"/>
                <w:sz w:val="12"/>
              </w:rPr>
              <w:t>Partial coverage; drift detection and continuous improvement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monitoring</w:t>
            </w:r>
          </w:p>
        </w:tc>
        <w:tc>
          <w:tcPr>
            <w:tcW w:type="dxa" w:w="1704"/>
          </w:tcPr>
          <w:p>
            <w:pPr>
              <w:spacing w:after="0"/>
            </w:pPr>
            <w:r>
              <w:rPr>
                <w:rFonts w:ascii="Arial" w:hAnsi="Arial"/>
                <w:b w:val="0"/>
                <w:sz w:val="12"/>
              </w:rPr>
              <w:t>Product documentation with performance monitoring and drift detection</w:t>
            </w:r>
          </w:p>
        </w:tc>
        <w:tc>
          <w:tcPr>
            <w:tcW w:type="dxa" w:w="1704"/>
          </w:tcPr>
          <w:p>
            <w:pPr>
              <w:spacing w:after="0"/>
            </w:pPr>
            <w:r>
              <w:rPr>
                <w:rFonts w:ascii="Arial" w:hAnsi="Arial"/>
                <w:b w:val="0"/>
                <w:sz w:val="12"/>
              </w:rPr>
              <w:t>Performance monitoring, drift detection, basic continuous improvement workflows</w:t>
            </w:r>
          </w:p>
        </w:tc>
        <w:tc>
          <w:tcPr>
            <w:tcW w:type="dxa" w:w="1704"/>
          </w:tcPr>
          <w:p>
            <w:pPr>
              <w:spacing w:after="0"/>
            </w:pPr>
            <w:r>
              <w:rPr>
                <w:rFonts w:ascii="Arial" w:hAnsi="Arial"/>
                <w:b w:val="0"/>
                <w:sz w:val="12"/>
              </w:rPr>
              <w:t>Continuous improvement ≠ monitoring dashboards or authority drift detection</w:t>
            </w:r>
          </w:p>
        </w:tc>
        <w:tc>
          <w:tcPr>
            <w:tcW w:type="dxa" w:w="1704"/>
          </w:tcPr>
          <w:p>
            <w:pPr>
              <w:spacing w:after="0"/>
            </w:pPr>
            <w:r>
              <w:rPr>
                <w:rFonts w:ascii="Arial" w:hAnsi="Arial"/>
                <w:b w:val="0"/>
                <w:sz w:val="12"/>
              </w:rPr>
              <w:t>Moderate coverage; dashboards and authority drift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monitoring</w:t>
            </w:r>
          </w:p>
        </w:tc>
        <w:tc>
          <w:tcPr>
            <w:tcW w:type="dxa" w:w="1704"/>
          </w:tcPr>
          <w:p>
            <w:pPr>
              <w:spacing w:after="0"/>
            </w:pPr>
            <w:r>
              <w:rPr>
                <w:rFonts w:ascii="Arial" w:hAnsi="Arial"/>
                <w:b w:val="0"/>
                <w:sz w:val="12"/>
              </w:rPr>
              <w:t>Product documentation with performance monitoring, drift detection, and continuous improvement</w:t>
            </w:r>
          </w:p>
        </w:tc>
        <w:tc>
          <w:tcPr>
            <w:tcW w:type="dxa" w:w="1704"/>
          </w:tcPr>
          <w:p>
            <w:pPr>
              <w:spacing w:after="0"/>
            </w:pPr>
            <w:r>
              <w:rPr>
                <w:rFonts w:ascii="Arial" w:hAnsi="Arial"/>
                <w:b w:val="0"/>
                <w:sz w:val="12"/>
              </w:rPr>
              <w:t>Performance monitoring, drift detection, continuous improvement workflows, monitoring dashboards</w:t>
            </w:r>
          </w:p>
        </w:tc>
        <w:tc>
          <w:tcPr>
            <w:tcW w:type="dxa" w:w="1704"/>
          </w:tcPr>
          <w:p>
            <w:pPr>
              <w:spacing w:after="0"/>
            </w:pPr>
            <w:r>
              <w:rPr>
                <w:rFonts w:ascii="Arial" w:hAnsi="Arial"/>
                <w:b w:val="0"/>
                <w:sz w:val="12"/>
              </w:rPr>
              <w:t>Monitoring dashboards ≠ authority drift detection or lifecycle drift detection</w:t>
            </w:r>
          </w:p>
        </w:tc>
        <w:tc>
          <w:tcPr>
            <w:tcW w:type="dxa" w:w="1704"/>
          </w:tcPr>
          <w:p>
            <w:pPr>
              <w:spacing w:after="0"/>
            </w:pPr>
            <w:r>
              <w:rPr>
                <w:rFonts w:ascii="Arial" w:hAnsi="Arial"/>
                <w:b w:val="0"/>
                <w:sz w:val="12"/>
              </w:rPr>
              <w:t>Strong coverage; authority drift and lifecycle drift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2"/>
      </w:pPr>
      <w:r>
        <w:t>E.3 RCCS-M Adjustment Matrix</w:t>
      </w:r>
    </w:p>
    <w:p>
      <w:pPr>
        <w:spacing w:after="56"/>
      </w:pPr>
      <w:r>
        <w:t>RCCS-M uses the same ten RCCS dimensions as RCCS-T, but each dimension is tested for lifecycle responsibility object expression. Table T-E-11 is the reusable adjustment matrix for scoring RCCS-M. It aligns with Table T-07-01A in Chapter 7 and provides the practical evidence tests evaluators should apply.</w:t>
      </w:r>
    </w:p>
    <w:p>
      <w:pPr>
        <w:keepNext/>
      </w:pPr>
      <w:r>
        <w:rPr>
          <w:b/>
          <w:sz w:val="16"/>
        </w:rPr>
        <w:t>Table T-E-11: RCCS-M Adjustment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RCCS-T Dimension</w:t>
            </w:r>
          </w:p>
        </w:tc>
        <w:tc>
          <w:tcPr>
            <w:tcW w:type="dxa" w:w="2045"/>
          </w:tcPr>
          <w:p>
            <w:pPr>
              <w:spacing w:after="0"/>
            </w:pPr>
            <w:r>
              <w:rPr>
                <w:rFonts w:ascii="Arial" w:hAnsi="Arial"/>
                <w:b/>
                <w:sz w:val="14"/>
              </w:rPr>
              <w:t>RCCS-M Adjustment Question</w:t>
            </w:r>
          </w:p>
        </w:tc>
        <w:tc>
          <w:tcPr>
            <w:tcW w:type="dxa" w:w="2045"/>
          </w:tcPr>
          <w:p>
            <w:pPr>
              <w:spacing w:after="0"/>
            </w:pPr>
            <w:r>
              <w:rPr>
                <w:rFonts w:ascii="Arial" w:hAnsi="Arial"/>
                <w:b/>
                <w:sz w:val="14"/>
              </w:rPr>
              <w:t>Related MROs</w:t>
            </w:r>
          </w:p>
        </w:tc>
        <w:tc>
          <w:tcPr>
            <w:tcW w:type="dxa" w:w="2045"/>
          </w:tcPr>
          <w:p>
            <w:pPr>
              <w:spacing w:after="0"/>
            </w:pPr>
            <w:r>
              <w:rPr>
                <w:rFonts w:ascii="Arial" w:hAnsi="Arial"/>
                <w:b/>
                <w:sz w:val="14"/>
              </w:rPr>
              <w:t>Required MRO Evidence</w:t>
            </w:r>
          </w:p>
        </w:tc>
        <w:tc>
          <w:tcPr>
            <w:tcW w:type="dxa" w:w="2045"/>
          </w:tcPr>
          <w:p>
            <w:pPr>
              <w:spacing w:after="0"/>
            </w:pPr>
            <w:r>
              <w:rPr>
                <w:rFonts w:ascii="Arial" w:hAnsi="Arial"/>
                <w:b/>
                <w:sz w:val="14"/>
              </w:rPr>
              <w:t>Negative Control</w:t>
            </w:r>
          </w:p>
        </w:tc>
      </w:tr>
      <w:tr>
        <w:tc>
          <w:tcPr>
            <w:tcW w:type="dxa" w:w="2045"/>
          </w:tcPr>
          <w:p>
            <w:pPr>
              <w:spacing w:after="0"/>
            </w:pPr>
            <w:r>
              <w:rPr>
                <w:rFonts w:ascii="Arial" w:hAnsi="Arial"/>
                <w:b w:val="0"/>
                <w:sz w:val="14"/>
              </w:rPr>
              <w:t>RCCS-01 Risk Management</w:t>
            </w:r>
          </w:p>
        </w:tc>
        <w:tc>
          <w:tcPr>
            <w:tcW w:type="dxa" w:w="2045"/>
          </w:tcPr>
          <w:p>
            <w:pPr>
              <w:spacing w:after="0"/>
            </w:pPr>
            <w:r>
              <w:rPr>
                <w:rFonts w:ascii="Arial" w:hAnsi="Arial"/>
                <w:b w:val="0"/>
                <w:sz w:val="14"/>
              </w:rPr>
              <w:t>Are risks linked to lifecycle authority, evidence, mitigation, monitoring, and incident/dispute/remediation closure objects?</w:t>
            </w:r>
          </w:p>
        </w:tc>
        <w:tc>
          <w:tcPr>
            <w:tcW w:type="dxa" w:w="2045"/>
          </w:tcPr>
          <w:p>
            <w:pPr>
              <w:spacing w:after="0"/>
            </w:pPr>
            <w:r>
              <w:rPr>
                <w:rFonts w:ascii="Arial" w:hAnsi="Arial"/>
                <w:b w:val="0"/>
                <w:sz w:val="14"/>
              </w:rPr>
              <w:t>MRO-02, MRO-07, MRO-08, MRO-16</w:t>
            </w:r>
          </w:p>
        </w:tc>
        <w:tc>
          <w:tcPr>
            <w:tcW w:type="dxa" w:w="2045"/>
          </w:tcPr>
          <w:p>
            <w:pPr>
              <w:spacing w:after="0"/>
            </w:pPr>
            <w:r>
              <w:rPr>
                <w:rFonts w:ascii="Arial" w:hAnsi="Arial"/>
                <w:b w:val="0"/>
                <w:sz w:val="14"/>
              </w:rPr>
              <w:t>Risk object, authority boundary, mitigation record, evidence pointer, monitoring/closure record</w:t>
            </w:r>
          </w:p>
        </w:tc>
        <w:tc>
          <w:tcPr>
            <w:tcW w:type="dxa" w:w="2045"/>
          </w:tcPr>
          <w:p>
            <w:pPr>
              <w:spacing w:after="0"/>
            </w:pPr>
            <w:r>
              <w:rPr>
                <w:rFonts w:ascii="Arial" w:hAnsi="Arial"/>
                <w:b w:val="0"/>
                <w:sz w:val="14"/>
              </w:rPr>
              <w:t>Risk register or dashboard without lifecycle linkage</w:t>
            </w:r>
          </w:p>
        </w:tc>
      </w:tr>
      <w:tr>
        <w:tc>
          <w:tcPr>
            <w:tcW w:type="dxa" w:w="2045"/>
          </w:tcPr>
          <w:p>
            <w:pPr>
              <w:spacing w:after="0"/>
            </w:pPr>
            <w:r>
              <w:rPr>
                <w:rFonts w:ascii="Arial" w:hAnsi="Arial"/>
                <w:b w:val="0"/>
                <w:sz w:val="14"/>
              </w:rPr>
              <w:t>RCCS-02 Data Governance</w:t>
            </w:r>
          </w:p>
        </w:tc>
        <w:tc>
          <w:tcPr>
            <w:tcW w:type="dxa" w:w="2045"/>
          </w:tcPr>
          <w:p>
            <w:pPr>
              <w:spacing w:after="0"/>
            </w:pPr>
            <w:r>
              <w:rPr>
                <w:rFonts w:ascii="Arial" w:hAnsi="Arial"/>
                <w:b w:val="0"/>
                <w:sz w:val="14"/>
              </w:rPr>
              <w:t>Are data flows mapped across agents, tools, memory, evidence stores, privacy boundaries, reuse contexts, and processor/subprocessor chains?</w:t>
            </w:r>
          </w:p>
        </w:tc>
        <w:tc>
          <w:tcPr>
            <w:tcW w:type="dxa" w:w="2045"/>
          </w:tcPr>
          <w:p>
            <w:pPr>
              <w:spacing w:after="0"/>
            </w:pPr>
            <w:r>
              <w:rPr>
                <w:rFonts w:ascii="Arial" w:hAnsi="Arial"/>
                <w:b w:val="0"/>
                <w:sz w:val="14"/>
              </w:rPr>
              <w:t>MRO-08, MRO-10, MRO-12, MRO-13, MRO-14</w:t>
            </w:r>
          </w:p>
        </w:tc>
        <w:tc>
          <w:tcPr>
            <w:tcW w:type="dxa" w:w="2045"/>
          </w:tcPr>
          <w:p>
            <w:pPr>
              <w:spacing w:after="0"/>
            </w:pPr>
            <w:r>
              <w:rPr>
                <w:rFonts w:ascii="Arial" w:hAnsi="Arial"/>
                <w:b w:val="0"/>
                <w:sz w:val="14"/>
              </w:rPr>
              <w:t>Lifecycle data-flow map, selective disclosure profile, retention/erasure policy, processor chain record</w:t>
            </w:r>
          </w:p>
        </w:tc>
        <w:tc>
          <w:tcPr>
            <w:tcW w:type="dxa" w:w="2045"/>
          </w:tcPr>
          <w:p>
            <w:pPr>
              <w:spacing w:after="0"/>
            </w:pPr>
            <w:r>
              <w:rPr>
                <w:rFonts w:ascii="Arial" w:hAnsi="Arial"/>
                <w:b w:val="0"/>
                <w:sz w:val="14"/>
              </w:rPr>
              <w:t>Dataset lineage without agent/runtime lifecycle mapping</w:t>
            </w:r>
          </w:p>
        </w:tc>
      </w:tr>
      <w:tr>
        <w:tc>
          <w:tcPr>
            <w:tcW w:type="dxa" w:w="2045"/>
          </w:tcPr>
          <w:p>
            <w:pPr>
              <w:spacing w:after="0"/>
            </w:pPr>
            <w:r>
              <w:rPr>
                <w:rFonts w:ascii="Arial" w:hAnsi="Arial"/>
                <w:b w:val="0"/>
                <w:sz w:val="14"/>
              </w:rPr>
              <w:t>RCCS-03 Documentation</w:t>
            </w:r>
          </w:p>
        </w:tc>
        <w:tc>
          <w:tcPr>
            <w:tcW w:type="dxa" w:w="2045"/>
          </w:tcPr>
          <w:p>
            <w:pPr>
              <w:spacing w:after="0"/>
            </w:pPr>
            <w:r>
              <w:rPr>
                <w:rFonts w:ascii="Arial" w:hAnsi="Arial"/>
                <w:b w:val="0"/>
                <w:sz w:val="14"/>
              </w:rPr>
              <w:t>Does documentation bind intent, plan, authority, role, evidence, accepted outcome, privacy boundary, and substitution context?</w:t>
            </w:r>
          </w:p>
        </w:tc>
        <w:tc>
          <w:tcPr>
            <w:tcW w:type="dxa" w:w="2045"/>
          </w:tcPr>
          <w:p>
            <w:pPr>
              <w:spacing w:after="0"/>
            </w:pPr>
            <w:r>
              <w:rPr>
                <w:rFonts w:ascii="Arial" w:hAnsi="Arial"/>
                <w:b w:val="0"/>
                <w:sz w:val="14"/>
              </w:rPr>
              <w:t>MRO-01, MRO-02, MRO-04, MRO-08, MRO-15</w:t>
            </w:r>
          </w:p>
        </w:tc>
        <w:tc>
          <w:tcPr>
            <w:tcW w:type="dxa" w:w="2045"/>
          </w:tcPr>
          <w:p>
            <w:pPr>
              <w:spacing w:after="0"/>
            </w:pPr>
            <w:r>
              <w:rPr>
                <w:rFonts w:ascii="Arial" w:hAnsi="Arial"/>
                <w:b w:val="0"/>
                <w:sz w:val="14"/>
              </w:rPr>
              <w:t>Versioned lifecycle documentation, object schema, trace manifest, substitution record</w:t>
            </w:r>
          </w:p>
        </w:tc>
        <w:tc>
          <w:tcPr>
            <w:tcW w:type="dxa" w:w="2045"/>
          </w:tcPr>
          <w:p>
            <w:pPr>
              <w:spacing w:after="0"/>
            </w:pPr>
            <w:r>
              <w:rPr>
                <w:rFonts w:ascii="Arial" w:hAnsi="Arial"/>
                <w:b w:val="0"/>
                <w:sz w:val="14"/>
              </w:rPr>
              <w:t>Static model card or system card without lifecycle responsibility objects</w:t>
            </w:r>
          </w:p>
        </w:tc>
      </w:tr>
      <w:tr>
        <w:tc>
          <w:tcPr>
            <w:tcW w:type="dxa" w:w="2045"/>
          </w:tcPr>
          <w:p>
            <w:pPr>
              <w:spacing w:after="0"/>
            </w:pPr>
            <w:r>
              <w:rPr>
                <w:rFonts w:ascii="Arial" w:hAnsi="Arial"/>
                <w:b w:val="0"/>
                <w:sz w:val="14"/>
              </w:rPr>
              <w:t>RCCS-04 Record-Keeping</w:t>
            </w:r>
          </w:p>
        </w:tc>
        <w:tc>
          <w:tcPr>
            <w:tcW w:type="dxa" w:w="2045"/>
          </w:tcPr>
          <w:p>
            <w:pPr>
              <w:spacing w:after="0"/>
            </w:pPr>
            <w:r>
              <w:rPr>
                <w:rFonts w:ascii="Arial" w:hAnsi="Arial"/>
                <w:b w:val="0"/>
                <w:sz w:val="14"/>
              </w:rPr>
              <w:t>Are records partitioned by role, authority boundary, agent/tool action, evidence pointer, privacy boundary, accepted outcome, and closure state?</w:t>
            </w:r>
          </w:p>
        </w:tc>
        <w:tc>
          <w:tcPr>
            <w:tcW w:type="dxa" w:w="2045"/>
          </w:tcPr>
          <w:p>
            <w:pPr>
              <w:spacing w:after="0"/>
            </w:pPr>
            <w:r>
              <w:rPr>
                <w:rFonts w:ascii="Arial" w:hAnsi="Arial"/>
                <w:b w:val="0"/>
                <w:sz w:val="14"/>
              </w:rPr>
              <w:t>MRO-08, MRO-12, MRO-13, MRO-16</w:t>
            </w:r>
          </w:p>
        </w:tc>
        <w:tc>
          <w:tcPr>
            <w:tcW w:type="dxa" w:w="2045"/>
          </w:tcPr>
          <w:p>
            <w:pPr>
              <w:spacing w:after="0"/>
            </w:pPr>
            <w:r>
              <w:rPr>
                <w:rFonts w:ascii="Arial" w:hAnsi="Arial"/>
                <w:b w:val="0"/>
                <w:sz w:val="14"/>
              </w:rPr>
              <w:t>Partitioned evidence chain, evidence pointer, disclosure policy, closure record</w:t>
            </w:r>
          </w:p>
        </w:tc>
        <w:tc>
          <w:tcPr>
            <w:tcW w:type="dxa" w:w="2045"/>
          </w:tcPr>
          <w:p>
            <w:pPr>
              <w:spacing w:after="0"/>
            </w:pPr>
            <w:r>
              <w:rPr>
                <w:rFonts w:ascii="Arial" w:hAnsi="Arial"/>
                <w:b w:val="0"/>
                <w:sz w:val="14"/>
              </w:rPr>
              <w:t>Generic logs without lifecycle responsibility partitioning</w:t>
            </w:r>
          </w:p>
        </w:tc>
      </w:tr>
      <w:tr>
        <w:tc>
          <w:tcPr>
            <w:tcW w:type="dxa" w:w="2045"/>
          </w:tcPr>
          <w:p>
            <w:pPr>
              <w:spacing w:after="0"/>
            </w:pPr>
            <w:r>
              <w:rPr>
                <w:rFonts w:ascii="Arial" w:hAnsi="Arial"/>
                <w:b w:val="0"/>
                <w:sz w:val="14"/>
              </w:rPr>
              <w:t>RCCS-05 Transparency</w:t>
            </w:r>
          </w:p>
        </w:tc>
        <w:tc>
          <w:tcPr>
            <w:tcW w:type="dxa" w:w="2045"/>
          </w:tcPr>
          <w:p>
            <w:pPr>
              <w:spacing w:after="0"/>
            </w:pPr>
            <w:r>
              <w:rPr>
                <w:rFonts w:ascii="Arial" w:hAnsi="Arial"/>
                <w:b w:val="0"/>
                <w:sz w:val="14"/>
              </w:rPr>
              <w:t>Can disclosure be tied to lifecycle evidence, role, authority, accepted outcome, privacy boundary, selective disclosure, and dispute path?</w:t>
            </w:r>
          </w:p>
        </w:tc>
        <w:tc>
          <w:tcPr>
            <w:tcW w:type="dxa" w:w="2045"/>
          </w:tcPr>
          <w:p>
            <w:pPr>
              <w:spacing w:after="0"/>
            </w:pPr>
            <w:r>
              <w:rPr>
                <w:rFonts w:ascii="Arial" w:hAnsi="Arial"/>
                <w:b w:val="0"/>
                <w:sz w:val="14"/>
              </w:rPr>
              <w:t>MRO-04, MRO-08, MRO-11, MRO-12, MRO-16</w:t>
            </w:r>
          </w:p>
        </w:tc>
        <w:tc>
          <w:tcPr>
            <w:tcW w:type="dxa" w:w="2045"/>
          </w:tcPr>
          <w:p>
            <w:pPr>
              <w:spacing w:after="0"/>
            </w:pPr>
            <w:r>
              <w:rPr>
                <w:rFonts w:ascii="Arial" w:hAnsi="Arial"/>
                <w:b w:val="0"/>
                <w:sz w:val="14"/>
              </w:rPr>
              <w:t>Evidence-linked explanation, disclosure profile, redacted validation pack, dispute replay record</w:t>
            </w:r>
          </w:p>
        </w:tc>
        <w:tc>
          <w:tcPr>
            <w:tcW w:type="dxa" w:w="2045"/>
          </w:tcPr>
          <w:p>
            <w:pPr>
              <w:spacing w:after="0"/>
            </w:pPr>
            <w:r>
              <w:rPr>
                <w:rFonts w:ascii="Arial" w:hAnsi="Arial"/>
                <w:b w:val="0"/>
                <w:sz w:val="14"/>
              </w:rPr>
              <w:t>Explanation UI without lifecycle evidence or selective disclosure</w:t>
            </w:r>
          </w:p>
        </w:tc>
      </w:tr>
      <w:tr>
        <w:tc>
          <w:tcPr>
            <w:tcW w:type="dxa" w:w="2045"/>
          </w:tcPr>
          <w:p>
            <w:pPr>
              <w:spacing w:after="0"/>
            </w:pPr>
            <w:r>
              <w:rPr>
                <w:rFonts w:ascii="Arial" w:hAnsi="Arial"/>
                <w:b w:val="0"/>
                <w:sz w:val="14"/>
              </w:rPr>
              <w:t>RCCS-06 Human Oversight</w:t>
            </w:r>
          </w:p>
        </w:tc>
        <w:tc>
          <w:tcPr>
            <w:tcW w:type="dxa" w:w="2045"/>
          </w:tcPr>
          <w:p>
            <w:pPr>
              <w:spacing w:after="0"/>
            </w:pPr>
            <w:r>
              <w:rPr>
                <w:rFonts w:ascii="Arial" w:hAnsi="Arial"/>
                <w:b w:val="0"/>
                <w:sz w:val="14"/>
              </w:rPr>
              <w:t>Is oversight bound to human-role responsibility, delegated authority scope, escalation, drift detection, and accepted outcome authority?</w:t>
            </w:r>
          </w:p>
        </w:tc>
        <w:tc>
          <w:tcPr>
            <w:tcW w:type="dxa" w:w="2045"/>
          </w:tcPr>
          <w:p>
            <w:pPr>
              <w:spacing w:after="0"/>
            </w:pPr>
            <w:r>
              <w:rPr>
                <w:rFonts w:ascii="Arial" w:hAnsi="Arial"/>
                <w:b w:val="0"/>
                <w:sz w:val="14"/>
              </w:rPr>
              <w:t>MRO-01, MRO-02, MRO-03, MRO-04, MRO-07</w:t>
            </w:r>
          </w:p>
        </w:tc>
        <w:tc>
          <w:tcPr>
            <w:tcW w:type="dxa" w:w="2045"/>
          </w:tcPr>
          <w:p>
            <w:pPr>
              <w:spacing w:after="0"/>
            </w:pPr>
            <w:r>
              <w:rPr>
                <w:rFonts w:ascii="Arial" w:hAnsi="Arial"/>
                <w:b w:val="0"/>
                <w:sz w:val="14"/>
              </w:rPr>
              <w:t>Human-role map, authority grant, escalation path, acceptance state, drift alert</w:t>
            </w:r>
          </w:p>
        </w:tc>
        <w:tc>
          <w:tcPr>
            <w:tcW w:type="dxa" w:w="2045"/>
          </w:tcPr>
          <w:p>
            <w:pPr>
              <w:spacing w:after="0"/>
            </w:pPr>
            <w:r>
              <w:rPr>
                <w:rFonts w:ascii="Arial" w:hAnsi="Arial"/>
                <w:b w:val="0"/>
                <w:sz w:val="14"/>
              </w:rPr>
              <w:t>Generic approve/reject UI without responsibility or authority scope</w:t>
            </w:r>
          </w:p>
        </w:tc>
      </w:tr>
      <w:tr>
        <w:tc>
          <w:tcPr>
            <w:tcW w:type="dxa" w:w="2045"/>
          </w:tcPr>
          <w:p>
            <w:pPr>
              <w:spacing w:after="0"/>
            </w:pPr>
            <w:r>
              <w:rPr>
                <w:rFonts w:ascii="Arial" w:hAnsi="Arial"/>
                <w:b w:val="0"/>
                <w:sz w:val="14"/>
              </w:rPr>
              <w:t>RCCS-07 Security</w:t>
            </w:r>
          </w:p>
        </w:tc>
        <w:tc>
          <w:tcPr>
            <w:tcW w:type="dxa" w:w="2045"/>
          </w:tcPr>
          <w:p>
            <w:pPr>
              <w:spacing w:after="0"/>
            </w:pPr>
            <w:r>
              <w:rPr>
                <w:rFonts w:ascii="Arial" w:hAnsi="Arial"/>
                <w:b w:val="0"/>
                <w:sz w:val="14"/>
              </w:rPr>
              <w:t>Are security controls linked to delegated authority, tool-action liability, lifecycle evidence, privacy boundaries, and selective disclosure rules?</w:t>
            </w:r>
          </w:p>
        </w:tc>
        <w:tc>
          <w:tcPr>
            <w:tcW w:type="dxa" w:w="2045"/>
          </w:tcPr>
          <w:p>
            <w:pPr>
              <w:spacing w:after="0"/>
            </w:pPr>
            <w:r>
              <w:rPr>
                <w:rFonts w:ascii="Arial" w:hAnsi="Arial"/>
                <w:b w:val="0"/>
                <w:sz w:val="14"/>
              </w:rPr>
              <w:t>MRO-02, MRO-05, MRO-08, MRO-10, MRO-12</w:t>
            </w:r>
          </w:p>
        </w:tc>
        <w:tc>
          <w:tcPr>
            <w:tcW w:type="dxa" w:w="2045"/>
          </w:tcPr>
          <w:p>
            <w:pPr>
              <w:spacing w:after="0"/>
            </w:pPr>
            <w:r>
              <w:rPr>
                <w:rFonts w:ascii="Arial" w:hAnsi="Arial"/>
                <w:b w:val="0"/>
                <w:sz w:val="14"/>
              </w:rPr>
              <w:t>Delegated authority record, tool-action liability object, evidence partition, privacy boundary</w:t>
            </w:r>
          </w:p>
        </w:tc>
        <w:tc>
          <w:tcPr>
            <w:tcW w:type="dxa" w:w="2045"/>
          </w:tcPr>
          <w:p>
            <w:pPr>
              <w:spacing w:after="0"/>
            </w:pPr>
            <w:r>
              <w:rPr>
                <w:rFonts w:ascii="Arial" w:hAnsi="Arial"/>
                <w:b w:val="0"/>
                <w:sz w:val="14"/>
              </w:rPr>
              <w:t>Access control treated as delegated authority proof</w:t>
            </w:r>
          </w:p>
        </w:tc>
      </w:tr>
      <w:tr>
        <w:tc>
          <w:tcPr>
            <w:tcW w:type="dxa" w:w="2045"/>
          </w:tcPr>
          <w:p>
            <w:pPr>
              <w:spacing w:after="0"/>
            </w:pPr>
            <w:r>
              <w:rPr>
                <w:rFonts w:ascii="Arial" w:hAnsi="Arial"/>
                <w:b w:val="0"/>
                <w:sz w:val="14"/>
              </w:rPr>
              <w:t>RCCS-08 Accountability</w:t>
            </w:r>
          </w:p>
        </w:tc>
        <w:tc>
          <w:tcPr>
            <w:tcW w:type="dxa" w:w="2045"/>
          </w:tcPr>
          <w:p>
            <w:pPr>
              <w:spacing w:after="0"/>
            </w:pPr>
            <w:r>
              <w:rPr>
                <w:rFonts w:ascii="Arial" w:hAnsi="Arial"/>
                <w:b w:val="0"/>
                <w:sz w:val="14"/>
              </w:rPr>
              <w:t>Are accountability relationships represented as human/agent responsibility mappings, transfer records, accepted outcome states, and liability records?</w:t>
            </w:r>
          </w:p>
        </w:tc>
        <w:tc>
          <w:tcPr>
            <w:tcW w:type="dxa" w:w="2045"/>
          </w:tcPr>
          <w:p>
            <w:pPr>
              <w:spacing w:after="0"/>
            </w:pPr>
            <w:r>
              <w:rPr>
                <w:rFonts w:ascii="Arial" w:hAnsi="Arial"/>
                <w:b w:val="0"/>
                <w:sz w:val="14"/>
              </w:rPr>
              <w:t>MRO-01, MRO-03, MRO-04, MRO-05, MRO-06</w:t>
            </w:r>
          </w:p>
        </w:tc>
        <w:tc>
          <w:tcPr>
            <w:tcW w:type="dxa" w:w="2045"/>
          </w:tcPr>
          <w:p>
            <w:pPr>
              <w:spacing w:after="0"/>
            </w:pPr>
            <w:r>
              <w:rPr>
                <w:rFonts w:ascii="Arial" w:hAnsi="Arial"/>
                <w:b w:val="0"/>
                <w:sz w:val="14"/>
              </w:rPr>
              <w:t>Responsibility map, agent role boundary, transfer record, acceptance record, liability record</w:t>
            </w:r>
          </w:p>
        </w:tc>
        <w:tc>
          <w:tcPr>
            <w:tcW w:type="dxa" w:w="2045"/>
          </w:tcPr>
          <w:p>
            <w:pPr>
              <w:spacing w:after="0"/>
            </w:pPr>
            <w:r>
              <w:rPr>
                <w:rFonts w:ascii="Arial" w:hAnsi="Arial"/>
                <w:b w:val="0"/>
                <w:sz w:val="14"/>
              </w:rPr>
              <w:t>User role assignment without responsibility continuity</w:t>
            </w:r>
          </w:p>
        </w:tc>
      </w:tr>
      <w:tr>
        <w:tc>
          <w:tcPr>
            <w:tcW w:type="dxa" w:w="2045"/>
          </w:tcPr>
          <w:p>
            <w:pPr>
              <w:spacing w:after="0"/>
            </w:pPr>
            <w:r>
              <w:rPr>
                <w:rFonts w:ascii="Arial" w:hAnsi="Arial"/>
                <w:b w:val="0"/>
                <w:sz w:val="14"/>
              </w:rPr>
              <w:t>RCCS-09 Contestability</w:t>
            </w:r>
          </w:p>
        </w:tc>
        <w:tc>
          <w:tcPr>
            <w:tcW w:type="dxa" w:w="2045"/>
          </w:tcPr>
          <w:p>
            <w:pPr>
              <w:spacing w:after="0"/>
            </w:pPr>
            <w:r>
              <w:rPr>
                <w:rFonts w:ascii="Arial" w:hAnsi="Arial"/>
                <w:b w:val="0"/>
                <w:sz w:val="14"/>
              </w:rPr>
              <w:t>Can challenged outcomes be replayed with evidence, reviewer role, accepted/rejected state, remediation action, selective disclosure, and closure acceptance?</w:t>
            </w:r>
          </w:p>
        </w:tc>
        <w:tc>
          <w:tcPr>
            <w:tcW w:type="dxa" w:w="2045"/>
          </w:tcPr>
          <w:p>
            <w:pPr>
              <w:spacing w:after="0"/>
            </w:pPr>
            <w:r>
              <w:rPr>
                <w:rFonts w:ascii="Arial" w:hAnsi="Arial"/>
                <w:b w:val="0"/>
                <w:sz w:val="14"/>
              </w:rPr>
              <w:t>MRO-04, MRO-08, MRO-12, MRO-13, MRO-16</w:t>
            </w:r>
          </w:p>
        </w:tc>
        <w:tc>
          <w:tcPr>
            <w:tcW w:type="dxa" w:w="2045"/>
          </w:tcPr>
          <w:p>
            <w:pPr>
              <w:spacing w:after="0"/>
            </w:pPr>
            <w:r>
              <w:rPr>
                <w:rFonts w:ascii="Arial" w:hAnsi="Arial"/>
                <w:b w:val="0"/>
                <w:sz w:val="14"/>
              </w:rPr>
              <w:t>Dispute replay pack, evidence manifest, remediation record, closure acceptance</w:t>
            </w:r>
          </w:p>
        </w:tc>
        <w:tc>
          <w:tcPr>
            <w:tcW w:type="dxa" w:w="2045"/>
          </w:tcPr>
          <w:p>
            <w:pPr>
              <w:spacing w:after="0"/>
            </w:pPr>
            <w:r>
              <w:rPr>
                <w:rFonts w:ascii="Arial" w:hAnsi="Arial"/>
                <w:b w:val="0"/>
                <w:sz w:val="14"/>
              </w:rPr>
              <w:t>Customer support ticket without lifecycle replay or closure</w:t>
            </w:r>
          </w:p>
        </w:tc>
      </w:tr>
      <w:tr>
        <w:tc>
          <w:tcPr>
            <w:tcW w:type="dxa" w:w="2045"/>
          </w:tcPr>
          <w:p>
            <w:pPr>
              <w:spacing w:after="0"/>
            </w:pPr>
            <w:r>
              <w:rPr>
                <w:rFonts w:ascii="Arial" w:hAnsi="Arial"/>
                <w:b w:val="0"/>
                <w:sz w:val="14"/>
              </w:rPr>
              <w:t>RCCS-10 Monitoring</w:t>
            </w:r>
          </w:p>
        </w:tc>
        <w:tc>
          <w:tcPr>
            <w:tcW w:type="dxa" w:w="2045"/>
          </w:tcPr>
          <w:p>
            <w:pPr>
              <w:spacing w:after="0"/>
            </w:pPr>
            <w:r>
              <w:rPr>
                <w:rFonts w:ascii="Arial" w:hAnsi="Arial"/>
                <w:b w:val="0"/>
                <w:sz w:val="14"/>
              </w:rPr>
              <w:t>Does monitoring detect authority drift, lifecycle drift, substitution change, privacy events, incidents, reuse/revalidation needs, and remediation closure?</w:t>
            </w:r>
          </w:p>
        </w:tc>
        <w:tc>
          <w:tcPr>
            <w:tcW w:type="dxa" w:w="2045"/>
          </w:tcPr>
          <w:p>
            <w:pPr>
              <w:spacing w:after="0"/>
            </w:pPr>
            <w:r>
              <w:rPr>
                <w:rFonts w:ascii="Arial" w:hAnsi="Arial"/>
                <w:b w:val="0"/>
                <w:sz w:val="14"/>
              </w:rPr>
              <w:t>MRO-07, MRO-09, MRO-10, MRO-15, MRO-16</w:t>
            </w:r>
          </w:p>
        </w:tc>
        <w:tc>
          <w:tcPr>
            <w:tcW w:type="dxa" w:w="2045"/>
          </w:tcPr>
          <w:p>
            <w:pPr>
              <w:spacing w:after="0"/>
            </w:pPr>
            <w:r>
              <w:rPr>
                <w:rFonts w:ascii="Arial" w:hAnsi="Arial"/>
                <w:b w:val="0"/>
                <w:sz w:val="14"/>
              </w:rPr>
              <w:t>Drift event, reuse/revalidation record, privacy event record, substitution conformance record, incident closure</w:t>
            </w:r>
          </w:p>
        </w:tc>
        <w:tc>
          <w:tcPr>
            <w:tcW w:type="dxa" w:w="2045"/>
          </w:tcPr>
          <w:p>
            <w:pPr>
              <w:spacing w:after="0"/>
            </w:pPr>
            <w:r>
              <w:rPr>
                <w:rFonts w:ascii="Arial" w:hAnsi="Arial"/>
                <w:b w:val="0"/>
                <w:sz w:val="14"/>
              </w:rPr>
              <w:t>General observability dashboard without responsibility-object monitoring</w:t>
            </w:r>
          </w:p>
        </w:tc>
      </w:tr>
    </w:tbl>
    <w:p>
      <w:pPr>
        <w:spacing w:after="56"/>
      </w:pPr>
      <w:r>
        <w:t>Examples:</w:t>
      </w:r>
    </w:p>
    <w:p>
      <w:pPr>
        <w:pStyle w:val="ListBullet"/>
        <w:spacing w:after="56"/>
      </w:pPr>
      <w:r>
        <w:t>Generic logs can support RCCS-T Record-Keeping but not RCCS-M unless partitioned by authority, agent/tool action, evidence pointer, privacy boundary, accepted outcome, and closure state.</w:t>
      </w:r>
    </w:p>
    <w:p>
      <w:pPr>
        <w:pStyle w:val="ListBullet"/>
        <w:spacing w:after="56"/>
      </w:pPr>
      <w:r>
        <w:t>Approval UI can support RCCS-T Human Oversight but not RCCS-M unless bound to human-role responsibility, delegated scope, escalation, drift detection, and accepted outcome authority.</w:t>
      </w:r>
    </w:p>
    <w:p>
      <w:pPr>
        <w:spacing w:after="56"/>
      </w:pPr>
      <w:r>
        <w:t>RCCS-M remains author analytical, forward-looking, and MRO-adjusted. It is not current law, certification, legal compliance proof, a regulator-approved benchmark, a procurement benchmark, a vendor ranking, or an official standard.</w:t>
      </w:r>
    </w:p>
    <w:p>
      <w:pPr>
        <w:pStyle w:val="Heading2"/>
      </w:pPr>
      <w:r>
        <w:t>E.4 RCCS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RCCS-04 Record-Keeping</w:t>
        <w:br/>
        <w:t>Raw Score: 4 (Strong capability)</w:t>
        <w:br/>
        <w:t>Evidence Level: L2 (Product documentation)</w:t>
        <w:br/>
        <w:t>Evidence Multiplier: 0.85</w:t>
        <w:br/>
        <w:t>Dimension Score: (4/5) × 100 × 0.85 = 68.0</w:t>
      </w:r>
    </w:p>
    <w:p>
      <w:pPr>
        <w:pStyle w:val="Heading2"/>
      </w:pPr>
      <w:r>
        <w:t>E.5 RCCS Scoring Notes and Negative Controls</w:t>
      </w:r>
    </w:p>
    <w:p>
      <w:pPr>
        <w:spacing w:after="56"/>
      </w:pPr>
      <w:r>
        <w:t>Negative controls prevent overclaim:</w:t>
      </w:r>
    </w:p>
    <w:p>
      <w:pPr>
        <w:pStyle w:val="ListNumber"/>
        <w:spacing w:after="56"/>
      </w:pPr>
      <w:r>
        <w:t>Risk management mentioned ≠ risk management implemented</w:t>
      </w:r>
    </w:p>
    <w:p>
      <w:pPr>
        <w:pStyle w:val="ListBullet"/>
        <w:spacing w:after="56"/>
      </w:pPr>
      <w:r>
        <w:t>Vendor marketing materials may mention risk management without providing implementation details</w:t>
      </w:r>
    </w:p>
    <w:p>
      <w:pPr>
        <w:pStyle w:val="ListBullet"/>
        <w:spacing w:after="56"/>
      </w:pPr>
      <w:r>
        <w:t>Require product documentation or audit evidence to validate implementation</w:t>
      </w:r>
    </w:p>
    <w:p>
      <w:pPr>
        <w:pStyle w:val="ListNumber"/>
        <w:spacing w:after="56"/>
      </w:pPr>
      <w:r>
        <w:t>Data quality ≠ data lineage or retention</w:t>
      </w:r>
    </w:p>
    <w:p>
      <w:pPr>
        <w:pStyle w:val="ListBullet"/>
        <w:spacing w:after="56"/>
      </w:pPr>
      <w:r>
        <w:t>Data quality checks do not automatically provide data lineage tracking or retention policies</w:t>
      </w:r>
    </w:p>
    <w:p>
      <w:pPr>
        <w:pStyle w:val="ListBullet"/>
        <w:spacing w:after="56"/>
      </w:pPr>
      <w:r>
        <w:t>Require explicit evidence of lineage and retention capabilities</w:t>
      </w:r>
    </w:p>
    <w:p>
      <w:pPr>
        <w:pStyle w:val="ListNumber"/>
        <w:spacing w:after="56"/>
      </w:pPr>
      <w:r>
        <w:t>Model card ≠ system card or deployment documentation</w:t>
      </w:r>
    </w:p>
    <w:p>
      <w:pPr>
        <w:pStyle w:val="ListBullet"/>
        <w:spacing w:after="56"/>
      </w:pPr>
      <w:r>
        <w:t>Model cards document model-level information but do not provide system-level or deployment-level documentation</w:t>
      </w:r>
    </w:p>
    <w:p>
      <w:pPr>
        <w:pStyle w:val="ListBullet"/>
        <w:spacing w:after="56"/>
      </w:pPr>
      <w:r>
        <w:t>Require explicit evidence of system cards and deployment documentation</w:t>
      </w:r>
    </w:p>
    <w:p>
      <w:pPr>
        <w:pStyle w:val="ListNumber"/>
        <w:spacing w:after="56"/>
      </w:pPr>
      <w:r>
        <w:t>Audit trails ≠ evidence export or retention</w:t>
      </w:r>
    </w:p>
    <w:p>
      <w:pPr>
        <w:pStyle w:val="ListBullet"/>
        <w:spacing w:after="56"/>
      </w:pPr>
      <w:r>
        <w:t>Audit trails provide execution records but do not automatically provide evidence export or retention capabilities</w:t>
      </w:r>
    </w:p>
    <w:p>
      <w:pPr>
        <w:pStyle w:val="ListBullet"/>
        <w:spacing w:after="56"/>
      </w:pPr>
      <w:r>
        <w:t>Require explicit evidence of export and retention capabilities</w:t>
      </w:r>
    </w:p>
    <w:p>
      <w:pPr>
        <w:pStyle w:val="ListNumber"/>
        <w:spacing w:after="56"/>
      </w:pPr>
      <w:r>
        <w:t>Explainability ≠ interpretability or disclosure</w:t>
      </w:r>
    </w:p>
    <w:p>
      <w:pPr>
        <w:pStyle w:val="ListBullet"/>
        <w:spacing w:after="56"/>
      </w:pPr>
      <w:r>
        <w:t>Explainability tools provide post-hoc explanations but do not automatically provide interpretability methods or disclosure mechanisms</w:t>
      </w:r>
    </w:p>
    <w:p>
      <w:pPr>
        <w:pStyle w:val="ListBullet"/>
        <w:spacing w:after="56"/>
      </w:pPr>
      <w:r>
        <w:t>Require explicit evidence of interpretability and disclosure capabilities</w:t>
      </w:r>
    </w:p>
    <w:p>
      <w:pPr>
        <w:pStyle w:val="ListNumber"/>
        <w:spacing w:after="56"/>
      </w:pPr>
      <w:r>
        <w:t>Approval button ≠ human-role-to-MAS responsibility mapping</w:t>
      </w:r>
    </w:p>
    <w:p>
      <w:pPr>
        <w:pStyle w:val="ListBullet"/>
        <w:spacing w:after="56"/>
      </w:pPr>
      <w:r>
        <w:t>Approval buttons provide UI controls but do not automatically provide human-role-to-MAS responsibility mapping or accountability tracking</w:t>
      </w:r>
    </w:p>
    <w:p>
      <w:pPr>
        <w:pStyle w:val="ListBullet"/>
        <w:spacing w:after="56"/>
      </w:pPr>
      <w:r>
        <w:t>Require explicit evidence of responsibility mapping and accountability tracking</w:t>
      </w:r>
    </w:p>
    <w:p>
      <w:pPr>
        <w:pStyle w:val="ListNumber"/>
        <w:spacing w:after="56"/>
      </w:pPr>
      <w:r>
        <w:t>Access control ≠ authentication or authorization</w:t>
      </w:r>
    </w:p>
    <w:p>
      <w:pPr>
        <w:pStyle w:val="ListBullet"/>
        <w:spacing w:after="56"/>
      </w:pPr>
      <w:r>
        <w:t>Access control provides basic security but does not automatically provide authentication or authorization for AI lifecycle</w:t>
      </w:r>
    </w:p>
    <w:p>
      <w:pPr>
        <w:pStyle w:val="ListBullet"/>
        <w:spacing w:after="56"/>
      </w:pPr>
      <w:r>
        <w:t>Require explicit evidence of authentication and authorization capabilities</w:t>
      </w:r>
    </w:p>
    <w:p>
      <w:pPr>
        <w:pStyle w:val="ListNumber"/>
        <w:spacing w:after="56"/>
      </w:pPr>
      <w:r>
        <w:t>Role assignment ≠ responsibility mapping or accountability tracking</w:t>
      </w:r>
    </w:p>
    <w:p>
      <w:pPr>
        <w:pStyle w:val="ListBullet"/>
        <w:spacing w:after="56"/>
      </w:pPr>
      <w:r>
        <w:t>Role assignment provides user management but does not automatically provide responsibility mapping or accountability tracking</w:t>
      </w:r>
    </w:p>
    <w:p>
      <w:pPr>
        <w:pStyle w:val="ListBullet"/>
        <w:spacing w:after="56"/>
      </w:pPr>
      <w:r>
        <w:t>Require explicit evidence of responsibility mapping and accountability tracking</w:t>
      </w:r>
    </w:p>
    <w:p>
      <w:pPr>
        <w:pStyle w:val="ListNumber"/>
        <w:spacing w:after="56"/>
      </w:pPr>
      <w:r>
        <w:t>Dispute resolution ≠ appeal mechanisms or remediation workflows</w:t>
      </w:r>
    </w:p>
    <w:p>
      <w:pPr>
        <w:pStyle w:val="ListBullet"/>
        <w:spacing w:after="56"/>
      </w:pPr>
      <w:r>
        <w:t>Dispute resolution workflows provide basic contestability but do not automatically provide appeal mechanisms or remediation workflows</w:t>
      </w:r>
    </w:p>
    <w:p>
      <w:pPr>
        <w:pStyle w:val="ListBullet"/>
        <w:spacing w:after="56"/>
      </w:pPr>
      <w:r>
        <w:t>Require explicit evidence of appeal and remediation capabilities</w:t>
      </w:r>
    </w:p>
    <w:p>
      <w:pPr>
        <w:pStyle w:val="ListNumber"/>
        <w:spacing w:after="56"/>
      </w:pPr>
      <w:r>
        <w:t>Performance monitoring ≠ drift detection or continuous improvement</w:t>
      </w:r>
    </w:p>
    <w:p>
      <w:pPr>
        <w:pStyle w:val="ListBullet"/>
        <w:spacing w:after="56"/>
      </w:pPr>
      <w:r>
        <w:t>Performance monitoring provides basic observability but does not automatically provide drift detection or continuous improvement workflows</w:t>
      </w:r>
    </w:p>
    <w:p>
      <w:pPr>
        <w:pStyle w:val="ListBullet"/>
        <w:spacing w:after="56"/>
      </w:pPr>
      <w:r>
        <w:t>Require explicit evidence of drift detection and continuous improvement capabilities</w:t>
      </w:r>
    </w:p>
    <w:p>
      <w:pPr>
        <w:spacing w:after="56"/>
      </w:pPr>
      <w:r>
        <w:t>Boundary discipline:</w:t>
      </w:r>
    </w:p>
    <w:p>
      <w:pPr>
        <w:pStyle w:val="ListBullet"/>
        <w:spacing w:after="56"/>
      </w:pPr>
      <w:r>
        <w:t>RCCS measures regulatory compliance coverage primitives, not legal compliance</w:t>
      </w:r>
    </w:p>
    <w:p>
      <w:pPr>
        <w:pStyle w:val="ListBullet"/>
        <w:spacing w:after="56"/>
      </w:pPr>
      <w:r>
        <w:t>High RCCS scores do not prove legal compliance, regulatory approval, or certification</w:t>
      </w:r>
    </w:p>
    <w:p>
      <w:pPr>
        <w:pStyle w:val="ListBullet"/>
        <w:spacing w:after="56"/>
      </w:pPr>
      <w:r>
        <w:t>Low RCCS scores do not prove non-compliance or unsuitability</w:t>
      </w:r>
    </w:p>
    <w:p>
      <w:pPr>
        <w:pStyle w:val="ListBullet"/>
        <w:spacing w:after="56"/>
      </w:pPr>
      <w:r>
        <w:t>RCCS scores are context-independent; organizations must interpret within their legal, regulatory, and operational context</w:t>
      </w:r>
    </w:p>
    <w:p>
      <w:pPr>
        <w:pStyle w:val="ListBullet"/>
        <w:spacing w:after="56"/>
      </w:pPr>
      <w:r>
        <w:t>RCCS scores require evidence; evidence level affects score multiplier</w:t>
      </w:r>
    </w:p>
    <w:p>
      <w:pPr>
        <w:pStyle w:val="ListBullet"/>
        <w:spacing w:after="56"/>
      </w:pPr>
      <w:r>
        <w:t>RCCS scores are not product rankings; they compare systems by regulatory compliance coverage primitives</w:t>
      </w:r>
    </w:p>
    <w:p>
      <w:pPr>
        <w:pStyle w:val="ListBullet"/>
        <w:spacing w:after="56"/>
      </w:pPr>
      <w:r>
        <w:t>RCCS-M is author analytical, forward-looking, and MRO-adjusted; it is not current law, certification, legal compliance proof, a regulator-approved benchmark, a procurement benchmark, or a vendor ranking</w:t>
      </w:r>
    </w:p>
    <w:p>
      <w:pPr>
        <w:pStyle w:val="Heading1"/>
      </w:pPr>
      <w:r>
        <w:t>Appendix F — ALCS Detailed Scoring Rubrics</w:t>
      </w:r>
    </w:p>
    <w:p>
      <w:pPr>
        <w:spacing w:after="56"/>
      </w:pPr>
      <w:r>
        <w:t>Version: v0.3.2-FRC-R3</w:t>
      </w:r>
    </w:p>
    <w:p>
      <w:pPr>
        <w:pStyle w:val="Heading2"/>
      </w:pPr>
      <w:r>
        <w:t>F.0 ALCS Rubric Boundary</w:t>
      </w:r>
    </w:p>
    <w:p>
      <w:pPr>
        <w:spacing w:after="56"/>
      </w:pPr>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Pr>
        <w:spacing w:after="56"/>
      </w:pPr>
      <w:r>
        <w:t>Boundary statement:</w:t>
      </w:r>
    </w:p>
    <w:p>
      <w:pPr>
        <w:pStyle w:val="ListBullet"/>
        <w:spacing w:after="56"/>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Pr>
        <w:pStyle w:val="ListBullet"/>
        <w:spacing w:after="56"/>
      </w:pPr>
      <w:r>
        <w:t>High ALCS scores do not prove legal compliance. A high ALCS score indicates that a system provides primitives for agentic lifecycle responsibility management. It does not prove that the system is legally compliant, operationally effective, or enterprise-ready.</w:t>
      </w:r>
    </w:p>
    <w:p>
      <w:pPr>
        <w:pStyle w:val="ListBullet"/>
        <w:spacing w:after="56"/>
      </w:pPr>
      <w:r>
        <w:t>Low ALCS scores do not prove non-compliance. A low ALCS score indicates gaps in agentic lifecycle responsibility primitives. It does not prove that the system is non-compliant, unsafe, or unsuitable for deployment.</w:t>
      </w:r>
    </w:p>
    <w:p>
      <w:pPr>
        <w:pStyle w:val="ListBullet"/>
        <w:spacing w:after="56"/>
      </w:pPr>
      <w:r>
        <w:t>ALCS scores are context-independent. ALCS scores measure system capability, not organizational practice. Organizations must interpret scores within their legal, regulatory, and operational context.</w:t>
      </w:r>
    </w:p>
    <w:p>
      <w:pPr>
        <w:pStyle w:val="ListBullet"/>
        <w:spacing w:after="56"/>
      </w:pPr>
      <w:r>
        <w:t>ALCS scores require evidence. All scores must be supported by evidence. The evidence level (L1-L5) affects the score multiplier using the canonical formula from Phase 1B-8C.</w:t>
      </w:r>
    </w:p>
    <w:p>
      <w:pPr>
        <w:pStyle w:val="ListBullet"/>
        <w:spacing w:after="56"/>
      </w:pPr>
      <w:r>
        <w:t>ALCS scores are not product rankings. Rubrics compare systems by agentic lifecycle responsibility primitives, not product quality, market leadership, or procurement suitability.</w:t>
      </w:r>
    </w:p>
    <w:p>
      <w:pPr>
        <w:pStyle w:val="Heading2"/>
      </w:pPr>
      <w:r>
        <w:t>F.1 How to Use ALCS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agentic lifecycle responsibility primitives.</w:t>
      </w:r>
    </w:p>
    <w:p>
      <w:pPr>
        <w:pStyle w:val="Heading2"/>
      </w:pPr>
      <w:r>
        <w:t>F.2 ALCS Detailed Rubrics</w:t>
      </w:r>
    </w:p>
    <w:p>
      <w:pPr>
        <w:pStyle w:val="Heading3"/>
      </w:pPr>
      <w:r>
        <w:t>ALCS-01: Human-Role-to-MAS Responsibility Mapping</w:t>
      </w:r>
    </w:p>
    <w:p>
      <w:pPr>
        <w:spacing w:after="56"/>
      </w:pPr>
      <w:r>
        <w:t>Core question: Does the system provide primitives for mapping human roles to multi-agent system (MAS) responsibilities?</w:t>
      </w:r>
    </w:p>
    <w:p>
      <w:pPr>
        <w:spacing w:after="56"/>
      </w:pPr>
      <w:r>
        <w:t>What counts: Human role definitions, MAS responsibility definitions, role-to-responsibility mapping, responsibility tracking, responsibility audit trails</w:t>
      </w:r>
    </w:p>
    <w:p>
      <w:pPr>
        <w:spacing w:after="56"/>
      </w:pPr>
      <w:r>
        <w:t>What does not count: General user management, role assignment without MAS integration, responsibility tracking without lifecycle integration</w:t>
      </w:r>
    </w:p>
    <w:p>
      <w:pPr>
        <w:keepNext/>
      </w:pPr>
      <w:r>
        <w:rPr>
          <w:b/>
          <w:sz w:val="16"/>
        </w:rPr>
        <w:t>Table T-F-01: ALCS-01 Human-Role-to-MAS Responsibility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human-role-to-MAS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 role definitions, no MAS responsibility definitions, no mapping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human-role-to-MAS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human-role-to-MAS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Human-role-to-MAS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human-role-to-MAS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Human role definitions exist but no MAS responsibility definitions or mapping</w:t>
            </w:r>
          </w:p>
        </w:tc>
        <w:tc>
          <w:tcPr>
            <w:tcW w:type="dxa" w:w="1704"/>
          </w:tcPr>
          <w:p>
            <w:pPr>
              <w:spacing w:after="0"/>
            </w:pPr>
            <w:r>
              <w:rPr>
                <w:rFonts w:ascii="Arial" w:hAnsi="Arial"/>
                <w:b w:val="0"/>
                <w:sz w:val="12"/>
              </w:rPr>
              <w:t>Human roles ≠ MAS responsibilities or mapping</w:t>
            </w:r>
          </w:p>
        </w:tc>
        <w:tc>
          <w:tcPr>
            <w:tcW w:type="dxa" w:w="1704"/>
          </w:tcPr>
          <w:p>
            <w:pPr>
              <w:spacing w:after="0"/>
            </w:pPr>
            <w:r>
              <w:rPr>
                <w:rFonts w:ascii="Arial" w:hAnsi="Arial"/>
                <w:b w:val="0"/>
                <w:sz w:val="12"/>
              </w:rPr>
              <w:t>Partial coverage; MAS responsibility and mapping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human-role-to-MAS mapping</w:t>
            </w:r>
          </w:p>
        </w:tc>
        <w:tc>
          <w:tcPr>
            <w:tcW w:type="dxa" w:w="1704"/>
          </w:tcPr>
          <w:p>
            <w:pPr>
              <w:spacing w:after="0"/>
            </w:pPr>
            <w:r>
              <w:rPr>
                <w:rFonts w:ascii="Arial" w:hAnsi="Arial"/>
                <w:b w:val="0"/>
                <w:sz w:val="12"/>
              </w:rPr>
              <w:t>Product documentation with human roles and MAS responsibilities</w:t>
            </w:r>
          </w:p>
        </w:tc>
        <w:tc>
          <w:tcPr>
            <w:tcW w:type="dxa" w:w="1704"/>
          </w:tcPr>
          <w:p>
            <w:pPr>
              <w:spacing w:after="0"/>
            </w:pPr>
            <w:r>
              <w:rPr>
                <w:rFonts w:ascii="Arial" w:hAnsi="Arial"/>
                <w:b w:val="0"/>
                <w:sz w:val="12"/>
              </w:rPr>
              <w:t>Human role definitions, MAS responsibility definitions, basic role-to-responsibility mapping</w:t>
            </w:r>
          </w:p>
        </w:tc>
        <w:tc>
          <w:tcPr>
            <w:tcW w:type="dxa" w:w="1704"/>
          </w:tcPr>
          <w:p>
            <w:pPr>
              <w:spacing w:after="0"/>
            </w:pPr>
            <w:r>
              <w:rPr>
                <w:rFonts w:ascii="Arial" w:hAnsi="Arial"/>
                <w:b w:val="0"/>
                <w:sz w:val="12"/>
              </w:rPr>
              <w:t>Role-to-responsibility mapping ≠ responsibility tracking or audit trails</w:t>
            </w:r>
          </w:p>
        </w:tc>
        <w:tc>
          <w:tcPr>
            <w:tcW w:type="dxa" w:w="1704"/>
          </w:tcPr>
          <w:p>
            <w:pPr>
              <w:spacing w:after="0"/>
            </w:pPr>
            <w:r>
              <w:rPr>
                <w:rFonts w:ascii="Arial" w:hAnsi="Arial"/>
                <w:b w:val="0"/>
                <w:sz w:val="12"/>
              </w:rPr>
              <w:t>Moderate coverage; tracking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human-role-to-MAS mapping</w:t>
            </w:r>
          </w:p>
        </w:tc>
        <w:tc>
          <w:tcPr>
            <w:tcW w:type="dxa" w:w="1704"/>
          </w:tcPr>
          <w:p>
            <w:pPr>
              <w:spacing w:after="0"/>
            </w:pPr>
            <w:r>
              <w:rPr>
                <w:rFonts w:ascii="Arial" w:hAnsi="Arial"/>
                <w:b w:val="0"/>
                <w:sz w:val="12"/>
              </w:rPr>
              <w:t>Product documentation with human roles, MAS responsibilities, and tracking</w:t>
            </w:r>
          </w:p>
        </w:tc>
        <w:tc>
          <w:tcPr>
            <w:tcW w:type="dxa" w:w="1704"/>
          </w:tcPr>
          <w:p>
            <w:pPr>
              <w:spacing w:after="0"/>
            </w:pPr>
            <w:r>
              <w:rPr>
                <w:rFonts w:ascii="Arial" w:hAnsi="Arial"/>
                <w:b w:val="0"/>
                <w:sz w:val="12"/>
              </w:rPr>
              <w:t>Human role definitions, MAS responsibility definitions, role-to-responsibility mapping, responsibility tracking</w:t>
            </w:r>
          </w:p>
        </w:tc>
        <w:tc>
          <w:tcPr>
            <w:tcW w:type="dxa" w:w="1704"/>
          </w:tcPr>
          <w:p>
            <w:pPr>
              <w:spacing w:after="0"/>
            </w:pPr>
            <w:r>
              <w:rPr>
                <w:rFonts w:ascii="Arial" w:hAnsi="Arial"/>
                <w:b w:val="0"/>
                <w:sz w:val="12"/>
              </w:rPr>
              <w:t>Responsibility tracking ≠ responsibility audit trails or accepted outcome compliance</w:t>
            </w:r>
          </w:p>
        </w:tc>
        <w:tc>
          <w:tcPr>
            <w:tcW w:type="dxa" w:w="1704"/>
          </w:tcPr>
          <w:p>
            <w:pPr>
              <w:spacing w:after="0"/>
            </w:pPr>
            <w:r>
              <w:rPr>
                <w:rFonts w:ascii="Arial" w:hAnsi="Arial"/>
                <w:b w:val="0"/>
                <w:sz w:val="12"/>
              </w:rPr>
              <w:t>Strong coverage; audit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human-role-to-MAS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with MAS integration;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ALCS-02: Delegated Authority Boundary</w:t>
      </w:r>
    </w:p>
    <w:p>
      <w:pPr>
        <w:spacing w:after="56"/>
      </w:pPr>
      <w:r>
        <w:t>Core question: Does the system provide primitives for defining and enforcing delegated authority boundaries between humans and agents?</w:t>
      </w:r>
    </w:p>
    <w:p>
      <w:pPr>
        <w:spacing w:after="56"/>
      </w:pPr>
      <w:r>
        <w:t>What counts: Authority boundary definitions, authority delegation workflows, authority enforcement mechanisms, authority audit trails</w:t>
      </w:r>
    </w:p>
    <w:p>
      <w:pPr>
        <w:spacing w:after="56"/>
      </w:pPr>
      <w:r>
        <w:t>What does not count: General permission systems, authority without lifecycle integration, authority without delegation tracking</w:t>
      </w:r>
    </w:p>
    <w:p>
      <w:pPr>
        <w:keepNext/>
      </w:pPr>
      <w:r>
        <w:rPr>
          <w:b/>
          <w:sz w:val="16"/>
        </w:rPr>
        <w:t>Table T-F-02: ALCS-02 Delegated Authority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delegated authority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authority boundary definitions, no delegation workflows, no enforcement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delegated authority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delegated authority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Delegated authority mentioned in marketing docs but no implementation details</w:t>
            </w:r>
          </w:p>
        </w:tc>
        <w:tc>
          <w:tcPr>
            <w:tcW w:type="dxa" w:w="1704"/>
          </w:tcPr>
          <w:p>
            <w:pPr>
              <w:spacing w:after="0"/>
            </w:pPr>
            <w:r>
              <w:rPr>
                <w:rFonts w:ascii="Arial" w:hAnsi="Arial"/>
                <w:b w:val="0"/>
                <w:sz w:val="12"/>
              </w:rPr>
              <w:t>Authority mentioned ≠ authority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delegated authority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Authority boundary definitions exist but no delegation workflows or enforcement</w:t>
            </w:r>
          </w:p>
        </w:tc>
        <w:tc>
          <w:tcPr>
            <w:tcW w:type="dxa" w:w="1704"/>
          </w:tcPr>
          <w:p>
            <w:pPr>
              <w:spacing w:after="0"/>
            </w:pPr>
            <w:r>
              <w:rPr>
                <w:rFonts w:ascii="Arial" w:hAnsi="Arial"/>
                <w:b w:val="0"/>
                <w:sz w:val="12"/>
              </w:rPr>
              <w:t>Authority definitions ≠ delegation workflows or enforcement</w:t>
            </w:r>
          </w:p>
        </w:tc>
        <w:tc>
          <w:tcPr>
            <w:tcW w:type="dxa" w:w="1704"/>
          </w:tcPr>
          <w:p>
            <w:pPr>
              <w:spacing w:after="0"/>
            </w:pPr>
            <w:r>
              <w:rPr>
                <w:rFonts w:ascii="Arial" w:hAnsi="Arial"/>
                <w:b w:val="0"/>
                <w:sz w:val="12"/>
              </w:rPr>
              <w:t>Partial coverage; delegation and enforcement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delegated authority boundary</w:t>
            </w:r>
          </w:p>
        </w:tc>
        <w:tc>
          <w:tcPr>
            <w:tcW w:type="dxa" w:w="1704"/>
          </w:tcPr>
          <w:p>
            <w:pPr>
              <w:spacing w:after="0"/>
            </w:pPr>
            <w:r>
              <w:rPr>
                <w:rFonts w:ascii="Arial" w:hAnsi="Arial"/>
                <w:b w:val="0"/>
                <w:sz w:val="12"/>
              </w:rPr>
              <w:t>Product documentation with authority boundaries and delegation</w:t>
            </w:r>
          </w:p>
        </w:tc>
        <w:tc>
          <w:tcPr>
            <w:tcW w:type="dxa" w:w="1704"/>
          </w:tcPr>
          <w:p>
            <w:pPr>
              <w:spacing w:after="0"/>
            </w:pPr>
            <w:r>
              <w:rPr>
                <w:rFonts w:ascii="Arial" w:hAnsi="Arial"/>
                <w:b w:val="0"/>
                <w:sz w:val="12"/>
              </w:rPr>
              <w:t>Authority boundary definitions, authority delegation workflows, basic enforcement mechanisms</w:t>
            </w:r>
          </w:p>
        </w:tc>
        <w:tc>
          <w:tcPr>
            <w:tcW w:type="dxa" w:w="1704"/>
          </w:tcPr>
          <w:p>
            <w:pPr>
              <w:spacing w:after="0"/>
            </w:pPr>
            <w:r>
              <w:rPr>
                <w:rFonts w:ascii="Arial" w:hAnsi="Arial"/>
                <w:b w:val="0"/>
                <w:sz w:val="12"/>
              </w:rPr>
              <w:t>Enforcement mechanisms ≠ authority audit trails or authority drift detection</w:t>
            </w:r>
          </w:p>
        </w:tc>
        <w:tc>
          <w:tcPr>
            <w:tcW w:type="dxa" w:w="1704"/>
          </w:tcPr>
          <w:p>
            <w:pPr>
              <w:spacing w:after="0"/>
            </w:pPr>
            <w:r>
              <w:rPr>
                <w:rFonts w:ascii="Arial" w:hAnsi="Arial"/>
                <w:b w:val="0"/>
                <w:sz w:val="12"/>
              </w:rPr>
              <w:t>Moderate coverage; audit and drift detection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delegated authority boundary</w:t>
            </w:r>
          </w:p>
        </w:tc>
        <w:tc>
          <w:tcPr>
            <w:tcW w:type="dxa" w:w="1704"/>
          </w:tcPr>
          <w:p>
            <w:pPr>
              <w:spacing w:after="0"/>
            </w:pPr>
            <w:r>
              <w:rPr>
                <w:rFonts w:ascii="Arial" w:hAnsi="Arial"/>
                <w:b w:val="0"/>
                <w:sz w:val="12"/>
              </w:rPr>
              <w:t>Product documentation with authority boundaries, delegation, and enforcement</w:t>
            </w:r>
          </w:p>
        </w:tc>
        <w:tc>
          <w:tcPr>
            <w:tcW w:type="dxa" w:w="1704"/>
          </w:tcPr>
          <w:p>
            <w:pPr>
              <w:spacing w:after="0"/>
            </w:pPr>
            <w:r>
              <w:rPr>
                <w:rFonts w:ascii="Arial" w:hAnsi="Arial"/>
                <w:b w:val="0"/>
                <w:sz w:val="12"/>
              </w:rPr>
              <w:t>Authority boundary definitions, authority delegation workflows, enforcement mechanisms, authority audit trails</w:t>
            </w:r>
          </w:p>
        </w:tc>
        <w:tc>
          <w:tcPr>
            <w:tcW w:type="dxa" w:w="1704"/>
          </w:tcPr>
          <w:p>
            <w:pPr>
              <w:spacing w:after="0"/>
            </w:pPr>
            <w:r>
              <w:rPr>
                <w:rFonts w:ascii="Arial" w:hAnsi="Arial"/>
                <w:b w:val="0"/>
                <w:sz w:val="12"/>
              </w:rPr>
              <w:t>Authority audit trails ≠ authority drift detection or responsibility transfer tracking</w:t>
            </w:r>
          </w:p>
        </w:tc>
        <w:tc>
          <w:tcPr>
            <w:tcW w:type="dxa" w:w="1704"/>
          </w:tcPr>
          <w:p>
            <w:pPr>
              <w:spacing w:after="0"/>
            </w:pPr>
            <w:r>
              <w:rPr>
                <w:rFonts w:ascii="Arial" w:hAnsi="Arial"/>
                <w:b w:val="0"/>
                <w:sz w:val="12"/>
              </w:rPr>
              <w:t>Strong coverage; drift detection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delegated authority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authority boundary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ALCS-03: Agent Role vs Human Role Distinction</w:t>
      </w:r>
    </w:p>
    <w:p>
      <w:pPr>
        <w:spacing w:after="56"/>
      </w:pPr>
      <w:r>
        <w:t>Core question: Does the system provide primitives for distinguishing agent roles from human roles in lifecycle workflows?</w:t>
      </w:r>
    </w:p>
    <w:p>
      <w:pPr>
        <w:spacing w:after="56"/>
      </w:pPr>
      <w:r>
        <w:t>What counts: Agent role definitions, human role definitions, role distinction mechanisms, role-based access control, role audit trails</w:t>
      </w:r>
    </w:p>
    <w:p>
      <w:pPr>
        <w:spacing w:after="56"/>
      </w:pPr>
      <w:r>
        <w:t>What does not count: General role-based access control, role distinction without lifecycle integration, role distinction without accountability tracking</w:t>
      </w:r>
    </w:p>
    <w:p>
      <w:pPr>
        <w:keepNext/>
      </w:pPr>
      <w:r>
        <w:rPr>
          <w:b/>
          <w:sz w:val="16"/>
        </w:rPr>
        <w:t>Table T-F-03: ALCS-03 Agent Role vs Human Role Distinction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agent-human role distinction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agent role definitions, no human role definitions, no distinction mechanisms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agent-human role distinction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agent-human role distinction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Agent-human role distinction mentioned in marketing docs but no implementation details</w:t>
            </w:r>
          </w:p>
        </w:tc>
        <w:tc>
          <w:tcPr>
            <w:tcW w:type="dxa" w:w="1704"/>
          </w:tcPr>
          <w:p>
            <w:pPr>
              <w:spacing w:after="0"/>
            </w:pPr>
            <w:r>
              <w:rPr>
                <w:rFonts w:ascii="Arial" w:hAnsi="Arial"/>
                <w:b w:val="0"/>
                <w:sz w:val="12"/>
              </w:rPr>
              <w:t>Distinction mentioned ≠ distinction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agent-human role distinction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Agent role definitions exist but no human role definitions or distinction mechanisms</w:t>
            </w:r>
          </w:p>
        </w:tc>
        <w:tc>
          <w:tcPr>
            <w:tcW w:type="dxa" w:w="1704"/>
          </w:tcPr>
          <w:p>
            <w:pPr>
              <w:spacing w:after="0"/>
            </w:pPr>
            <w:r>
              <w:rPr>
                <w:rFonts w:ascii="Arial" w:hAnsi="Arial"/>
                <w:b w:val="0"/>
                <w:sz w:val="12"/>
              </w:rPr>
              <w:t>Agent roles ≠ human roles or distinction mechanisms</w:t>
            </w:r>
          </w:p>
        </w:tc>
        <w:tc>
          <w:tcPr>
            <w:tcW w:type="dxa" w:w="1704"/>
          </w:tcPr>
          <w:p>
            <w:pPr>
              <w:spacing w:after="0"/>
            </w:pPr>
            <w:r>
              <w:rPr>
                <w:rFonts w:ascii="Arial" w:hAnsi="Arial"/>
                <w:b w:val="0"/>
                <w:sz w:val="12"/>
              </w:rPr>
              <w:t>Partial coverage; human role and distinction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agent-human role distinction</w:t>
            </w:r>
          </w:p>
        </w:tc>
        <w:tc>
          <w:tcPr>
            <w:tcW w:type="dxa" w:w="1704"/>
          </w:tcPr>
          <w:p>
            <w:pPr>
              <w:spacing w:after="0"/>
            </w:pPr>
            <w:r>
              <w:rPr>
                <w:rFonts w:ascii="Arial" w:hAnsi="Arial"/>
                <w:b w:val="0"/>
                <w:sz w:val="12"/>
              </w:rPr>
              <w:t>Product documentation with agent roles, human roles, and distinction</w:t>
            </w:r>
          </w:p>
        </w:tc>
        <w:tc>
          <w:tcPr>
            <w:tcW w:type="dxa" w:w="1704"/>
          </w:tcPr>
          <w:p>
            <w:pPr>
              <w:spacing w:after="0"/>
            </w:pPr>
            <w:r>
              <w:rPr>
                <w:rFonts w:ascii="Arial" w:hAnsi="Arial"/>
                <w:b w:val="0"/>
                <w:sz w:val="12"/>
              </w:rPr>
              <w:t>Agent role definitions, human role definitions, basic role distinction mechanisms</w:t>
            </w:r>
          </w:p>
        </w:tc>
        <w:tc>
          <w:tcPr>
            <w:tcW w:type="dxa" w:w="1704"/>
          </w:tcPr>
          <w:p>
            <w:pPr>
              <w:spacing w:after="0"/>
            </w:pPr>
            <w:r>
              <w:rPr>
                <w:rFonts w:ascii="Arial" w:hAnsi="Arial"/>
                <w:b w:val="0"/>
                <w:sz w:val="12"/>
              </w:rPr>
              <w:t>Role distinction ≠ role-based access control or role audit trails</w:t>
            </w:r>
          </w:p>
        </w:tc>
        <w:tc>
          <w:tcPr>
            <w:tcW w:type="dxa" w:w="1704"/>
          </w:tcPr>
          <w:p>
            <w:pPr>
              <w:spacing w:after="0"/>
            </w:pPr>
            <w:r>
              <w:rPr>
                <w:rFonts w:ascii="Arial" w:hAnsi="Arial"/>
                <w:b w:val="0"/>
                <w:sz w:val="12"/>
              </w:rPr>
              <w:t>Moderate coverage; access control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agent-human role distinction</w:t>
            </w:r>
          </w:p>
        </w:tc>
        <w:tc>
          <w:tcPr>
            <w:tcW w:type="dxa" w:w="1704"/>
          </w:tcPr>
          <w:p>
            <w:pPr>
              <w:spacing w:after="0"/>
            </w:pPr>
            <w:r>
              <w:rPr>
                <w:rFonts w:ascii="Arial" w:hAnsi="Arial"/>
                <w:b w:val="0"/>
                <w:sz w:val="12"/>
              </w:rPr>
              <w:t>Product documentation with agent roles, human roles, distinction, and access control</w:t>
            </w:r>
          </w:p>
        </w:tc>
        <w:tc>
          <w:tcPr>
            <w:tcW w:type="dxa" w:w="1704"/>
          </w:tcPr>
          <w:p>
            <w:pPr>
              <w:spacing w:after="0"/>
            </w:pPr>
            <w:r>
              <w:rPr>
                <w:rFonts w:ascii="Arial" w:hAnsi="Arial"/>
                <w:b w:val="0"/>
                <w:sz w:val="12"/>
              </w:rPr>
              <w:t>Agent role definitions, human role definitions, role distinction mechanisms, role-based access control</w:t>
            </w:r>
          </w:p>
        </w:tc>
        <w:tc>
          <w:tcPr>
            <w:tcW w:type="dxa" w:w="1704"/>
          </w:tcPr>
          <w:p>
            <w:pPr>
              <w:spacing w:after="0"/>
            </w:pPr>
            <w:r>
              <w:rPr>
                <w:rFonts w:ascii="Arial" w:hAnsi="Arial"/>
                <w:b w:val="0"/>
                <w:sz w:val="12"/>
              </w:rPr>
              <w:t>Role-based access control ≠ role audit trails or accountability tracking</w:t>
            </w:r>
          </w:p>
        </w:tc>
        <w:tc>
          <w:tcPr>
            <w:tcW w:type="dxa" w:w="1704"/>
          </w:tcPr>
          <w:p>
            <w:pPr>
              <w:spacing w:after="0"/>
            </w:pPr>
            <w:r>
              <w:rPr>
                <w:rFonts w:ascii="Arial" w:hAnsi="Arial"/>
                <w:b w:val="0"/>
                <w:sz w:val="12"/>
              </w:rPr>
              <w:t>Strong coverage; audit and accountability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agent-human role distinction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role distinction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ALCS-04: Accepted Outcome Compliance</w:t>
      </w:r>
    </w:p>
    <w:p>
      <w:pPr>
        <w:spacing w:after="56"/>
      </w:pPr>
      <w:r>
        <w:t>Core question: Does the system provide primitives for tracking accepted outcomes and ensuring compliance with accepted outcome boundaries?</w:t>
      </w:r>
    </w:p>
    <w:p>
      <w:pPr>
        <w:spacing w:after="56"/>
      </w:pPr>
      <w:r>
        <w:t>What counts: Accepted outcome definitions, outcome acceptance workflows, outcome compliance tracking, outcome audit trails</w:t>
      </w:r>
    </w:p>
    <w:p>
      <w:pPr>
        <w:spacing w:after="56"/>
      </w:pPr>
      <w:r>
        <w:t>What does not count: General output validation, outcome tracking without acceptance workflows, outcome tracking without compliance enforcement</w:t>
      </w:r>
    </w:p>
    <w:p>
      <w:pPr>
        <w:keepNext/>
      </w:pPr>
      <w:r>
        <w:rPr>
          <w:b/>
          <w:sz w:val="16"/>
        </w:rPr>
        <w:t>Table T-F-04: ALCS-04 Accepted Outcome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accepted outcome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accepted outcome definitions, no acceptance workflows, no compliance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accepted outcome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accepted outcome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Accepted outcome compliance mentioned in marketing docs but no implementation details</w:t>
            </w:r>
          </w:p>
        </w:tc>
        <w:tc>
          <w:tcPr>
            <w:tcW w:type="dxa" w:w="1704"/>
          </w:tcPr>
          <w:p>
            <w:pPr>
              <w:spacing w:after="0"/>
            </w:pPr>
            <w:r>
              <w:rPr>
                <w:rFonts w:ascii="Arial" w:hAnsi="Arial"/>
                <w:b w:val="0"/>
                <w:sz w:val="12"/>
              </w:rPr>
              <w:t>Compliance mentioned ≠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accepted outcome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Accepted outcome definitions exist but no acceptance workflows or compliance tracking</w:t>
            </w:r>
          </w:p>
        </w:tc>
        <w:tc>
          <w:tcPr>
            <w:tcW w:type="dxa" w:w="1704"/>
          </w:tcPr>
          <w:p>
            <w:pPr>
              <w:spacing w:after="0"/>
            </w:pPr>
            <w:r>
              <w:rPr>
                <w:rFonts w:ascii="Arial" w:hAnsi="Arial"/>
                <w:b w:val="0"/>
                <w:sz w:val="12"/>
              </w:rPr>
              <w:t>Outcome definitions ≠ acceptance workflows or compliance tracking</w:t>
            </w:r>
          </w:p>
        </w:tc>
        <w:tc>
          <w:tcPr>
            <w:tcW w:type="dxa" w:w="1704"/>
          </w:tcPr>
          <w:p>
            <w:pPr>
              <w:spacing w:after="0"/>
            </w:pPr>
            <w:r>
              <w:rPr>
                <w:rFonts w:ascii="Arial" w:hAnsi="Arial"/>
                <w:b w:val="0"/>
                <w:sz w:val="12"/>
              </w:rPr>
              <w:t>Partial coverage; acceptance and compliance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accepted outcome compliance</w:t>
            </w:r>
          </w:p>
        </w:tc>
        <w:tc>
          <w:tcPr>
            <w:tcW w:type="dxa" w:w="1704"/>
          </w:tcPr>
          <w:p>
            <w:pPr>
              <w:spacing w:after="0"/>
            </w:pPr>
            <w:r>
              <w:rPr>
                <w:rFonts w:ascii="Arial" w:hAnsi="Arial"/>
                <w:b w:val="0"/>
                <w:sz w:val="12"/>
              </w:rPr>
              <w:t>Product documentation with outcome definitions and acceptance workflows</w:t>
            </w:r>
          </w:p>
        </w:tc>
        <w:tc>
          <w:tcPr>
            <w:tcW w:type="dxa" w:w="1704"/>
          </w:tcPr>
          <w:p>
            <w:pPr>
              <w:spacing w:after="0"/>
            </w:pPr>
            <w:r>
              <w:rPr>
                <w:rFonts w:ascii="Arial" w:hAnsi="Arial"/>
                <w:b w:val="0"/>
                <w:sz w:val="12"/>
              </w:rPr>
              <w:t>Accepted outcome definitions, outcome acceptance workflows, basic compliance tracking</w:t>
            </w:r>
          </w:p>
        </w:tc>
        <w:tc>
          <w:tcPr>
            <w:tcW w:type="dxa" w:w="1704"/>
          </w:tcPr>
          <w:p>
            <w:pPr>
              <w:spacing w:after="0"/>
            </w:pPr>
            <w:r>
              <w:rPr>
                <w:rFonts w:ascii="Arial" w:hAnsi="Arial"/>
                <w:b w:val="0"/>
                <w:sz w:val="12"/>
              </w:rPr>
              <w:t>Compliance tracking ≠ outcome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accepted outcome compliance</w:t>
            </w:r>
          </w:p>
        </w:tc>
        <w:tc>
          <w:tcPr>
            <w:tcW w:type="dxa" w:w="1704"/>
          </w:tcPr>
          <w:p>
            <w:pPr>
              <w:spacing w:after="0"/>
            </w:pPr>
            <w:r>
              <w:rPr>
                <w:rFonts w:ascii="Arial" w:hAnsi="Arial"/>
                <w:b w:val="0"/>
                <w:sz w:val="12"/>
              </w:rPr>
              <w:t>Product documentation with outcome definitions, acceptance, and compliance</w:t>
            </w:r>
          </w:p>
        </w:tc>
        <w:tc>
          <w:tcPr>
            <w:tcW w:type="dxa" w:w="1704"/>
          </w:tcPr>
          <w:p>
            <w:pPr>
              <w:spacing w:after="0"/>
            </w:pPr>
            <w:r>
              <w:rPr>
                <w:rFonts w:ascii="Arial" w:hAnsi="Arial"/>
                <w:b w:val="0"/>
                <w:sz w:val="12"/>
              </w:rPr>
              <w:t>Accepted outcome definitions, outcome acceptance workflows, compliance tracking, outcome audit trails</w:t>
            </w:r>
          </w:p>
        </w:tc>
        <w:tc>
          <w:tcPr>
            <w:tcW w:type="dxa" w:w="1704"/>
          </w:tcPr>
          <w:p>
            <w:pPr>
              <w:spacing w:after="0"/>
            </w:pPr>
            <w:r>
              <w:rPr>
                <w:rFonts w:ascii="Arial" w:hAnsi="Arial"/>
                <w:b w:val="0"/>
                <w:sz w:val="12"/>
              </w:rPr>
              <w:t>Outcome audit trails ≠ compliance enforcement or responsibility transfer tracking</w:t>
            </w:r>
          </w:p>
        </w:tc>
        <w:tc>
          <w:tcPr>
            <w:tcW w:type="dxa" w:w="1704"/>
          </w:tcPr>
          <w:p>
            <w:pPr>
              <w:spacing w:after="0"/>
            </w:pPr>
            <w:r>
              <w:rPr>
                <w:rFonts w:ascii="Arial" w:hAnsi="Arial"/>
                <w:b w:val="0"/>
                <w:sz w:val="12"/>
              </w:rPr>
              <w:t>Strong coverage; enforcement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accepted outcome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outcome acceptance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ALCS-05: Tool-Action Liability Boundary</w:t>
      </w:r>
    </w:p>
    <w:p>
      <w:pPr>
        <w:spacing w:after="56"/>
      </w:pPr>
      <w:r>
        <w:t>Core question: Does the system provide primitives for defining and tracking tool-action liability boundaries?</w:t>
      </w:r>
    </w:p>
    <w:p>
      <w:pPr>
        <w:spacing w:after="56"/>
      </w:pPr>
      <w:r>
        <w:t>What counts: Tool-action liability definitions, liability boundary enforcement, liability tracking, liability audit trails</w:t>
      </w:r>
    </w:p>
    <w:p>
      <w:pPr>
        <w:spacing w:after="56"/>
      </w:pPr>
      <w:r>
        <w:t>What does not count: General tool usage tracking, liability tracking without boundary enforcement, liability tracking without lifecycle integration</w:t>
      </w:r>
    </w:p>
    <w:p>
      <w:pPr>
        <w:keepNext/>
      </w:pPr>
      <w:r>
        <w:rPr>
          <w:b/>
          <w:sz w:val="16"/>
        </w:rPr>
        <w:t>Table T-F-05: ALCS-05 Tool-Action Liability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tool-action liability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liability definitions, no boundary enforcement, no liability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tool-action liability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tool-action liability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Tool-action liability mentioned in marketing docs but no implementation details</w:t>
            </w:r>
          </w:p>
        </w:tc>
        <w:tc>
          <w:tcPr>
            <w:tcW w:type="dxa" w:w="1704"/>
          </w:tcPr>
          <w:p>
            <w:pPr>
              <w:spacing w:after="0"/>
            </w:pPr>
            <w:r>
              <w:rPr>
                <w:rFonts w:ascii="Arial" w:hAnsi="Arial"/>
                <w:b w:val="0"/>
                <w:sz w:val="12"/>
              </w:rPr>
              <w:t>Liability mentioned ≠ liability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tool-action liability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Liability definitions exist but no boundary enforcement or liability tracking</w:t>
            </w:r>
          </w:p>
        </w:tc>
        <w:tc>
          <w:tcPr>
            <w:tcW w:type="dxa" w:w="1704"/>
          </w:tcPr>
          <w:p>
            <w:pPr>
              <w:spacing w:after="0"/>
            </w:pPr>
            <w:r>
              <w:rPr>
                <w:rFonts w:ascii="Arial" w:hAnsi="Arial"/>
                <w:b w:val="0"/>
                <w:sz w:val="12"/>
              </w:rPr>
              <w:t>Liability definitions ≠ boundary enforcement or tracking</w:t>
            </w:r>
          </w:p>
        </w:tc>
        <w:tc>
          <w:tcPr>
            <w:tcW w:type="dxa" w:w="1704"/>
          </w:tcPr>
          <w:p>
            <w:pPr>
              <w:spacing w:after="0"/>
            </w:pPr>
            <w:r>
              <w:rPr>
                <w:rFonts w:ascii="Arial" w:hAnsi="Arial"/>
                <w:b w:val="0"/>
                <w:sz w:val="12"/>
              </w:rPr>
              <w:t>Partial coverage; enforcement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tool-action liability boundary</w:t>
            </w:r>
          </w:p>
        </w:tc>
        <w:tc>
          <w:tcPr>
            <w:tcW w:type="dxa" w:w="1704"/>
          </w:tcPr>
          <w:p>
            <w:pPr>
              <w:spacing w:after="0"/>
            </w:pPr>
            <w:r>
              <w:rPr>
                <w:rFonts w:ascii="Arial" w:hAnsi="Arial"/>
                <w:b w:val="0"/>
                <w:sz w:val="12"/>
              </w:rPr>
              <w:t>Product documentation with liability definitions and boundary enforcement</w:t>
            </w:r>
          </w:p>
        </w:tc>
        <w:tc>
          <w:tcPr>
            <w:tcW w:type="dxa" w:w="1704"/>
          </w:tcPr>
          <w:p>
            <w:pPr>
              <w:spacing w:after="0"/>
            </w:pPr>
            <w:r>
              <w:rPr>
                <w:rFonts w:ascii="Arial" w:hAnsi="Arial"/>
                <w:b w:val="0"/>
                <w:sz w:val="12"/>
              </w:rPr>
              <w:t>Tool-action liability definitions, liability boundary enforcement, basic liability tracking</w:t>
            </w:r>
          </w:p>
        </w:tc>
        <w:tc>
          <w:tcPr>
            <w:tcW w:type="dxa" w:w="1704"/>
          </w:tcPr>
          <w:p>
            <w:pPr>
              <w:spacing w:after="0"/>
            </w:pPr>
            <w:r>
              <w:rPr>
                <w:rFonts w:ascii="Arial" w:hAnsi="Arial"/>
                <w:b w:val="0"/>
                <w:sz w:val="12"/>
              </w:rPr>
              <w:t>Liability tracking ≠ liability audit trails or responsibility transfer tracking</w:t>
            </w:r>
          </w:p>
        </w:tc>
        <w:tc>
          <w:tcPr>
            <w:tcW w:type="dxa" w:w="1704"/>
          </w:tcPr>
          <w:p>
            <w:pPr>
              <w:spacing w:after="0"/>
            </w:pPr>
            <w:r>
              <w:rPr>
                <w:rFonts w:ascii="Arial" w:hAnsi="Arial"/>
                <w:b w:val="0"/>
                <w:sz w:val="12"/>
              </w:rPr>
              <w:t>Moderate coverage; audit and transfer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tool-action liability boundary</w:t>
            </w:r>
          </w:p>
        </w:tc>
        <w:tc>
          <w:tcPr>
            <w:tcW w:type="dxa" w:w="1704"/>
          </w:tcPr>
          <w:p>
            <w:pPr>
              <w:spacing w:after="0"/>
            </w:pPr>
            <w:r>
              <w:rPr>
                <w:rFonts w:ascii="Arial" w:hAnsi="Arial"/>
                <w:b w:val="0"/>
                <w:sz w:val="12"/>
              </w:rPr>
              <w:t>Product documentation with liability definitions, enforcement, and tracking</w:t>
            </w:r>
          </w:p>
        </w:tc>
        <w:tc>
          <w:tcPr>
            <w:tcW w:type="dxa" w:w="1704"/>
          </w:tcPr>
          <w:p>
            <w:pPr>
              <w:spacing w:after="0"/>
            </w:pPr>
            <w:r>
              <w:rPr>
                <w:rFonts w:ascii="Arial" w:hAnsi="Arial"/>
                <w:b w:val="0"/>
                <w:sz w:val="12"/>
              </w:rPr>
              <w:t>Tool-action liability definitions, liability boundary enforcement, liability tracking, liability audit trails</w:t>
            </w:r>
          </w:p>
        </w:tc>
        <w:tc>
          <w:tcPr>
            <w:tcW w:type="dxa" w:w="1704"/>
          </w:tcPr>
          <w:p>
            <w:pPr>
              <w:spacing w:after="0"/>
            </w:pPr>
            <w:r>
              <w:rPr>
                <w:rFonts w:ascii="Arial" w:hAnsi="Arial"/>
                <w:b w:val="0"/>
                <w:sz w:val="12"/>
              </w:rPr>
              <w:t>Liability audit trails ≠ responsibility transfer tracking or accepted outcome compliance</w:t>
            </w:r>
          </w:p>
        </w:tc>
        <w:tc>
          <w:tcPr>
            <w:tcW w:type="dxa" w:w="1704"/>
          </w:tcPr>
          <w:p>
            <w:pPr>
              <w:spacing w:after="0"/>
            </w:pPr>
            <w:r>
              <w:rPr>
                <w:rFonts w:ascii="Arial" w:hAnsi="Arial"/>
                <w:b w:val="0"/>
                <w:sz w:val="12"/>
              </w:rPr>
              <w:t>Strong coverage; transfer tracking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tool-action liability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tool-action liability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ALCS-06: Responsibility Transfer Across Agents</w:t>
      </w:r>
    </w:p>
    <w:p>
      <w:pPr>
        <w:spacing w:after="56"/>
      </w:pPr>
      <w:r>
        <w:t>Core question: Does the system provide primitives for tracking responsibility transfer across agents in multi-agent workflows?</w:t>
      </w:r>
    </w:p>
    <w:p>
      <w:pPr>
        <w:spacing w:after="56"/>
      </w:pPr>
      <w:r>
        <w:t>What counts: Responsibility transfer definitions, transfer workflows, transfer tracking, transfer audit trails</w:t>
      </w:r>
    </w:p>
    <w:p>
      <w:pPr>
        <w:spacing w:after="56"/>
      </w:pPr>
      <w:r>
        <w:t>What does not count: General workflow orchestration, transfer tracking without responsibility mapping, transfer tracking without lifecycle integration</w:t>
      </w:r>
    </w:p>
    <w:p>
      <w:pPr>
        <w:keepNext/>
      </w:pPr>
      <w:r>
        <w:rPr>
          <w:b/>
          <w:sz w:val="16"/>
        </w:rPr>
        <w:t>Table T-F-06: ALCS-06 Responsibility Transfer Across Agents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responsibility transfer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transfer definitions, no transfer workflows, no transfer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responsibility transfer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responsibility transfer</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Responsibility transfer mentioned in marketing docs but no implementation details</w:t>
            </w:r>
          </w:p>
        </w:tc>
        <w:tc>
          <w:tcPr>
            <w:tcW w:type="dxa" w:w="1704"/>
          </w:tcPr>
          <w:p>
            <w:pPr>
              <w:spacing w:after="0"/>
            </w:pPr>
            <w:r>
              <w:rPr>
                <w:rFonts w:ascii="Arial" w:hAnsi="Arial"/>
                <w:b w:val="0"/>
                <w:sz w:val="12"/>
              </w:rPr>
              <w:t>Transfer mentioned ≠ transfer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responsibility transfer</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Transfer definitions exist but no transfer workflows or transfer tracking</w:t>
            </w:r>
          </w:p>
        </w:tc>
        <w:tc>
          <w:tcPr>
            <w:tcW w:type="dxa" w:w="1704"/>
          </w:tcPr>
          <w:p>
            <w:pPr>
              <w:spacing w:after="0"/>
            </w:pPr>
            <w:r>
              <w:rPr>
                <w:rFonts w:ascii="Arial" w:hAnsi="Arial"/>
                <w:b w:val="0"/>
                <w:sz w:val="12"/>
              </w:rPr>
              <w:t>Transfer definitions ≠ transfer workflows or tracking</w:t>
            </w:r>
          </w:p>
        </w:tc>
        <w:tc>
          <w:tcPr>
            <w:tcW w:type="dxa" w:w="1704"/>
          </w:tcPr>
          <w:p>
            <w:pPr>
              <w:spacing w:after="0"/>
            </w:pPr>
            <w:r>
              <w:rPr>
                <w:rFonts w:ascii="Arial" w:hAnsi="Arial"/>
                <w:b w:val="0"/>
                <w:sz w:val="12"/>
              </w:rPr>
              <w:t>Partial coverage; workflow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responsibility transfer</w:t>
            </w:r>
          </w:p>
        </w:tc>
        <w:tc>
          <w:tcPr>
            <w:tcW w:type="dxa" w:w="1704"/>
          </w:tcPr>
          <w:p>
            <w:pPr>
              <w:spacing w:after="0"/>
            </w:pPr>
            <w:r>
              <w:rPr>
                <w:rFonts w:ascii="Arial" w:hAnsi="Arial"/>
                <w:b w:val="0"/>
                <w:sz w:val="12"/>
              </w:rPr>
              <w:t>Product documentation with transfer definitions and workflows</w:t>
            </w:r>
          </w:p>
        </w:tc>
        <w:tc>
          <w:tcPr>
            <w:tcW w:type="dxa" w:w="1704"/>
          </w:tcPr>
          <w:p>
            <w:pPr>
              <w:spacing w:after="0"/>
            </w:pPr>
            <w:r>
              <w:rPr>
                <w:rFonts w:ascii="Arial" w:hAnsi="Arial"/>
                <w:b w:val="0"/>
                <w:sz w:val="12"/>
              </w:rPr>
              <w:t>Responsibility transfer definitions, transfer workflows, basic transfer tracking</w:t>
            </w:r>
          </w:p>
        </w:tc>
        <w:tc>
          <w:tcPr>
            <w:tcW w:type="dxa" w:w="1704"/>
          </w:tcPr>
          <w:p>
            <w:pPr>
              <w:spacing w:after="0"/>
            </w:pPr>
            <w:r>
              <w:rPr>
                <w:rFonts w:ascii="Arial" w:hAnsi="Arial"/>
                <w:b w:val="0"/>
                <w:sz w:val="12"/>
              </w:rPr>
              <w:t>Transfer tracking ≠ transfer audit trails or cross-agent accountability</w:t>
            </w:r>
          </w:p>
        </w:tc>
        <w:tc>
          <w:tcPr>
            <w:tcW w:type="dxa" w:w="1704"/>
          </w:tcPr>
          <w:p>
            <w:pPr>
              <w:spacing w:after="0"/>
            </w:pPr>
            <w:r>
              <w:rPr>
                <w:rFonts w:ascii="Arial" w:hAnsi="Arial"/>
                <w:b w:val="0"/>
                <w:sz w:val="12"/>
              </w:rPr>
              <w:t>Moderate coverage; audit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responsibility transfer</w:t>
            </w:r>
          </w:p>
        </w:tc>
        <w:tc>
          <w:tcPr>
            <w:tcW w:type="dxa" w:w="1704"/>
          </w:tcPr>
          <w:p>
            <w:pPr>
              <w:spacing w:after="0"/>
            </w:pPr>
            <w:r>
              <w:rPr>
                <w:rFonts w:ascii="Arial" w:hAnsi="Arial"/>
                <w:b w:val="0"/>
                <w:sz w:val="12"/>
              </w:rPr>
              <w:t>Product documentation with transfer definitions, workflows, and tracking</w:t>
            </w:r>
          </w:p>
        </w:tc>
        <w:tc>
          <w:tcPr>
            <w:tcW w:type="dxa" w:w="1704"/>
          </w:tcPr>
          <w:p>
            <w:pPr>
              <w:spacing w:after="0"/>
            </w:pPr>
            <w:r>
              <w:rPr>
                <w:rFonts w:ascii="Arial" w:hAnsi="Arial"/>
                <w:b w:val="0"/>
                <w:sz w:val="12"/>
              </w:rPr>
              <w:t>Responsibility transfer definitions, transfer workflows, transfer tracking, transfer audit trails</w:t>
            </w:r>
          </w:p>
        </w:tc>
        <w:tc>
          <w:tcPr>
            <w:tcW w:type="dxa" w:w="1704"/>
          </w:tcPr>
          <w:p>
            <w:pPr>
              <w:spacing w:after="0"/>
            </w:pPr>
            <w:r>
              <w:rPr>
                <w:rFonts w:ascii="Arial" w:hAnsi="Arial"/>
                <w:b w:val="0"/>
                <w:sz w:val="12"/>
              </w:rPr>
              <w:t>Transfer audit trails ≠ cross-agent accountability or MAS evidence partitioning</w:t>
            </w:r>
          </w:p>
        </w:tc>
        <w:tc>
          <w:tcPr>
            <w:tcW w:type="dxa" w:w="1704"/>
          </w:tcPr>
          <w:p>
            <w:pPr>
              <w:spacing w:after="0"/>
            </w:pPr>
            <w:r>
              <w:rPr>
                <w:rFonts w:ascii="Arial" w:hAnsi="Arial"/>
                <w:b w:val="0"/>
                <w:sz w:val="12"/>
              </w:rPr>
              <w:t>Strong coverage; accountability and evidence 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responsibility transfer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multi-agent responsibility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ALCS-07: Authority Drift Detection</w:t>
      </w:r>
    </w:p>
    <w:p>
      <w:pPr>
        <w:spacing w:after="56"/>
      </w:pPr>
      <w:r>
        <w:t>Core question: Does the system provide primitives for detecting authority drift where agents exceed delegated authority boundaries?</w:t>
      </w:r>
    </w:p>
    <w:p>
      <w:pPr>
        <w:spacing w:after="56"/>
      </w:pPr>
      <w:r>
        <w:t>What counts: Authority drift definitions, drift detection mechanisms, drift alerting, drift audit trails</w:t>
      </w:r>
    </w:p>
    <w:p>
      <w:pPr>
        <w:spacing w:after="56"/>
      </w:pPr>
      <w:r>
        <w:t>What does not count: General anomaly detection, drift detection without authority boundary integration, drift detection without lifecycle integration</w:t>
      </w:r>
    </w:p>
    <w:p>
      <w:pPr>
        <w:keepNext/>
      </w:pPr>
      <w:r>
        <w:rPr>
          <w:b/>
          <w:sz w:val="16"/>
        </w:rPr>
        <w:t>Table T-F-07: ALCS-07 Authority Drift Detection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authority drift detection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drift definitions, no drift detection, no drift alerting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authority drift detection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authority drift detection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Authority drift detection mentioned in marketing docs but no implementation details</w:t>
            </w:r>
          </w:p>
        </w:tc>
        <w:tc>
          <w:tcPr>
            <w:tcW w:type="dxa" w:w="1704"/>
          </w:tcPr>
          <w:p>
            <w:pPr>
              <w:spacing w:after="0"/>
            </w:pPr>
            <w:r>
              <w:rPr>
                <w:rFonts w:ascii="Arial" w:hAnsi="Arial"/>
                <w:b w:val="0"/>
                <w:sz w:val="12"/>
              </w:rPr>
              <w:t>Drift detection mentioned ≠ drift detection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authority drift detection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Drift definitions exist but no drift detection mechanisms or drift alerting</w:t>
            </w:r>
          </w:p>
        </w:tc>
        <w:tc>
          <w:tcPr>
            <w:tcW w:type="dxa" w:w="1704"/>
          </w:tcPr>
          <w:p>
            <w:pPr>
              <w:spacing w:after="0"/>
            </w:pPr>
            <w:r>
              <w:rPr>
                <w:rFonts w:ascii="Arial" w:hAnsi="Arial"/>
                <w:b w:val="0"/>
                <w:sz w:val="12"/>
              </w:rPr>
              <w:t>Drift definitions ≠ drift detection or alerting</w:t>
            </w:r>
          </w:p>
        </w:tc>
        <w:tc>
          <w:tcPr>
            <w:tcW w:type="dxa" w:w="1704"/>
          </w:tcPr>
          <w:p>
            <w:pPr>
              <w:spacing w:after="0"/>
            </w:pPr>
            <w:r>
              <w:rPr>
                <w:rFonts w:ascii="Arial" w:hAnsi="Arial"/>
                <w:b w:val="0"/>
                <w:sz w:val="12"/>
              </w:rPr>
              <w:t>Partial coverage; detection and alerting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authority drift detection</w:t>
            </w:r>
          </w:p>
        </w:tc>
        <w:tc>
          <w:tcPr>
            <w:tcW w:type="dxa" w:w="1704"/>
          </w:tcPr>
          <w:p>
            <w:pPr>
              <w:spacing w:after="0"/>
            </w:pPr>
            <w:r>
              <w:rPr>
                <w:rFonts w:ascii="Arial" w:hAnsi="Arial"/>
                <w:b w:val="0"/>
                <w:sz w:val="12"/>
              </w:rPr>
              <w:t>Product documentation with drift definitions and detection</w:t>
            </w:r>
          </w:p>
        </w:tc>
        <w:tc>
          <w:tcPr>
            <w:tcW w:type="dxa" w:w="1704"/>
          </w:tcPr>
          <w:p>
            <w:pPr>
              <w:spacing w:after="0"/>
            </w:pPr>
            <w:r>
              <w:rPr>
                <w:rFonts w:ascii="Arial" w:hAnsi="Arial"/>
                <w:b w:val="0"/>
                <w:sz w:val="12"/>
              </w:rPr>
              <w:t>Authority drift definitions, drift detection mechanisms, basic drift alerting</w:t>
            </w:r>
          </w:p>
        </w:tc>
        <w:tc>
          <w:tcPr>
            <w:tcW w:type="dxa" w:w="1704"/>
          </w:tcPr>
          <w:p>
            <w:pPr>
              <w:spacing w:after="0"/>
            </w:pPr>
            <w:r>
              <w:rPr>
                <w:rFonts w:ascii="Arial" w:hAnsi="Arial"/>
                <w:b w:val="0"/>
                <w:sz w:val="12"/>
              </w:rPr>
              <w:t>Drift alerting ≠ drift audit trails or drift remediation workflows</w:t>
            </w:r>
          </w:p>
        </w:tc>
        <w:tc>
          <w:tcPr>
            <w:tcW w:type="dxa" w:w="1704"/>
          </w:tcPr>
          <w:p>
            <w:pPr>
              <w:spacing w:after="0"/>
            </w:pPr>
            <w:r>
              <w:rPr>
                <w:rFonts w:ascii="Arial" w:hAnsi="Arial"/>
                <w:b w:val="0"/>
                <w:sz w:val="12"/>
              </w:rPr>
              <w:t>Moderate coverage; audit and remediation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authority drift detection</w:t>
            </w:r>
          </w:p>
        </w:tc>
        <w:tc>
          <w:tcPr>
            <w:tcW w:type="dxa" w:w="1704"/>
          </w:tcPr>
          <w:p>
            <w:pPr>
              <w:spacing w:after="0"/>
            </w:pPr>
            <w:r>
              <w:rPr>
                <w:rFonts w:ascii="Arial" w:hAnsi="Arial"/>
                <w:b w:val="0"/>
                <w:sz w:val="12"/>
              </w:rPr>
              <w:t>Product documentation with drift definitions, detection, and alerting</w:t>
            </w:r>
          </w:p>
        </w:tc>
        <w:tc>
          <w:tcPr>
            <w:tcW w:type="dxa" w:w="1704"/>
          </w:tcPr>
          <w:p>
            <w:pPr>
              <w:spacing w:after="0"/>
            </w:pPr>
            <w:r>
              <w:rPr>
                <w:rFonts w:ascii="Arial" w:hAnsi="Arial"/>
                <w:b w:val="0"/>
                <w:sz w:val="12"/>
              </w:rPr>
              <w:t>Authority drift definitions, drift detection mechanisms, drift alerting, drift audit trails</w:t>
            </w:r>
          </w:p>
        </w:tc>
        <w:tc>
          <w:tcPr>
            <w:tcW w:type="dxa" w:w="1704"/>
          </w:tcPr>
          <w:p>
            <w:pPr>
              <w:spacing w:after="0"/>
            </w:pPr>
            <w:r>
              <w:rPr>
                <w:rFonts w:ascii="Arial" w:hAnsi="Arial"/>
                <w:b w:val="0"/>
                <w:sz w:val="12"/>
              </w:rPr>
              <w:t>Drift audit trails ≠ drift remediation workflows or continuous monitoring</w:t>
            </w:r>
          </w:p>
        </w:tc>
        <w:tc>
          <w:tcPr>
            <w:tcW w:type="dxa" w:w="1704"/>
          </w:tcPr>
          <w:p>
            <w:pPr>
              <w:spacing w:after="0"/>
            </w:pPr>
            <w:r>
              <w:rPr>
                <w:rFonts w:ascii="Arial" w:hAnsi="Arial"/>
                <w:b w:val="0"/>
                <w:sz w:val="12"/>
              </w:rPr>
              <w:t>Strong coverage; remediation and continuous monitoring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authority drift detection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with authority drift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ALCS-08: MAS Evidence Partitioning</w:t>
      </w:r>
    </w:p>
    <w:p>
      <w:pPr>
        <w:spacing w:after="56"/>
      </w:pPr>
      <w:r>
        <w:t>Core question: Does the system provide primitives for partitioning evidence by agent, role, and responsibility in multi-agent systems?</w:t>
      </w:r>
    </w:p>
    <w:p>
      <w:pPr>
        <w:spacing w:after="56"/>
      </w:pPr>
      <w:r>
        <w:t>What counts: Evidence partitioning definitions, partitioning mechanisms, partitioned evidence storage, partitioned evidence retrieval</w:t>
      </w:r>
    </w:p>
    <w:p>
      <w:pPr>
        <w:spacing w:after="56"/>
      </w:pPr>
      <w:r>
        <w:t>What does not count: General evidence storage, evidence partitioning without agent/role/responsibility mapping, evidence partitioning without lifecycle integration</w:t>
      </w:r>
    </w:p>
    <w:p>
      <w:pPr>
        <w:keepNext/>
      </w:pPr>
      <w:r>
        <w:rPr>
          <w:b/>
          <w:sz w:val="16"/>
        </w:rPr>
        <w:t>Table T-F-08: ALCS-08 MAS Evidence Partitioning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MAS evidence partitioning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partitioning definitions, no partitioning mechanisms, no partitioned storage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MAS evidence partitioning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MAS evidence partitioning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MAS evidence partitioning mentioned in marketing docs but no implementation details</w:t>
            </w:r>
          </w:p>
        </w:tc>
        <w:tc>
          <w:tcPr>
            <w:tcW w:type="dxa" w:w="1704"/>
          </w:tcPr>
          <w:p>
            <w:pPr>
              <w:spacing w:after="0"/>
            </w:pPr>
            <w:r>
              <w:rPr>
                <w:rFonts w:ascii="Arial" w:hAnsi="Arial"/>
                <w:b w:val="0"/>
                <w:sz w:val="12"/>
              </w:rPr>
              <w:t>Partitioning mentioned ≠ partitioning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MAS evidence partitioning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Partitioning definitions exist but no partitioning mechanisms or partitioned storage</w:t>
            </w:r>
          </w:p>
        </w:tc>
        <w:tc>
          <w:tcPr>
            <w:tcW w:type="dxa" w:w="1704"/>
          </w:tcPr>
          <w:p>
            <w:pPr>
              <w:spacing w:after="0"/>
            </w:pPr>
            <w:r>
              <w:rPr>
                <w:rFonts w:ascii="Arial" w:hAnsi="Arial"/>
                <w:b w:val="0"/>
                <w:sz w:val="12"/>
              </w:rPr>
              <w:t>Partitioning definitions ≠ partitioning mechanisms or storage</w:t>
            </w:r>
          </w:p>
        </w:tc>
        <w:tc>
          <w:tcPr>
            <w:tcW w:type="dxa" w:w="1704"/>
          </w:tcPr>
          <w:p>
            <w:pPr>
              <w:spacing w:after="0"/>
            </w:pPr>
            <w:r>
              <w:rPr>
                <w:rFonts w:ascii="Arial" w:hAnsi="Arial"/>
                <w:b w:val="0"/>
                <w:sz w:val="12"/>
              </w:rPr>
              <w:t>Partial coverage; mechanism and storage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MAS evidence partitioning</w:t>
            </w:r>
          </w:p>
        </w:tc>
        <w:tc>
          <w:tcPr>
            <w:tcW w:type="dxa" w:w="1704"/>
          </w:tcPr>
          <w:p>
            <w:pPr>
              <w:spacing w:after="0"/>
            </w:pPr>
            <w:r>
              <w:rPr>
                <w:rFonts w:ascii="Arial" w:hAnsi="Arial"/>
                <w:b w:val="0"/>
                <w:sz w:val="12"/>
              </w:rPr>
              <w:t>Product documentation with partitioning definitions and mechanisms</w:t>
            </w:r>
          </w:p>
        </w:tc>
        <w:tc>
          <w:tcPr>
            <w:tcW w:type="dxa" w:w="1704"/>
          </w:tcPr>
          <w:p>
            <w:pPr>
              <w:spacing w:after="0"/>
            </w:pPr>
            <w:r>
              <w:rPr>
                <w:rFonts w:ascii="Arial" w:hAnsi="Arial"/>
                <w:b w:val="0"/>
                <w:sz w:val="12"/>
              </w:rPr>
              <w:t>Evidence partitioning definitions, partitioning mechanisms, basic partitioned evidence storage</w:t>
            </w:r>
          </w:p>
        </w:tc>
        <w:tc>
          <w:tcPr>
            <w:tcW w:type="dxa" w:w="1704"/>
          </w:tcPr>
          <w:p>
            <w:pPr>
              <w:spacing w:after="0"/>
            </w:pPr>
            <w:r>
              <w:rPr>
                <w:rFonts w:ascii="Arial" w:hAnsi="Arial"/>
                <w:b w:val="0"/>
                <w:sz w:val="12"/>
              </w:rPr>
              <w:t>Partitioned storage ≠ partitioned evidence retrieval or selective disclosure</w:t>
            </w:r>
          </w:p>
        </w:tc>
        <w:tc>
          <w:tcPr>
            <w:tcW w:type="dxa" w:w="1704"/>
          </w:tcPr>
          <w:p>
            <w:pPr>
              <w:spacing w:after="0"/>
            </w:pPr>
            <w:r>
              <w:rPr>
                <w:rFonts w:ascii="Arial" w:hAnsi="Arial"/>
                <w:b w:val="0"/>
                <w:sz w:val="12"/>
              </w:rPr>
              <w:t>Moderate coverage; retrieval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MAS evidence partitioning</w:t>
            </w:r>
          </w:p>
        </w:tc>
        <w:tc>
          <w:tcPr>
            <w:tcW w:type="dxa" w:w="1704"/>
          </w:tcPr>
          <w:p>
            <w:pPr>
              <w:spacing w:after="0"/>
            </w:pPr>
            <w:r>
              <w:rPr>
                <w:rFonts w:ascii="Arial" w:hAnsi="Arial"/>
                <w:b w:val="0"/>
                <w:sz w:val="12"/>
              </w:rPr>
              <w:t>Product documentation with partitioning definitions, mechanisms, and storage</w:t>
            </w:r>
          </w:p>
        </w:tc>
        <w:tc>
          <w:tcPr>
            <w:tcW w:type="dxa" w:w="1704"/>
          </w:tcPr>
          <w:p>
            <w:pPr>
              <w:spacing w:after="0"/>
            </w:pPr>
            <w:r>
              <w:rPr>
                <w:rFonts w:ascii="Arial" w:hAnsi="Arial"/>
                <w:b w:val="0"/>
                <w:sz w:val="12"/>
              </w:rPr>
              <w:t>Evidence partitioning definitions, partitioning mechanisms, partitioned evidence storage, partitioned evidence retrieval</w:t>
            </w:r>
          </w:p>
        </w:tc>
        <w:tc>
          <w:tcPr>
            <w:tcW w:type="dxa" w:w="1704"/>
          </w:tcPr>
          <w:p>
            <w:pPr>
              <w:spacing w:after="0"/>
            </w:pPr>
            <w:r>
              <w:rPr>
                <w:rFonts w:ascii="Arial" w:hAnsi="Arial"/>
                <w:b w:val="0"/>
                <w:sz w:val="12"/>
              </w:rPr>
              <w:t>Partitioned retrieval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MAS evidence partitioning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MAS evidence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ALCS-09: Cross-Project Reuse Compliance</w:t>
      </w:r>
    </w:p>
    <w:p>
      <w:pPr>
        <w:spacing w:after="56"/>
      </w:pPr>
      <w:r>
        <w:t>Core question: Does the system provide primitives for ensuring compliance when reusing agents, models, or workflows across projects?</w:t>
      </w:r>
    </w:p>
    <w:p>
      <w:pPr>
        <w:spacing w:after="56"/>
      </w:pPr>
      <w:r>
        <w:t>What counts: Reuse compliance definitions, reuse tracking, reuse validation, reuse audit trails</w:t>
      </w:r>
    </w:p>
    <w:p>
      <w:pPr>
        <w:spacing w:after="56"/>
      </w:pPr>
      <w:r>
        <w:t>What does not count: General code reuse, reuse tracking without compliance validation, reuse tracking without lifecycle integration</w:t>
      </w:r>
    </w:p>
    <w:p>
      <w:pPr>
        <w:keepNext/>
      </w:pPr>
      <w:r>
        <w:rPr>
          <w:b/>
          <w:sz w:val="16"/>
        </w:rPr>
        <w:t>Table T-F-09: ALCS-09 Cross-Project Reuse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cross-project reuse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reuse compliance definitions, no reuse tracking, no reuse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cross-project reuse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cross-project reuse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Cross-project reuse compliance mentioned in marketing docs but no implementation details</w:t>
            </w:r>
          </w:p>
        </w:tc>
        <w:tc>
          <w:tcPr>
            <w:tcW w:type="dxa" w:w="1704"/>
          </w:tcPr>
          <w:p>
            <w:pPr>
              <w:spacing w:after="0"/>
            </w:pPr>
            <w:r>
              <w:rPr>
                <w:rFonts w:ascii="Arial" w:hAnsi="Arial"/>
                <w:b w:val="0"/>
                <w:sz w:val="12"/>
              </w:rPr>
              <w:t>Reuse compliance mentioned ≠ reuse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cross-project reuse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Reuse compliance definitions exist but no reuse tracking or reuse validation</w:t>
            </w:r>
          </w:p>
        </w:tc>
        <w:tc>
          <w:tcPr>
            <w:tcW w:type="dxa" w:w="1704"/>
          </w:tcPr>
          <w:p>
            <w:pPr>
              <w:spacing w:after="0"/>
            </w:pPr>
            <w:r>
              <w:rPr>
                <w:rFonts w:ascii="Arial" w:hAnsi="Arial"/>
                <w:b w:val="0"/>
                <w:sz w:val="12"/>
              </w:rPr>
              <w:t>Reuse definitions ≠ reuse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cross-project reuse compliance</w:t>
            </w:r>
          </w:p>
        </w:tc>
        <w:tc>
          <w:tcPr>
            <w:tcW w:type="dxa" w:w="1704"/>
          </w:tcPr>
          <w:p>
            <w:pPr>
              <w:spacing w:after="0"/>
            </w:pPr>
            <w:r>
              <w:rPr>
                <w:rFonts w:ascii="Arial" w:hAnsi="Arial"/>
                <w:b w:val="0"/>
                <w:sz w:val="12"/>
              </w:rPr>
              <w:t>Product documentation with reuse definitions and tracking</w:t>
            </w:r>
          </w:p>
        </w:tc>
        <w:tc>
          <w:tcPr>
            <w:tcW w:type="dxa" w:w="1704"/>
          </w:tcPr>
          <w:p>
            <w:pPr>
              <w:spacing w:after="0"/>
            </w:pPr>
            <w:r>
              <w:rPr>
                <w:rFonts w:ascii="Arial" w:hAnsi="Arial"/>
                <w:b w:val="0"/>
                <w:sz w:val="12"/>
              </w:rPr>
              <w:t>Reuse compliance definitions, reuse tracking, basic reuse validation</w:t>
            </w:r>
          </w:p>
        </w:tc>
        <w:tc>
          <w:tcPr>
            <w:tcW w:type="dxa" w:w="1704"/>
          </w:tcPr>
          <w:p>
            <w:pPr>
              <w:spacing w:after="0"/>
            </w:pPr>
            <w:r>
              <w:rPr>
                <w:rFonts w:ascii="Arial" w:hAnsi="Arial"/>
                <w:b w:val="0"/>
                <w:sz w:val="12"/>
              </w:rPr>
              <w:t>Reuse validation ≠ reuse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cross-project reuse compliance</w:t>
            </w:r>
          </w:p>
        </w:tc>
        <w:tc>
          <w:tcPr>
            <w:tcW w:type="dxa" w:w="1704"/>
          </w:tcPr>
          <w:p>
            <w:pPr>
              <w:spacing w:after="0"/>
            </w:pPr>
            <w:r>
              <w:rPr>
                <w:rFonts w:ascii="Arial" w:hAnsi="Arial"/>
                <w:b w:val="0"/>
                <w:sz w:val="12"/>
              </w:rPr>
              <w:t>Product documentation with reuse definitions, tracking, and validation</w:t>
            </w:r>
          </w:p>
        </w:tc>
        <w:tc>
          <w:tcPr>
            <w:tcW w:type="dxa" w:w="1704"/>
          </w:tcPr>
          <w:p>
            <w:pPr>
              <w:spacing w:after="0"/>
            </w:pPr>
            <w:r>
              <w:rPr>
                <w:rFonts w:ascii="Arial" w:hAnsi="Arial"/>
                <w:b w:val="0"/>
                <w:sz w:val="12"/>
              </w:rPr>
              <w:t>Reuse compliance definitions, reuse tracking, reuse validation, reuse audit trails</w:t>
            </w:r>
          </w:p>
        </w:tc>
        <w:tc>
          <w:tcPr>
            <w:tcW w:type="dxa" w:w="1704"/>
          </w:tcPr>
          <w:p>
            <w:pPr>
              <w:spacing w:after="0"/>
            </w:pPr>
            <w:r>
              <w:rPr>
                <w:rFonts w:ascii="Arial" w:hAnsi="Arial"/>
                <w:b w:val="0"/>
                <w:sz w:val="12"/>
              </w:rPr>
              <w:t>Reuse audit trails ≠ compliance enforcement or vendor substitution conformance</w:t>
            </w:r>
          </w:p>
        </w:tc>
        <w:tc>
          <w:tcPr>
            <w:tcW w:type="dxa" w:w="1704"/>
          </w:tcPr>
          <w:p>
            <w:pPr>
              <w:spacing w:after="0"/>
            </w:pPr>
            <w:r>
              <w:rPr>
                <w:rFonts w:ascii="Arial" w:hAnsi="Arial"/>
                <w:b w:val="0"/>
                <w:sz w:val="12"/>
              </w:rPr>
              <w:t>Strong coverage; enforcement and substitution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cross-project reuse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reuse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ALCS-10: Privacy/GDPR Lifecycle Mapping</w:t>
      </w:r>
    </w:p>
    <w:p>
      <w:pPr>
        <w:spacing w:after="56"/>
      </w:pPr>
      <w:r>
        <w:t>Core question: Does the system provide primitives for mapping privacy and GDPR requirements to AI lifecycle stages?</w:t>
      </w:r>
    </w:p>
    <w:p>
      <w:pPr>
        <w:spacing w:after="56"/>
      </w:pPr>
      <w:r>
        <w:t>What counts: Privacy lifecycle mapping definitions, GDPR requirement mapping, lifecycle stage integration, privacy audit trails</w:t>
      </w:r>
    </w:p>
    <w:p>
      <w:pPr>
        <w:spacing w:after="56"/>
      </w:pPr>
      <w:r>
        <w:t>What does not count: General privacy controls, privacy mapping without lifecycle integration, privacy mapping without GDPR-specific requirements</w:t>
      </w:r>
    </w:p>
    <w:p>
      <w:pPr>
        <w:keepNext/>
      </w:pPr>
      <w:r>
        <w:rPr>
          <w:b/>
          <w:sz w:val="16"/>
        </w:rPr>
        <w:t>Table T-F-10: ALCS-10 Privacy/GDPR Lifecycle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privacy/GDPR lifecycle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 mapping definitions, no GDPR requirement mapping, no lifecycle integration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privacy/GDPR lifecycle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privacy/GDPR lifecycle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Privacy/GDPR lifecycle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privacy/GDPR lifecycle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 mapping definitions exist but no GDPR requirement mapping or lifecycle integration</w:t>
            </w:r>
          </w:p>
        </w:tc>
        <w:tc>
          <w:tcPr>
            <w:tcW w:type="dxa" w:w="1704"/>
          </w:tcPr>
          <w:p>
            <w:pPr>
              <w:spacing w:after="0"/>
            </w:pPr>
            <w:r>
              <w:rPr>
                <w:rFonts w:ascii="Arial" w:hAnsi="Arial"/>
                <w:b w:val="0"/>
                <w:sz w:val="12"/>
              </w:rPr>
              <w:t>Privacy definitions ≠ GDPR mapping or lifecycle integration</w:t>
            </w:r>
          </w:p>
        </w:tc>
        <w:tc>
          <w:tcPr>
            <w:tcW w:type="dxa" w:w="1704"/>
          </w:tcPr>
          <w:p>
            <w:pPr>
              <w:spacing w:after="0"/>
            </w:pPr>
            <w:r>
              <w:rPr>
                <w:rFonts w:ascii="Arial" w:hAnsi="Arial"/>
                <w:b w:val="0"/>
                <w:sz w:val="12"/>
              </w:rPr>
              <w:t>Partial coverage; GDPR and lifecycle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privacy/GDPR lifecycle mapping</w:t>
            </w:r>
          </w:p>
        </w:tc>
        <w:tc>
          <w:tcPr>
            <w:tcW w:type="dxa" w:w="1704"/>
          </w:tcPr>
          <w:p>
            <w:pPr>
              <w:spacing w:after="0"/>
            </w:pPr>
            <w:r>
              <w:rPr>
                <w:rFonts w:ascii="Arial" w:hAnsi="Arial"/>
                <w:b w:val="0"/>
                <w:sz w:val="12"/>
              </w:rPr>
              <w:t>Product documentation with privacy mapping and GDPR requirements</w:t>
            </w:r>
          </w:p>
        </w:tc>
        <w:tc>
          <w:tcPr>
            <w:tcW w:type="dxa" w:w="1704"/>
          </w:tcPr>
          <w:p>
            <w:pPr>
              <w:spacing w:after="0"/>
            </w:pPr>
            <w:r>
              <w:rPr>
                <w:rFonts w:ascii="Arial" w:hAnsi="Arial"/>
                <w:b w:val="0"/>
                <w:sz w:val="12"/>
              </w:rPr>
              <w:t>Privacy lifecycle mapping definitions, GDPR requirement mapping, basic lifecycle stage integration</w:t>
            </w:r>
          </w:p>
        </w:tc>
        <w:tc>
          <w:tcPr>
            <w:tcW w:type="dxa" w:w="1704"/>
          </w:tcPr>
          <w:p>
            <w:pPr>
              <w:spacing w:after="0"/>
            </w:pPr>
            <w:r>
              <w:rPr>
                <w:rFonts w:ascii="Arial" w:hAnsi="Arial"/>
                <w:b w:val="0"/>
                <w:sz w:val="12"/>
              </w:rPr>
              <w:t>Lifecycle integration ≠ privacy audit trails or data subject rights workflows</w:t>
            </w:r>
          </w:p>
        </w:tc>
        <w:tc>
          <w:tcPr>
            <w:tcW w:type="dxa" w:w="1704"/>
          </w:tcPr>
          <w:p>
            <w:pPr>
              <w:spacing w:after="0"/>
            </w:pPr>
            <w:r>
              <w:rPr>
                <w:rFonts w:ascii="Arial" w:hAnsi="Arial"/>
                <w:b w:val="0"/>
                <w:sz w:val="12"/>
              </w:rPr>
              <w:t>Moderate coverage; audit and data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privacy/GDPR lifecycle mapping</w:t>
            </w:r>
          </w:p>
        </w:tc>
        <w:tc>
          <w:tcPr>
            <w:tcW w:type="dxa" w:w="1704"/>
          </w:tcPr>
          <w:p>
            <w:pPr>
              <w:spacing w:after="0"/>
            </w:pPr>
            <w:r>
              <w:rPr>
                <w:rFonts w:ascii="Arial" w:hAnsi="Arial"/>
                <w:b w:val="0"/>
                <w:sz w:val="12"/>
              </w:rPr>
              <w:t>Product documentation with privacy mapping, GDPR requirements, and lifecycle integration</w:t>
            </w:r>
          </w:p>
        </w:tc>
        <w:tc>
          <w:tcPr>
            <w:tcW w:type="dxa" w:w="1704"/>
          </w:tcPr>
          <w:p>
            <w:pPr>
              <w:spacing w:after="0"/>
            </w:pPr>
            <w:r>
              <w:rPr>
                <w:rFonts w:ascii="Arial" w:hAnsi="Arial"/>
                <w:b w:val="0"/>
                <w:sz w:val="12"/>
              </w:rPr>
              <w:t>Privacy lifecycle mapping definitions, GDPR requirement mapping, lifecycle stage integration, privacy audit trails</w:t>
            </w:r>
          </w:p>
        </w:tc>
        <w:tc>
          <w:tcPr>
            <w:tcW w:type="dxa" w:w="1704"/>
          </w:tcPr>
          <w:p>
            <w:pPr>
              <w:spacing w:after="0"/>
            </w:pPr>
            <w:r>
              <w:rPr>
                <w:rFonts w:ascii="Arial" w:hAnsi="Arial"/>
                <w:b w:val="0"/>
                <w:sz w:val="12"/>
              </w:rPr>
              <w:t>Privacy audit trails ≠ data subject rights workflows or evidence minimization</w:t>
            </w:r>
          </w:p>
        </w:tc>
        <w:tc>
          <w:tcPr>
            <w:tcW w:type="dxa" w:w="1704"/>
          </w:tcPr>
          <w:p>
            <w:pPr>
              <w:spacing w:after="0"/>
            </w:pPr>
            <w:r>
              <w:rPr>
                <w:rFonts w:ascii="Arial" w:hAnsi="Arial"/>
                <w:b w:val="0"/>
                <w:sz w:val="12"/>
              </w:rPr>
              <w:t>Strong coverage; data subject rights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privacy/GDPR lifecycle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25 data protection by design with AI lifecycle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ALCS-11: Privacy-Preserving Third-Party Validation</w:t>
      </w:r>
    </w:p>
    <w:p>
      <w:pPr>
        <w:spacing w:after="56"/>
      </w:pPr>
      <w:r>
        <w:t>Core question: Does the system provide primitives for third-party validation while preserving privacy and minimizing evidence disclosure?</w:t>
      </w:r>
    </w:p>
    <w:p>
      <w:pPr>
        <w:spacing w:after="56"/>
      </w:pPr>
      <w:r>
        <w:t>What counts: Privacy-preserving validation mechanisms, selective disclosure controls, third-party validation workflows, validation audit trails</w:t>
      </w:r>
    </w:p>
    <w:p>
      <w:pPr>
        <w:spacing w:after="56"/>
      </w:pPr>
      <w:r>
        <w:t>What does not count: General third-party access, validation without privacy controls, validation without selective disclosure</w:t>
      </w:r>
    </w:p>
    <w:p>
      <w:pPr>
        <w:keepNext/>
      </w:pPr>
      <w:r>
        <w:rPr>
          <w:b/>
          <w:sz w:val="16"/>
        </w:rPr>
        <w:t>Table T-F-11: ALCS-11 Privacy-Preserving Third-Party Validation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privacy-preserving third-party validation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privacy-preserving validation, no selective disclosure, no validation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privacy-preserving third-party validation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privacy-preserving third-party validation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Privacy-preserving validation mentioned in marketing docs but no implementation details</w:t>
            </w:r>
          </w:p>
        </w:tc>
        <w:tc>
          <w:tcPr>
            <w:tcW w:type="dxa" w:w="1704"/>
          </w:tcPr>
          <w:p>
            <w:pPr>
              <w:spacing w:after="0"/>
            </w:pPr>
            <w:r>
              <w:rPr>
                <w:rFonts w:ascii="Arial" w:hAnsi="Arial"/>
                <w:b w:val="0"/>
                <w:sz w:val="12"/>
              </w:rPr>
              <w:t>Validation mentioned ≠ validation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privacy-preserving third-party validation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Privacy-preserving validation mechanisms exist but no selective disclosure or validation workflows</w:t>
            </w:r>
          </w:p>
        </w:tc>
        <w:tc>
          <w:tcPr>
            <w:tcW w:type="dxa" w:w="1704"/>
          </w:tcPr>
          <w:p>
            <w:pPr>
              <w:spacing w:after="0"/>
            </w:pPr>
            <w:r>
              <w:rPr>
                <w:rFonts w:ascii="Arial" w:hAnsi="Arial"/>
                <w:b w:val="0"/>
                <w:sz w:val="12"/>
              </w:rPr>
              <w:t>Privacy mechanisms ≠ selective disclosure or workflows</w:t>
            </w:r>
          </w:p>
        </w:tc>
        <w:tc>
          <w:tcPr>
            <w:tcW w:type="dxa" w:w="1704"/>
          </w:tcPr>
          <w:p>
            <w:pPr>
              <w:spacing w:after="0"/>
            </w:pPr>
            <w:r>
              <w:rPr>
                <w:rFonts w:ascii="Arial" w:hAnsi="Arial"/>
                <w:b w:val="0"/>
                <w:sz w:val="12"/>
              </w:rPr>
              <w:t>Partial coverage; disclosure and workflow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privacy-preserving third-party validation</w:t>
            </w:r>
          </w:p>
        </w:tc>
        <w:tc>
          <w:tcPr>
            <w:tcW w:type="dxa" w:w="1704"/>
          </w:tcPr>
          <w:p>
            <w:pPr>
              <w:spacing w:after="0"/>
            </w:pPr>
            <w:r>
              <w:rPr>
                <w:rFonts w:ascii="Arial" w:hAnsi="Arial"/>
                <w:b w:val="0"/>
                <w:sz w:val="12"/>
              </w:rPr>
              <w:t>Product documentation with privacy mechanisms and selective disclosure</w:t>
            </w:r>
          </w:p>
        </w:tc>
        <w:tc>
          <w:tcPr>
            <w:tcW w:type="dxa" w:w="1704"/>
          </w:tcPr>
          <w:p>
            <w:pPr>
              <w:spacing w:after="0"/>
            </w:pPr>
            <w:r>
              <w:rPr>
                <w:rFonts w:ascii="Arial" w:hAnsi="Arial"/>
                <w:b w:val="0"/>
                <w:sz w:val="12"/>
              </w:rPr>
              <w:t>Privacy-preserving validation mechanisms, selective disclosure controls, basic third-party validation workflows</w:t>
            </w:r>
          </w:p>
        </w:tc>
        <w:tc>
          <w:tcPr>
            <w:tcW w:type="dxa" w:w="1704"/>
          </w:tcPr>
          <w:p>
            <w:pPr>
              <w:spacing w:after="0"/>
            </w:pPr>
            <w:r>
              <w:rPr>
                <w:rFonts w:ascii="Arial" w:hAnsi="Arial"/>
                <w:b w:val="0"/>
                <w:sz w:val="12"/>
              </w:rPr>
              <w:t>Validation workflows ≠ validation audit trails or evidence minimization</w:t>
            </w:r>
          </w:p>
        </w:tc>
        <w:tc>
          <w:tcPr>
            <w:tcW w:type="dxa" w:w="1704"/>
          </w:tcPr>
          <w:p>
            <w:pPr>
              <w:spacing w:after="0"/>
            </w:pPr>
            <w:r>
              <w:rPr>
                <w:rFonts w:ascii="Arial" w:hAnsi="Arial"/>
                <w:b w:val="0"/>
                <w:sz w:val="12"/>
              </w:rPr>
              <w:t>Moderate coverage; audit and minimization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privacy-preserving third-party validation</w:t>
            </w:r>
          </w:p>
        </w:tc>
        <w:tc>
          <w:tcPr>
            <w:tcW w:type="dxa" w:w="1704"/>
          </w:tcPr>
          <w:p>
            <w:pPr>
              <w:spacing w:after="0"/>
            </w:pPr>
            <w:r>
              <w:rPr>
                <w:rFonts w:ascii="Arial" w:hAnsi="Arial"/>
                <w:b w:val="0"/>
                <w:sz w:val="12"/>
              </w:rPr>
              <w:t>Product documentation with privacy mechanisms, disclosure, and workflows</w:t>
            </w:r>
          </w:p>
        </w:tc>
        <w:tc>
          <w:tcPr>
            <w:tcW w:type="dxa" w:w="1704"/>
          </w:tcPr>
          <w:p>
            <w:pPr>
              <w:spacing w:after="0"/>
            </w:pPr>
            <w:r>
              <w:rPr>
                <w:rFonts w:ascii="Arial" w:hAnsi="Arial"/>
                <w:b w:val="0"/>
                <w:sz w:val="12"/>
              </w:rPr>
              <w:t>Privacy-preserving validation mechanisms, selective disclosure controls, third-party validation workflows, validation audit trails</w:t>
            </w:r>
          </w:p>
        </w:tc>
        <w:tc>
          <w:tcPr>
            <w:tcW w:type="dxa" w:w="1704"/>
          </w:tcPr>
          <w:p>
            <w:pPr>
              <w:spacing w:after="0"/>
            </w:pPr>
            <w:r>
              <w:rPr>
                <w:rFonts w:ascii="Arial" w:hAnsi="Arial"/>
                <w:b w:val="0"/>
                <w:sz w:val="12"/>
              </w:rPr>
              <w:t>Validation audit trails ≠ evidence minimization or zero-knowledge proofs</w:t>
            </w:r>
          </w:p>
        </w:tc>
        <w:tc>
          <w:tcPr>
            <w:tcW w:type="dxa" w:w="1704"/>
          </w:tcPr>
          <w:p>
            <w:pPr>
              <w:spacing w:after="0"/>
            </w:pPr>
            <w:r>
              <w:rPr>
                <w:rFonts w:ascii="Arial" w:hAnsi="Arial"/>
                <w:b w:val="0"/>
                <w:sz w:val="12"/>
              </w:rPr>
              <w:t>Strong coverage; minimization and zero-knowledge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privacy-preserving third-party validation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third-party validation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ALCS-12: Evidence Minimization and Selective Disclosure</w:t>
      </w:r>
    </w:p>
    <w:p>
      <w:pPr>
        <w:spacing w:after="56"/>
      </w:pPr>
      <w:r>
        <w:t>Core question: Does the system provide primitives for evidence minimization and selective disclosure to reduce privacy risk?</w:t>
      </w:r>
    </w:p>
    <w:p>
      <w:pPr>
        <w:spacing w:after="56"/>
      </w:pPr>
      <w:r>
        <w:t>What counts: Evidence minimization policies, selective disclosure mechanisms, disclosure controls, minimization audit trails</w:t>
      </w:r>
    </w:p>
    <w:p>
      <w:pPr>
        <w:spacing w:after="56"/>
      </w:pPr>
      <w:r>
        <w:t>What does not count: General data minimization, minimization without lifecycle integration, minimization without selective disclosure controls</w:t>
      </w:r>
    </w:p>
    <w:p>
      <w:pPr>
        <w:keepNext/>
      </w:pPr>
      <w:r>
        <w:rPr>
          <w:b/>
          <w:sz w:val="16"/>
        </w:rPr>
        <w:t>Table T-F-12: ALCS-12 Evidence Minimization and Selective Disclosure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evidence minimization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minimization policies, no selective disclosure, no disclosure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evidence minimization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evidence minimization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Evidence minimization mentioned in marketing docs but no implementation details</w:t>
            </w:r>
          </w:p>
        </w:tc>
        <w:tc>
          <w:tcPr>
            <w:tcW w:type="dxa" w:w="1704"/>
          </w:tcPr>
          <w:p>
            <w:pPr>
              <w:spacing w:after="0"/>
            </w:pPr>
            <w:r>
              <w:rPr>
                <w:rFonts w:ascii="Arial" w:hAnsi="Arial"/>
                <w:b w:val="0"/>
                <w:sz w:val="12"/>
              </w:rPr>
              <w:t>Minimization mentioned ≠ minimization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evidence minimization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Minimization policies exist but no selective disclosure mechanisms or disclosure controls</w:t>
            </w:r>
          </w:p>
        </w:tc>
        <w:tc>
          <w:tcPr>
            <w:tcW w:type="dxa" w:w="1704"/>
          </w:tcPr>
          <w:p>
            <w:pPr>
              <w:spacing w:after="0"/>
            </w:pPr>
            <w:r>
              <w:rPr>
                <w:rFonts w:ascii="Arial" w:hAnsi="Arial"/>
                <w:b w:val="0"/>
                <w:sz w:val="12"/>
              </w:rPr>
              <w:t>Minimization policies ≠ selective disclosure or controls</w:t>
            </w:r>
          </w:p>
        </w:tc>
        <w:tc>
          <w:tcPr>
            <w:tcW w:type="dxa" w:w="1704"/>
          </w:tcPr>
          <w:p>
            <w:pPr>
              <w:spacing w:after="0"/>
            </w:pPr>
            <w:r>
              <w:rPr>
                <w:rFonts w:ascii="Arial" w:hAnsi="Arial"/>
                <w:b w:val="0"/>
                <w:sz w:val="12"/>
              </w:rPr>
              <w:t>Partial coverage; disclosure and control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evidence minimization</w:t>
            </w:r>
          </w:p>
        </w:tc>
        <w:tc>
          <w:tcPr>
            <w:tcW w:type="dxa" w:w="1704"/>
          </w:tcPr>
          <w:p>
            <w:pPr>
              <w:spacing w:after="0"/>
            </w:pPr>
            <w:r>
              <w:rPr>
                <w:rFonts w:ascii="Arial" w:hAnsi="Arial"/>
                <w:b w:val="0"/>
                <w:sz w:val="12"/>
              </w:rPr>
              <w:t>Product documentation with minimization policies and selective disclosure</w:t>
            </w:r>
          </w:p>
        </w:tc>
        <w:tc>
          <w:tcPr>
            <w:tcW w:type="dxa" w:w="1704"/>
          </w:tcPr>
          <w:p>
            <w:pPr>
              <w:spacing w:after="0"/>
            </w:pPr>
            <w:r>
              <w:rPr>
                <w:rFonts w:ascii="Arial" w:hAnsi="Arial"/>
                <w:b w:val="0"/>
                <w:sz w:val="12"/>
              </w:rPr>
              <w:t>Evidence minimization policies, selective disclosure mechanisms, basic disclosure controls</w:t>
            </w:r>
          </w:p>
        </w:tc>
        <w:tc>
          <w:tcPr>
            <w:tcW w:type="dxa" w:w="1704"/>
          </w:tcPr>
          <w:p>
            <w:pPr>
              <w:spacing w:after="0"/>
            </w:pPr>
            <w:r>
              <w:rPr>
                <w:rFonts w:ascii="Arial" w:hAnsi="Arial"/>
                <w:b w:val="0"/>
                <w:sz w:val="12"/>
              </w:rPr>
              <w:t>Disclosure controls ≠ minimization audit trails or retention enforcement</w:t>
            </w:r>
          </w:p>
        </w:tc>
        <w:tc>
          <w:tcPr>
            <w:tcW w:type="dxa" w:w="1704"/>
          </w:tcPr>
          <w:p>
            <w:pPr>
              <w:spacing w:after="0"/>
            </w:pPr>
            <w:r>
              <w:rPr>
                <w:rFonts w:ascii="Arial" w:hAnsi="Arial"/>
                <w:b w:val="0"/>
                <w:sz w:val="12"/>
              </w:rPr>
              <w:t>Moderate coverage; audit and retention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evidence minimization</w:t>
            </w:r>
          </w:p>
        </w:tc>
        <w:tc>
          <w:tcPr>
            <w:tcW w:type="dxa" w:w="1704"/>
          </w:tcPr>
          <w:p>
            <w:pPr>
              <w:spacing w:after="0"/>
            </w:pPr>
            <w:r>
              <w:rPr>
                <w:rFonts w:ascii="Arial" w:hAnsi="Arial"/>
                <w:b w:val="0"/>
                <w:sz w:val="12"/>
              </w:rPr>
              <w:t>Product documentation with minimization policies, disclosure, and controls</w:t>
            </w:r>
          </w:p>
        </w:tc>
        <w:tc>
          <w:tcPr>
            <w:tcW w:type="dxa" w:w="1704"/>
          </w:tcPr>
          <w:p>
            <w:pPr>
              <w:spacing w:after="0"/>
            </w:pPr>
            <w:r>
              <w:rPr>
                <w:rFonts w:ascii="Arial" w:hAnsi="Arial"/>
                <w:b w:val="0"/>
                <w:sz w:val="12"/>
              </w:rPr>
              <w:t>Evidence minimization policies, selective disclosure mechanisms, disclosure controls, minimization audit trails</w:t>
            </w:r>
          </w:p>
        </w:tc>
        <w:tc>
          <w:tcPr>
            <w:tcW w:type="dxa" w:w="1704"/>
          </w:tcPr>
          <w:p>
            <w:pPr>
              <w:spacing w:after="0"/>
            </w:pPr>
            <w:r>
              <w:rPr>
                <w:rFonts w:ascii="Arial" w:hAnsi="Arial"/>
                <w:b w:val="0"/>
                <w:sz w:val="12"/>
              </w:rPr>
              <w:t>Minimization audit trails ≠ retention enforcement or data subject rights integration</w:t>
            </w:r>
          </w:p>
        </w:tc>
        <w:tc>
          <w:tcPr>
            <w:tcW w:type="dxa" w:w="1704"/>
          </w:tcPr>
          <w:p>
            <w:pPr>
              <w:spacing w:after="0"/>
            </w:pPr>
            <w:r>
              <w:rPr>
                <w:rFonts w:ascii="Arial" w:hAnsi="Arial"/>
                <w:b w:val="0"/>
                <w:sz w:val="12"/>
              </w:rPr>
              <w:t>Strong coverage; retention and data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evidence minimization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ALCS-13: Data Subject Rights vs Evidence Retention</w:t>
      </w:r>
    </w:p>
    <w:p>
      <w:pPr>
        <w:spacing w:after="56"/>
      </w:pPr>
      <w:r>
        <w:t>Core question: Does the system provide primitives for balancing data subject rights (erasure, portability) with evidence retention requirements?</w:t>
      </w:r>
    </w:p>
    <w:p>
      <w:pPr>
        <w:spacing w:after="56"/>
      </w:pPr>
      <w:r>
        <w:t>What counts: Data subject rights workflows, evidence retention policies, rights-retention conflict resolution, conflict audit trails</w:t>
      </w:r>
    </w:p>
    <w:p>
      <w:pPr>
        <w:spacing w:after="56"/>
      </w:pPr>
      <w:r>
        <w:t>What does not count: General data subject rights, rights workflows without evidence retention integration, rights workflows without conflict resolution</w:t>
      </w:r>
    </w:p>
    <w:p>
      <w:pPr>
        <w:keepNext/>
      </w:pPr>
      <w:r>
        <w:rPr>
          <w:b/>
          <w:sz w:val="16"/>
        </w:rPr>
        <w:t>Table T-F-13: ALCS-13 Data Subject Rights vs Evidence Retention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subject rights vs evidence retention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subject rights workflows, no evidence retention policies, no conflict resolution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subject rights vs evidence retention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subject rights vs evidence retention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subject rights vs evidence retention mentioned in marketing docs but no implementation details</w:t>
            </w:r>
          </w:p>
        </w:tc>
        <w:tc>
          <w:tcPr>
            <w:tcW w:type="dxa" w:w="1704"/>
          </w:tcPr>
          <w:p>
            <w:pPr>
              <w:spacing w:after="0"/>
            </w:pPr>
            <w:r>
              <w:rPr>
                <w:rFonts w:ascii="Arial" w:hAnsi="Arial"/>
                <w:b w:val="0"/>
                <w:sz w:val="12"/>
              </w:rPr>
              <w:t>Rights-retention mentioned ≠ rights-retention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subject rights vs evidence retention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subject rights workflows exist but no evidence retention policies or conflict resolution</w:t>
            </w:r>
          </w:p>
        </w:tc>
        <w:tc>
          <w:tcPr>
            <w:tcW w:type="dxa" w:w="1704"/>
          </w:tcPr>
          <w:p>
            <w:pPr>
              <w:spacing w:after="0"/>
            </w:pPr>
            <w:r>
              <w:rPr>
                <w:rFonts w:ascii="Arial" w:hAnsi="Arial"/>
                <w:b w:val="0"/>
                <w:sz w:val="12"/>
              </w:rPr>
              <w:t>Rights workflows ≠ retention policies or conflict resolution</w:t>
            </w:r>
          </w:p>
        </w:tc>
        <w:tc>
          <w:tcPr>
            <w:tcW w:type="dxa" w:w="1704"/>
          </w:tcPr>
          <w:p>
            <w:pPr>
              <w:spacing w:after="0"/>
            </w:pPr>
            <w:r>
              <w:rPr>
                <w:rFonts w:ascii="Arial" w:hAnsi="Arial"/>
                <w:b w:val="0"/>
                <w:sz w:val="12"/>
              </w:rPr>
              <w:t>Partial coverage; retention and conflict resolution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subject rights vs evidence retention</w:t>
            </w:r>
          </w:p>
        </w:tc>
        <w:tc>
          <w:tcPr>
            <w:tcW w:type="dxa" w:w="1704"/>
          </w:tcPr>
          <w:p>
            <w:pPr>
              <w:spacing w:after="0"/>
            </w:pPr>
            <w:r>
              <w:rPr>
                <w:rFonts w:ascii="Arial" w:hAnsi="Arial"/>
                <w:b w:val="0"/>
                <w:sz w:val="12"/>
              </w:rPr>
              <w:t>Product documentation with rights workflows and retention policies</w:t>
            </w:r>
          </w:p>
        </w:tc>
        <w:tc>
          <w:tcPr>
            <w:tcW w:type="dxa" w:w="1704"/>
          </w:tcPr>
          <w:p>
            <w:pPr>
              <w:spacing w:after="0"/>
            </w:pPr>
            <w:r>
              <w:rPr>
                <w:rFonts w:ascii="Arial" w:hAnsi="Arial"/>
                <w:b w:val="0"/>
                <w:sz w:val="12"/>
              </w:rPr>
              <w:t>Data subject rights workflows, evidence retention policies, basic rights-retention conflict resolution</w:t>
            </w:r>
          </w:p>
        </w:tc>
        <w:tc>
          <w:tcPr>
            <w:tcW w:type="dxa" w:w="1704"/>
          </w:tcPr>
          <w:p>
            <w:pPr>
              <w:spacing w:after="0"/>
            </w:pPr>
            <w:r>
              <w:rPr>
                <w:rFonts w:ascii="Arial" w:hAnsi="Arial"/>
                <w:b w:val="0"/>
                <w:sz w:val="12"/>
              </w:rPr>
              <w:t>Conflict resolution ≠ conflict audit trails or legal basis tracking</w:t>
            </w:r>
          </w:p>
        </w:tc>
        <w:tc>
          <w:tcPr>
            <w:tcW w:type="dxa" w:w="1704"/>
          </w:tcPr>
          <w:p>
            <w:pPr>
              <w:spacing w:after="0"/>
            </w:pPr>
            <w:r>
              <w:rPr>
                <w:rFonts w:ascii="Arial" w:hAnsi="Arial"/>
                <w:b w:val="0"/>
                <w:sz w:val="12"/>
              </w:rPr>
              <w:t>Moderate coverage; audit and legal basis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subject rights vs evidence retention</w:t>
            </w:r>
          </w:p>
        </w:tc>
        <w:tc>
          <w:tcPr>
            <w:tcW w:type="dxa" w:w="1704"/>
          </w:tcPr>
          <w:p>
            <w:pPr>
              <w:spacing w:after="0"/>
            </w:pPr>
            <w:r>
              <w:rPr>
                <w:rFonts w:ascii="Arial" w:hAnsi="Arial"/>
                <w:b w:val="0"/>
                <w:sz w:val="12"/>
              </w:rPr>
              <w:t>Product documentation with rights workflows, retention policies, and conflict resolution</w:t>
            </w:r>
          </w:p>
        </w:tc>
        <w:tc>
          <w:tcPr>
            <w:tcW w:type="dxa" w:w="1704"/>
          </w:tcPr>
          <w:p>
            <w:pPr>
              <w:spacing w:after="0"/>
            </w:pPr>
            <w:r>
              <w:rPr>
                <w:rFonts w:ascii="Arial" w:hAnsi="Arial"/>
                <w:b w:val="0"/>
                <w:sz w:val="12"/>
              </w:rPr>
              <w:t>Data subject rights workflows, evidence retention policies, rights-retention conflict resolution, conflict audit trails</w:t>
            </w:r>
          </w:p>
        </w:tc>
        <w:tc>
          <w:tcPr>
            <w:tcW w:type="dxa" w:w="1704"/>
          </w:tcPr>
          <w:p>
            <w:pPr>
              <w:spacing w:after="0"/>
            </w:pPr>
            <w:r>
              <w:rPr>
                <w:rFonts w:ascii="Arial" w:hAnsi="Arial"/>
                <w:b w:val="0"/>
                <w:sz w:val="12"/>
              </w:rPr>
              <w:t>Conflict audit trails ≠ legal basis tracking or regulatory exemption tracking</w:t>
            </w:r>
          </w:p>
        </w:tc>
        <w:tc>
          <w:tcPr>
            <w:tcW w:type="dxa" w:w="1704"/>
          </w:tcPr>
          <w:p>
            <w:pPr>
              <w:spacing w:after="0"/>
            </w:pPr>
            <w:r>
              <w:rPr>
                <w:rFonts w:ascii="Arial" w:hAnsi="Arial"/>
                <w:b w:val="0"/>
                <w:sz w:val="12"/>
              </w:rPr>
              <w:t>Strong coverage; legal basis and exemption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data subject rights vs evidence retention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17 right to erasure with legal basis exemptions;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ALCS-14: Third-Party Processor/Subprocessor Chain</w:t>
      </w:r>
    </w:p>
    <w:p>
      <w:pPr>
        <w:spacing w:after="56"/>
      </w:pPr>
      <w:r>
        <w:t>Core question: Does the system provide primitives for tracking third-party processor and subprocessor chains in AI lifecycle workflows?</w:t>
      </w:r>
    </w:p>
    <w:p>
      <w:pPr>
        <w:spacing w:after="56"/>
      </w:pPr>
      <w:r>
        <w:t>What counts: Processor chain definitions, processor tracking, processor compliance validation, processor audit trails</w:t>
      </w:r>
    </w:p>
    <w:p>
      <w:pPr>
        <w:spacing w:after="56"/>
      </w:pPr>
      <w:r>
        <w:t>What does not count: General vendor management, processor tracking without compliance validation, processor tracking without lifecycle integration</w:t>
      </w:r>
    </w:p>
    <w:p>
      <w:pPr>
        <w:keepNext/>
      </w:pPr>
      <w:r>
        <w:rPr>
          <w:b/>
          <w:sz w:val="16"/>
        </w:rPr>
        <w:t>Table T-F-14: ALCS-14 Third-Party Processor/Subprocessor Chain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third-party processor chain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processor chain definitions, no processor tracking, no compliance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third-party processor chain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third-party processor chain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Third-party processor chain mentioned in marketing docs but no implementation details</w:t>
            </w:r>
          </w:p>
        </w:tc>
        <w:tc>
          <w:tcPr>
            <w:tcW w:type="dxa" w:w="1704"/>
          </w:tcPr>
          <w:p>
            <w:pPr>
              <w:spacing w:after="0"/>
            </w:pPr>
            <w:r>
              <w:rPr>
                <w:rFonts w:ascii="Arial" w:hAnsi="Arial"/>
                <w:b w:val="0"/>
                <w:sz w:val="12"/>
              </w:rPr>
              <w:t>Processor chain mentioned ≠ processor chain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third-party processor chain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Processor chain definitions exist but no processor tracking or compliance validation</w:t>
            </w:r>
          </w:p>
        </w:tc>
        <w:tc>
          <w:tcPr>
            <w:tcW w:type="dxa" w:w="1704"/>
          </w:tcPr>
          <w:p>
            <w:pPr>
              <w:spacing w:after="0"/>
            </w:pPr>
            <w:r>
              <w:rPr>
                <w:rFonts w:ascii="Arial" w:hAnsi="Arial"/>
                <w:b w:val="0"/>
                <w:sz w:val="12"/>
              </w:rPr>
              <w:t>Processor definitions ≠ processor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third-party processor chain</w:t>
            </w:r>
          </w:p>
        </w:tc>
        <w:tc>
          <w:tcPr>
            <w:tcW w:type="dxa" w:w="1704"/>
          </w:tcPr>
          <w:p>
            <w:pPr>
              <w:spacing w:after="0"/>
            </w:pPr>
            <w:r>
              <w:rPr>
                <w:rFonts w:ascii="Arial" w:hAnsi="Arial"/>
                <w:b w:val="0"/>
                <w:sz w:val="12"/>
              </w:rPr>
              <w:t>Product documentation with processor definitions and tracking</w:t>
            </w:r>
          </w:p>
        </w:tc>
        <w:tc>
          <w:tcPr>
            <w:tcW w:type="dxa" w:w="1704"/>
          </w:tcPr>
          <w:p>
            <w:pPr>
              <w:spacing w:after="0"/>
            </w:pPr>
            <w:r>
              <w:rPr>
                <w:rFonts w:ascii="Arial" w:hAnsi="Arial"/>
                <w:b w:val="0"/>
                <w:sz w:val="12"/>
              </w:rPr>
              <w:t>Processor chain definitions, processor tracking, basic processor compliance validation</w:t>
            </w:r>
          </w:p>
        </w:tc>
        <w:tc>
          <w:tcPr>
            <w:tcW w:type="dxa" w:w="1704"/>
          </w:tcPr>
          <w:p>
            <w:pPr>
              <w:spacing w:after="0"/>
            </w:pPr>
            <w:r>
              <w:rPr>
                <w:rFonts w:ascii="Arial" w:hAnsi="Arial"/>
                <w:b w:val="0"/>
                <w:sz w:val="12"/>
              </w:rPr>
              <w:t>Compliance validation ≠ processor audit trails or subprocessor notification</w:t>
            </w:r>
          </w:p>
        </w:tc>
        <w:tc>
          <w:tcPr>
            <w:tcW w:type="dxa" w:w="1704"/>
          </w:tcPr>
          <w:p>
            <w:pPr>
              <w:spacing w:after="0"/>
            </w:pPr>
            <w:r>
              <w:rPr>
                <w:rFonts w:ascii="Arial" w:hAnsi="Arial"/>
                <w:b w:val="0"/>
                <w:sz w:val="12"/>
              </w:rPr>
              <w:t>Moderate coverage; audit and notification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third-party processor chain</w:t>
            </w:r>
          </w:p>
        </w:tc>
        <w:tc>
          <w:tcPr>
            <w:tcW w:type="dxa" w:w="1704"/>
          </w:tcPr>
          <w:p>
            <w:pPr>
              <w:spacing w:after="0"/>
            </w:pPr>
            <w:r>
              <w:rPr>
                <w:rFonts w:ascii="Arial" w:hAnsi="Arial"/>
                <w:b w:val="0"/>
                <w:sz w:val="12"/>
              </w:rPr>
              <w:t>Product documentation with processor definitions, tracking, and validation</w:t>
            </w:r>
          </w:p>
        </w:tc>
        <w:tc>
          <w:tcPr>
            <w:tcW w:type="dxa" w:w="1704"/>
          </w:tcPr>
          <w:p>
            <w:pPr>
              <w:spacing w:after="0"/>
            </w:pPr>
            <w:r>
              <w:rPr>
                <w:rFonts w:ascii="Arial" w:hAnsi="Arial"/>
                <w:b w:val="0"/>
                <w:sz w:val="12"/>
              </w:rPr>
              <w:t>Processor chain definitions, processor tracking, processor compliance validation, processor audit trails</w:t>
            </w:r>
          </w:p>
        </w:tc>
        <w:tc>
          <w:tcPr>
            <w:tcW w:type="dxa" w:w="1704"/>
          </w:tcPr>
          <w:p>
            <w:pPr>
              <w:spacing w:after="0"/>
            </w:pPr>
            <w:r>
              <w:rPr>
                <w:rFonts w:ascii="Arial" w:hAnsi="Arial"/>
                <w:b w:val="0"/>
                <w:sz w:val="12"/>
              </w:rPr>
              <w:t>Processor audit trails ≠ subprocessor notification or data transfer impact assessment</w:t>
            </w:r>
          </w:p>
        </w:tc>
        <w:tc>
          <w:tcPr>
            <w:tcW w:type="dxa" w:w="1704"/>
          </w:tcPr>
          <w:p>
            <w:pPr>
              <w:spacing w:after="0"/>
            </w:pPr>
            <w:r>
              <w:rPr>
                <w:rFonts w:ascii="Arial" w:hAnsi="Arial"/>
                <w:b w:val="0"/>
                <w:sz w:val="12"/>
              </w:rPr>
              <w:t>Strong coverage; notification and impact assessment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third-party processor chain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28 processor requirements with subprocessor chain tracking;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ALCS-15: Vendor/Model/Runtime Substitution Conformance</w:t>
      </w:r>
    </w:p>
    <w:p>
      <w:pPr>
        <w:spacing w:after="56"/>
      </w:pPr>
      <w:r>
        <w:t>Core question: Does the system provide primitives for ensuring conformance when substituting vendors, models, or runtimes?</w:t>
      </w:r>
    </w:p>
    <w:p>
      <w:pPr>
        <w:spacing w:after="56"/>
      </w:pPr>
      <w:r>
        <w:t>What counts: Substitution conformance definitions, substitution tracking, substitution validation, substitution audit trails</w:t>
      </w:r>
    </w:p>
    <w:p>
      <w:pPr>
        <w:spacing w:after="56"/>
      </w:pPr>
      <w:r>
        <w:t>What does not count: General configuration management, substitution tracking without conformance validation, substitution tracking without lifecycle integration</w:t>
      </w:r>
    </w:p>
    <w:p>
      <w:pPr>
        <w:keepNext/>
      </w:pPr>
      <w:r>
        <w:rPr>
          <w:b/>
          <w:sz w:val="16"/>
        </w:rPr>
        <w:t>Table T-F-15: ALCS-15 Vendor/Model/Runtime Substitution Conformance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vendor/model/runtime substitution conformance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substitution conformance definitions, no substitution tracking, no substitution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vendor/model/runtime substitution conformance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vendor/model/runtime substitution conformance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Substitution conformance mentioned in marketing docs but no implementation details</w:t>
            </w:r>
          </w:p>
        </w:tc>
        <w:tc>
          <w:tcPr>
            <w:tcW w:type="dxa" w:w="1704"/>
          </w:tcPr>
          <w:p>
            <w:pPr>
              <w:spacing w:after="0"/>
            </w:pPr>
            <w:r>
              <w:rPr>
                <w:rFonts w:ascii="Arial" w:hAnsi="Arial"/>
                <w:b w:val="0"/>
                <w:sz w:val="12"/>
              </w:rPr>
              <w:t>Substitution mentioned ≠ substitution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vendor/model/runtime substitution conformance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Substitution conformance definitions exist but no substitution tracking or substitution validation</w:t>
            </w:r>
          </w:p>
        </w:tc>
        <w:tc>
          <w:tcPr>
            <w:tcW w:type="dxa" w:w="1704"/>
          </w:tcPr>
          <w:p>
            <w:pPr>
              <w:spacing w:after="0"/>
            </w:pPr>
            <w:r>
              <w:rPr>
                <w:rFonts w:ascii="Arial" w:hAnsi="Arial"/>
                <w:b w:val="0"/>
                <w:sz w:val="12"/>
              </w:rPr>
              <w:t>Substitution definitions ≠ substitution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vendor/model/runtime substitution conformance</w:t>
            </w:r>
          </w:p>
        </w:tc>
        <w:tc>
          <w:tcPr>
            <w:tcW w:type="dxa" w:w="1704"/>
          </w:tcPr>
          <w:p>
            <w:pPr>
              <w:spacing w:after="0"/>
            </w:pPr>
            <w:r>
              <w:rPr>
                <w:rFonts w:ascii="Arial" w:hAnsi="Arial"/>
                <w:b w:val="0"/>
                <w:sz w:val="12"/>
              </w:rPr>
              <w:t>Product documentation with substitution definitions and tracking</w:t>
            </w:r>
          </w:p>
        </w:tc>
        <w:tc>
          <w:tcPr>
            <w:tcW w:type="dxa" w:w="1704"/>
          </w:tcPr>
          <w:p>
            <w:pPr>
              <w:spacing w:after="0"/>
            </w:pPr>
            <w:r>
              <w:rPr>
                <w:rFonts w:ascii="Arial" w:hAnsi="Arial"/>
                <w:b w:val="0"/>
                <w:sz w:val="12"/>
              </w:rPr>
              <w:t>Substitution conformance definitions, substitution tracking, basic substitution validation</w:t>
            </w:r>
          </w:p>
        </w:tc>
        <w:tc>
          <w:tcPr>
            <w:tcW w:type="dxa" w:w="1704"/>
          </w:tcPr>
          <w:p>
            <w:pPr>
              <w:spacing w:after="0"/>
            </w:pPr>
            <w:r>
              <w:rPr>
                <w:rFonts w:ascii="Arial" w:hAnsi="Arial"/>
                <w:b w:val="0"/>
                <w:sz w:val="12"/>
              </w:rPr>
              <w:t>Substitution validation ≠ substitution audit trails or cross-project reuse compliance</w:t>
            </w:r>
          </w:p>
        </w:tc>
        <w:tc>
          <w:tcPr>
            <w:tcW w:type="dxa" w:w="1704"/>
          </w:tcPr>
          <w:p>
            <w:pPr>
              <w:spacing w:after="0"/>
            </w:pPr>
            <w:r>
              <w:rPr>
                <w:rFonts w:ascii="Arial" w:hAnsi="Arial"/>
                <w:b w:val="0"/>
                <w:sz w:val="12"/>
              </w:rPr>
              <w:t>Moderate coverage; audit and reuse compliance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vendor/model/runtime substitution conformance</w:t>
            </w:r>
          </w:p>
        </w:tc>
        <w:tc>
          <w:tcPr>
            <w:tcW w:type="dxa" w:w="1704"/>
          </w:tcPr>
          <w:p>
            <w:pPr>
              <w:spacing w:after="0"/>
            </w:pPr>
            <w:r>
              <w:rPr>
                <w:rFonts w:ascii="Arial" w:hAnsi="Arial"/>
                <w:b w:val="0"/>
                <w:sz w:val="12"/>
              </w:rPr>
              <w:t>Product documentation with substitution definitions, tracking, and validation</w:t>
            </w:r>
          </w:p>
        </w:tc>
        <w:tc>
          <w:tcPr>
            <w:tcW w:type="dxa" w:w="1704"/>
          </w:tcPr>
          <w:p>
            <w:pPr>
              <w:spacing w:after="0"/>
            </w:pPr>
            <w:r>
              <w:rPr>
                <w:rFonts w:ascii="Arial" w:hAnsi="Arial"/>
                <w:b w:val="0"/>
                <w:sz w:val="12"/>
              </w:rPr>
              <w:t>Substitution conformance definitions, substitution tracking, substitution validation, substitution audit trails</w:t>
            </w:r>
          </w:p>
        </w:tc>
        <w:tc>
          <w:tcPr>
            <w:tcW w:type="dxa" w:w="1704"/>
          </w:tcPr>
          <w:p>
            <w:pPr>
              <w:spacing w:after="0"/>
            </w:pPr>
            <w:r>
              <w:rPr>
                <w:rFonts w:ascii="Arial" w:hAnsi="Arial"/>
                <w:b w:val="0"/>
                <w:sz w:val="12"/>
              </w:rPr>
              <w:t>Substitution audit trails ≠ cross-project reuse compliance or evidence re-partitioning</w:t>
            </w:r>
          </w:p>
        </w:tc>
        <w:tc>
          <w:tcPr>
            <w:tcW w:type="dxa" w:w="1704"/>
          </w:tcPr>
          <w:p>
            <w:pPr>
              <w:spacing w:after="0"/>
            </w:pPr>
            <w:r>
              <w:rPr>
                <w:rFonts w:ascii="Arial" w:hAnsi="Arial"/>
                <w:b w:val="0"/>
                <w:sz w:val="12"/>
              </w:rPr>
              <w:t>Strong coverage; reuse compliance and re-partitioning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vendor/model/runtime substitution conformance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substitution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2"/>
      </w:pPr>
      <w:r>
        <w:t>F.3 ALCS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ALCS-01 Human-Role-to-MAS Responsibility Mapping</w:t>
        <w:br/>
        <w:t>Raw Score: 3 (Moderate capability)</w:t>
        <w:br/>
        <w:t>Evidence Level: L2 (Product documentation)</w:t>
        <w:br/>
        <w:t>Evidence Multiplier: 0.85</w:t>
        <w:br/>
        <w:t>Dimension Score: (3/5) × 100 × 0.85 = 51.0</w:t>
      </w:r>
    </w:p>
    <w:p>
      <w:pPr>
        <w:pStyle w:val="Heading2"/>
      </w:pPr>
      <w:r>
        <w:t>F.4 ALCS Scoring Notes and Negative Controls</w:t>
      </w:r>
    </w:p>
    <w:p>
      <w:pPr>
        <w:spacing w:after="56"/>
      </w:pPr>
      <w:r>
        <w:t>Negative controls prevent overclaim:</w:t>
      </w:r>
    </w:p>
    <w:p>
      <w:pPr>
        <w:pStyle w:val="ListNumber"/>
        <w:spacing w:after="56"/>
      </w:pPr>
      <w:r>
        <w:t>Human-role-to-MAS mapping mentioned ≠ mapping implemented</w:t>
      </w:r>
    </w:p>
    <w:p>
      <w:pPr>
        <w:pStyle w:val="ListBullet"/>
        <w:spacing w:after="56"/>
      </w:pPr>
      <w:r>
        <w:t>Vendor marketing materials may mention human-role-to-MAS mapping without providing implementation details</w:t>
      </w:r>
    </w:p>
    <w:p>
      <w:pPr>
        <w:pStyle w:val="ListBullet"/>
        <w:spacing w:after="56"/>
      </w:pPr>
      <w:r>
        <w:t>Require product documentation or audit evidence to validate implementation</w:t>
      </w:r>
    </w:p>
    <w:p>
      <w:pPr>
        <w:pStyle w:val="ListNumber"/>
        <w:spacing w:after="56"/>
      </w:pPr>
      <w:r>
        <w:t>Authority definitions ≠ delegation workflows or enforcement</w:t>
      </w:r>
    </w:p>
    <w:p>
      <w:pPr>
        <w:pStyle w:val="ListBullet"/>
        <w:spacing w:after="56"/>
      </w:pPr>
      <w:r>
        <w:t>Authority boundary definitions do not automatically provide delegation workflows or enforcement mechanisms</w:t>
      </w:r>
    </w:p>
    <w:p>
      <w:pPr>
        <w:pStyle w:val="ListBullet"/>
        <w:spacing w:after="56"/>
      </w:pPr>
      <w:r>
        <w:t>Require explicit evidence of delegation and enforcement capabilities</w:t>
      </w:r>
    </w:p>
    <w:p>
      <w:pPr>
        <w:pStyle w:val="ListNumber"/>
        <w:spacing w:after="56"/>
      </w:pPr>
      <w:r>
        <w:t>Agent roles ≠ human roles or distinction mechanisms</w:t>
      </w:r>
    </w:p>
    <w:p>
      <w:pPr>
        <w:pStyle w:val="ListBullet"/>
        <w:spacing w:after="56"/>
      </w:pPr>
      <w:r>
        <w:t>Agent role definitions do not automatically provide human role definitions or distinction mechanisms</w:t>
      </w:r>
    </w:p>
    <w:p>
      <w:pPr>
        <w:pStyle w:val="ListBullet"/>
        <w:spacing w:after="56"/>
      </w:pPr>
      <w:r>
        <w:t>Require explicit evidence of human roles and distinction capabilities</w:t>
      </w:r>
    </w:p>
    <w:p>
      <w:pPr>
        <w:pStyle w:val="ListNumber"/>
        <w:spacing w:after="56"/>
      </w:pPr>
      <w:r>
        <w:t>Outcome definitions ≠ acceptance workflows or compliance tracking</w:t>
      </w:r>
    </w:p>
    <w:p>
      <w:pPr>
        <w:pStyle w:val="ListBullet"/>
        <w:spacing w:after="56"/>
      </w:pPr>
      <w:r>
        <w:t>Accepted outcome definitions do not automatically provide acceptance workflows or compliance tracking</w:t>
      </w:r>
    </w:p>
    <w:p>
      <w:pPr>
        <w:pStyle w:val="ListBullet"/>
        <w:spacing w:after="56"/>
      </w:pPr>
      <w:r>
        <w:t>Require explicit evidence of acceptance and compliance capabilities</w:t>
      </w:r>
    </w:p>
    <w:p>
      <w:pPr>
        <w:pStyle w:val="ListNumber"/>
        <w:spacing w:after="56"/>
      </w:pPr>
      <w:r>
        <w:t>Liability definitions ≠ boundary enforcement or tracking</w:t>
      </w:r>
    </w:p>
    <w:p>
      <w:pPr>
        <w:pStyle w:val="ListBullet"/>
        <w:spacing w:after="56"/>
      </w:pPr>
      <w:r>
        <w:t>Tool-action liability definitions do not automatically provide boundary enforcement or liability tracking</w:t>
      </w:r>
    </w:p>
    <w:p>
      <w:pPr>
        <w:pStyle w:val="ListBullet"/>
        <w:spacing w:after="56"/>
      </w:pPr>
      <w:r>
        <w:t>Require explicit evidence of enforcement and tracking capabilities</w:t>
      </w:r>
    </w:p>
    <w:p>
      <w:pPr>
        <w:pStyle w:val="ListNumber"/>
        <w:spacing w:after="56"/>
      </w:pPr>
      <w:r>
        <w:t>Transfer definitions ≠ transfer workflows or tracking</w:t>
      </w:r>
    </w:p>
    <w:p>
      <w:pPr>
        <w:pStyle w:val="ListBullet"/>
        <w:spacing w:after="56"/>
      </w:pPr>
      <w:r>
        <w:t>Responsibility transfer definitions do not automatically provide transfer workflows or transfer tracking</w:t>
      </w:r>
    </w:p>
    <w:p>
      <w:pPr>
        <w:pStyle w:val="ListBullet"/>
        <w:spacing w:after="56"/>
      </w:pPr>
      <w:r>
        <w:t>Require explicit evidence of workflows and tracking capabilities</w:t>
      </w:r>
    </w:p>
    <w:p>
      <w:pPr>
        <w:pStyle w:val="ListNumber"/>
        <w:spacing w:after="56"/>
      </w:pPr>
      <w:r>
        <w:t>Drift definitions ≠ drift detection or alerting</w:t>
      </w:r>
    </w:p>
    <w:p>
      <w:pPr>
        <w:pStyle w:val="ListBullet"/>
        <w:spacing w:after="56"/>
      </w:pPr>
      <w:r>
        <w:t>Authority drift definitions do not automatically provide drift detection mechanisms or drift alerting</w:t>
      </w:r>
    </w:p>
    <w:p>
      <w:pPr>
        <w:pStyle w:val="ListBullet"/>
        <w:spacing w:after="56"/>
      </w:pPr>
      <w:r>
        <w:t>Require explicit evidence of detection and alerting capabilities</w:t>
      </w:r>
    </w:p>
    <w:p>
      <w:pPr>
        <w:pStyle w:val="ListNumber"/>
        <w:spacing w:after="56"/>
      </w:pPr>
      <w:r>
        <w:t>Partitioning definitions ≠ partitioning mechanisms or storage</w:t>
      </w:r>
    </w:p>
    <w:p>
      <w:pPr>
        <w:pStyle w:val="ListBullet"/>
        <w:spacing w:after="56"/>
      </w:pPr>
      <w:r>
        <w:t>Evidence partitioning definitions do not automatically provide partitioning mechanisms or partitioned storage</w:t>
      </w:r>
    </w:p>
    <w:p>
      <w:pPr>
        <w:pStyle w:val="ListBullet"/>
        <w:spacing w:after="56"/>
      </w:pPr>
      <w:r>
        <w:t>Require explicit evidence of mechanisms and storage capabilities</w:t>
      </w:r>
    </w:p>
    <w:p>
      <w:pPr>
        <w:pStyle w:val="ListNumber"/>
        <w:spacing w:after="56"/>
      </w:pPr>
      <w:r>
        <w:t>Reuse definitions ≠ reuse tracking or validation</w:t>
      </w:r>
    </w:p>
    <w:p>
      <w:pPr>
        <w:pStyle w:val="ListBullet"/>
        <w:spacing w:after="56"/>
      </w:pPr>
      <w:r>
        <w:t>Cross-project reuse compliance definitions do not automatically provide reuse tracking or reuse validation</w:t>
      </w:r>
    </w:p>
    <w:p>
      <w:pPr>
        <w:pStyle w:val="ListBullet"/>
        <w:spacing w:after="56"/>
      </w:pPr>
      <w:r>
        <w:t>Require explicit evidence of tracking and validation capabilities</w:t>
      </w:r>
    </w:p>
    <w:p>
      <w:pPr>
        <w:pStyle w:val="ListNumber"/>
        <w:spacing w:after="56"/>
      </w:pPr>
      <w:r>
        <w:t>Privacy definitions ≠ GDPR mapping or lifecycle integration</w:t>
      </w:r>
    </w:p>
    <w:p>
      <w:pPr>
        <w:pStyle w:val="ListBullet"/>
        <w:spacing w:after="56"/>
      </w:pPr>
      <w:r>
        <w:t>Privacy lifecycle mapping definitions do not automatically provide GDPR requirement mapping or lifecycle integration</w:t>
      </w:r>
    </w:p>
    <w:p>
      <w:pPr>
        <w:pStyle w:val="ListBullet"/>
        <w:spacing w:after="56"/>
      </w:pPr>
      <w:r>
        <w:t>Require explicit evidence of GDPR mapping and lifecycle integration capabilities</w:t>
      </w:r>
    </w:p>
    <w:p>
      <w:pPr>
        <w:pStyle w:val="ListNumber"/>
        <w:spacing w:after="56"/>
      </w:pPr>
      <w:r>
        <w:t>Privacy mechanisms ≠ selective disclosure or workflows</w:t>
      </w:r>
    </w:p>
    <w:p>
      <w:pPr>
        <w:pStyle w:val="ListBullet"/>
        <w:spacing w:after="56"/>
      </w:pPr>
      <w:r>
        <w:t>Privacy-preserving validation mechanisms do not automatically provide selective disclosure controls or validation workflows</w:t>
      </w:r>
    </w:p>
    <w:p>
      <w:pPr>
        <w:pStyle w:val="ListBullet"/>
        <w:spacing w:after="56"/>
      </w:pPr>
      <w:r>
        <w:t>Require explicit evidence of disclosure and workflow capabilities</w:t>
      </w:r>
    </w:p>
    <w:p>
      <w:pPr>
        <w:pStyle w:val="ListNumber"/>
        <w:spacing w:after="56"/>
      </w:pPr>
      <w:r>
        <w:t>Minimization policies ≠ selective disclosure or controls</w:t>
      </w:r>
    </w:p>
    <w:p>
      <w:pPr>
        <w:pStyle w:val="ListBullet"/>
        <w:spacing w:after="56"/>
      </w:pPr>
      <w:r>
        <w:t>Evidence minimization policies do not automatically provide selective disclosure mechanisms or disclosure controls</w:t>
      </w:r>
    </w:p>
    <w:p>
      <w:pPr>
        <w:pStyle w:val="ListBullet"/>
        <w:spacing w:after="56"/>
      </w:pPr>
      <w:r>
        <w:t>Require explicit evidence of disclosure and control capabilities</w:t>
      </w:r>
    </w:p>
    <w:p>
      <w:pPr>
        <w:pStyle w:val="ListNumber"/>
        <w:spacing w:after="56"/>
      </w:pPr>
      <w:r>
        <w:t>Rights workflows ≠ retention policies or conflict resolution</w:t>
      </w:r>
    </w:p>
    <w:p>
      <w:pPr>
        <w:pStyle w:val="ListBullet"/>
        <w:spacing w:after="56"/>
      </w:pPr>
      <w:r>
        <w:t>Data subject rights workflows do not automatically provide evidence retention policies or conflict resolution</w:t>
      </w:r>
    </w:p>
    <w:p>
      <w:pPr>
        <w:pStyle w:val="ListBullet"/>
        <w:spacing w:after="56"/>
      </w:pPr>
      <w:r>
        <w:t>Require explicit evidence of retention and conflict resolution capabilities</w:t>
      </w:r>
    </w:p>
    <w:p>
      <w:pPr>
        <w:pStyle w:val="ListNumber"/>
        <w:spacing w:after="56"/>
      </w:pPr>
      <w:r>
        <w:t>Processor definitions ≠ processor tracking or validation</w:t>
      </w:r>
    </w:p>
    <w:p>
      <w:pPr>
        <w:pStyle w:val="ListBullet"/>
        <w:spacing w:after="56"/>
      </w:pPr>
      <w:r>
        <w:t>Processor chain definitions do not automatically provide processor tracking or compliance validation</w:t>
      </w:r>
    </w:p>
    <w:p>
      <w:pPr>
        <w:pStyle w:val="ListBullet"/>
        <w:spacing w:after="56"/>
      </w:pPr>
      <w:r>
        <w:t>Require explicit evidence of tracking and validation capabilities</w:t>
      </w:r>
    </w:p>
    <w:p>
      <w:pPr>
        <w:pStyle w:val="ListNumber"/>
        <w:spacing w:after="56"/>
      </w:pPr>
      <w:r>
        <w:t>Substitution definitions ≠ substitution tracking or validation</w:t>
      </w:r>
    </w:p>
    <w:p>
      <w:pPr>
        <w:pStyle w:val="ListBullet"/>
        <w:spacing w:after="56"/>
      </w:pPr>
      <w:r>
        <w:t>Vendor/model/runtime substitution conformance definitions do not automatically provide substitution tracking or substitution validation</w:t>
      </w:r>
    </w:p>
    <w:p>
      <w:pPr>
        <w:pStyle w:val="ListBullet"/>
        <w:spacing w:after="56"/>
      </w:pPr>
      <w:r>
        <w:t>Require explicit evidence of tracking and validation capabilities</w:t>
      </w:r>
    </w:p>
    <w:p>
      <w:pPr>
        <w:spacing w:after="56"/>
      </w:pPr>
      <w:r>
        <w:t>Boundary discipline:</w:t>
      </w:r>
    </w:p>
    <w:p>
      <w:pPr>
        <w:pStyle w:val="ListBullet"/>
        <w:spacing w:after="56"/>
      </w:pPr>
      <w:r>
        <w:t>ALCS measures agentic lifecycle responsibility object maturity, not legal compliance</w:t>
      </w:r>
    </w:p>
    <w:p>
      <w:pPr>
        <w:pStyle w:val="ListBullet"/>
        <w:spacing w:after="56"/>
      </w:pPr>
      <w:r>
        <w:t>High ALCS scores do not prove legal compliance, regulatory approval, or certification</w:t>
      </w:r>
    </w:p>
    <w:p>
      <w:pPr>
        <w:pStyle w:val="ListBullet"/>
        <w:spacing w:after="56"/>
      </w:pPr>
      <w:r>
        <w:t>Low ALCS scores do not prove non-compliance or unsuitability</w:t>
      </w:r>
    </w:p>
    <w:p>
      <w:pPr>
        <w:pStyle w:val="ListBullet"/>
        <w:spacing w:after="56"/>
      </w:pPr>
      <w:r>
        <w:t>ALCS scores are context-independent; organizations must interpret within their legal, regulatory, and operational context</w:t>
      </w:r>
    </w:p>
    <w:p>
      <w:pPr>
        <w:pStyle w:val="ListBullet"/>
        <w:spacing w:after="56"/>
      </w:pPr>
      <w:r>
        <w:t>ALCS scores require evidence; evidence level affects score multiplier</w:t>
      </w:r>
    </w:p>
    <w:p>
      <w:pPr>
        <w:pStyle w:val="ListBullet"/>
        <w:spacing w:after="56"/>
      </w:pPr>
      <w:r>
        <w:t>ALCS scores are not product rankings; they compare systems by agentic lifecycle responsibility primitives</w:t>
      </w:r>
    </w:p>
    <w:p>
      <w:pPr>
        <w:spacing w:after="56"/>
      </w:pPr>
      <w:r>
        <w:t>ALCS vs RCCS-T / RCCS-M distinction:</w:t>
      </w:r>
    </w:p>
    <w:p>
      <w:pPr>
        <w:pStyle w:val="ListBullet"/>
        <w:spacing w:after="56"/>
      </w:pPr>
      <w:r>
        <w:t>RCCS-T measures traditional regulatory compliance coverage primitives (risk management, data governance, documentation, record-keeping, transparency, human oversight, security, accountability, contestability, monitoring)</w:t>
      </w:r>
    </w:p>
    <w:p>
      <w:pPr>
        <w:pStyle w:val="ListBullet"/>
        <w:spacing w:after="56"/>
      </w:pPr>
      <w:r>
        <w:t>RCCS-M measures whether regulatory obligations can be expressed through Missing Regulatory Objects and lifecycle responsibility semantics</w:t>
      </w:r>
    </w:p>
    <w:p>
      <w:pPr>
        <w:pStyle w:val="ListBullet"/>
        <w:spacing w:after="56"/>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spacing w:after="56"/>
      </w:pPr>
      <w:r>
        <w:t>RCCS-T focuses on traditional regulatory compliance coverage capabilities</w:t>
      </w:r>
    </w:p>
    <w:p>
      <w:pPr>
        <w:pStyle w:val="ListBullet"/>
        <w:spacing w:after="56"/>
      </w:pPr>
      <w:r>
        <w:t>RCCS-M focuses on MRO-adjusted regulatory coverage</w:t>
      </w:r>
    </w:p>
    <w:p>
      <w:pPr>
        <w:pStyle w:val="ListBullet"/>
        <w:spacing w:after="56"/>
      </w:pPr>
      <w:r>
        <w:t>ALCS focuses on agentic lifecycle responsibility tracking and accountability capabilities</w:t>
      </w:r>
    </w:p>
    <w:p>
      <w:pPr>
        <w:pStyle w:val="ListBullet"/>
        <w:spacing w:after="56"/>
      </w:pPr>
      <w:r>
        <w:t>All three profiles are analytical tools, not legal compliance scores</w:t>
      </w:r>
    </w:p>
    <w:p>
      <w:pPr>
        <w:spacing w:after="56"/>
      </w:pPr>
      <w:r>
        <w:t>Optional composite worksheet formulas:</w:t>
      </w:r>
    </w:p>
    <w:p>
      <w:pPr>
        <w:spacing w:after="56"/>
      </w:pPr>
      <w:r>
        <w:t>Traditional Composite = 0.40 × RCCS-T + 0.60 × ALCS</w:t>
        <w:br/>
        <w:t>Agentic Composite = 0.40 × RCCS-M + 0.60 × ALCS</w:t>
        <w:br/>
        <w:br/>
        <w:t>Where:</w:t>
        <w:br/>
        <w:t>RCCS-T = Average of traditional RCCS dimension scores (0-100)</w:t>
        <w:br/>
        <w:t>RCCS-M = MRO-adjusted regulatory coverage score (0-100)</w:t>
        <w:br/>
        <w:t>ALCS = Average of 15 ALCS dimension scores (0-100)</w:t>
        <w:br/>
        <w:t>Optional composites = Weighted worksheet views (0-100), not the main result display</w:t>
      </w:r>
    </w:p>
    <w:p>
      <w:pPr>
        <w:spacing w:after="56"/>
      </w:pPr>
      <w:r>
        <w:t>Example:</w:t>
      </w:r>
    </w:p>
    <w:p>
      <w:pPr>
        <w:spacing w:after="56"/>
      </w:pPr>
      <w:r>
        <w:t>RCCS-T Adjusted Score: 65.0 (across 10 dimensions, 0-100)</w:t>
        <w:br/>
        <w:t>RCCS-M Adjusted Score: 72.0 (MRO-adjusted, 0-100)</w:t>
        <w:br/>
        <w:t>ALCS Adjusted Score: 55.0 (across 15 dimensions, 0-100)</w:t>
        <w:br/>
        <w:t>Traditional Composite: 0.40 × 65.0 + 0.60 × 55.0 = 26.0 + 33.0 = 59.0</w:t>
        <w:br/>
        <w:t>Agentic Composite: 0.40 × 72.0 + 0.60 × 55.0 = 28.8 + 33.0 = 61.8</w:t>
      </w:r>
    </w:p>
    <w:p>
      <w:pPr>
        <w:pStyle w:val="Heading1"/>
      </w:pPr>
      <w:r>
        <w:t>Appendix G — Expanded System-by-System Assessment</w:t>
      </w:r>
    </w:p>
    <w:p>
      <w:pPr>
        <w:spacing w:after="56"/>
      </w:pPr>
      <w:r>
        <w:t>Version: v0.3.2-FRC-R3</w:t>
      </w:r>
    </w:p>
    <w:p>
      <w:pPr>
        <w:pStyle w:val="Heading2"/>
      </w:pPr>
      <w:r>
        <w:t>G.0 Assessment Boundary and Provisional Status</w:t>
      </w:r>
    </w:p>
    <w:p>
      <w:pPr>
        <w:spacing w:after="56"/>
      </w:pPr>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Pr>
        <w:spacing w:after="56"/>
      </w:pPr>
      <w:r>
        <w:t>CRITICAL BOUNDARY STATEMENT:</w:t>
      </w:r>
    </w:p>
    <w:p>
      <w:pPr>
        <w:pStyle w:val="ListBullet"/>
        <w:spacing w:after="56"/>
      </w:pPr>
      <w:r>
        <w:t>All assessments remain provisional. Phase 1C claim-level review located official source entry points and narrowed claims, but did not produce final vendor assessments.</w:t>
      </w:r>
    </w:p>
    <w:p>
      <w:pPr>
        <w:pStyle w:val="ListBullet"/>
        <w:spacing w:after="56"/>
      </w:pPr>
      <w:r>
        <w:t>L2 product documentation is source-bound, not final proof. Product documentation can support documented capability surfaces; it does not prove deployment practice, audit success, or lifecycle responsibility-object implementation.</w:t>
      </w:r>
    </w:p>
    <w:p>
      <w:pPr>
        <w:pStyle w:val="ListBullet"/>
        <w:spacing w:after="56"/>
      </w:pPr>
      <w:r>
        <w:t>This is not a product ordering. Systems are assessed by capability posture, not ordered by quality, market position, or procurement suitability.</w:t>
      </w:r>
    </w:p>
    <w:p>
      <w:pPr>
        <w:pStyle w:val="ListBullet"/>
        <w:spacing w:after="56"/>
      </w:pPr>
      <w:r>
        <w:t>This is not a procurement recommendation. Organizations must evaluate systems within their own legal, regulatory, operational, and business context.</w:t>
      </w:r>
    </w:p>
    <w:p>
      <w:pPr>
        <w:pStyle w:val="ListBullet"/>
        <w:spacing w:after="56"/>
      </w:pPr>
      <w:r>
        <w:t>This is not certification. Assessments measure capability posture against analytical frameworks (RCCS-T/RCCS-M/ALCS), not legal compliance, regulatory approval, or certification status.</w:t>
      </w:r>
    </w:p>
    <w:p>
      <w:pPr>
        <w:pStyle w:val="ListBullet"/>
        <w:spacing w:after="56"/>
      </w:pPr>
      <w:r>
        <w:t>Numerical profiles are not in Appendix G. Numeric RCCS-T / RCCS-M / ALCS profiles appear only in the Evaluation Results section. Appendix G remains qualitative, provisional, and no-score.</w:t>
      </w:r>
    </w:p>
    <w:p>
      <w:pPr>
        <w:pStyle w:val="ListBullet"/>
        <w:spacing w:after="56"/>
      </w:pPr>
      <w:r>
        <w:t>Assessments are context-independent. Organizations must interpret assessments within their legal, regulatory, and operational context.</w:t>
      </w:r>
    </w:p>
    <w:p>
      <w:pPr>
        <w:pStyle w:val="ListBullet"/>
        <w:spacing w:after="56"/>
      </w:pPr>
      <w:r>
        <w:t>Low provisional posture does not prove non-compliance or poor product quality. It indicates gaps in publicly visible evidence for specific capability primitives.</w:t>
      </w:r>
    </w:p>
    <w:p>
      <w:pPr>
        <w:pStyle w:val="ListBullet"/>
        <w:spacing w:after="56"/>
      </w:pPr>
      <w:r>
        <w:t>High provisional posture does not prove legal compliance, enterprise readiness, or operational effectiveness. It indicates stronger publicly visible evidence for specific capability primitives.</w:t>
      </w:r>
    </w:p>
    <w:p>
      <w:pPr>
        <w:spacing w:after="56"/>
      </w:pPr>
      <w:r>
        <w:t>Phase 1C follow-up result:</w:t>
      </w:r>
    </w:p>
    <w:p>
      <w:pPr>
        <w:pStyle w:val="ListNumber"/>
        <w:spacing w:after="56"/>
      </w:pPr>
      <w:r>
        <w:t>Official L2 source entry points were located for the eight assessed systems and required source groups.</w:t>
      </w:r>
    </w:p>
    <w:p>
      <w:pPr>
        <w:pStyle w:val="ListNumber"/>
        <w:spacing w:after="56"/>
      </w:pPr>
      <w:r>
        <w:t>Product/protocol capability claims were bound to source IDs where official documentation supports the surface capability.</w:t>
      </w:r>
    </w:p>
    <w:p>
      <w:pPr>
        <w:pStyle w:val="ListNumber"/>
        <w:spacing w:after="56"/>
      </w:pPr>
      <w:r>
        <w:t>Lifecycle responsibility-object mappings that are not directly stated in official documentation remain L5 analytical interpretation.</w:t>
      </w:r>
    </w:p>
    <w:p>
      <w:pPr>
        <w:pStyle w:val="ListNumber"/>
        <w:spacing w:after="56"/>
      </w:pPr>
      <w:r>
        <w:t>Unsupported or adjacent ALCS claims remain boundary-limited as "requires implementer integration", "not visible as lifecycle responsibility object", or "requires exact source support".</w:t>
      </w:r>
    </w:p>
    <w:p>
      <w:pPr>
        <w:pStyle w:val="ListNumber"/>
        <w:spacing w:after="56"/>
      </w:pPr>
      <w:r>
        <w:t>No numerical scores, ordering, procurement recommendation, certification claim, or legal compliance proof was introduced.</w:t>
      </w:r>
    </w:p>
    <w:p>
      <w:pPr>
        <w:pStyle w:val="Heading2"/>
      </w:pPr>
      <w:r>
        <w:t>G.1 How to Read the System Assessments</w:t>
      </w:r>
    </w:p>
    <w:p>
      <w:pPr>
        <w:spacing w:after="56"/>
      </w:pPr>
      <w:r>
        <w:t>Assessment structure:</w:t>
      </w:r>
    </w:p>
    <w:p>
      <w:pPr>
        <w:spacing w:after="56"/>
      </w:pPr>
      <w:r>
        <w:t>Each system assessment uses a qualitative provisional posture framework across key assessment areas. Assessments do not compute numerical scores, ordered comparisons, or composite metrics. After Phase 1C source binding, they remain revalidated provisional and non-ranking.</w:t>
      </w:r>
    </w:p>
    <w:p>
      <w:pPr>
        <w:spacing w:after="56"/>
      </w:pPr>
      <w:r>
        <w:t>Assessment areas:</w:t>
      </w:r>
    </w:p>
    <w:p>
      <w:pPr>
        <w:pStyle w:val="ListNumber"/>
        <w:spacing w:after="56"/>
      </w:pPr>
      <w:r>
        <w:t>Traditional Regulatory Compliance Coverage Primitives (RCCS-T-aligned): Risk management, data governance, documentation, record-keeping, transparency, human oversight, security, accountability, contestability, monitoring</w:t>
      </w:r>
    </w:p>
    <w:p>
      <w:pPr>
        <w:pStyle w:val="ListNumber"/>
        <w:spacing w:after="56"/>
      </w:pPr>
      <w:r>
        <w:t>MRO-Adjusted Regulatory Coverage (RCCS-M-aligned): Whether traditional governance obligations are expressible through Missing Regulatory Objects such as authority boundaries, accepted outcomes, evidence partitioning, responsibility transfer, privacy lifecycle mapping, substitution conformance, and remediation closure</w:t>
      </w:r>
    </w:p>
    <w:p>
      <w:pPr>
        <w:pStyle w:val="ListNumber"/>
        <w:spacing w:after="56"/>
      </w:pPr>
      <w:r>
        <w:t>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Pr>
        <w:spacing w:after="56"/>
      </w:pPr>
      <w:r>
        <w:t>Provisional posture levels:</w:t>
      </w:r>
    </w:p>
    <w:p>
      <w:pPr>
        <w:pStyle w:val="ListBullet"/>
        <w:spacing w:after="56"/>
      </w:pPr>
      <w:r>
        <w:t>Strong provisional posture: Multiple capability primitives visible in public product documentation with implementation details</w:t>
      </w:r>
    </w:p>
    <w:p>
      <w:pPr>
        <w:pStyle w:val="ListBullet"/>
        <w:spacing w:after="56"/>
      </w:pPr>
      <w:r>
        <w:t>Moderate provisional posture: Some capability primitives visible in public product documentation with partial implementation details</w:t>
      </w:r>
    </w:p>
    <w:p>
      <w:pPr>
        <w:pStyle w:val="ListBullet"/>
        <w:spacing w:after="56"/>
      </w:pPr>
      <w:r>
        <w:t>Partial provisional posture: Limited capability primitives visible in public product documentation with minimal implementation details</w:t>
      </w:r>
    </w:p>
    <w:p>
      <w:pPr>
        <w:pStyle w:val="ListBullet"/>
        <w:spacing w:after="56"/>
      </w:pPr>
      <w:r>
        <w:t>Weak / implementer-built posture: Few or no capability primitives visible in public product documentation; capabilities may exist but require implementer-built solutions</w:t>
      </w:r>
    </w:p>
    <w:p>
      <w:pPr>
        <w:pStyle w:val="ListBullet"/>
        <w:spacing w:after="56"/>
      </w:pPr>
      <w:r>
        <w:t>Not visible in public evidence: No publicly visible evidence for capability primitives; does not prove absence, only lack of public documentation</w:t>
      </w:r>
    </w:p>
    <w:p>
      <w:pPr>
        <w:spacing w:after="56"/>
      </w:pPr>
      <w:r>
        <w:t>Evidence types:</w:t>
      </w:r>
    </w:p>
    <w:p>
      <w:pPr>
        <w:pStyle w:val="ListBullet"/>
        <w:spacing w:after="56"/>
      </w:pPr>
      <w:r>
        <w:t>L1 (Binding Legal Text): EU AI Act, GDPR, formal standards</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w:t>
      </w:r>
    </w:p>
    <w:p>
      <w:pPr>
        <w:pStyle w:val="ListBullet"/>
        <w:spacing w:after="56"/>
      </w:pPr>
      <w:r>
        <w:t>L4 (Vendor Claim): Vendor claims, marketing materials</w:t>
      </w:r>
    </w:p>
    <w:p>
      <w:pPr>
        <w:pStyle w:val="ListBullet"/>
        <w:spacing w:after="56"/>
      </w:pPr>
      <w:r>
        <w:t>L5 (Author Inference): Author inference, analytical framework</w:t>
      </w:r>
    </w:p>
    <w:p>
      <w:pPr>
        <w:spacing w:after="56"/>
      </w:pPr>
      <w:r>
        <w:t>What assessments do NOT provide:</w:t>
      </w:r>
    </w:p>
    <w:p>
      <w:pPr>
        <w:pStyle w:val="ListBullet"/>
        <w:spacing w:after="56"/>
      </w:pPr>
      <w:r>
        <w:t>Numerical scores or ordered comparisons</w:t>
      </w:r>
    </w:p>
    <w:p>
      <w:pPr>
        <w:pStyle w:val="ListBullet"/>
        <w:spacing w:after="56"/>
      </w:pPr>
      <w:r>
        <w:t>Composite metrics or weighted averages</w:t>
      </w:r>
    </w:p>
    <w:p>
      <w:pPr>
        <w:pStyle w:val="ListBullet"/>
        <w:spacing w:after="56"/>
      </w:pPr>
      <w:r>
        <w:t>Procurement recommendations or vendor preferences</w:t>
      </w:r>
    </w:p>
    <w:p>
      <w:pPr>
        <w:pStyle w:val="ListBullet"/>
        <w:spacing w:after="56"/>
      </w:pPr>
      <w:r>
        <w:t>Legal compliance proof or certification status</w:t>
      </w:r>
    </w:p>
    <w:p>
      <w:pPr>
        <w:pStyle w:val="ListBullet"/>
        <w:spacing w:after="56"/>
      </w:pPr>
      <w:r>
        <w:t>Regulatory approval or conformity assessment</w:t>
      </w:r>
    </w:p>
    <w:p>
      <w:pPr>
        <w:pStyle w:val="ListBullet"/>
        <w:spacing w:after="56"/>
      </w:pPr>
      <w:r>
        <w:t>Market endorsement or quality ratings</w:t>
      </w:r>
    </w:p>
    <w:p>
      <w:pPr>
        <w:pStyle w:val="ListBullet"/>
        <w:spacing w:after="56"/>
      </w:pPr>
      <w:r>
        <w:t>"Best" or "worst" designations</w:t>
      </w:r>
    </w:p>
    <w:p>
      <w:pPr>
        <w:pStyle w:val="ListBullet"/>
        <w:spacing w:after="56"/>
      </w:pPr>
      <w:r>
        <w:t>Market tier classifications</w:t>
      </w:r>
    </w:p>
    <w:p>
      <w:pPr>
        <w:pStyle w:val="Heading2"/>
      </w:pPr>
      <w:r>
        <w:t>G.2 System Assessment Profiles</w:t>
      </w:r>
    </w:p>
    <w:p>
      <w:pPr>
        <w:pStyle w:val="Heading3"/>
      </w:pPr>
      <w:r>
        <w:t>G.2.1 MPLP (Multi-Agent Lifecycle Protocol)</w:t>
      </w:r>
    </w:p>
    <w:p>
      <w:pPr>
        <w:keepNext/>
      </w:pPr>
      <w:r>
        <w:rPr>
          <w:b/>
          <w:sz w:val="16"/>
        </w:rPr>
        <w:t>Table T-G-01: MPLP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No formal risk assessment framework visible</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 GitHub)</w:t>
            </w:r>
          </w:p>
        </w:tc>
        <w:tc>
          <w:tcPr>
            <w:tcW w:type="dxa" w:w="1704"/>
          </w:tcPr>
          <w:p>
            <w:pPr>
              <w:spacing w:after="0"/>
            </w:pPr>
            <w:r>
              <w:rPr>
                <w:rFonts w:ascii="Arial" w:hAnsi="Arial"/>
                <w:b w:val="0"/>
                <w:sz w:val="12"/>
              </w:rPr>
              <w:t>Protocol documentation strong; implementation documentation varies</w:t>
            </w:r>
          </w:p>
        </w:tc>
        <w:tc>
          <w:tcPr>
            <w:tcW w:type="dxa" w:w="1704"/>
          </w:tcPr>
          <w:p>
            <w:pPr>
              <w:spacing w:after="0"/>
            </w:pPr>
            <w:r>
              <w:rPr>
                <w:rFonts w:ascii="Arial" w:hAnsi="Arial"/>
                <w:b w:val="0"/>
                <w:sz w:val="12"/>
              </w:rPr>
              <w:t>source-bound at entry-point level; implementation examples remain deployment-context dependent</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Evidence pack structure visible; export/retention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Human-role-to-MAS mapping visible in protocol;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Security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Responsibility mapping visible in protocol; tracking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Contestability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mapping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boundary visible;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distinction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outcome tracking visible; compliance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liability tracking visible; boundary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transfer tracking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Drift detection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evidence partitioning visible; storage/retrieval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Reuse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Privacy-preserving validation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Minimization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Rights-retention conflict resolution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Processor chain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Substitution conformance tracking requires implementer integration</w:t>
            </w:r>
          </w:p>
        </w:tc>
        <w:tc>
          <w:tcPr>
            <w:tcW w:type="dxa" w:w="1704"/>
          </w:tcPr>
          <w:p>
            <w:pPr>
              <w:spacing w:after="0"/>
            </w:pPr>
            <w:r>
              <w:rPr>
                <w:rFonts w:ascii="Arial" w:hAnsi="Arial"/>
                <w:b w:val="0"/>
                <w:sz w:val="12"/>
              </w:rPr>
              <w:t>source-bound at entry-point level; implementation conformance unresolved</w:t>
            </w:r>
          </w:p>
        </w:tc>
      </w:tr>
    </w:tbl>
    <w:p>
      <w:pPr>
        <w:spacing w:after="56"/>
      </w:pPr>
      <w:r>
        <w:t>MPLP Boundary Note:</w:t>
      </w:r>
    </w:p>
    <w:p>
      <w:pPr>
        <w:spacing w:after="56"/>
      </w:pPr>
      <w:r>
        <w:t>MPLP is positioned as a lifecycle protocol path with limited traditional RCCS-T product-platform coverage and strong provisional RCCS-M /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Pr>
        <w:spacing w:after="56"/>
      </w:pPr>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Pr>
        <w:pStyle w:val="Heading3"/>
      </w:pPr>
      <w:r>
        <w:t>G.2.2 IBM watsonx.governance</w:t>
      </w:r>
    </w:p>
    <w:p>
      <w:pPr>
        <w:keepNext/>
      </w:pPr>
      <w:r>
        <w:rPr>
          <w:b/>
          <w:sz w:val="16"/>
        </w:rPr>
        <w:t>Table T-G-02: IBM watsonx.governance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assessment framework visible; AI-specific risk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framework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cards and factsheets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Explainability tools visible; interpretability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Approval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responsibility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Dispute resolution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definitions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Liability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Transfer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Reuse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minimization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subject rights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substitution visible;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Pr>
        <w:pStyle w:val="Heading3"/>
      </w:pPr>
      <w:r>
        <w:t>G.2.3 Microsoft Azure AI Foundry</w:t>
      </w:r>
    </w:p>
    <w:p>
      <w:pPr>
        <w:keepNext/>
      </w:pPr>
      <w:r>
        <w:rPr>
          <w:b/>
          <w:sz w:val="16"/>
        </w:rPr>
        <w:t>Table T-G-03: Microsoft Azure AI Foundry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Transparency tools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oversight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Escalation workflows visible; formal contestability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Monitoring and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controls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Workflow handoff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Pr>
        <w:pStyle w:val="Heading3"/>
      </w:pPr>
      <w:r>
        <w:t>G.2.4 AWS Bedrock / Guardrails / AgentCore</w:t>
      </w:r>
    </w:p>
    <w:p>
      <w:pPr>
        <w:keepNext/>
      </w:pPr>
      <w:r>
        <w:rPr>
          <w:b/>
          <w:sz w:val="16"/>
        </w:rPr>
        <w:t>Table T-G-04: AWS Bedrock / Guardrails / AgentCore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AWS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Trace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approval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for 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CloudWatch logs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Pr>
        <w:pStyle w:val="Heading3"/>
      </w:pPr>
      <w:r>
        <w:t>G.2.5 Google Vertex AI / ADK / Model Armor</w:t>
      </w:r>
    </w:p>
    <w:p>
      <w:pPr>
        <w:keepNext/>
      </w:pPr>
      <w:r>
        <w:rPr>
          <w:b/>
          <w:sz w:val="16"/>
        </w:rPr>
        <w:t>Table T-G-05: Google Vertex AI / ADK / Model Armor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Google Cloud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Conversation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handoff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Response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 Logging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Pr>
        <w:pStyle w:val="Heading3"/>
      </w:pPr>
      <w:r>
        <w:t>G.2.6 LangGraph / LangSmith</w:t>
      </w:r>
    </w:p>
    <w:p>
      <w:pPr>
        <w:keepNext/>
      </w:pPr>
      <w:r>
        <w:rPr>
          <w:b/>
          <w:sz w:val="16"/>
        </w:rPr>
        <w:t>Table T-G-06: LangGraph / LangSmith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Callback mechanisms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loaders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Extensive 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tracing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visualization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Human-in-the-loop via interrupts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key management visible; formal security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definitions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types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edges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per-node tracing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serialization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abstraction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Pr>
        <w:pStyle w:val="Heading3"/>
      </w:pPr>
      <w:r>
        <w:t>G.2.7 OpenAI Agents SDK</w:t>
      </w:r>
    </w:p>
    <w:p>
      <w:pPr>
        <w:keepNext/>
      </w:pPr>
      <w:r>
        <w:rPr>
          <w:b/>
          <w:sz w:val="16"/>
        </w:rPr>
        <w:t>Table T-G-07: OpenAI Agents SDK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File management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API documentation and model cards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history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Run steps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approval patterns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API key management and SOC 2 compliance visible; formal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Assistant/user message distinction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management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Per-thread history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definitions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retention controls visible; formal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deletion visible; formal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Pr>
        <w:pStyle w:val="Heading3"/>
      </w:pPr>
      <w:r>
        <w:t>G.2.8 CrewAI</w:t>
      </w:r>
    </w:p>
    <w:p>
      <w:pPr>
        <w:keepNext/>
      </w:pPr>
      <w:r>
        <w:rPr>
          <w:b/>
          <w:sz w:val="16"/>
        </w:rPr>
        <w:t>Table T-G-08: CrewAI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Risk management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execution logs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 oversight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Security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assignment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delegation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Authority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 definitions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Outcome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Liability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delegation across agents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Per-agent task logs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Reuse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configuration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Pr>
        <w:pStyle w:val="Heading2"/>
      </w:pPr>
      <w:r>
        <w:t>G.3 Cross-System Pattern Summary</w:t>
      </w:r>
    </w:p>
    <w:p>
      <w:pPr>
        <w:keepNext/>
      </w:pPr>
      <w:r>
        <w:rPr>
          <w:b/>
          <w:sz w:val="16"/>
        </w:rPr>
        <w:t>Table T-G-09: Cross-System Pattern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 Area</w:t>
            </w:r>
          </w:p>
        </w:tc>
        <w:tc>
          <w:tcPr>
            <w:tcW w:type="dxa" w:w="2045"/>
          </w:tcPr>
          <w:p>
            <w:pPr>
              <w:spacing w:after="0"/>
            </w:pPr>
            <w:r>
              <w:rPr>
                <w:rFonts w:ascii="Arial" w:hAnsi="Arial"/>
                <w:b/>
                <w:sz w:val="14"/>
              </w:rPr>
              <w:t>Observed Pattern</w:t>
            </w:r>
          </w:p>
        </w:tc>
        <w:tc>
          <w:tcPr>
            <w:tcW w:type="dxa" w:w="2045"/>
          </w:tcPr>
          <w:p>
            <w:pPr>
              <w:spacing w:after="0"/>
            </w:pPr>
            <w:r>
              <w:rPr>
                <w:rFonts w:ascii="Arial" w:hAnsi="Arial"/>
                <w:b/>
                <w:sz w:val="14"/>
              </w:rPr>
              <w:t>Systems with More Visible Posture</w:t>
            </w:r>
          </w:p>
        </w:tc>
        <w:tc>
          <w:tcPr>
            <w:tcW w:type="dxa" w:w="2045"/>
          </w:tcPr>
          <w:p>
            <w:pPr>
              <w:spacing w:after="0"/>
            </w:pPr>
            <w:r>
              <w:rPr>
                <w:rFonts w:ascii="Arial" w:hAnsi="Arial"/>
                <w:b/>
                <w:sz w:val="14"/>
              </w:rPr>
              <w:t>Systems with More Limited Visible Posture</w:t>
            </w:r>
          </w:p>
        </w:tc>
        <w:tc>
          <w:tcPr>
            <w:tcW w:type="dxa" w:w="2045"/>
          </w:tcPr>
          <w:p>
            <w:pPr>
              <w:spacing w:after="0"/>
            </w:pPr>
            <w:r>
              <w:rPr>
                <w:rFonts w:ascii="Arial" w:hAnsi="Arial"/>
                <w:b/>
                <w:sz w:val="14"/>
              </w:rPr>
              <w:t>Claim-Level Support Status</w:t>
            </w:r>
          </w:p>
        </w:tc>
      </w:tr>
      <w:tr>
        <w:tc>
          <w:tcPr>
            <w:tcW w:type="dxa" w:w="2045"/>
          </w:tcPr>
          <w:p>
            <w:pPr>
              <w:spacing w:after="0"/>
            </w:pPr>
            <w:r>
              <w:rPr>
                <w:rFonts w:ascii="Arial" w:hAnsi="Arial"/>
                <w:b w:val="0"/>
                <w:sz w:val="14"/>
              </w:rPr>
              <w:t>RCCS Coverage</w:t>
            </w:r>
          </w:p>
        </w:tc>
        <w:tc>
          <w:tcPr>
            <w:tcW w:type="dxa" w:w="2045"/>
          </w:tcPr>
          <w:p>
            <w:pPr>
              <w:spacing w:after="0"/>
            </w:pPr>
            <w:r>
              <w:rPr>
                <w:rFonts w:ascii="Arial" w:hAnsi="Arial"/>
                <w:b w:val="0"/>
                <w:sz w:val="14"/>
              </w:rPr>
              <w:t>Enterprise cloud platforms show stronger RCCS provisional posture due to integrated monitoring, logging, security, and governance controls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integration support remains deployment-context dependent</w:t>
            </w:r>
          </w:p>
        </w:tc>
      </w:tr>
      <w:tr>
        <w:tc>
          <w:tcPr>
            <w:tcW w:type="dxa" w:w="2045"/>
          </w:tcPr>
          <w:p>
            <w:pPr>
              <w:spacing w:after="0"/>
            </w:pPr>
            <w:r>
              <w:rPr>
                <w:rFonts w:ascii="Arial" w:hAnsi="Arial"/>
                <w:b w:val="0"/>
                <w:sz w:val="14"/>
              </w:rPr>
              <w:t>ALCS Coverage</w:t>
            </w:r>
          </w:p>
        </w:tc>
        <w:tc>
          <w:tcPr>
            <w:tcW w:type="dxa" w:w="2045"/>
          </w:tcPr>
          <w:p>
            <w:pPr>
              <w:spacing w:after="0"/>
            </w:pPr>
            <w:r>
              <w:rPr>
                <w:rFonts w:ascii="Arial" w:hAnsi="Arial"/>
                <w:b w:val="0"/>
                <w:sz w:val="14"/>
              </w:rPr>
              <w:t>MPLP shows stronger visible ALCS provisional posture at protocol specification level; enterprise platforms show moderate visible posture; open-source frameworks show more limited visible posture</w:t>
            </w:r>
          </w:p>
        </w:tc>
        <w:tc>
          <w:tcPr>
            <w:tcW w:type="dxa" w:w="2045"/>
          </w:tcPr>
          <w:p>
            <w:pPr>
              <w:spacing w:after="0"/>
            </w:pPr>
            <w:r>
              <w:rPr>
                <w:rFonts w:ascii="Arial" w:hAnsi="Arial"/>
                <w:b w:val="0"/>
                <w:sz w:val="14"/>
              </w:rPr>
              <w:t>MPLP (protocol-level), Microsoft Azure AI Foundry, AWS Bedrock, Google Vertex AI</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ALCS implementation conformance unresolved</w:t>
            </w:r>
          </w:p>
        </w:tc>
      </w:tr>
      <w:tr>
        <w:tc>
          <w:tcPr>
            <w:tcW w:type="dxa" w:w="2045"/>
          </w:tcPr>
          <w:p>
            <w:pPr>
              <w:spacing w:after="0"/>
            </w:pPr>
            <w:r>
              <w:rPr>
                <w:rFonts w:ascii="Arial" w:hAnsi="Arial"/>
                <w:b w:val="0"/>
                <w:sz w:val="14"/>
              </w:rPr>
              <w:t>Documentation</w:t>
            </w:r>
          </w:p>
        </w:tc>
        <w:tc>
          <w:tcPr>
            <w:tcW w:type="dxa" w:w="2045"/>
          </w:tcPr>
          <w:p>
            <w:pPr>
              <w:spacing w:after="0"/>
            </w:pPr>
            <w:r>
              <w:rPr>
                <w:rFonts w:ascii="Arial" w:hAnsi="Arial"/>
                <w:b w:val="0"/>
                <w:sz w:val="14"/>
              </w:rPr>
              <w:t>All systems show strong to moderate documentation provisional posture; model cards and system cards require validation across all systems</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system-card support remains product- and deployment-dependent</w:t>
            </w:r>
          </w:p>
        </w:tc>
      </w:tr>
      <w:tr>
        <w:tc>
          <w:tcPr>
            <w:tcW w:type="dxa" w:w="2045"/>
          </w:tcPr>
          <w:p>
            <w:pPr>
              <w:spacing w:after="0"/>
            </w:pPr>
            <w:r>
              <w:rPr>
                <w:rFonts w:ascii="Arial" w:hAnsi="Arial"/>
                <w:b w:val="0"/>
                <w:sz w:val="14"/>
              </w:rPr>
              <w:t>Record-Keeping</w:t>
            </w:r>
          </w:p>
        </w:tc>
        <w:tc>
          <w:tcPr>
            <w:tcW w:type="dxa" w:w="2045"/>
          </w:tcPr>
          <w:p>
            <w:pPr>
              <w:spacing w:after="0"/>
            </w:pPr>
            <w:r>
              <w:rPr>
                <w:rFonts w:ascii="Arial" w:hAnsi="Arial"/>
                <w:b w:val="0"/>
                <w:sz w:val="14"/>
              </w:rPr>
              <w:t>Enterprise platforms show strong record-keeping provisional posture with cloud logging integration; open-source frameworks show partial to moderate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source-bound at entry-point level; evidence export support remains deployment-context dependent</w:t>
            </w:r>
          </w:p>
        </w:tc>
      </w:tr>
      <w:tr>
        <w:tc>
          <w:tcPr>
            <w:tcW w:type="dxa" w:w="2045"/>
          </w:tcPr>
          <w:p>
            <w:pPr>
              <w:spacing w:after="0"/>
            </w:pPr>
            <w:r>
              <w:rPr>
                <w:rFonts w:ascii="Arial" w:hAnsi="Arial"/>
                <w:b w:val="0"/>
                <w:sz w:val="14"/>
              </w:rPr>
              <w:t>Human Oversight</w:t>
            </w:r>
          </w:p>
        </w:tc>
        <w:tc>
          <w:tcPr>
            <w:tcW w:type="dxa" w:w="2045"/>
          </w:tcPr>
          <w:p>
            <w:pPr>
              <w:spacing w:after="0"/>
            </w:pPr>
            <w:r>
              <w:rPr>
                <w:rFonts w:ascii="Arial" w:hAnsi="Arial"/>
                <w:b w:val="0"/>
                <w:sz w:val="14"/>
              </w:rPr>
              <w:t>Microsoft Azure AI Foundry shows stronger visible human oversight provisional posture; MPLP shows strong protocol-level posture; other systems show moderate to more limited visible posture</w:t>
            </w:r>
          </w:p>
        </w:tc>
        <w:tc>
          <w:tcPr>
            <w:tcW w:type="dxa" w:w="2045"/>
          </w:tcPr>
          <w:p>
            <w:pPr>
              <w:spacing w:after="0"/>
            </w:pPr>
            <w:r>
              <w:rPr>
                <w:rFonts w:ascii="Arial" w:hAnsi="Arial"/>
                <w:b w:val="0"/>
                <w:sz w:val="14"/>
              </w:rPr>
              <w:t>Microsoft Azure AI Foundry, MPLP (protocol-level)</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lifecycle responsibility-object support remains L5 unless directly stated</w:t>
            </w:r>
          </w:p>
        </w:tc>
      </w:tr>
      <w:tr>
        <w:tc>
          <w:tcPr>
            <w:tcW w:type="dxa" w:w="2045"/>
          </w:tcPr>
          <w:p>
            <w:pPr>
              <w:spacing w:after="0"/>
            </w:pPr>
            <w:r>
              <w:rPr>
                <w:rFonts w:ascii="Arial" w:hAnsi="Arial"/>
                <w:b w:val="0"/>
                <w:sz w:val="14"/>
              </w:rPr>
              <w:t>Security</w:t>
            </w:r>
          </w:p>
        </w:tc>
        <w:tc>
          <w:tcPr>
            <w:tcW w:type="dxa" w:w="2045"/>
          </w:tcPr>
          <w:p>
            <w:pPr>
              <w:spacing w:after="0"/>
            </w:pPr>
            <w:r>
              <w:rPr>
                <w:rFonts w:ascii="Arial" w:hAnsi="Arial"/>
                <w:b w:val="0"/>
                <w:sz w:val="14"/>
              </w:rPr>
              <w:t>Enterprise platforms show strong security provisional posture with IAM integration; open-source frameworks show weak to partial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AI lifecycle security integration remains deployment-context dependent</w:t>
            </w:r>
          </w:p>
        </w:tc>
      </w:tr>
      <w:tr>
        <w:tc>
          <w:tcPr>
            <w:tcW w:type="dxa" w:w="2045"/>
          </w:tcPr>
          <w:p>
            <w:pPr>
              <w:spacing w:after="0"/>
            </w:pPr>
            <w:r>
              <w:rPr>
                <w:rFonts w:ascii="Arial" w:hAnsi="Arial"/>
                <w:b w:val="0"/>
                <w:sz w:val="14"/>
              </w:rPr>
              <w:t>Accountability</w:t>
            </w:r>
          </w:p>
        </w:tc>
        <w:tc>
          <w:tcPr>
            <w:tcW w:type="dxa" w:w="2045"/>
          </w:tcPr>
          <w:p>
            <w:pPr>
              <w:spacing w:after="0"/>
            </w:pPr>
            <w:r>
              <w:rPr>
                <w:rFonts w:ascii="Arial" w:hAnsi="Arial"/>
                <w:b w:val="0"/>
                <w:sz w:val="14"/>
              </w:rPr>
              <w:t>All systems show partial to moderate accountability provisional posture; formal accountability tracking requires validation across 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accountability tracking remains L5 unless directly stated</w:t>
            </w:r>
          </w:p>
        </w:tc>
      </w:tr>
      <w:tr>
        <w:tc>
          <w:tcPr>
            <w:tcW w:type="dxa" w:w="2045"/>
          </w:tcPr>
          <w:p>
            <w:pPr>
              <w:spacing w:after="0"/>
            </w:pPr>
            <w:r>
              <w:rPr>
                <w:rFonts w:ascii="Arial" w:hAnsi="Arial"/>
                <w:b w:val="0"/>
                <w:sz w:val="14"/>
              </w:rPr>
              <w:t>Contestability</w:t>
            </w:r>
          </w:p>
        </w:tc>
        <w:tc>
          <w:tcPr>
            <w:tcW w:type="dxa" w:w="2045"/>
          </w:tcPr>
          <w:p>
            <w:pPr>
              <w:spacing w:after="0"/>
            </w:pPr>
            <w:r>
              <w:rPr>
                <w:rFonts w:ascii="Arial" w:hAnsi="Arial"/>
                <w:b w:val="0"/>
                <w:sz w:val="14"/>
              </w:rPr>
              <w:t>All systems show weak to partial contestability provisional posture; contestability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contestability support remains implementation-context dependent</w:t>
            </w:r>
          </w:p>
        </w:tc>
      </w:tr>
      <w:tr>
        <w:tc>
          <w:tcPr>
            <w:tcW w:type="dxa" w:w="2045"/>
          </w:tcPr>
          <w:p>
            <w:pPr>
              <w:spacing w:after="0"/>
            </w:pPr>
            <w:r>
              <w:rPr>
                <w:rFonts w:ascii="Arial" w:hAnsi="Arial"/>
                <w:b w:val="0"/>
                <w:sz w:val="14"/>
              </w:rPr>
              <w:t>Authority Drift Detection</w:t>
            </w:r>
          </w:p>
        </w:tc>
        <w:tc>
          <w:tcPr>
            <w:tcW w:type="dxa" w:w="2045"/>
          </w:tcPr>
          <w:p>
            <w:pPr>
              <w:spacing w:after="0"/>
            </w:pPr>
            <w:r>
              <w:rPr>
                <w:rFonts w:ascii="Arial" w:hAnsi="Arial"/>
                <w:b w:val="0"/>
                <w:sz w:val="14"/>
              </w:rPr>
              <w:t>All systems show weak to partial authority drift detection provisional posture; drift detection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authority drift support remains L5 unless directly stated</w:t>
            </w:r>
          </w:p>
        </w:tc>
      </w:tr>
      <w:tr>
        <w:tc>
          <w:tcPr>
            <w:tcW w:type="dxa" w:w="2045"/>
          </w:tcPr>
          <w:p>
            <w:pPr>
              <w:spacing w:after="0"/>
            </w:pPr>
            <w:r>
              <w:rPr>
                <w:rFonts w:ascii="Arial" w:hAnsi="Arial"/>
                <w:b w:val="0"/>
                <w:sz w:val="14"/>
              </w:rPr>
              <w:t>Privacy/GDPR Lifecycle Mapping</w:t>
            </w:r>
          </w:p>
        </w:tc>
        <w:tc>
          <w:tcPr>
            <w:tcW w:type="dxa" w:w="2045"/>
          </w:tcPr>
          <w:p>
            <w:pPr>
              <w:spacing w:after="0"/>
            </w:pPr>
            <w:r>
              <w:rPr>
                <w:rFonts w:ascii="Arial" w:hAnsi="Arial"/>
                <w:b w:val="0"/>
                <w:sz w:val="14"/>
              </w:rPr>
              <w:t>Enterprise platforms show moderate privacy provisional posture; open-source frameworks show more limited visible posture; formal GDPR lifecycle mapping requires validation</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GDPR lifecycle-object support remains L5 unless directly stated</w:t>
            </w:r>
          </w:p>
        </w:tc>
      </w:tr>
      <w:tr>
        <w:tc>
          <w:tcPr>
            <w:tcW w:type="dxa" w:w="2045"/>
          </w:tcPr>
          <w:p>
            <w:pPr>
              <w:spacing w:after="0"/>
            </w:pPr>
            <w:r>
              <w:rPr>
                <w:rFonts w:ascii="Arial" w:hAnsi="Arial"/>
                <w:b w:val="0"/>
                <w:sz w:val="14"/>
              </w:rPr>
              <w:t>Implementer-Built Gap</w:t>
            </w:r>
          </w:p>
        </w:tc>
        <w:tc>
          <w:tcPr>
            <w:tcW w:type="dxa" w:w="2045"/>
          </w:tcPr>
          <w:p>
            <w:pPr>
              <w:spacing w:after="0"/>
            </w:pPr>
            <w:r>
              <w:rPr>
                <w:rFonts w:ascii="Arial" w:hAnsi="Arial"/>
                <w:b w:val="0"/>
                <w:sz w:val="14"/>
              </w:rPr>
              <w:t>Open-source frameworks (CrewAI, LangGraph/LangSmith) show significant implementer-built gaps across multiple assessment areas; enterprise platforms show fewer gaps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platform-provided primitive boundaries remain provisional</w:t>
            </w:r>
          </w:p>
        </w:tc>
      </w:tr>
    </w:tbl>
    <w:p>
      <w:pPr>
        <w:spacing w:after="56"/>
      </w:pPr>
      <w:r>
        <w:t>Key Observations (Provisional):</w:t>
      </w:r>
    </w:p>
    <w:p>
      <w:pPr>
        <w:pStyle w:val="ListNumber"/>
        <w:spacing w:after="56"/>
      </w:pPr>
      <w:r>
        <w:t>Enterprise platforms show stronger RCCS provisional posture due to integrated cloud platform capabilities (monitoring, logging, security, governance)</w:t>
      </w:r>
    </w:p>
    <w:p>
      <w:pPr>
        <w:pStyle w:val="ListNumber"/>
        <w:spacing w:after="56"/>
      </w:pPr>
      <w:r>
        <w:t>MPLP shows stronger visible ALCS provisional posture at protocol specification level but requires implementer integration for operational deployment</w:t>
      </w:r>
    </w:p>
    <w:p>
      <w:pPr>
        <w:pStyle w:val="ListNumber"/>
        <w:spacing w:after="56"/>
      </w:pPr>
      <w:r>
        <w:t>All systems show gaps in contestability and authority drift detection indicating industry-wide gaps in these capability primitives</w:t>
      </w:r>
    </w:p>
    <w:p>
      <w:pPr>
        <w:pStyle w:val="ListNumber"/>
        <w:spacing w:after="56"/>
      </w:pPr>
      <w:r>
        <w:t>Open-source frameworks show significant implementer-built gaps requiring organizations to build additional governance layers</w:t>
      </w:r>
    </w:p>
    <w:p>
      <w:pPr>
        <w:pStyle w:val="ListNumber"/>
        <w:spacing w:after="56"/>
      </w:pPr>
      <w:r>
        <w:t>All assessments are provisional after Phase 1C source binding and require final publication proofing before any finalized assessment posture</w:t>
      </w:r>
    </w:p>
    <w:p>
      <w:pPr>
        <w:spacing w:after="56"/>
      </w:pPr>
      <w:r>
        <w:t>CRITICAL REMINDER: These patterns are provisional observations after Phase 1C claim-level source binding. They are not final assessment postures, product ordering, procurement recommendations, or certification.</w:t>
      </w:r>
    </w:p>
    <w:p>
      <w:pPr>
        <w:pStyle w:val="Heading2"/>
      </w:pPr>
      <w:r>
        <w:t>G.4 Claim-Level Source Support Note</w:t>
      </w:r>
    </w:p>
    <w:p>
      <w:pPr>
        <w:spacing w:after="56"/>
      </w:pPr>
      <w:r>
        <w:t>Appendix G has completed Phase 1C claim-level source binding and remains revalidated provisional.</w:t>
      </w:r>
    </w:p>
    <w:p>
      <w:pPr>
        <w:spacing w:after="56"/>
      </w:pPr>
      <w:r>
        <w:t>Remaining finalization scope:</w:t>
      </w:r>
    </w:p>
    <w:p>
      <w:pPr>
        <w:pStyle w:val="ListNumber"/>
        <w:spacing w:after="56"/>
      </w:pPr>
      <w:r>
        <w:t>Pin exact source pages for each source-bound claim — Source entry points have been located, but some claims still need exact page-level citation pinning.</w:t>
      </w:r>
    </w:p>
    <w:p>
      <w:pPr>
        <w:pStyle w:val="ListNumber"/>
        <w:spacing w:after="56"/>
      </w:pPr>
      <w:r>
        <w:t>Preserve L5 mapping discipline — Product documentation supporting adjacent platform features must not be treated as direct ALCS lifecycle responsibility-object proof.</w:t>
      </w:r>
    </w:p>
    <w:p>
      <w:pPr>
        <w:pStyle w:val="ListNumber"/>
        <w:spacing w:after="56"/>
      </w:pPr>
      <w:r>
        <w:t>Retain no-score/no-ranking posture — Qualitative postures remain analytical and provisional.</w:t>
      </w:r>
    </w:p>
    <w:p>
      <w:pPr>
        <w:pStyle w:val="ListNumber"/>
        <w:spacing w:after="56"/>
      </w:pPr>
      <w:r>
        <w:t>Perform final citation rendering QA in Phase 1D — No DOCX/PDF citation rendering has been generated in this phase.</w:t>
      </w:r>
    </w:p>
    <w:p>
      <w:pPr>
        <w:spacing w:after="56"/>
      </w:pPr>
      <w:r>
        <w:t>Systems not assessed in Appendix G:</w:t>
      </w:r>
    </w:p>
    <w:p>
      <w:pPr>
        <w:spacing w:after="56"/>
      </w:pPr>
      <w:r>
        <w:t>The following systems were mentioned in earlier phases but are not assessed in Appendix G. They may be considered for future versions:</w:t>
      </w:r>
    </w:p>
    <w:p>
      <w:pPr>
        <w:pStyle w:val="ListBullet"/>
        <w:spacing w:after="56"/>
      </w:pPr>
      <w:r>
        <w:t>LangChain (standalone framework; LangGraph/LangSmith assessed instead as representative LangChain ecosystem system)</w:t>
      </w:r>
    </w:p>
    <w:p>
      <w:pPr>
        <w:pStyle w:val="ListBullet"/>
        <w:spacing w:after="56"/>
      </w:pPr>
      <w:r>
        <w:t>AutoGen (not included in representative system set)</w:t>
      </w:r>
    </w:p>
    <w:p>
      <w:pPr>
        <w:pStyle w:val="ListBullet"/>
        <w:spacing w:after="56"/>
      </w:pPr>
      <w:r>
        <w:t>Semantic Kernel (not included in representative system set)</w:t>
      </w:r>
    </w:p>
    <w:p>
      <w:pPr>
        <w:pStyle w:val="ListBullet"/>
        <w:spacing w:after="56"/>
      </w:pPr>
      <w:r>
        <w:t>Microsoft Copilot Studio (Microsoft Azure AI Foundry assessed instead as representative Microsoft system)</w:t>
      </w:r>
    </w:p>
    <w:p>
      <w:pPr>
        <w:pStyle w:val="ListBullet"/>
        <w:spacing w:after="56"/>
      </w:pPr>
      <w:r>
        <w:t>Anthropic Claude API (not included in representative system set)</w:t>
      </w:r>
    </w:p>
    <w:p>
      <w:pPr>
        <w:pStyle w:val="ListBullet"/>
        <w:spacing w:after="56"/>
      </w:pPr>
      <w:r>
        <w:t>OpenAI Assistants API (OpenAI Agents SDK assessed instead as representative OpenAI system)</w:t>
      </w:r>
    </w:p>
    <w:p>
      <w:pPr>
        <w:pStyle w:val="ListBullet"/>
        <w:spacing w:after="56"/>
      </w:pPr>
      <w:r>
        <w:t>Amazon Bedrock Agents (AWS Bedrock / Guardrails / AgentCore assessed instead as comprehensive AWS system)</w:t>
      </w:r>
    </w:p>
    <w:p>
      <w:pPr>
        <w:pStyle w:val="ListBullet"/>
        <w:spacing w:after="56"/>
      </w:pPr>
      <w:r>
        <w:t>Google Vertex AI Agent Builder (Google Vertex AI / ADK / Model Armor assessed instead as comprehensive Google system)</w:t>
      </w:r>
    </w:p>
    <w:p>
      <w:pPr>
        <w:spacing w:after="56"/>
      </w:pPr>
      <w:r>
        <w:t>Validation Lab Note:</w:t>
      </w:r>
    </w:p>
    <w:p>
      <w:pPr>
        <w:spacing w:after="56"/>
      </w:pPr>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Pr>
        <w:pStyle w:val="Heading1"/>
      </w:pPr>
      <w:r>
        <w:t>Appendix H — Enterprise Procurement Scorecard</w:t>
      </w:r>
    </w:p>
    <w:p>
      <w:pPr>
        <w:spacing w:after="56"/>
      </w:pPr>
      <w:r>
        <w:t>Version: v0.3.2-FRC-R3</w:t>
      </w:r>
    </w:p>
    <w:p>
      <w:pPr>
        <w:pStyle w:val="Heading2"/>
      </w:pPr>
      <w:r>
        <w:t>H.0 Procurement Boundary</w:t>
      </w:r>
    </w:p>
    <w:p>
      <w:pPr>
        <w:spacing w:after="56"/>
      </w:pPr>
      <w:r>
        <w:t>This appendix provides an enterprise procurement-oriented checklist and scorecard template for evaluating agentic AI systems using RCCS-T, RCCS-M, ALCS, and lifecycle governance requirements.</w:t>
      </w:r>
    </w:p>
    <w:p>
      <w:pPr>
        <w:spacing w:after="56"/>
      </w:pPr>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Pr>
        <w:spacing w:after="56"/>
      </w:pPr>
      <w:r>
        <w:t>The scorecard may reference RCCS-T, RCCS-M, and ALCS dimensions as analytical prompts. It must not be read as proof that a vendor, platform, protocol, or implementation is legally compliant, operationally effective, enterprise-ready, certified, or regulator-approved. RCCS-M remains author analytical and forward-looking, not current law or a procurement benchmark.</w:t>
      </w:r>
    </w:p>
    <w:p>
      <w:pPr>
        <w:spacing w:after="56"/>
      </w:pPr>
      <w:r>
        <w:t>Appendix G may be used only as an example of qualitative provisional assessment categories. Appendix G provisional postures must not be reused as vendor selection advice without enterprise-specific review, page-level citation support, and accountable buyer judgment.</w:t>
      </w:r>
    </w:p>
    <w:p>
      <w:pPr>
        <w:pStyle w:val="Heading2"/>
      </w:pPr>
      <w:r>
        <w:t>H.1 How Enterprises Should Use This Scorecard</w:t>
      </w:r>
    </w:p>
    <w:p>
      <w:pPr>
        <w:spacing w:after="56"/>
      </w:pPr>
      <w:r>
        <w:t>Enterprises should use this scorecard during early diligence, request-for-information review, request-for-proposal design, architecture review, and internal governance review. The scorecard is intended to structure questions, evidence requests, and review boundaries.</w:t>
      </w:r>
    </w:p>
    <w:p>
      <w:pPr>
        <w:spacing w:after="56"/>
      </w:pPr>
      <w:r>
        <w:t>Recommended use sequence:</w:t>
      </w:r>
    </w:p>
    <w:p>
      <w:pPr>
        <w:pStyle w:val="ListNumber"/>
        <w:spacing w:after="56"/>
      </w:pPr>
      <w:r>
        <w:t>Identify the intended agentic AI use case, deployment context, and lifecycle risk profile.</w:t>
      </w:r>
    </w:p>
    <w:p>
      <w:pPr>
        <w:pStyle w:val="ListNumber"/>
        <w:spacing w:after="56"/>
      </w:pPr>
      <w:r>
        <w:t>Select the relevant RCCS-T, RCCS-M, and ALCS dimensions for that use case.</w:t>
      </w:r>
    </w:p>
    <w:p>
      <w:pPr>
        <w:pStyle w:val="ListNumber"/>
        <w:spacing w:after="56"/>
      </w:pPr>
      <w:r>
        <w:t>Request evidence from vendors or implementation teams using the evidence request template.</w:t>
      </w:r>
    </w:p>
    <w:p>
      <w:pPr>
        <w:pStyle w:val="ListNumber"/>
        <w:spacing w:after="56"/>
      </w:pPr>
      <w:r>
        <w:t>Record gaps, red flags, and unresolved assumptions.</w:t>
      </w:r>
    </w:p>
    <w:p>
      <w:pPr>
        <w:pStyle w:val="ListNumber"/>
        <w:spacing w:after="56"/>
      </w:pPr>
      <w:r>
        <w:t>Escalate material gaps to legal, security, privacy, risk, procurement, and business owners.</w:t>
      </w:r>
    </w:p>
    <w:p>
      <w:pPr>
        <w:pStyle w:val="ListNumber"/>
        <w:spacing w:after="56"/>
      </w:pPr>
      <w:r>
        <w:t>Defer final evidence interpretation to publication / enterprise review.</w:t>
      </w:r>
    </w:p>
    <w:p>
      <w:pPr>
        <w:spacing w:after="56"/>
      </w:pPr>
      <w:r>
        <w:t>This appendix does not tell an enterprise which system to buy. It supports disciplined questioning and evidence collection.</w:t>
      </w:r>
    </w:p>
    <w:p>
      <w:pPr>
        <w:pStyle w:val="Heading2"/>
      </w:pPr>
      <w:r>
        <w:t>H.2 Procurement Due Diligence Questions</w:t>
      </w:r>
    </w:p>
    <w:p>
      <w:pPr>
        <w:keepNext/>
      </w:pPr>
      <w:r>
        <w:rPr>
          <w:b/>
          <w:sz w:val="16"/>
        </w:rPr>
        <w:t>Table T-H-01: Enterprise Procurement Scorecard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Area</w:t>
            </w:r>
          </w:p>
        </w:tc>
        <w:tc>
          <w:tcPr>
            <w:tcW w:type="dxa" w:w="1704"/>
          </w:tcPr>
          <w:p>
            <w:pPr>
              <w:spacing w:after="0"/>
            </w:pPr>
            <w:r>
              <w:rPr>
                <w:rFonts w:ascii="Arial" w:hAnsi="Arial"/>
                <w:b/>
                <w:sz w:val="12"/>
              </w:rPr>
              <w:t>Procurement Question</w:t>
            </w:r>
          </w:p>
        </w:tc>
        <w:tc>
          <w:tcPr>
            <w:tcW w:type="dxa" w:w="1704"/>
          </w:tcPr>
          <w:p>
            <w:pPr>
              <w:spacing w:after="0"/>
            </w:pPr>
            <w:r>
              <w:rPr>
                <w:rFonts w:ascii="Arial" w:hAnsi="Arial"/>
                <w:b/>
                <w:sz w:val="12"/>
              </w:rPr>
              <w:t>Related RCCS-T/RCCS-M/ALCS</w:t>
            </w:r>
          </w:p>
        </w:tc>
        <w:tc>
          <w:tcPr>
            <w:tcW w:type="dxa" w:w="1704"/>
          </w:tcPr>
          <w:p>
            <w:pPr>
              <w:spacing w:after="0"/>
            </w:pPr>
            <w:r>
              <w:rPr>
                <w:rFonts w:ascii="Arial" w:hAnsi="Arial"/>
                <w:b/>
                <w:sz w:val="12"/>
              </w:rPr>
              <w:t>Required Vendor Evidence</w:t>
            </w:r>
          </w:p>
        </w:tc>
        <w:tc>
          <w:tcPr>
            <w:tcW w:type="dxa" w:w="1704"/>
          </w:tcPr>
          <w:p>
            <w:pPr>
              <w:spacing w:after="0"/>
            </w:pPr>
            <w:r>
              <w:rPr>
                <w:rFonts w:ascii="Arial" w:hAnsi="Arial"/>
                <w:b/>
                <w:sz w:val="12"/>
              </w:rPr>
              <w:t>Red Flag</w:t>
            </w:r>
          </w:p>
        </w:tc>
        <w:tc>
          <w:tcPr>
            <w:tcW w:type="dxa" w:w="1704"/>
          </w:tcPr>
          <w:p>
            <w:pPr>
              <w:spacing w:after="0"/>
            </w:pPr>
            <w:r>
              <w:rPr>
                <w:rFonts w:ascii="Arial" w:hAnsi="Arial"/>
                <w:b/>
                <w:sz w:val="12"/>
              </w:rPr>
              <w:t>Buyer Note</w:t>
            </w:r>
          </w:p>
        </w:tc>
      </w:tr>
      <w:tr>
        <w:tc>
          <w:tcPr>
            <w:tcW w:type="dxa" w:w="1704"/>
          </w:tcPr>
          <w:p>
            <w:pPr>
              <w:spacing w:after="0"/>
            </w:pPr>
            <w:r>
              <w:rPr>
                <w:rFonts w:ascii="Arial" w:hAnsi="Arial"/>
                <w:b w:val="0"/>
                <w:sz w:val="12"/>
              </w:rPr>
              <w:t>Governance scope</w:t>
            </w:r>
          </w:p>
        </w:tc>
        <w:tc>
          <w:tcPr>
            <w:tcW w:type="dxa" w:w="1704"/>
          </w:tcPr>
          <w:p>
            <w:pPr>
              <w:spacing w:after="0"/>
            </w:pPr>
            <w:r>
              <w:rPr>
                <w:rFonts w:ascii="Arial" w:hAnsi="Arial"/>
                <w:b w:val="0"/>
                <w:sz w:val="12"/>
              </w:rPr>
              <w:t>What agentic workflows, tools, models, and runtime components are covered by the governance controls?</w:t>
            </w:r>
          </w:p>
        </w:tc>
        <w:tc>
          <w:tcPr>
            <w:tcW w:type="dxa" w:w="1704"/>
          </w:tcPr>
          <w:p>
            <w:pPr>
              <w:spacing w:after="0"/>
            </w:pPr>
            <w:r>
              <w:rPr>
                <w:rFonts w:ascii="Arial" w:hAnsi="Arial"/>
                <w:b w:val="0"/>
                <w:sz w:val="12"/>
              </w:rPr>
              <w:t>RCCS-03, ALCS-15</w:t>
            </w:r>
          </w:p>
        </w:tc>
        <w:tc>
          <w:tcPr>
            <w:tcW w:type="dxa" w:w="1704"/>
          </w:tcPr>
          <w:p>
            <w:pPr>
              <w:spacing w:after="0"/>
            </w:pPr>
            <w:r>
              <w:rPr>
                <w:rFonts w:ascii="Arial" w:hAnsi="Arial"/>
                <w:b w:val="0"/>
                <w:sz w:val="12"/>
              </w:rPr>
              <w:t>Scope statement, architecture diagram, runtime inventory</w:t>
            </w:r>
          </w:p>
        </w:tc>
        <w:tc>
          <w:tcPr>
            <w:tcW w:type="dxa" w:w="1704"/>
          </w:tcPr>
          <w:p>
            <w:pPr>
              <w:spacing w:after="0"/>
            </w:pPr>
            <w:r>
              <w:rPr>
                <w:rFonts w:ascii="Arial" w:hAnsi="Arial"/>
                <w:b w:val="0"/>
                <w:sz w:val="12"/>
              </w:rPr>
              <w:t>Governance claims cover only model behavior while agent workflow remains undefined</w:t>
            </w:r>
          </w:p>
        </w:tc>
        <w:tc>
          <w:tcPr>
            <w:tcW w:type="dxa" w:w="1704"/>
          </w:tcPr>
          <w:p>
            <w:pPr>
              <w:spacing w:after="0"/>
            </w:pPr>
            <w:r>
              <w:rPr>
                <w:rFonts w:ascii="Arial" w:hAnsi="Arial"/>
                <w:b w:val="0"/>
                <w:sz w:val="12"/>
              </w:rPr>
              <w:t>Confirm whether controls apply to the full lifecycle, not only model invocation</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How are agentic risks identified, assessed, mitigated, and monitored over time?</w:t>
            </w:r>
          </w:p>
        </w:tc>
        <w:tc>
          <w:tcPr>
            <w:tcW w:type="dxa" w:w="1704"/>
          </w:tcPr>
          <w:p>
            <w:pPr>
              <w:spacing w:after="0"/>
            </w:pPr>
            <w:r>
              <w:rPr>
                <w:rFonts w:ascii="Arial" w:hAnsi="Arial"/>
                <w:b w:val="0"/>
                <w:sz w:val="12"/>
              </w:rPr>
              <w:t>RCCS-01, RCCS-10</w:t>
            </w:r>
          </w:p>
        </w:tc>
        <w:tc>
          <w:tcPr>
            <w:tcW w:type="dxa" w:w="1704"/>
          </w:tcPr>
          <w:p>
            <w:pPr>
              <w:spacing w:after="0"/>
            </w:pPr>
            <w:r>
              <w:rPr>
                <w:rFonts w:ascii="Arial" w:hAnsi="Arial"/>
                <w:b w:val="0"/>
                <w:sz w:val="12"/>
              </w:rPr>
              <w:t>Risk register template, monitoring policy, escalation workflow</w:t>
            </w:r>
          </w:p>
        </w:tc>
        <w:tc>
          <w:tcPr>
            <w:tcW w:type="dxa" w:w="1704"/>
          </w:tcPr>
          <w:p>
            <w:pPr>
              <w:spacing w:after="0"/>
            </w:pPr>
            <w:r>
              <w:rPr>
                <w:rFonts w:ascii="Arial" w:hAnsi="Arial"/>
                <w:b w:val="0"/>
                <w:sz w:val="12"/>
              </w:rPr>
              <w:t>Risk management is described only as a general platform feature</w:t>
            </w:r>
          </w:p>
        </w:tc>
        <w:tc>
          <w:tcPr>
            <w:tcW w:type="dxa" w:w="1704"/>
          </w:tcPr>
          <w:p>
            <w:pPr>
              <w:spacing w:after="0"/>
            </w:pPr>
            <w:r>
              <w:rPr>
                <w:rFonts w:ascii="Arial" w:hAnsi="Arial"/>
                <w:b w:val="0"/>
                <w:sz w:val="12"/>
              </w:rPr>
              <w:t>Require AI-agent-specific risk handling evidence</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How are input data, context data, generated evidence, and retained records governed?</w:t>
            </w:r>
          </w:p>
        </w:tc>
        <w:tc>
          <w:tcPr>
            <w:tcW w:type="dxa" w:w="1704"/>
          </w:tcPr>
          <w:p>
            <w:pPr>
              <w:spacing w:after="0"/>
            </w:pPr>
            <w:r>
              <w:rPr>
                <w:rFonts w:ascii="Arial" w:hAnsi="Arial"/>
                <w:b w:val="0"/>
                <w:sz w:val="12"/>
              </w:rPr>
              <w:t>RCCS-02, ALCS-10, ALCS-13</w:t>
            </w:r>
          </w:p>
        </w:tc>
        <w:tc>
          <w:tcPr>
            <w:tcW w:type="dxa" w:w="1704"/>
          </w:tcPr>
          <w:p>
            <w:pPr>
              <w:spacing w:after="0"/>
            </w:pPr>
            <w:r>
              <w:rPr>
                <w:rFonts w:ascii="Arial" w:hAnsi="Arial"/>
                <w:b w:val="0"/>
                <w:sz w:val="12"/>
              </w:rPr>
              <w:t>Data flow map, retention policy, access control description</w:t>
            </w:r>
          </w:p>
        </w:tc>
        <w:tc>
          <w:tcPr>
            <w:tcW w:type="dxa" w:w="1704"/>
          </w:tcPr>
          <w:p>
            <w:pPr>
              <w:spacing w:after="0"/>
            </w:pPr>
            <w:r>
              <w:rPr>
                <w:rFonts w:ascii="Arial" w:hAnsi="Arial"/>
                <w:b w:val="0"/>
                <w:sz w:val="12"/>
              </w:rPr>
              <w:t>Retention and deletion duties are described without lifecycle evidence handling</w:t>
            </w:r>
          </w:p>
        </w:tc>
        <w:tc>
          <w:tcPr>
            <w:tcW w:type="dxa" w:w="1704"/>
          </w:tcPr>
          <w:p>
            <w:pPr>
              <w:spacing w:after="0"/>
            </w:pPr>
            <w:r>
              <w:rPr>
                <w:rFonts w:ascii="Arial" w:hAnsi="Arial"/>
                <w:b w:val="0"/>
                <w:sz w:val="12"/>
              </w:rPr>
              <w:t>Verify privacy and retention conflicts during publication / enterprise review</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What documentation exists for model use, agent role, tool access, and deployment configuration?</w:t>
            </w:r>
          </w:p>
        </w:tc>
        <w:tc>
          <w:tcPr>
            <w:tcW w:type="dxa" w:w="1704"/>
          </w:tcPr>
          <w:p>
            <w:pPr>
              <w:spacing w:after="0"/>
            </w:pPr>
            <w:r>
              <w:rPr>
                <w:rFonts w:ascii="Arial" w:hAnsi="Arial"/>
                <w:b w:val="0"/>
                <w:sz w:val="12"/>
              </w:rPr>
              <w:t>RCCS-03, ALCS-03, ALCS-15</w:t>
            </w:r>
          </w:p>
        </w:tc>
        <w:tc>
          <w:tcPr>
            <w:tcW w:type="dxa" w:w="1704"/>
          </w:tcPr>
          <w:p>
            <w:pPr>
              <w:spacing w:after="0"/>
            </w:pPr>
            <w:r>
              <w:rPr>
                <w:rFonts w:ascii="Arial" w:hAnsi="Arial"/>
                <w:b w:val="0"/>
                <w:sz w:val="12"/>
              </w:rPr>
              <w:t>System card, model card, deployment record, configuration manifest</w:t>
            </w:r>
          </w:p>
        </w:tc>
        <w:tc>
          <w:tcPr>
            <w:tcW w:type="dxa" w:w="1704"/>
          </w:tcPr>
          <w:p>
            <w:pPr>
              <w:spacing w:after="0"/>
            </w:pPr>
            <w:r>
              <w:rPr>
                <w:rFonts w:ascii="Arial" w:hAnsi="Arial"/>
                <w:b w:val="0"/>
                <w:sz w:val="12"/>
              </w:rPr>
              <w:t>Documentation exists for models but not agents or tool actions</w:t>
            </w:r>
          </w:p>
        </w:tc>
        <w:tc>
          <w:tcPr>
            <w:tcW w:type="dxa" w:w="1704"/>
          </w:tcPr>
          <w:p>
            <w:pPr>
              <w:spacing w:after="0"/>
            </w:pPr>
            <w:r>
              <w:rPr>
                <w:rFonts w:ascii="Arial" w:hAnsi="Arial"/>
                <w:b w:val="0"/>
                <w:sz w:val="12"/>
              </w:rPr>
              <w:t>Separate model documentation from agent lifecycle documentation</w:t>
            </w:r>
          </w:p>
        </w:tc>
      </w:tr>
      <w:tr>
        <w:tc>
          <w:tcPr>
            <w:tcW w:type="dxa" w:w="1704"/>
          </w:tcPr>
          <w:p>
            <w:pPr>
              <w:spacing w:after="0"/>
            </w:pPr>
            <w:r>
              <w:rPr>
                <w:rFonts w:ascii="Arial" w:hAnsi="Arial"/>
                <w:b w:val="0"/>
                <w:sz w:val="12"/>
              </w:rPr>
              <w:t>Record keeping</w:t>
            </w:r>
          </w:p>
        </w:tc>
        <w:tc>
          <w:tcPr>
            <w:tcW w:type="dxa" w:w="1704"/>
          </w:tcPr>
          <w:p>
            <w:pPr>
              <w:spacing w:after="0"/>
            </w:pPr>
            <w:r>
              <w:rPr>
                <w:rFonts w:ascii="Arial" w:hAnsi="Arial"/>
                <w:b w:val="0"/>
                <w:sz w:val="12"/>
              </w:rPr>
              <w:t>What records are created for plans, tool actions, authority grants, evidence packs, reviews, and accepted outcomes?</w:t>
            </w:r>
          </w:p>
        </w:tc>
        <w:tc>
          <w:tcPr>
            <w:tcW w:type="dxa" w:w="1704"/>
          </w:tcPr>
          <w:p>
            <w:pPr>
              <w:spacing w:after="0"/>
            </w:pPr>
            <w:r>
              <w:rPr>
                <w:rFonts w:ascii="Arial" w:hAnsi="Arial"/>
                <w:b w:val="0"/>
                <w:sz w:val="12"/>
              </w:rPr>
              <w:t>RCCS-04, ALCS-08, ALCS-12</w:t>
            </w:r>
          </w:p>
        </w:tc>
        <w:tc>
          <w:tcPr>
            <w:tcW w:type="dxa" w:w="1704"/>
          </w:tcPr>
          <w:p>
            <w:pPr>
              <w:spacing w:after="0"/>
            </w:pPr>
            <w:r>
              <w:rPr>
                <w:rFonts w:ascii="Arial" w:hAnsi="Arial"/>
                <w:b w:val="0"/>
                <w:sz w:val="12"/>
              </w:rPr>
              <w:t>Log schema, evidence export sample, retention rule</w:t>
            </w:r>
          </w:p>
        </w:tc>
        <w:tc>
          <w:tcPr>
            <w:tcW w:type="dxa" w:w="1704"/>
          </w:tcPr>
          <w:p>
            <w:pPr>
              <w:spacing w:after="0"/>
            </w:pPr>
            <w:r>
              <w:rPr>
                <w:rFonts w:ascii="Arial" w:hAnsi="Arial"/>
                <w:b w:val="0"/>
                <w:sz w:val="12"/>
              </w:rPr>
              <w:t>Logs cannot be connected to lifecycle responsibility objects</w:t>
            </w:r>
          </w:p>
        </w:tc>
        <w:tc>
          <w:tcPr>
            <w:tcW w:type="dxa" w:w="1704"/>
          </w:tcPr>
          <w:p>
            <w:pPr>
              <w:spacing w:after="0"/>
            </w:pPr>
            <w:r>
              <w:rPr>
                <w:rFonts w:ascii="Arial" w:hAnsi="Arial"/>
                <w:b w:val="0"/>
                <w:sz w:val="12"/>
              </w:rPr>
              <w:t>Ask whether records are exportable and reviewable</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How are human roles mapped to agent responsibilities, review points, and escalation authority?</w:t>
            </w:r>
          </w:p>
        </w:tc>
        <w:tc>
          <w:tcPr>
            <w:tcW w:type="dxa" w:w="1704"/>
          </w:tcPr>
          <w:p>
            <w:pPr>
              <w:spacing w:after="0"/>
            </w:pPr>
            <w:r>
              <w:rPr>
                <w:rFonts w:ascii="Arial" w:hAnsi="Arial"/>
                <w:b w:val="0"/>
                <w:sz w:val="12"/>
              </w:rPr>
              <w:t>RCCS-06, ALCS-01, ALCS-02</w:t>
            </w:r>
          </w:p>
        </w:tc>
        <w:tc>
          <w:tcPr>
            <w:tcW w:type="dxa" w:w="1704"/>
          </w:tcPr>
          <w:p>
            <w:pPr>
              <w:spacing w:after="0"/>
            </w:pPr>
            <w:r>
              <w:rPr>
                <w:rFonts w:ascii="Arial" w:hAnsi="Arial"/>
                <w:b w:val="0"/>
                <w:sz w:val="12"/>
              </w:rPr>
              <w:t>Responsibility matrix, review workflow, escalation rule</w:t>
            </w:r>
          </w:p>
        </w:tc>
        <w:tc>
          <w:tcPr>
            <w:tcW w:type="dxa" w:w="1704"/>
          </w:tcPr>
          <w:p>
            <w:pPr>
              <w:spacing w:after="0"/>
            </w:pPr>
            <w:r>
              <w:rPr>
                <w:rFonts w:ascii="Arial" w:hAnsi="Arial"/>
                <w:b w:val="0"/>
                <w:sz w:val="12"/>
              </w:rPr>
              <w:t>Human oversight is described as a generic approval button</w:t>
            </w:r>
          </w:p>
        </w:tc>
        <w:tc>
          <w:tcPr>
            <w:tcW w:type="dxa" w:w="1704"/>
          </w:tcPr>
          <w:p>
            <w:pPr>
              <w:spacing w:after="0"/>
            </w:pPr>
            <w:r>
              <w:rPr>
                <w:rFonts w:ascii="Arial" w:hAnsi="Arial"/>
                <w:b w:val="0"/>
                <w:sz w:val="12"/>
              </w:rPr>
              <w:t>Require role-to-responsibility mapping</w:t>
            </w:r>
          </w:p>
        </w:tc>
      </w:tr>
      <w:tr>
        <w:tc>
          <w:tcPr>
            <w:tcW w:type="dxa" w:w="1704"/>
          </w:tcPr>
          <w:p>
            <w:pPr>
              <w:spacing w:after="0"/>
            </w:pPr>
            <w:r>
              <w:rPr>
                <w:rFonts w:ascii="Arial" w:hAnsi="Arial"/>
                <w:b w:val="0"/>
                <w:sz w:val="12"/>
              </w:rPr>
              <w:t>Authority boundaries</w:t>
            </w:r>
          </w:p>
        </w:tc>
        <w:tc>
          <w:tcPr>
            <w:tcW w:type="dxa" w:w="1704"/>
          </w:tcPr>
          <w:p>
            <w:pPr>
              <w:spacing w:after="0"/>
            </w:pPr>
            <w:r>
              <w:rPr>
                <w:rFonts w:ascii="Arial" w:hAnsi="Arial"/>
                <w:b w:val="0"/>
                <w:sz w:val="12"/>
              </w:rPr>
              <w:t>How are delegated authority limits defined, enforced, and changed?</w:t>
            </w:r>
          </w:p>
        </w:tc>
        <w:tc>
          <w:tcPr>
            <w:tcW w:type="dxa" w:w="1704"/>
          </w:tcPr>
          <w:p>
            <w:pPr>
              <w:spacing w:after="0"/>
            </w:pPr>
            <w:r>
              <w:rPr>
                <w:rFonts w:ascii="Arial" w:hAnsi="Arial"/>
                <w:b w:val="0"/>
                <w:sz w:val="12"/>
              </w:rPr>
              <w:t>ALCS-02, ALCS-07</w:t>
            </w:r>
          </w:p>
        </w:tc>
        <w:tc>
          <w:tcPr>
            <w:tcW w:type="dxa" w:w="1704"/>
          </w:tcPr>
          <w:p>
            <w:pPr>
              <w:spacing w:after="0"/>
            </w:pPr>
            <w:r>
              <w:rPr>
                <w:rFonts w:ascii="Arial" w:hAnsi="Arial"/>
                <w:b w:val="0"/>
                <w:sz w:val="12"/>
              </w:rPr>
              <w:t>Authority policy, change log, exception workflow</w:t>
            </w:r>
          </w:p>
        </w:tc>
        <w:tc>
          <w:tcPr>
            <w:tcW w:type="dxa" w:w="1704"/>
          </w:tcPr>
          <w:p>
            <w:pPr>
              <w:spacing w:after="0"/>
            </w:pPr>
            <w:r>
              <w:rPr>
                <w:rFonts w:ascii="Arial" w:hAnsi="Arial"/>
                <w:b w:val="0"/>
                <w:sz w:val="12"/>
              </w:rPr>
              <w:t>Agents can acquire or use tools without visible authority boundaries</w:t>
            </w:r>
          </w:p>
        </w:tc>
        <w:tc>
          <w:tcPr>
            <w:tcW w:type="dxa" w:w="1704"/>
          </w:tcPr>
          <w:p>
            <w:pPr>
              <w:spacing w:after="0"/>
            </w:pPr>
            <w:r>
              <w:rPr>
                <w:rFonts w:ascii="Arial" w:hAnsi="Arial"/>
                <w:b w:val="0"/>
                <w:sz w:val="12"/>
              </w:rPr>
              <w:t>Require authority drift review before deployment</w:t>
            </w:r>
          </w:p>
        </w:tc>
      </w:tr>
      <w:tr>
        <w:tc>
          <w:tcPr>
            <w:tcW w:type="dxa" w:w="1704"/>
          </w:tcPr>
          <w:p>
            <w:pPr>
              <w:spacing w:after="0"/>
            </w:pPr>
            <w:r>
              <w:rPr>
                <w:rFonts w:ascii="Arial" w:hAnsi="Arial"/>
                <w:b w:val="0"/>
                <w:sz w:val="12"/>
              </w:rPr>
              <w:t>Tool action liability</w:t>
            </w:r>
          </w:p>
        </w:tc>
        <w:tc>
          <w:tcPr>
            <w:tcW w:type="dxa" w:w="1704"/>
          </w:tcPr>
          <w:p>
            <w:pPr>
              <w:spacing w:after="0"/>
            </w:pPr>
            <w:r>
              <w:rPr>
                <w:rFonts w:ascii="Arial" w:hAnsi="Arial"/>
                <w:b w:val="0"/>
                <w:sz w:val="12"/>
              </w:rPr>
              <w:t>How are tool calls, side effects, and responsibility transfers recorded?</w:t>
            </w:r>
          </w:p>
        </w:tc>
        <w:tc>
          <w:tcPr>
            <w:tcW w:type="dxa" w:w="1704"/>
          </w:tcPr>
          <w:p>
            <w:pPr>
              <w:spacing w:after="0"/>
            </w:pPr>
            <w:r>
              <w:rPr>
                <w:rFonts w:ascii="Arial" w:hAnsi="Arial"/>
                <w:b w:val="0"/>
                <w:sz w:val="12"/>
              </w:rPr>
              <w:t>ALCS-05, ALCS-06</w:t>
            </w:r>
          </w:p>
        </w:tc>
        <w:tc>
          <w:tcPr>
            <w:tcW w:type="dxa" w:w="1704"/>
          </w:tcPr>
          <w:p>
            <w:pPr>
              <w:spacing w:after="0"/>
            </w:pPr>
            <w:r>
              <w:rPr>
                <w:rFonts w:ascii="Arial" w:hAnsi="Arial"/>
                <w:b w:val="0"/>
                <w:sz w:val="12"/>
              </w:rPr>
              <w:t>Tool registry, action log schema, handoff record</w:t>
            </w:r>
          </w:p>
        </w:tc>
        <w:tc>
          <w:tcPr>
            <w:tcW w:type="dxa" w:w="1704"/>
          </w:tcPr>
          <w:p>
            <w:pPr>
              <w:spacing w:after="0"/>
            </w:pPr>
            <w:r>
              <w:rPr>
                <w:rFonts w:ascii="Arial" w:hAnsi="Arial"/>
                <w:b w:val="0"/>
                <w:sz w:val="12"/>
              </w:rPr>
              <w:t>Tool execution is visible but responsibility assignment is not</w:t>
            </w:r>
          </w:p>
        </w:tc>
        <w:tc>
          <w:tcPr>
            <w:tcW w:type="dxa" w:w="1704"/>
          </w:tcPr>
          <w:p>
            <w:pPr>
              <w:spacing w:after="0"/>
            </w:pPr>
            <w:r>
              <w:rPr>
                <w:rFonts w:ascii="Arial" w:hAnsi="Arial"/>
                <w:b w:val="0"/>
                <w:sz w:val="12"/>
              </w:rPr>
              <w:t>Require traceability from tool action to accountable review owner</w:t>
            </w:r>
          </w:p>
        </w:tc>
      </w:tr>
      <w:tr>
        <w:tc>
          <w:tcPr>
            <w:tcW w:type="dxa" w:w="1704"/>
          </w:tcPr>
          <w:p>
            <w:pPr>
              <w:spacing w:after="0"/>
            </w:pPr>
            <w:r>
              <w:rPr>
                <w:rFonts w:ascii="Arial" w:hAnsi="Arial"/>
                <w:b w:val="0"/>
                <w:sz w:val="12"/>
              </w:rPr>
              <w:t>Contestability and remediation</w:t>
            </w:r>
          </w:p>
        </w:tc>
        <w:tc>
          <w:tcPr>
            <w:tcW w:type="dxa" w:w="1704"/>
          </w:tcPr>
          <w:p>
            <w:pPr>
              <w:spacing w:after="0"/>
            </w:pPr>
            <w:r>
              <w:rPr>
                <w:rFonts w:ascii="Arial" w:hAnsi="Arial"/>
                <w:b w:val="0"/>
                <w:sz w:val="12"/>
              </w:rPr>
              <w:t>How can contested outputs, incidents, and remediation actions be recorded and closed?</w:t>
            </w:r>
          </w:p>
        </w:tc>
        <w:tc>
          <w:tcPr>
            <w:tcW w:type="dxa" w:w="1704"/>
          </w:tcPr>
          <w:p>
            <w:pPr>
              <w:spacing w:after="0"/>
            </w:pPr>
            <w:r>
              <w:rPr>
                <w:rFonts w:ascii="Arial" w:hAnsi="Arial"/>
                <w:b w:val="0"/>
                <w:sz w:val="12"/>
              </w:rPr>
              <w:t>RCCS-09, MRO-16</w:t>
            </w:r>
          </w:p>
        </w:tc>
        <w:tc>
          <w:tcPr>
            <w:tcW w:type="dxa" w:w="1704"/>
          </w:tcPr>
          <w:p>
            <w:pPr>
              <w:spacing w:after="0"/>
            </w:pPr>
            <w:r>
              <w:rPr>
                <w:rFonts w:ascii="Arial" w:hAnsi="Arial"/>
                <w:b w:val="0"/>
                <w:sz w:val="12"/>
              </w:rPr>
              <w:t>Dispute workflow, incident record, remediation closure template</w:t>
            </w:r>
          </w:p>
        </w:tc>
        <w:tc>
          <w:tcPr>
            <w:tcW w:type="dxa" w:w="1704"/>
          </w:tcPr>
          <w:p>
            <w:pPr>
              <w:spacing w:after="0"/>
            </w:pPr>
            <w:r>
              <w:rPr>
                <w:rFonts w:ascii="Arial" w:hAnsi="Arial"/>
                <w:b w:val="0"/>
                <w:sz w:val="12"/>
              </w:rPr>
              <w:t>No clear path for dispute intake or closure evidence</w:t>
            </w:r>
          </w:p>
        </w:tc>
        <w:tc>
          <w:tcPr>
            <w:tcW w:type="dxa" w:w="1704"/>
          </w:tcPr>
          <w:p>
            <w:pPr>
              <w:spacing w:after="0"/>
            </w:pPr>
            <w:r>
              <w:rPr>
                <w:rFonts w:ascii="Arial" w:hAnsi="Arial"/>
                <w:b w:val="0"/>
                <w:sz w:val="12"/>
              </w:rPr>
              <w:t>Align with enterprise incident and dispute processes</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How are model, tool, vendor, and runtime changes evaluated before reuse or substitution?</w:t>
            </w:r>
          </w:p>
        </w:tc>
        <w:tc>
          <w:tcPr>
            <w:tcW w:type="dxa" w:w="1704"/>
          </w:tcPr>
          <w:p>
            <w:pPr>
              <w:spacing w:after="0"/>
            </w:pPr>
            <w:r>
              <w:rPr>
                <w:rFonts w:ascii="Arial" w:hAnsi="Arial"/>
                <w:b w:val="0"/>
                <w:sz w:val="12"/>
              </w:rPr>
              <w:t>ALCS-09, ALCS-15</w:t>
            </w:r>
          </w:p>
        </w:tc>
        <w:tc>
          <w:tcPr>
            <w:tcW w:type="dxa" w:w="1704"/>
          </w:tcPr>
          <w:p>
            <w:pPr>
              <w:spacing w:after="0"/>
            </w:pPr>
            <w:r>
              <w:rPr>
                <w:rFonts w:ascii="Arial" w:hAnsi="Arial"/>
                <w:b w:val="0"/>
                <w:sz w:val="12"/>
              </w:rPr>
              <w:t>Change approval record, substitution policy, version manifest</w:t>
            </w:r>
          </w:p>
        </w:tc>
        <w:tc>
          <w:tcPr>
            <w:tcW w:type="dxa" w:w="1704"/>
          </w:tcPr>
          <w:p>
            <w:pPr>
              <w:spacing w:after="0"/>
            </w:pPr>
            <w:r>
              <w:rPr>
                <w:rFonts w:ascii="Arial" w:hAnsi="Arial"/>
                <w:b w:val="0"/>
                <w:sz w:val="12"/>
              </w:rPr>
              <w:t>Substitution can occur without lifecycle impact review</w:t>
            </w:r>
          </w:p>
        </w:tc>
        <w:tc>
          <w:tcPr>
            <w:tcW w:type="dxa" w:w="1704"/>
          </w:tcPr>
          <w:p>
            <w:pPr>
              <w:spacing w:after="0"/>
            </w:pPr>
            <w:r>
              <w:rPr>
                <w:rFonts w:ascii="Arial" w:hAnsi="Arial"/>
                <w:b w:val="0"/>
                <w:sz w:val="12"/>
              </w:rPr>
              <w:t>Require substitution conformance evidence</w:t>
            </w:r>
          </w:p>
        </w:tc>
      </w:tr>
    </w:tbl>
    <w:p>
      <w:pPr>
        <w:pStyle w:val="Heading2"/>
      </w:pPr>
      <w:r>
        <w:t>H.3 Lifecycle Governance Procurement Checklist</w:t>
      </w:r>
    </w:p>
    <w:p>
      <w:pPr>
        <w:spacing w:after="56"/>
      </w:pPr>
      <w:r>
        <w:t>The following checklist organizes lifecycle governance diligence. Buyers may adapt the checklist for internal approval gates, but should preserve the distinction between evidence request, evidence review, and final enterprise decision.</w:t>
      </w:r>
    </w:p>
    <w:p>
      <w:pPr>
        <w:spacing w:after="56"/>
      </w:pPr>
      <w:r>
        <w:t>Checklist areas:</w:t>
      </w:r>
    </w:p>
    <w:p>
      <w:pPr>
        <w:pStyle w:val="ListNumber"/>
        <w:spacing w:after="56"/>
      </w:pPr>
      <w:r>
        <w:t>Lifecycle scope and system boundary</w:t>
      </w:r>
    </w:p>
    <w:p>
      <w:pPr>
        <w:pStyle w:val="ListNumber"/>
        <w:spacing w:after="56"/>
      </w:pPr>
      <w:r>
        <w:t>Human role and responsibility mapping</w:t>
      </w:r>
    </w:p>
    <w:p>
      <w:pPr>
        <w:pStyle w:val="ListNumber"/>
        <w:spacing w:after="56"/>
      </w:pPr>
      <w:r>
        <w:t>Delegated authority and tool boundary</w:t>
      </w:r>
    </w:p>
    <w:p>
      <w:pPr>
        <w:pStyle w:val="ListNumber"/>
        <w:spacing w:after="56"/>
      </w:pPr>
      <w:r>
        <w:t>Evidence creation, retention, minimization, and export</w:t>
      </w:r>
    </w:p>
    <w:p>
      <w:pPr>
        <w:pStyle w:val="ListNumber"/>
        <w:spacing w:after="56"/>
      </w:pPr>
      <w:r>
        <w:t>Privacy and data subject rights handling</w:t>
      </w:r>
    </w:p>
    <w:p>
      <w:pPr>
        <w:pStyle w:val="ListNumber"/>
        <w:spacing w:after="56"/>
      </w:pPr>
      <w:r>
        <w:t>Monitoring, incident, dispute, and remediation closure</w:t>
      </w:r>
    </w:p>
    <w:p>
      <w:pPr>
        <w:pStyle w:val="ListNumber"/>
        <w:spacing w:after="56"/>
      </w:pPr>
      <w:r>
        <w:t>Vendor, model, tool, and runtime substitution control</w:t>
      </w:r>
    </w:p>
    <w:p>
      <w:pPr>
        <w:pStyle w:val="ListNumber"/>
        <w:spacing w:after="56"/>
      </w:pPr>
      <w:r>
        <w:t>Evidence level and source quality review</w:t>
      </w:r>
    </w:p>
    <w:p>
      <w:pPr>
        <w:spacing w:after="56"/>
      </w:pPr>
      <w:r>
        <w:t>The checklist should be completed by a cross-functional review group. Procurement alone should not decide lifecycle governance sufficiency.</w:t>
      </w:r>
    </w:p>
    <w:p>
      <w:pPr>
        <w:pStyle w:val="Heading2"/>
      </w:pPr>
      <w:r>
        <w:t>H.4 Evidence Request Template</w:t>
      </w:r>
    </w:p>
    <w:p>
      <w:pPr>
        <w:keepNext/>
      </w:pPr>
      <w:r>
        <w:rPr>
          <w:b/>
          <w:sz w:val="16"/>
        </w:rPr>
        <w:t>Table T-H-02: Vendor Evidence Request Template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Evidence Area</w:t>
            </w:r>
          </w:p>
        </w:tc>
        <w:tc>
          <w:tcPr>
            <w:tcW w:type="dxa" w:w="2045"/>
          </w:tcPr>
          <w:p>
            <w:pPr>
              <w:spacing w:after="0"/>
            </w:pPr>
            <w:r>
              <w:rPr>
                <w:rFonts w:ascii="Arial" w:hAnsi="Arial"/>
                <w:b/>
                <w:sz w:val="14"/>
              </w:rPr>
              <w:t>Requested Artifact</w:t>
            </w:r>
          </w:p>
        </w:tc>
        <w:tc>
          <w:tcPr>
            <w:tcW w:type="dxa" w:w="2045"/>
          </w:tcPr>
          <w:p>
            <w:pPr>
              <w:spacing w:after="0"/>
            </w:pPr>
            <w:r>
              <w:rPr>
                <w:rFonts w:ascii="Arial" w:hAnsi="Arial"/>
                <w:b/>
                <w:sz w:val="14"/>
              </w:rPr>
              <w:t>Minimum Acceptable Evidence</w:t>
            </w:r>
          </w:p>
        </w:tc>
        <w:tc>
          <w:tcPr>
            <w:tcW w:type="dxa" w:w="2045"/>
          </w:tcPr>
          <w:p>
            <w:pPr>
              <w:spacing w:after="0"/>
            </w:pPr>
            <w:r>
              <w:rPr>
                <w:rFonts w:ascii="Arial" w:hAnsi="Arial"/>
                <w:b/>
                <w:sz w:val="14"/>
              </w:rPr>
              <w:t>Preferred Evidence</w:t>
            </w:r>
          </w:p>
        </w:tc>
        <w:tc>
          <w:tcPr>
            <w:tcW w:type="dxa" w:w="2045"/>
          </w:tcPr>
          <w:p>
            <w:pPr>
              <w:spacing w:after="0"/>
            </w:pPr>
            <w:r>
              <w:rPr>
                <w:rFonts w:ascii="Arial" w:hAnsi="Arial"/>
                <w:b/>
                <w:sz w:val="14"/>
              </w:rPr>
              <w:t>Publication / Enterprise Review Note</w:t>
            </w:r>
          </w:p>
        </w:tc>
      </w:tr>
      <w:tr>
        <w:tc>
          <w:tcPr>
            <w:tcW w:type="dxa" w:w="2045"/>
          </w:tcPr>
          <w:p>
            <w:pPr>
              <w:spacing w:after="0"/>
            </w:pPr>
            <w:r>
              <w:rPr>
                <w:rFonts w:ascii="Arial" w:hAnsi="Arial"/>
                <w:b w:val="0"/>
                <w:sz w:val="14"/>
              </w:rPr>
              <w:t>System boundary</w:t>
            </w:r>
          </w:p>
        </w:tc>
        <w:tc>
          <w:tcPr>
            <w:tcW w:type="dxa" w:w="2045"/>
          </w:tcPr>
          <w:p>
            <w:pPr>
              <w:spacing w:after="0"/>
            </w:pPr>
            <w:r>
              <w:rPr>
                <w:rFonts w:ascii="Arial" w:hAnsi="Arial"/>
                <w:b w:val="0"/>
                <w:sz w:val="14"/>
              </w:rPr>
              <w:t>Product scope statement and deployment architecture</w:t>
            </w:r>
          </w:p>
        </w:tc>
        <w:tc>
          <w:tcPr>
            <w:tcW w:type="dxa" w:w="2045"/>
          </w:tcPr>
          <w:p>
            <w:pPr>
              <w:spacing w:after="0"/>
            </w:pPr>
            <w:r>
              <w:rPr>
                <w:rFonts w:ascii="Arial" w:hAnsi="Arial"/>
                <w:b w:val="0"/>
                <w:sz w:val="14"/>
              </w:rPr>
              <w:t>Official documentation or implementation description</w:t>
            </w:r>
          </w:p>
        </w:tc>
        <w:tc>
          <w:tcPr>
            <w:tcW w:type="dxa" w:w="2045"/>
          </w:tcPr>
          <w:p>
            <w:pPr>
              <w:spacing w:after="0"/>
            </w:pPr>
            <w:r>
              <w:rPr>
                <w:rFonts w:ascii="Arial" w:hAnsi="Arial"/>
                <w:b w:val="0"/>
                <w:sz w:val="14"/>
              </w:rPr>
              <w:t>Versioned architecture record tied to deployed configuration</w:t>
            </w:r>
          </w:p>
        </w:tc>
        <w:tc>
          <w:tcPr>
            <w:tcW w:type="dxa" w:w="2045"/>
          </w:tcPr>
          <w:p>
            <w:pPr>
              <w:spacing w:after="0"/>
            </w:pPr>
            <w:r>
              <w:rPr>
                <w:rFonts w:ascii="Arial" w:hAnsi="Arial"/>
                <w:b w:val="0"/>
                <w:sz w:val="14"/>
              </w:rPr>
              <w:t>Review documentation currency before publication or adoption</w:t>
            </w:r>
          </w:p>
        </w:tc>
      </w:tr>
      <w:tr>
        <w:tc>
          <w:tcPr>
            <w:tcW w:type="dxa" w:w="2045"/>
          </w:tcPr>
          <w:p>
            <w:pPr>
              <w:spacing w:after="0"/>
            </w:pPr>
            <w:r>
              <w:rPr>
                <w:rFonts w:ascii="Arial" w:hAnsi="Arial"/>
                <w:b w:val="0"/>
                <w:sz w:val="14"/>
              </w:rPr>
              <w:t>Human responsibility</w:t>
            </w:r>
          </w:p>
        </w:tc>
        <w:tc>
          <w:tcPr>
            <w:tcW w:type="dxa" w:w="2045"/>
          </w:tcPr>
          <w:p>
            <w:pPr>
              <w:spacing w:after="0"/>
            </w:pPr>
            <w:r>
              <w:rPr>
                <w:rFonts w:ascii="Arial" w:hAnsi="Arial"/>
                <w:b w:val="0"/>
                <w:sz w:val="14"/>
              </w:rPr>
              <w:t>Role-to-responsibility mapping</w:t>
            </w:r>
          </w:p>
        </w:tc>
        <w:tc>
          <w:tcPr>
            <w:tcW w:type="dxa" w:w="2045"/>
          </w:tcPr>
          <w:p>
            <w:pPr>
              <w:spacing w:after="0"/>
            </w:pPr>
            <w:r>
              <w:rPr>
                <w:rFonts w:ascii="Arial" w:hAnsi="Arial"/>
                <w:b w:val="0"/>
                <w:sz w:val="14"/>
              </w:rPr>
              <w:t>Documented workflow or responsibility matrix</w:t>
            </w:r>
          </w:p>
        </w:tc>
        <w:tc>
          <w:tcPr>
            <w:tcW w:type="dxa" w:w="2045"/>
          </w:tcPr>
          <w:p>
            <w:pPr>
              <w:spacing w:after="0"/>
            </w:pPr>
            <w:r>
              <w:rPr>
                <w:rFonts w:ascii="Arial" w:hAnsi="Arial"/>
                <w:b w:val="0"/>
                <w:sz w:val="14"/>
              </w:rPr>
              <w:t>Evidence of review workflow execution and exception handling</w:t>
            </w:r>
          </w:p>
        </w:tc>
        <w:tc>
          <w:tcPr>
            <w:tcW w:type="dxa" w:w="2045"/>
          </w:tcPr>
          <w:p>
            <w:pPr>
              <w:spacing w:after="0"/>
            </w:pPr>
            <w:r>
              <w:rPr>
                <w:rFonts w:ascii="Arial" w:hAnsi="Arial"/>
                <w:b w:val="0"/>
                <w:sz w:val="14"/>
              </w:rPr>
              <w:t>Confirm mapping against active enterprise roles</w:t>
            </w:r>
          </w:p>
        </w:tc>
      </w:tr>
      <w:tr>
        <w:tc>
          <w:tcPr>
            <w:tcW w:type="dxa" w:w="2045"/>
          </w:tcPr>
          <w:p>
            <w:pPr>
              <w:spacing w:after="0"/>
            </w:pPr>
            <w:r>
              <w:rPr>
                <w:rFonts w:ascii="Arial" w:hAnsi="Arial"/>
                <w:b w:val="0"/>
                <w:sz w:val="14"/>
              </w:rPr>
              <w:t>Delegated authority</w:t>
            </w:r>
          </w:p>
        </w:tc>
        <w:tc>
          <w:tcPr>
            <w:tcW w:type="dxa" w:w="2045"/>
          </w:tcPr>
          <w:p>
            <w:pPr>
              <w:spacing w:after="0"/>
            </w:pPr>
            <w:r>
              <w:rPr>
                <w:rFonts w:ascii="Arial" w:hAnsi="Arial"/>
                <w:b w:val="0"/>
                <w:sz w:val="14"/>
              </w:rPr>
              <w:t>Authority policy and enforcement description</w:t>
            </w:r>
          </w:p>
        </w:tc>
        <w:tc>
          <w:tcPr>
            <w:tcW w:type="dxa" w:w="2045"/>
          </w:tcPr>
          <w:p>
            <w:pPr>
              <w:spacing w:after="0"/>
            </w:pPr>
            <w:r>
              <w:rPr>
                <w:rFonts w:ascii="Arial" w:hAnsi="Arial"/>
                <w:b w:val="0"/>
                <w:sz w:val="14"/>
              </w:rPr>
              <w:t>Product documentation or implementation policy</w:t>
            </w:r>
          </w:p>
        </w:tc>
        <w:tc>
          <w:tcPr>
            <w:tcW w:type="dxa" w:w="2045"/>
          </w:tcPr>
          <w:p>
            <w:pPr>
              <w:spacing w:after="0"/>
            </w:pPr>
            <w:r>
              <w:rPr>
                <w:rFonts w:ascii="Arial" w:hAnsi="Arial"/>
                <w:b w:val="0"/>
                <w:sz w:val="14"/>
              </w:rPr>
              <w:t>Validated operational artifact showing grant, denial, and change handling</w:t>
            </w:r>
          </w:p>
        </w:tc>
        <w:tc>
          <w:tcPr>
            <w:tcW w:type="dxa" w:w="2045"/>
          </w:tcPr>
          <w:p>
            <w:pPr>
              <w:spacing w:after="0"/>
            </w:pPr>
            <w:r>
              <w:rPr>
                <w:rFonts w:ascii="Arial" w:hAnsi="Arial"/>
                <w:b w:val="0"/>
                <w:sz w:val="14"/>
              </w:rPr>
              <w:t>Verify whether enforcement is built-in or implementer-defined</w:t>
            </w:r>
          </w:p>
        </w:tc>
      </w:tr>
      <w:tr>
        <w:tc>
          <w:tcPr>
            <w:tcW w:type="dxa" w:w="2045"/>
          </w:tcPr>
          <w:p>
            <w:pPr>
              <w:spacing w:after="0"/>
            </w:pPr>
            <w:r>
              <w:rPr>
                <w:rFonts w:ascii="Arial" w:hAnsi="Arial"/>
                <w:b w:val="0"/>
                <w:sz w:val="14"/>
              </w:rPr>
              <w:t>Tool actions</w:t>
            </w:r>
          </w:p>
        </w:tc>
        <w:tc>
          <w:tcPr>
            <w:tcW w:type="dxa" w:w="2045"/>
          </w:tcPr>
          <w:p>
            <w:pPr>
              <w:spacing w:after="0"/>
            </w:pPr>
            <w:r>
              <w:rPr>
                <w:rFonts w:ascii="Arial" w:hAnsi="Arial"/>
                <w:b w:val="0"/>
                <w:sz w:val="14"/>
              </w:rPr>
              <w:t>Tool registry and action record schema</w:t>
            </w:r>
          </w:p>
        </w:tc>
        <w:tc>
          <w:tcPr>
            <w:tcW w:type="dxa" w:w="2045"/>
          </w:tcPr>
          <w:p>
            <w:pPr>
              <w:spacing w:after="0"/>
            </w:pPr>
            <w:r>
              <w:rPr>
                <w:rFonts w:ascii="Arial" w:hAnsi="Arial"/>
                <w:b w:val="0"/>
                <w:sz w:val="14"/>
              </w:rPr>
              <w:t>Tool list and logging description</w:t>
            </w:r>
          </w:p>
        </w:tc>
        <w:tc>
          <w:tcPr>
            <w:tcW w:type="dxa" w:w="2045"/>
          </w:tcPr>
          <w:p>
            <w:pPr>
              <w:spacing w:after="0"/>
            </w:pPr>
            <w:r>
              <w:rPr>
                <w:rFonts w:ascii="Arial" w:hAnsi="Arial"/>
                <w:b w:val="0"/>
                <w:sz w:val="14"/>
              </w:rPr>
              <w:t>Exportable action records with accountability linkage</w:t>
            </w:r>
          </w:p>
        </w:tc>
        <w:tc>
          <w:tcPr>
            <w:tcW w:type="dxa" w:w="2045"/>
          </w:tcPr>
          <w:p>
            <w:pPr>
              <w:spacing w:after="0"/>
            </w:pPr>
            <w:r>
              <w:rPr>
                <w:rFonts w:ascii="Arial" w:hAnsi="Arial"/>
                <w:b w:val="0"/>
                <w:sz w:val="14"/>
              </w:rPr>
              <w:t>Validate record completeness before publication or adoption</w:t>
            </w:r>
          </w:p>
        </w:tc>
      </w:tr>
      <w:tr>
        <w:tc>
          <w:tcPr>
            <w:tcW w:type="dxa" w:w="2045"/>
          </w:tcPr>
          <w:p>
            <w:pPr>
              <w:spacing w:after="0"/>
            </w:pPr>
            <w:r>
              <w:rPr>
                <w:rFonts w:ascii="Arial" w:hAnsi="Arial"/>
                <w:b w:val="0"/>
                <w:sz w:val="14"/>
              </w:rPr>
              <w:t>Evidence handling</w:t>
            </w:r>
          </w:p>
        </w:tc>
        <w:tc>
          <w:tcPr>
            <w:tcW w:type="dxa" w:w="2045"/>
          </w:tcPr>
          <w:p>
            <w:pPr>
              <w:spacing w:after="0"/>
            </w:pPr>
            <w:r>
              <w:rPr>
                <w:rFonts w:ascii="Arial" w:hAnsi="Arial"/>
                <w:b w:val="0"/>
                <w:sz w:val="14"/>
              </w:rPr>
              <w:t>Evidence pack, log export, or audit record sample</w:t>
            </w:r>
          </w:p>
        </w:tc>
        <w:tc>
          <w:tcPr>
            <w:tcW w:type="dxa" w:w="2045"/>
          </w:tcPr>
          <w:p>
            <w:pPr>
              <w:spacing w:after="0"/>
            </w:pPr>
            <w:r>
              <w:rPr>
                <w:rFonts w:ascii="Arial" w:hAnsi="Arial"/>
                <w:b w:val="0"/>
                <w:sz w:val="14"/>
              </w:rPr>
              <w:t>Sample artifact with field definitions</w:t>
            </w:r>
          </w:p>
        </w:tc>
        <w:tc>
          <w:tcPr>
            <w:tcW w:type="dxa" w:w="2045"/>
          </w:tcPr>
          <w:p>
            <w:pPr>
              <w:spacing w:after="0"/>
            </w:pPr>
            <w:r>
              <w:rPr>
                <w:rFonts w:ascii="Arial" w:hAnsi="Arial"/>
                <w:b w:val="0"/>
                <w:sz w:val="14"/>
              </w:rPr>
              <w:t>Hashable or reviewable evidence artifact with minimization controls</w:t>
            </w:r>
          </w:p>
        </w:tc>
        <w:tc>
          <w:tcPr>
            <w:tcW w:type="dxa" w:w="2045"/>
          </w:tcPr>
          <w:p>
            <w:pPr>
              <w:spacing w:after="0"/>
            </w:pPr>
            <w:r>
              <w:rPr>
                <w:rFonts w:ascii="Arial" w:hAnsi="Arial"/>
                <w:b w:val="0"/>
                <w:sz w:val="14"/>
              </w:rPr>
              <w:t>Confirm no sensitive evidence over-disclosure</w:t>
            </w:r>
          </w:p>
        </w:tc>
      </w:tr>
      <w:tr>
        <w:tc>
          <w:tcPr>
            <w:tcW w:type="dxa" w:w="2045"/>
          </w:tcPr>
          <w:p>
            <w:pPr>
              <w:spacing w:after="0"/>
            </w:pPr>
            <w:r>
              <w:rPr>
                <w:rFonts w:ascii="Arial" w:hAnsi="Arial"/>
                <w:b w:val="0"/>
                <w:sz w:val="14"/>
              </w:rPr>
              <w:t>Privacy lifecycle</w:t>
            </w:r>
          </w:p>
        </w:tc>
        <w:tc>
          <w:tcPr>
            <w:tcW w:type="dxa" w:w="2045"/>
          </w:tcPr>
          <w:p>
            <w:pPr>
              <w:spacing w:after="0"/>
            </w:pPr>
            <w:r>
              <w:rPr>
                <w:rFonts w:ascii="Arial" w:hAnsi="Arial"/>
                <w:b w:val="0"/>
                <w:sz w:val="14"/>
              </w:rPr>
              <w:t>Data flow, retention, and deletion policy</w:t>
            </w:r>
          </w:p>
        </w:tc>
        <w:tc>
          <w:tcPr>
            <w:tcW w:type="dxa" w:w="2045"/>
          </w:tcPr>
          <w:p>
            <w:pPr>
              <w:spacing w:after="0"/>
            </w:pPr>
            <w:r>
              <w:rPr>
                <w:rFonts w:ascii="Arial" w:hAnsi="Arial"/>
                <w:b w:val="0"/>
                <w:sz w:val="14"/>
              </w:rPr>
              <w:t>Privacy documentation and retention statement</w:t>
            </w:r>
          </w:p>
        </w:tc>
        <w:tc>
          <w:tcPr>
            <w:tcW w:type="dxa" w:w="2045"/>
          </w:tcPr>
          <w:p>
            <w:pPr>
              <w:spacing w:after="0"/>
            </w:pPr>
            <w:r>
              <w:rPr>
                <w:rFonts w:ascii="Arial" w:hAnsi="Arial"/>
                <w:b w:val="0"/>
                <w:sz w:val="14"/>
              </w:rPr>
              <w:t>Mapped workflow for retention conflict and data subject request handling</w:t>
            </w:r>
          </w:p>
        </w:tc>
        <w:tc>
          <w:tcPr>
            <w:tcW w:type="dxa" w:w="2045"/>
          </w:tcPr>
          <w:p>
            <w:pPr>
              <w:spacing w:after="0"/>
            </w:pPr>
            <w:r>
              <w:rPr>
                <w:rFonts w:ascii="Arial" w:hAnsi="Arial"/>
                <w:b w:val="0"/>
                <w:sz w:val="14"/>
              </w:rPr>
              <w:t>Review against current privacy requirements before publication or adoption</w:t>
            </w:r>
          </w:p>
        </w:tc>
      </w:tr>
      <w:tr>
        <w:tc>
          <w:tcPr>
            <w:tcW w:type="dxa" w:w="2045"/>
          </w:tcPr>
          <w:p>
            <w:pPr>
              <w:spacing w:after="0"/>
            </w:pPr>
            <w:r>
              <w:rPr>
                <w:rFonts w:ascii="Arial" w:hAnsi="Arial"/>
                <w:b w:val="0"/>
                <w:sz w:val="14"/>
              </w:rPr>
              <w:t>Monitoring</w:t>
            </w:r>
          </w:p>
        </w:tc>
        <w:tc>
          <w:tcPr>
            <w:tcW w:type="dxa" w:w="2045"/>
          </w:tcPr>
          <w:p>
            <w:pPr>
              <w:spacing w:after="0"/>
            </w:pPr>
            <w:r>
              <w:rPr>
                <w:rFonts w:ascii="Arial" w:hAnsi="Arial"/>
                <w:b w:val="0"/>
                <w:sz w:val="14"/>
              </w:rPr>
              <w:t>Monitoring dashboard or alert workflow</w:t>
            </w:r>
          </w:p>
        </w:tc>
        <w:tc>
          <w:tcPr>
            <w:tcW w:type="dxa" w:w="2045"/>
          </w:tcPr>
          <w:p>
            <w:pPr>
              <w:spacing w:after="0"/>
            </w:pPr>
            <w:r>
              <w:rPr>
                <w:rFonts w:ascii="Arial" w:hAnsi="Arial"/>
                <w:b w:val="0"/>
                <w:sz w:val="14"/>
              </w:rPr>
              <w:t>Monitoring documentation</w:t>
            </w:r>
          </w:p>
        </w:tc>
        <w:tc>
          <w:tcPr>
            <w:tcW w:type="dxa" w:w="2045"/>
          </w:tcPr>
          <w:p>
            <w:pPr>
              <w:spacing w:after="0"/>
            </w:pPr>
            <w:r>
              <w:rPr>
                <w:rFonts w:ascii="Arial" w:hAnsi="Arial"/>
                <w:b w:val="0"/>
                <w:sz w:val="14"/>
              </w:rPr>
              <w:t>Operational monitoring artifact tied to lifecycle risk events</w:t>
            </w:r>
          </w:p>
        </w:tc>
        <w:tc>
          <w:tcPr>
            <w:tcW w:type="dxa" w:w="2045"/>
          </w:tcPr>
          <w:p>
            <w:pPr>
              <w:spacing w:after="0"/>
            </w:pPr>
            <w:r>
              <w:rPr>
                <w:rFonts w:ascii="Arial" w:hAnsi="Arial"/>
                <w:b w:val="0"/>
                <w:sz w:val="14"/>
              </w:rPr>
              <w:t>Confirm monitoring covers agent lifecycle, not only model metrics</w:t>
            </w:r>
          </w:p>
        </w:tc>
      </w:tr>
      <w:tr>
        <w:tc>
          <w:tcPr>
            <w:tcW w:type="dxa" w:w="2045"/>
          </w:tcPr>
          <w:p>
            <w:pPr>
              <w:spacing w:after="0"/>
            </w:pPr>
            <w:r>
              <w:rPr>
                <w:rFonts w:ascii="Arial" w:hAnsi="Arial"/>
                <w:b w:val="0"/>
                <w:sz w:val="14"/>
              </w:rPr>
              <w:t>Substitution control</w:t>
            </w:r>
          </w:p>
        </w:tc>
        <w:tc>
          <w:tcPr>
            <w:tcW w:type="dxa" w:w="2045"/>
          </w:tcPr>
          <w:p>
            <w:pPr>
              <w:spacing w:after="0"/>
            </w:pPr>
            <w:r>
              <w:rPr>
                <w:rFonts w:ascii="Arial" w:hAnsi="Arial"/>
                <w:b w:val="0"/>
                <w:sz w:val="14"/>
              </w:rPr>
              <w:t>Versioning and change approval record</w:t>
            </w:r>
          </w:p>
        </w:tc>
        <w:tc>
          <w:tcPr>
            <w:tcW w:type="dxa" w:w="2045"/>
          </w:tcPr>
          <w:p>
            <w:pPr>
              <w:spacing w:after="0"/>
            </w:pPr>
            <w:r>
              <w:rPr>
                <w:rFonts w:ascii="Arial" w:hAnsi="Arial"/>
                <w:b w:val="0"/>
                <w:sz w:val="14"/>
              </w:rPr>
              <w:t>Change management description</w:t>
            </w:r>
          </w:p>
        </w:tc>
        <w:tc>
          <w:tcPr>
            <w:tcW w:type="dxa" w:w="2045"/>
          </w:tcPr>
          <w:p>
            <w:pPr>
              <w:spacing w:after="0"/>
            </w:pPr>
            <w:r>
              <w:rPr>
                <w:rFonts w:ascii="Arial" w:hAnsi="Arial"/>
                <w:b w:val="0"/>
                <w:sz w:val="14"/>
              </w:rPr>
              <w:t>Substitution review artifact covering vendor, model, runtime, and tool changes</w:t>
            </w:r>
          </w:p>
        </w:tc>
        <w:tc>
          <w:tcPr>
            <w:tcW w:type="dxa" w:w="2045"/>
          </w:tcPr>
          <w:p>
            <w:pPr>
              <w:spacing w:after="0"/>
            </w:pPr>
            <w:r>
              <w:rPr>
                <w:rFonts w:ascii="Arial" w:hAnsi="Arial"/>
                <w:b w:val="0"/>
                <w:sz w:val="14"/>
              </w:rPr>
              <w:t>Review version history and current product state</w:t>
            </w:r>
          </w:p>
        </w:tc>
      </w:tr>
    </w:tbl>
    <w:p>
      <w:pPr>
        <w:pStyle w:val="Heading2"/>
      </w:pPr>
      <w:r>
        <w:t>H.5 Red Flag and Negative Control Checklist</w:t>
      </w:r>
    </w:p>
    <w:p>
      <w:pPr>
        <w:keepNext/>
      </w:pPr>
      <w:r>
        <w:rPr>
          <w:b/>
          <w:sz w:val="16"/>
        </w:rPr>
        <w:t>Table T-H-03: Procurement Red Flag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Red Flag</w:t>
            </w:r>
          </w:p>
        </w:tc>
        <w:tc>
          <w:tcPr>
            <w:tcW w:type="dxa" w:w="2045"/>
          </w:tcPr>
          <w:p>
            <w:pPr>
              <w:spacing w:after="0"/>
            </w:pPr>
            <w:r>
              <w:rPr>
                <w:rFonts w:ascii="Arial" w:hAnsi="Arial"/>
                <w:b/>
                <w:sz w:val="14"/>
              </w:rPr>
              <w:t>Why It Matters</w:t>
            </w:r>
          </w:p>
        </w:tc>
        <w:tc>
          <w:tcPr>
            <w:tcW w:type="dxa" w:w="2045"/>
          </w:tcPr>
          <w:p>
            <w:pPr>
              <w:spacing w:after="0"/>
            </w:pPr>
            <w:r>
              <w:rPr>
                <w:rFonts w:ascii="Arial" w:hAnsi="Arial"/>
                <w:b/>
                <w:sz w:val="14"/>
              </w:rPr>
              <w:t>Related Lifecycle Risk</w:t>
            </w:r>
          </w:p>
        </w:tc>
        <w:tc>
          <w:tcPr>
            <w:tcW w:type="dxa" w:w="2045"/>
          </w:tcPr>
          <w:p>
            <w:pPr>
              <w:spacing w:after="0"/>
            </w:pPr>
            <w:r>
              <w:rPr>
                <w:rFonts w:ascii="Arial" w:hAnsi="Arial"/>
                <w:b/>
                <w:sz w:val="14"/>
              </w:rPr>
              <w:t>Required Clarification</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Governance evidence covers only model output</w:t>
            </w:r>
          </w:p>
        </w:tc>
        <w:tc>
          <w:tcPr>
            <w:tcW w:type="dxa" w:w="2045"/>
          </w:tcPr>
          <w:p>
            <w:pPr>
              <w:spacing w:after="0"/>
            </w:pPr>
            <w:r>
              <w:rPr>
                <w:rFonts w:ascii="Arial" w:hAnsi="Arial"/>
                <w:b w:val="0"/>
                <w:sz w:val="14"/>
              </w:rPr>
              <w:t>Agentic failures can arise from planning, delegation, tool use, or handoff</w:t>
            </w:r>
          </w:p>
        </w:tc>
        <w:tc>
          <w:tcPr>
            <w:tcW w:type="dxa" w:w="2045"/>
          </w:tcPr>
          <w:p>
            <w:pPr>
              <w:spacing w:after="0"/>
            </w:pPr>
            <w:r>
              <w:rPr>
                <w:rFonts w:ascii="Arial" w:hAnsi="Arial"/>
                <w:b w:val="0"/>
                <w:sz w:val="14"/>
              </w:rPr>
              <w:t>Model-centric review misses lifecycle responsibility gaps</w:t>
            </w:r>
          </w:p>
        </w:tc>
        <w:tc>
          <w:tcPr>
            <w:tcW w:type="dxa" w:w="2045"/>
          </w:tcPr>
          <w:p>
            <w:pPr>
              <w:spacing w:after="0"/>
            </w:pPr>
            <w:r>
              <w:rPr>
                <w:rFonts w:ascii="Arial" w:hAnsi="Arial"/>
                <w:b w:val="0"/>
                <w:sz w:val="14"/>
              </w:rPr>
              <w:t>Clarify whether lifecycle events are governed</w:t>
            </w:r>
          </w:p>
        </w:tc>
        <w:tc>
          <w:tcPr>
            <w:tcW w:type="dxa" w:w="2045"/>
          </w:tcPr>
          <w:p>
            <w:pPr>
              <w:spacing w:after="0"/>
            </w:pPr>
            <w:r>
              <w:rPr>
                <w:rFonts w:ascii="Arial" w:hAnsi="Arial"/>
                <w:b w:val="0"/>
                <w:sz w:val="14"/>
              </w:rPr>
              <w:t>Red flag does not prove non-compliance</w:t>
            </w:r>
          </w:p>
        </w:tc>
      </w:tr>
      <w:tr>
        <w:tc>
          <w:tcPr>
            <w:tcW w:type="dxa" w:w="2045"/>
          </w:tcPr>
          <w:p>
            <w:pPr>
              <w:spacing w:after="0"/>
            </w:pPr>
            <w:r>
              <w:rPr>
                <w:rFonts w:ascii="Arial" w:hAnsi="Arial"/>
                <w:b w:val="0"/>
                <w:sz w:val="14"/>
              </w:rPr>
              <w:t>Human oversight is described without role mapping</w:t>
            </w:r>
          </w:p>
        </w:tc>
        <w:tc>
          <w:tcPr>
            <w:tcW w:type="dxa" w:w="2045"/>
          </w:tcPr>
          <w:p>
            <w:pPr>
              <w:spacing w:after="0"/>
            </w:pPr>
            <w:r>
              <w:rPr>
                <w:rFonts w:ascii="Arial" w:hAnsi="Arial"/>
                <w:b w:val="0"/>
                <w:sz w:val="14"/>
              </w:rPr>
              <w:t>Oversight without responsibility mapping may not support accountability</w:t>
            </w:r>
          </w:p>
        </w:tc>
        <w:tc>
          <w:tcPr>
            <w:tcW w:type="dxa" w:w="2045"/>
          </w:tcPr>
          <w:p>
            <w:pPr>
              <w:spacing w:after="0"/>
            </w:pPr>
            <w:r>
              <w:rPr>
                <w:rFonts w:ascii="Arial" w:hAnsi="Arial"/>
                <w:b w:val="0"/>
                <w:sz w:val="14"/>
              </w:rPr>
              <w:t>Review duty unclear after agent action</w:t>
            </w:r>
          </w:p>
        </w:tc>
        <w:tc>
          <w:tcPr>
            <w:tcW w:type="dxa" w:w="2045"/>
          </w:tcPr>
          <w:p>
            <w:pPr>
              <w:spacing w:after="0"/>
            </w:pPr>
            <w:r>
              <w:rPr>
                <w:rFonts w:ascii="Arial" w:hAnsi="Arial"/>
                <w:b w:val="0"/>
                <w:sz w:val="14"/>
              </w:rPr>
              <w:t>Request role-to-responsibility artifact</w:t>
            </w:r>
          </w:p>
        </w:tc>
        <w:tc>
          <w:tcPr>
            <w:tcW w:type="dxa" w:w="2045"/>
          </w:tcPr>
          <w:p>
            <w:pPr>
              <w:spacing w:after="0"/>
            </w:pPr>
            <w:r>
              <w:rPr>
                <w:rFonts w:ascii="Arial" w:hAnsi="Arial"/>
                <w:b w:val="0"/>
                <w:sz w:val="14"/>
              </w:rPr>
              <w:t>Requires enterprise context review</w:t>
            </w:r>
          </w:p>
        </w:tc>
      </w:tr>
      <w:tr>
        <w:tc>
          <w:tcPr>
            <w:tcW w:type="dxa" w:w="2045"/>
          </w:tcPr>
          <w:p>
            <w:pPr>
              <w:spacing w:after="0"/>
            </w:pPr>
            <w:r>
              <w:rPr>
                <w:rFonts w:ascii="Arial" w:hAnsi="Arial"/>
                <w:b w:val="0"/>
                <w:sz w:val="14"/>
              </w:rPr>
              <w:t>Authority limits are not visible</w:t>
            </w:r>
          </w:p>
        </w:tc>
        <w:tc>
          <w:tcPr>
            <w:tcW w:type="dxa" w:w="2045"/>
          </w:tcPr>
          <w:p>
            <w:pPr>
              <w:spacing w:after="0"/>
            </w:pPr>
            <w:r>
              <w:rPr>
                <w:rFonts w:ascii="Arial" w:hAnsi="Arial"/>
                <w:b w:val="0"/>
                <w:sz w:val="14"/>
              </w:rPr>
              <w:t>Agents may operate beyond intended delegated scope</w:t>
            </w:r>
          </w:p>
        </w:tc>
        <w:tc>
          <w:tcPr>
            <w:tcW w:type="dxa" w:w="2045"/>
          </w:tcPr>
          <w:p>
            <w:pPr>
              <w:spacing w:after="0"/>
            </w:pPr>
            <w:r>
              <w:rPr>
                <w:rFonts w:ascii="Arial" w:hAnsi="Arial"/>
                <w:b w:val="0"/>
                <w:sz w:val="14"/>
              </w:rPr>
              <w:t>Authority drift and unauthorized tool use</w:t>
            </w:r>
          </w:p>
        </w:tc>
        <w:tc>
          <w:tcPr>
            <w:tcW w:type="dxa" w:w="2045"/>
          </w:tcPr>
          <w:p>
            <w:pPr>
              <w:spacing w:after="0"/>
            </w:pPr>
            <w:r>
              <w:rPr>
                <w:rFonts w:ascii="Arial" w:hAnsi="Arial"/>
                <w:b w:val="0"/>
                <w:sz w:val="14"/>
              </w:rPr>
              <w:t>Request authority boundary and enforcement evidence</w:t>
            </w:r>
          </w:p>
        </w:tc>
        <w:tc>
          <w:tcPr>
            <w:tcW w:type="dxa" w:w="2045"/>
          </w:tcPr>
          <w:p>
            <w:pPr>
              <w:spacing w:after="0"/>
            </w:pPr>
            <w:r>
              <w:rPr>
                <w:rFonts w:ascii="Arial" w:hAnsi="Arial"/>
                <w:b w:val="0"/>
                <w:sz w:val="14"/>
              </w:rPr>
              <w:t>Absence in public docs does not prove absence in product</w:t>
            </w:r>
          </w:p>
        </w:tc>
      </w:tr>
      <w:tr>
        <w:tc>
          <w:tcPr>
            <w:tcW w:type="dxa" w:w="2045"/>
          </w:tcPr>
          <w:p>
            <w:pPr>
              <w:spacing w:after="0"/>
            </w:pPr>
            <w:r>
              <w:rPr>
                <w:rFonts w:ascii="Arial" w:hAnsi="Arial"/>
                <w:b w:val="0"/>
                <w:sz w:val="14"/>
              </w:rPr>
              <w:t>Logs are not exportable or interpretable</w:t>
            </w:r>
          </w:p>
        </w:tc>
        <w:tc>
          <w:tcPr>
            <w:tcW w:type="dxa" w:w="2045"/>
          </w:tcPr>
          <w:p>
            <w:pPr>
              <w:spacing w:after="0"/>
            </w:pPr>
            <w:r>
              <w:rPr>
                <w:rFonts w:ascii="Arial" w:hAnsi="Arial"/>
                <w:b w:val="0"/>
                <w:sz w:val="14"/>
              </w:rPr>
              <w:t>Evidence may not support review, audit, or incident reconstruction</w:t>
            </w:r>
          </w:p>
        </w:tc>
        <w:tc>
          <w:tcPr>
            <w:tcW w:type="dxa" w:w="2045"/>
          </w:tcPr>
          <w:p>
            <w:pPr>
              <w:spacing w:after="0"/>
            </w:pPr>
            <w:r>
              <w:rPr>
                <w:rFonts w:ascii="Arial" w:hAnsi="Arial"/>
                <w:b w:val="0"/>
                <w:sz w:val="14"/>
              </w:rPr>
              <w:t>Evidence gap during dispute or remediation</w:t>
            </w:r>
          </w:p>
        </w:tc>
        <w:tc>
          <w:tcPr>
            <w:tcW w:type="dxa" w:w="2045"/>
          </w:tcPr>
          <w:p>
            <w:pPr>
              <w:spacing w:after="0"/>
            </w:pPr>
            <w:r>
              <w:rPr>
                <w:rFonts w:ascii="Arial" w:hAnsi="Arial"/>
                <w:b w:val="0"/>
                <w:sz w:val="14"/>
              </w:rPr>
              <w:t>Request export format and retention rule</w:t>
            </w:r>
          </w:p>
        </w:tc>
        <w:tc>
          <w:tcPr>
            <w:tcW w:type="dxa" w:w="2045"/>
          </w:tcPr>
          <w:p>
            <w:pPr>
              <w:spacing w:after="0"/>
            </w:pPr>
            <w:r>
              <w:rPr>
                <w:rFonts w:ascii="Arial" w:hAnsi="Arial"/>
                <w:b w:val="0"/>
                <w:sz w:val="14"/>
              </w:rPr>
              <w:t>Exportability must be tested in implementation context</w:t>
            </w:r>
          </w:p>
        </w:tc>
      </w:tr>
      <w:tr>
        <w:tc>
          <w:tcPr>
            <w:tcW w:type="dxa" w:w="2045"/>
          </w:tcPr>
          <w:p>
            <w:pPr>
              <w:spacing w:after="0"/>
            </w:pPr>
            <w:r>
              <w:rPr>
                <w:rFonts w:ascii="Arial" w:hAnsi="Arial"/>
                <w:b w:val="0"/>
                <w:sz w:val="14"/>
              </w:rPr>
              <w:t>Privacy retention conflict is not addressed</w:t>
            </w:r>
          </w:p>
        </w:tc>
        <w:tc>
          <w:tcPr>
            <w:tcW w:type="dxa" w:w="2045"/>
          </w:tcPr>
          <w:p>
            <w:pPr>
              <w:spacing w:after="0"/>
            </w:pPr>
            <w:r>
              <w:rPr>
                <w:rFonts w:ascii="Arial" w:hAnsi="Arial"/>
                <w:b w:val="0"/>
                <w:sz w:val="14"/>
              </w:rPr>
              <w:t>Evidence retention may conflict with privacy obligations</w:t>
            </w:r>
          </w:p>
        </w:tc>
        <w:tc>
          <w:tcPr>
            <w:tcW w:type="dxa" w:w="2045"/>
          </w:tcPr>
          <w:p>
            <w:pPr>
              <w:spacing w:after="0"/>
            </w:pPr>
            <w:r>
              <w:rPr>
                <w:rFonts w:ascii="Arial" w:hAnsi="Arial"/>
                <w:b w:val="0"/>
                <w:sz w:val="14"/>
              </w:rPr>
              <w:t>Data subject rights vs evidence retention conflict</w:t>
            </w:r>
          </w:p>
        </w:tc>
        <w:tc>
          <w:tcPr>
            <w:tcW w:type="dxa" w:w="2045"/>
          </w:tcPr>
          <w:p>
            <w:pPr>
              <w:spacing w:after="0"/>
            </w:pPr>
            <w:r>
              <w:rPr>
                <w:rFonts w:ascii="Arial" w:hAnsi="Arial"/>
                <w:b w:val="0"/>
                <w:sz w:val="14"/>
              </w:rPr>
              <w:t>Request retention conflict workflow</w:t>
            </w:r>
          </w:p>
        </w:tc>
        <w:tc>
          <w:tcPr>
            <w:tcW w:type="dxa" w:w="2045"/>
          </w:tcPr>
          <w:p>
            <w:pPr>
              <w:spacing w:after="0"/>
            </w:pPr>
            <w:r>
              <w:rPr>
                <w:rFonts w:ascii="Arial" w:hAnsi="Arial"/>
                <w:b w:val="0"/>
                <w:sz w:val="14"/>
              </w:rPr>
              <w:t>Legal interpretation remains outside this appendix</w:t>
            </w:r>
          </w:p>
        </w:tc>
      </w:tr>
      <w:tr>
        <w:tc>
          <w:tcPr>
            <w:tcW w:type="dxa" w:w="2045"/>
          </w:tcPr>
          <w:p>
            <w:pPr>
              <w:spacing w:after="0"/>
            </w:pPr>
            <w:r>
              <w:rPr>
                <w:rFonts w:ascii="Arial" w:hAnsi="Arial"/>
                <w:b w:val="0"/>
                <w:sz w:val="14"/>
              </w:rPr>
              <w:t>Vendor substitution lacks impact review</w:t>
            </w:r>
          </w:p>
        </w:tc>
        <w:tc>
          <w:tcPr>
            <w:tcW w:type="dxa" w:w="2045"/>
          </w:tcPr>
          <w:p>
            <w:pPr>
              <w:spacing w:after="0"/>
            </w:pPr>
            <w:r>
              <w:rPr>
                <w:rFonts w:ascii="Arial" w:hAnsi="Arial"/>
                <w:b w:val="0"/>
                <w:sz w:val="14"/>
              </w:rPr>
              <w:t>Model or runtime changes may change lifecycle risk</w:t>
            </w:r>
          </w:p>
        </w:tc>
        <w:tc>
          <w:tcPr>
            <w:tcW w:type="dxa" w:w="2045"/>
          </w:tcPr>
          <w:p>
            <w:pPr>
              <w:spacing w:after="0"/>
            </w:pPr>
            <w:r>
              <w:rPr>
                <w:rFonts w:ascii="Arial" w:hAnsi="Arial"/>
                <w:b w:val="0"/>
                <w:sz w:val="14"/>
              </w:rPr>
              <w:t>Reuse and substitution conformance gap</w:t>
            </w:r>
          </w:p>
        </w:tc>
        <w:tc>
          <w:tcPr>
            <w:tcW w:type="dxa" w:w="2045"/>
          </w:tcPr>
          <w:p>
            <w:pPr>
              <w:spacing w:after="0"/>
            </w:pPr>
            <w:r>
              <w:rPr>
                <w:rFonts w:ascii="Arial" w:hAnsi="Arial"/>
                <w:b w:val="0"/>
                <w:sz w:val="14"/>
              </w:rPr>
              <w:t>Request change review template</w:t>
            </w:r>
          </w:p>
        </w:tc>
        <w:tc>
          <w:tcPr>
            <w:tcW w:type="dxa" w:w="2045"/>
          </w:tcPr>
          <w:p>
            <w:pPr>
              <w:spacing w:after="0"/>
            </w:pPr>
            <w:r>
              <w:rPr>
                <w:rFonts w:ascii="Arial" w:hAnsi="Arial"/>
                <w:b w:val="0"/>
                <w:sz w:val="14"/>
              </w:rPr>
              <w:t>This checklist does not approve substitutions</w:t>
            </w:r>
          </w:p>
        </w:tc>
      </w:tr>
      <w:tr>
        <w:tc>
          <w:tcPr>
            <w:tcW w:type="dxa" w:w="2045"/>
          </w:tcPr>
          <w:p>
            <w:pPr>
              <w:spacing w:after="0"/>
            </w:pPr>
            <w:r>
              <w:rPr>
                <w:rFonts w:ascii="Arial" w:hAnsi="Arial"/>
                <w:b w:val="0"/>
                <w:sz w:val="14"/>
              </w:rPr>
              <w:t>Claims rely only on marketing material</w:t>
            </w:r>
          </w:p>
        </w:tc>
        <w:tc>
          <w:tcPr>
            <w:tcW w:type="dxa" w:w="2045"/>
          </w:tcPr>
          <w:p>
            <w:pPr>
              <w:spacing w:after="0"/>
            </w:pPr>
            <w:r>
              <w:rPr>
                <w:rFonts w:ascii="Arial" w:hAnsi="Arial"/>
                <w:b w:val="0"/>
                <w:sz w:val="14"/>
              </w:rPr>
              <w:t>Evidence confidence is lower than product docs or validated artifacts</w:t>
            </w:r>
          </w:p>
        </w:tc>
        <w:tc>
          <w:tcPr>
            <w:tcW w:type="dxa" w:w="2045"/>
          </w:tcPr>
          <w:p>
            <w:pPr>
              <w:spacing w:after="0"/>
            </w:pPr>
            <w:r>
              <w:rPr>
                <w:rFonts w:ascii="Arial" w:hAnsi="Arial"/>
                <w:b w:val="0"/>
                <w:sz w:val="14"/>
              </w:rPr>
              <w:t>Overstated capability posture</w:t>
            </w:r>
          </w:p>
        </w:tc>
        <w:tc>
          <w:tcPr>
            <w:tcW w:type="dxa" w:w="2045"/>
          </w:tcPr>
          <w:p>
            <w:pPr>
              <w:spacing w:after="0"/>
            </w:pPr>
            <w:r>
              <w:rPr>
                <w:rFonts w:ascii="Arial" w:hAnsi="Arial"/>
                <w:b w:val="0"/>
                <w:sz w:val="14"/>
              </w:rPr>
              <w:t>Request higher-confidence evidence</w:t>
            </w:r>
          </w:p>
        </w:tc>
        <w:tc>
          <w:tcPr>
            <w:tcW w:type="dxa" w:w="2045"/>
          </w:tcPr>
          <w:p>
            <w:pPr>
              <w:spacing w:after="0"/>
            </w:pPr>
            <w:r>
              <w:rPr>
                <w:rFonts w:ascii="Arial" w:hAnsi="Arial"/>
                <w:b w:val="0"/>
                <w:sz w:val="14"/>
              </w:rPr>
              <w:t>Evidence level must be recorded explicitly</w:t>
            </w:r>
          </w:p>
        </w:tc>
      </w:tr>
      <w:tr>
        <w:tc>
          <w:tcPr>
            <w:tcW w:type="dxa" w:w="2045"/>
          </w:tcPr>
          <w:p>
            <w:pPr>
              <w:spacing w:after="0"/>
            </w:pPr>
            <w:r>
              <w:rPr>
                <w:rFonts w:ascii="Arial" w:hAnsi="Arial"/>
                <w:b w:val="0"/>
                <w:sz w:val="14"/>
              </w:rPr>
              <w:t>Appendix G posture is treated as a purchase conclusion</w:t>
            </w:r>
          </w:p>
        </w:tc>
        <w:tc>
          <w:tcPr>
            <w:tcW w:type="dxa" w:w="2045"/>
          </w:tcPr>
          <w:p>
            <w:pPr>
              <w:spacing w:after="0"/>
            </w:pPr>
            <w:r>
              <w:rPr>
                <w:rFonts w:ascii="Arial" w:hAnsi="Arial"/>
                <w:b w:val="0"/>
                <w:sz w:val="14"/>
              </w:rPr>
              <w:t>Appendix G is provisional and not procurement advice</w:t>
            </w:r>
          </w:p>
        </w:tc>
        <w:tc>
          <w:tcPr>
            <w:tcW w:type="dxa" w:w="2045"/>
          </w:tcPr>
          <w:p>
            <w:pPr>
              <w:spacing w:after="0"/>
            </w:pPr>
            <w:r>
              <w:rPr>
                <w:rFonts w:ascii="Arial" w:hAnsi="Arial"/>
                <w:b w:val="0"/>
                <w:sz w:val="14"/>
              </w:rPr>
              <w:t>Premature selection based on provisional source posture</w:t>
            </w:r>
          </w:p>
        </w:tc>
        <w:tc>
          <w:tcPr>
            <w:tcW w:type="dxa" w:w="2045"/>
          </w:tcPr>
          <w:p>
            <w:pPr>
              <w:spacing w:after="0"/>
            </w:pPr>
            <w:r>
              <w:rPr>
                <w:rFonts w:ascii="Arial" w:hAnsi="Arial"/>
                <w:b w:val="0"/>
                <w:sz w:val="14"/>
              </w:rPr>
              <w:t>Require enterprise-specific review, page-level citation support, and accountable buyer judgment before final use</w:t>
            </w:r>
          </w:p>
        </w:tc>
        <w:tc>
          <w:tcPr>
            <w:tcW w:type="dxa" w:w="2045"/>
          </w:tcPr>
          <w:p>
            <w:pPr>
              <w:spacing w:after="0"/>
            </w:pPr>
            <w:r>
              <w:rPr>
                <w:rFonts w:ascii="Arial" w:hAnsi="Arial"/>
                <w:b w:val="0"/>
                <w:sz w:val="14"/>
              </w:rPr>
              <w:t>Appendix G categories are illustrative only</w:t>
            </w:r>
          </w:p>
        </w:tc>
      </w:tr>
    </w:tbl>
    <w:p>
      <w:pPr>
        <w:pStyle w:val="Heading2"/>
      </w:pPr>
      <w:r>
        <w:t>H.6 Procurement Decision Boundary</w:t>
      </w:r>
    </w:p>
    <w:p>
      <w:pPr>
        <w:keepNext/>
      </w:pPr>
      <w:r>
        <w:rPr>
          <w:b/>
          <w:sz w:val="16"/>
        </w:rPr>
        <w:t>Table T-H-04: Buyer Interpretation Boundary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Procurement Use</w:t>
            </w:r>
          </w:p>
        </w:tc>
        <w:tc>
          <w:tcPr>
            <w:tcW w:type="dxa" w:w="2556"/>
          </w:tcPr>
          <w:p>
            <w:pPr>
              <w:spacing w:after="0"/>
            </w:pPr>
            <w:r>
              <w:rPr>
                <w:rFonts w:ascii="Arial" w:hAnsi="Arial"/>
                <w:b/>
                <w:sz w:val="14"/>
              </w:rPr>
              <w:t>What This Scorecard Supports</w:t>
            </w:r>
          </w:p>
        </w:tc>
        <w:tc>
          <w:tcPr>
            <w:tcW w:type="dxa" w:w="2556"/>
          </w:tcPr>
          <w:p>
            <w:pPr>
              <w:spacing w:after="0"/>
            </w:pPr>
            <w:r>
              <w:rPr>
                <w:rFonts w:ascii="Arial" w:hAnsi="Arial"/>
                <w:b/>
                <w:sz w:val="14"/>
              </w:rPr>
              <w:t>What It Does Not Support</w:t>
            </w:r>
          </w:p>
        </w:tc>
        <w:tc>
          <w:tcPr>
            <w:tcW w:type="dxa" w:w="2556"/>
          </w:tcPr>
          <w:p>
            <w:pPr>
              <w:spacing w:after="0"/>
            </w:pPr>
            <w:r>
              <w:rPr>
                <w:rFonts w:ascii="Arial" w:hAnsi="Arial"/>
                <w:b/>
                <w:sz w:val="14"/>
              </w:rPr>
              <w:t>Required Human Review</w:t>
            </w:r>
          </w:p>
        </w:tc>
      </w:tr>
      <w:tr>
        <w:tc>
          <w:tcPr>
            <w:tcW w:type="dxa" w:w="2556"/>
          </w:tcPr>
          <w:p>
            <w:pPr>
              <w:spacing w:after="0"/>
            </w:pPr>
            <w:r>
              <w:rPr>
                <w:rFonts w:ascii="Arial" w:hAnsi="Arial"/>
                <w:b w:val="0"/>
                <w:sz w:val="14"/>
              </w:rPr>
              <w:t>RFI/RFP design</w:t>
            </w:r>
          </w:p>
        </w:tc>
        <w:tc>
          <w:tcPr>
            <w:tcW w:type="dxa" w:w="2556"/>
          </w:tcPr>
          <w:p>
            <w:pPr>
              <w:spacing w:after="0"/>
            </w:pPr>
            <w:r>
              <w:rPr>
                <w:rFonts w:ascii="Arial" w:hAnsi="Arial"/>
                <w:b w:val="0"/>
                <w:sz w:val="14"/>
              </w:rPr>
              <w:t>Structured governance questions and evidence requests</w:t>
            </w:r>
          </w:p>
        </w:tc>
        <w:tc>
          <w:tcPr>
            <w:tcW w:type="dxa" w:w="2556"/>
          </w:tcPr>
          <w:p>
            <w:pPr>
              <w:spacing w:after="0"/>
            </w:pPr>
            <w:r>
              <w:rPr>
                <w:rFonts w:ascii="Arial" w:hAnsi="Arial"/>
                <w:b w:val="0"/>
                <w:sz w:val="14"/>
              </w:rPr>
              <w:t>Automatic vendor filtering or vendor ordering</w:t>
            </w:r>
          </w:p>
        </w:tc>
        <w:tc>
          <w:tcPr>
            <w:tcW w:type="dxa" w:w="2556"/>
          </w:tcPr>
          <w:p>
            <w:pPr>
              <w:spacing w:after="0"/>
            </w:pPr>
            <w:r>
              <w:rPr>
                <w:rFonts w:ascii="Arial" w:hAnsi="Arial"/>
                <w:b w:val="0"/>
                <w:sz w:val="14"/>
              </w:rPr>
              <w:t>Procurement, risk, legal, privacy, security</w:t>
            </w:r>
          </w:p>
        </w:tc>
      </w:tr>
      <w:tr>
        <w:tc>
          <w:tcPr>
            <w:tcW w:type="dxa" w:w="2556"/>
          </w:tcPr>
          <w:p>
            <w:pPr>
              <w:spacing w:after="0"/>
            </w:pPr>
            <w:r>
              <w:rPr>
                <w:rFonts w:ascii="Arial" w:hAnsi="Arial"/>
                <w:b w:val="0"/>
                <w:sz w:val="14"/>
              </w:rPr>
              <w:t>Architecture review</w:t>
            </w:r>
          </w:p>
        </w:tc>
        <w:tc>
          <w:tcPr>
            <w:tcW w:type="dxa" w:w="2556"/>
          </w:tcPr>
          <w:p>
            <w:pPr>
              <w:spacing w:after="0"/>
            </w:pPr>
            <w:r>
              <w:rPr>
                <w:rFonts w:ascii="Arial" w:hAnsi="Arial"/>
                <w:b w:val="0"/>
                <w:sz w:val="14"/>
              </w:rPr>
              <w:t>Identification of lifecycle governance evidence gaps</w:t>
            </w:r>
          </w:p>
        </w:tc>
        <w:tc>
          <w:tcPr>
            <w:tcW w:type="dxa" w:w="2556"/>
          </w:tcPr>
          <w:p>
            <w:pPr>
              <w:spacing w:after="0"/>
            </w:pPr>
            <w:r>
              <w:rPr>
                <w:rFonts w:ascii="Arial" w:hAnsi="Arial"/>
                <w:b w:val="0"/>
                <w:sz w:val="14"/>
              </w:rPr>
              <w:t>Proof of production readiness</w:t>
            </w:r>
          </w:p>
        </w:tc>
        <w:tc>
          <w:tcPr>
            <w:tcW w:type="dxa" w:w="2556"/>
          </w:tcPr>
          <w:p>
            <w:pPr>
              <w:spacing w:after="0"/>
            </w:pPr>
            <w:r>
              <w:rPr>
                <w:rFonts w:ascii="Arial" w:hAnsi="Arial"/>
                <w:b w:val="0"/>
                <w:sz w:val="14"/>
              </w:rPr>
              <w:t>Architecture, security, platform owner</w:t>
            </w:r>
          </w:p>
        </w:tc>
      </w:tr>
      <w:tr>
        <w:tc>
          <w:tcPr>
            <w:tcW w:type="dxa" w:w="2556"/>
          </w:tcPr>
          <w:p>
            <w:pPr>
              <w:spacing w:after="0"/>
            </w:pPr>
            <w:r>
              <w:rPr>
                <w:rFonts w:ascii="Arial" w:hAnsi="Arial"/>
                <w:b w:val="0"/>
                <w:sz w:val="14"/>
              </w:rPr>
              <w:t>Risk review</w:t>
            </w:r>
          </w:p>
        </w:tc>
        <w:tc>
          <w:tcPr>
            <w:tcW w:type="dxa" w:w="2556"/>
          </w:tcPr>
          <w:p>
            <w:pPr>
              <w:spacing w:after="0"/>
            </w:pPr>
            <w:r>
              <w:rPr>
                <w:rFonts w:ascii="Arial" w:hAnsi="Arial"/>
                <w:b w:val="0"/>
                <w:sz w:val="14"/>
              </w:rPr>
              <w:t>Mapping of visible evidence to RCCS-T/RCCS-M/ALCS prompts</w:t>
            </w:r>
          </w:p>
        </w:tc>
        <w:tc>
          <w:tcPr>
            <w:tcW w:type="dxa" w:w="2556"/>
          </w:tcPr>
          <w:p>
            <w:pPr>
              <w:spacing w:after="0"/>
            </w:pPr>
            <w:r>
              <w:rPr>
                <w:rFonts w:ascii="Arial" w:hAnsi="Arial"/>
                <w:b w:val="0"/>
                <w:sz w:val="14"/>
              </w:rPr>
              <w:t>Legal compliance determination</w:t>
            </w:r>
          </w:p>
        </w:tc>
        <w:tc>
          <w:tcPr>
            <w:tcW w:type="dxa" w:w="2556"/>
          </w:tcPr>
          <w:p>
            <w:pPr>
              <w:spacing w:after="0"/>
            </w:pPr>
            <w:r>
              <w:rPr>
                <w:rFonts w:ascii="Arial" w:hAnsi="Arial"/>
                <w:b w:val="0"/>
                <w:sz w:val="14"/>
              </w:rPr>
              <w:t>Risk, legal, compliance</w:t>
            </w:r>
          </w:p>
        </w:tc>
      </w:tr>
      <w:tr>
        <w:tc>
          <w:tcPr>
            <w:tcW w:type="dxa" w:w="2556"/>
          </w:tcPr>
          <w:p>
            <w:pPr>
              <w:spacing w:after="0"/>
            </w:pPr>
            <w:r>
              <w:rPr>
                <w:rFonts w:ascii="Arial" w:hAnsi="Arial"/>
                <w:b w:val="0"/>
                <w:sz w:val="14"/>
              </w:rPr>
              <w:t>Privacy review</w:t>
            </w:r>
          </w:p>
        </w:tc>
        <w:tc>
          <w:tcPr>
            <w:tcW w:type="dxa" w:w="2556"/>
          </w:tcPr>
          <w:p>
            <w:pPr>
              <w:spacing w:after="0"/>
            </w:pPr>
            <w:r>
              <w:rPr>
                <w:rFonts w:ascii="Arial" w:hAnsi="Arial"/>
                <w:b w:val="0"/>
                <w:sz w:val="14"/>
              </w:rPr>
              <w:t>Identification of retention and data subject rights questions</w:t>
            </w:r>
          </w:p>
        </w:tc>
        <w:tc>
          <w:tcPr>
            <w:tcW w:type="dxa" w:w="2556"/>
          </w:tcPr>
          <w:p>
            <w:pPr>
              <w:spacing w:after="0"/>
            </w:pPr>
            <w:r>
              <w:rPr>
                <w:rFonts w:ascii="Arial" w:hAnsi="Arial"/>
                <w:b w:val="0"/>
                <w:sz w:val="14"/>
              </w:rPr>
              <w:t>Privacy law conclusion</w:t>
            </w:r>
          </w:p>
        </w:tc>
        <w:tc>
          <w:tcPr>
            <w:tcW w:type="dxa" w:w="2556"/>
          </w:tcPr>
          <w:p>
            <w:pPr>
              <w:spacing w:after="0"/>
            </w:pPr>
            <w:r>
              <w:rPr>
                <w:rFonts w:ascii="Arial" w:hAnsi="Arial"/>
                <w:b w:val="0"/>
                <w:sz w:val="14"/>
              </w:rPr>
              <w:t>Privacy, legal, data governance</w:t>
            </w:r>
          </w:p>
        </w:tc>
      </w:tr>
      <w:tr>
        <w:tc>
          <w:tcPr>
            <w:tcW w:type="dxa" w:w="2556"/>
          </w:tcPr>
          <w:p>
            <w:pPr>
              <w:spacing w:after="0"/>
            </w:pPr>
            <w:r>
              <w:rPr>
                <w:rFonts w:ascii="Arial" w:hAnsi="Arial"/>
                <w:b w:val="0"/>
                <w:sz w:val="14"/>
              </w:rPr>
              <w:t>Contract negotiation</w:t>
            </w:r>
          </w:p>
        </w:tc>
        <w:tc>
          <w:tcPr>
            <w:tcW w:type="dxa" w:w="2556"/>
          </w:tcPr>
          <w:p>
            <w:pPr>
              <w:spacing w:after="0"/>
            </w:pPr>
            <w:r>
              <w:rPr>
                <w:rFonts w:ascii="Arial" w:hAnsi="Arial"/>
                <w:b w:val="0"/>
                <w:sz w:val="14"/>
              </w:rPr>
              <w:t>Evidence requirements and control expectations</w:t>
            </w:r>
          </w:p>
        </w:tc>
        <w:tc>
          <w:tcPr>
            <w:tcW w:type="dxa" w:w="2556"/>
          </w:tcPr>
          <w:p>
            <w:pPr>
              <w:spacing w:after="0"/>
            </w:pPr>
            <w:r>
              <w:rPr>
                <w:rFonts w:ascii="Arial" w:hAnsi="Arial"/>
                <w:b w:val="0"/>
                <w:sz w:val="14"/>
              </w:rPr>
              <w:t>Contract sufficiency determination</w:t>
            </w:r>
          </w:p>
        </w:tc>
        <w:tc>
          <w:tcPr>
            <w:tcW w:type="dxa" w:w="2556"/>
          </w:tcPr>
          <w:p>
            <w:pPr>
              <w:spacing w:after="0"/>
            </w:pPr>
            <w:r>
              <w:rPr>
                <w:rFonts w:ascii="Arial" w:hAnsi="Arial"/>
                <w:b w:val="0"/>
                <w:sz w:val="14"/>
              </w:rPr>
              <w:t>Legal, procurement, business owner</w:t>
            </w:r>
          </w:p>
        </w:tc>
      </w:tr>
      <w:tr>
        <w:tc>
          <w:tcPr>
            <w:tcW w:type="dxa" w:w="2556"/>
          </w:tcPr>
          <w:p>
            <w:pPr>
              <w:spacing w:after="0"/>
            </w:pPr>
            <w:r>
              <w:rPr>
                <w:rFonts w:ascii="Arial" w:hAnsi="Arial"/>
                <w:b w:val="0"/>
                <w:sz w:val="14"/>
              </w:rPr>
              <w:t>Deployment gate</w:t>
            </w:r>
          </w:p>
        </w:tc>
        <w:tc>
          <w:tcPr>
            <w:tcW w:type="dxa" w:w="2556"/>
          </w:tcPr>
          <w:p>
            <w:pPr>
              <w:spacing w:after="0"/>
            </w:pPr>
            <w:r>
              <w:rPr>
                <w:rFonts w:ascii="Arial" w:hAnsi="Arial"/>
                <w:b w:val="0"/>
                <w:sz w:val="14"/>
              </w:rPr>
              <w:t>Checklist for unresolved assumptions</w:t>
            </w:r>
          </w:p>
        </w:tc>
        <w:tc>
          <w:tcPr>
            <w:tcW w:type="dxa" w:w="2556"/>
          </w:tcPr>
          <w:p>
            <w:pPr>
              <w:spacing w:after="0"/>
            </w:pPr>
            <w:r>
              <w:rPr>
                <w:rFonts w:ascii="Arial" w:hAnsi="Arial"/>
                <w:b w:val="0"/>
                <w:sz w:val="14"/>
              </w:rPr>
              <w:t>Certification or approval</w:t>
            </w:r>
          </w:p>
        </w:tc>
        <w:tc>
          <w:tcPr>
            <w:tcW w:type="dxa" w:w="2556"/>
          </w:tcPr>
          <w:p>
            <w:pPr>
              <w:spacing w:after="0"/>
            </w:pPr>
            <w:r>
              <w:rPr>
                <w:rFonts w:ascii="Arial" w:hAnsi="Arial"/>
                <w:b w:val="0"/>
                <w:sz w:val="14"/>
              </w:rPr>
              <w:t>Enterprise governance board or equivalent owner</w:t>
            </w:r>
          </w:p>
        </w:tc>
      </w:tr>
    </w:tbl>
    <w:p>
      <w:pPr>
        <w:spacing w:after="56"/>
      </w:pPr>
      <w:r>
        <w:t>Procurement decisions remain enterprise decisions. This appendix helps buyers ask better questions; it does not replace accountable human judgment.</w:t>
      </w:r>
    </w:p>
    <w:p>
      <w:pPr>
        <w:pStyle w:val="Heading1"/>
      </w:pPr>
      <w:r>
        <w:t>Appendix I — Source Audit and Revalidation Register</w:t>
      </w:r>
    </w:p>
    <w:p>
      <w:pPr>
        <w:spacing w:after="56"/>
      </w:pPr>
      <w:r>
        <w:t>Version: v0.3.2-FRC-R3</w:t>
      </w:r>
    </w:p>
    <w:p>
      <w:pPr>
        <w:pStyle w:val="Heading2"/>
      </w:pPr>
      <w:r>
        <w:t>I.0 Source Audit Boundary</w:t>
      </w:r>
    </w:p>
    <w:p>
      <w:pPr>
        <w:spacing w:after="56"/>
      </w:pPr>
      <w:r>
        <w:t>This appendix provides a source audit register for the completed Phase 1D-11 source closure record and publication-candidate review handoff. It tracks source classes, citation status, evidence level, claim-binding status, and remaining non-blocking limitations.</w:t>
      </w:r>
    </w:p>
    <w:p>
      <w:pPr>
        <w:spacing w:after="56"/>
      </w:pPr>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Pr>
        <w:spacing w:after="56"/>
      </w:pPr>
      <w:r>
        <w:t>Source audit work in this appendix is procedural. Phase 1D-11 closed high-risk citation/access/source-pointer blockers by replacing inaccessible sources, narrowing claims, downgrading lifecycle interpretations to L5, and preserving explicit limitations.</w:t>
      </w:r>
    </w:p>
    <w:p>
      <w:pPr>
        <w:pStyle w:val="Heading2"/>
      </w:pPr>
      <w:r>
        <w:t>I.1 Source Classes and Evidence Levels</w:t>
      </w:r>
    </w:p>
    <w:p>
      <w:pPr>
        <w:spacing w:after="56"/>
      </w:pPr>
      <w:r>
        <w:t>The source audit register uses the canonical evidence levels: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Evidence levels describe source confidence for analytical scoring. They do not make a source legally sufficient, current, complete, or operationally validated. Evidence levels may change if source type, source currency, or claim support changes during future source review.</w:t>
      </w:r>
    </w:p>
    <w:p>
      <w:pPr>
        <w:pStyle w:val="Heading2"/>
      </w:pPr>
      <w:r>
        <w:t>I.2 Source Audit Register</w:t>
      </w:r>
    </w:p>
    <w:p>
      <w:pPr>
        <w:keepNext/>
      </w:pPr>
      <w:r>
        <w:rPr>
          <w:b/>
          <w:sz w:val="16"/>
        </w:rPr>
        <w:t>Table T-I-01: Source Audit Register</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Source ID</w:t>
            </w:r>
          </w:p>
        </w:tc>
        <w:tc>
          <w:tcPr>
            <w:tcW w:type="dxa" w:w="1461"/>
          </w:tcPr>
          <w:p>
            <w:pPr>
              <w:spacing w:after="0"/>
            </w:pPr>
            <w:r>
              <w:rPr>
                <w:rFonts w:ascii="Arial" w:hAnsi="Arial"/>
                <w:b/>
                <w:sz w:val="12"/>
              </w:rPr>
              <w:t>Source Name</w:t>
            </w:r>
          </w:p>
        </w:tc>
        <w:tc>
          <w:tcPr>
            <w:tcW w:type="dxa" w:w="1461"/>
          </w:tcPr>
          <w:p>
            <w:pPr>
              <w:spacing w:after="0"/>
            </w:pPr>
            <w:r>
              <w:rPr>
                <w:rFonts w:ascii="Arial" w:hAnsi="Arial"/>
                <w:b/>
                <w:sz w:val="12"/>
              </w:rPr>
              <w:t>Source Class</w:t>
            </w:r>
          </w:p>
        </w:tc>
        <w:tc>
          <w:tcPr>
            <w:tcW w:type="dxa" w:w="1461"/>
          </w:tcPr>
          <w:p>
            <w:pPr>
              <w:spacing w:after="0"/>
            </w:pPr>
            <w:r>
              <w:rPr>
                <w:rFonts w:ascii="Arial" w:hAnsi="Arial"/>
                <w:b/>
                <w:sz w:val="12"/>
              </w:rPr>
              <w:t>Evidence Level</w:t>
            </w:r>
          </w:p>
        </w:tc>
        <w:tc>
          <w:tcPr>
            <w:tcW w:type="dxa" w:w="1461"/>
          </w:tcPr>
          <w:p>
            <w:pPr>
              <w:spacing w:after="0"/>
            </w:pPr>
            <w:r>
              <w:rPr>
                <w:rFonts w:ascii="Arial" w:hAnsi="Arial"/>
                <w:b/>
                <w:sz w:val="12"/>
              </w:rPr>
              <w:t>Used In</w:t>
            </w:r>
          </w:p>
        </w:tc>
        <w:tc>
          <w:tcPr>
            <w:tcW w:type="dxa" w:w="1461"/>
          </w:tcPr>
          <w:p>
            <w:pPr>
              <w:spacing w:after="0"/>
            </w:pPr>
            <w:r>
              <w:rPr>
                <w:rFonts w:ascii="Arial" w:hAnsi="Arial"/>
                <w:b/>
                <w:sz w:val="12"/>
              </w:rPr>
              <w:t>Current Status</w:t>
            </w:r>
          </w:p>
        </w:tc>
        <w:tc>
          <w:tcPr>
            <w:tcW w:type="dxa" w:w="1461"/>
          </w:tcPr>
          <w:p>
            <w:pPr>
              <w:spacing w:after="0"/>
            </w:pPr>
            <w:r>
              <w:rPr>
                <w:rFonts w:ascii="Arial" w:hAnsi="Arial"/>
                <w:b/>
                <w:sz w:val="12"/>
              </w:rPr>
              <w:t>Publication Follow-up Action</w:t>
            </w:r>
          </w:p>
        </w:tc>
      </w:tr>
      <w:tr>
        <w:tc>
          <w:tcPr>
            <w:tcW w:type="dxa" w:w="1461"/>
          </w:tcPr>
          <w:p>
            <w:pPr>
              <w:spacing w:after="0"/>
            </w:pPr>
            <w:r>
              <w:rPr>
                <w:rFonts w:ascii="Arial" w:hAnsi="Arial"/>
                <w:b w:val="0"/>
                <w:sz w:val="12"/>
              </w:rPr>
              <w:t>EU-AI-ACT</w:t>
            </w:r>
          </w:p>
        </w:tc>
        <w:tc>
          <w:tcPr>
            <w:tcW w:type="dxa" w:w="1461"/>
          </w:tcPr>
          <w:p>
            <w:pPr>
              <w:spacing w:after="0"/>
            </w:pPr>
            <w:r>
              <w:rPr>
                <w:rFonts w:ascii="Arial" w:hAnsi="Arial"/>
                <w:b w:val="0"/>
                <w:sz w:val="12"/>
              </w:rPr>
              <w:t>EU AI Act articles referenced in baseline chapters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7,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citation formatting</w:t>
            </w:r>
          </w:p>
        </w:tc>
      </w:tr>
      <w:tr>
        <w:tc>
          <w:tcPr>
            <w:tcW w:type="dxa" w:w="1461"/>
          </w:tcPr>
          <w:p>
            <w:pPr>
              <w:spacing w:after="0"/>
            </w:pPr>
            <w:r>
              <w:rPr>
                <w:rFonts w:ascii="Arial" w:hAnsi="Arial"/>
                <w:b w:val="0"/>
                <w:sz w:val="12"/>
              </w:rPr>
              <w:t>GDPR</w:t>
            </w:r>
          </w:p>
        </w:tc>
        <w:tc>
          <w:tcPr>
            <w:tcW w:type="dxa" w:w="1461"/>
          </w:tcPr>
          <w:p>
            <w:pPr>
              <w:spacing w:after="0"/>
            </w:pPr>
            <w:r>
              <w:rPr>
                <w:rFonts w:ascii="Arial" w:hAnsi="Arial"/>
                <w:b w:val="0"/>
                <w:sz w:val="12"/>
              </w:rPr>
              <w:t>GDPR articles referenced in privacy and data governance sections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6,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privacy mapping language</w:t>
            </w:r>
          </w:p>
        </w:tc>
      </w:tr>
      <w:tr>
        <w:tc>
          <w:tcPr>
            <w:tcW w:type="dxa" w:w="1461"/>
          </w:tcPr>
          <w:p>
            <w:pPr>
              <w:spacing w:after="0"/>
            </w:pPr>
            <w:r>
              <w:rPr>
                <w:rFonts w:ascii="Arial" w:hAnsi="Arial"/>
                <w:b w:val="0"/>
                <w:sz w:val="12"/>
              </w:rPr>
              <w:t>NIST-AI-RMF</w:t>
            </w:r>
          </w:p>
        </w:tc>
        <w:tc>
          <w:tcPr>
            <w:tcW w:type="dxa" w:w="1461"/>
          </w:tcPr>
          <w:p>
            <w:pPr>
              <w:spacing w:after="0"/>
            </w:pPr>
            <w:r>
              <w:rPr>
                <w:rFonts w:ascii="Arial" w:hAnsi="Arial"/>
                <w:b w:val="0"/>
                <w:sz w:val="12"/>
              </w:rPr>
              <w:t>NIST AI RMF 1.0</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RCCS security/risk mapping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ISO-IEC-42001</w:t>
            </w:r>
          </w:p>
        </w:tc>
        <w:tc>
          <w:tcPr>
            <w:tcW w:type="dxa" w:w="1461"/>
          </w:tcPr>
          <w:p>
            <w:pPr>
              <w:spacing w:after="0"/>
            </w:pPr>
            <w:r>
              <w:rPr>
                <w:rFonts w:ascii="Arial" w:hAnsi="Arial"/>
                <w:b w:val="0"/>
                <w:sz w:val="12"/>
              </w:rPr>
              <w:t>ISO/IEC 42001</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management system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IMDA-AGENTIC-AI</w:t>
            </w:r>
          </w:p>
        </w:tc>
        <w:tc>
          <w:tcPr>
            <w:tcW w:type="dxa" w:w="1461"/>
          </w:tcPr>
          <w:p>
            <w:pPr>
              <w:spacing w:after="0"/>
            </w:pPr>
            <w:r>
              <w:rPr>
                <w:rFonts w:ascii="Arial" w:hAnsi="Arial"/>
                <w:b w:val="0"/>
                <w:sz w:val="12"/>
              </w:rPr>
              <w:t>Singapore IMDA Model AI Governance Framework for Agentic AI</w:t>
            </w:r>
          </w:p>
        </w:tc>
        <w:tc>
          <w:tcPr>
            <w:tcW w:type="dxa" w:w="1461"/>
          </w:tcPr>
          <w:p>
            <w:pPr>
              <w:spacing w:after="0"/>
            </w:pPr>
            <w:r>
              <w:rPr>
                <w:rFonts w:ascii="Arial" w:hAnsi="Arial"/>
                <w:b w:val="0"/>
                <w:sz w:val="12"/>
              </w:rPr>
              <w:t>Formal governance framework</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and comparative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framework naming</w:t>
            </w:r>
          </w:p>
        </w:tc>
      </w:tr>
      <w:tr>
        <w:tc>
          <w:tcPr>
            <w:tcW w:type="dxa" w:w="1461"/>
          </w:tcPr>
          <w:p>
            <w:pPr>
              <w:spacing w:after="0"/>
            </w:pPr>
            <w:r>
              <w:rPr>
                <w:rFonts w:ascii="Arial" w:hAnsi="Arial"/>
                <w:b w:val="0"/>
                <w:sz w:val="12"/>
              </w:rPr>
              <w:t>W3C-PROV</w:t>
            </w:r>
          </w:p>
        </w:tc>
        <w:tc>
          <w:tcPr>
            <w:tcW w:type="dxa" w:w="1461"/>
          </w:tcPr>
          <w:p>
            <w:pPr>
              <w:spacing w:after="0"/>
            </w:pPr>
            <w:r>
              <w:rPr>
                <w:rFonts w:ascii="Arial" w:hAnsi="Arial"/>
                <w:b w:val="0"/>
                <w:sz w:val="12"/>
              </w:rPr>
              <w:t>W3C PROV</w:t>
            </w:r>
          </w:p>
        </w:tc>
        <w:tc>
          <w:tcPr>
            <w:tcW w:type="dxa" w:w="1461"/>
          </w:tcPr>
          <w:p>
            <w:pPr>
              <w:spacing w:after="0"/>
            </w:pPr>
            <w:r>
              <w:rPr>
                <w:rFonts w:ascii="Arial" w:hAnsi="Arial"/>
                <w:b w:val="0"/>
                <w:sz w:val="12"/>
              </w:rPr>
              <w:t>Protocol / provenance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evidence/provenance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W3C-VC</w:t>
            </w:r>
          </w:p>
        </w:tc>
        <w:tc>
          <w:tcPr>
            <w:tcW w:type="dxa" w:w="1461"/>
          </w:tcPr>
          <w:p>
            <w:pPr>
              <w:spacing w:after="0"/>
            </w:pPr>
            <w:r>
              <w:rPr>
                <w:rFonts w:ascii="Arial" w:hAnsi="Arial"/>
                <w:b w:val="0"/>
                <w:sz w:val="12"/>
              </w:rPr>
              <w:t>W3C Verifiable Credentials</w:t>
            </w:r>
          </w:p>
        </w:tc>
        <w:tc>
          <w:tcPr>
            <w:tcW w:type="dxa" w:w="1461"/>
          </w:tcPr>
          <w:p>
            <w:pPr>
              <w:spacing w:after="0"/>
            </w:pPr>
            <w:r>
              <w:rPr>
                <w:rFonts w:ascii="Arial" w:hAnsi="Arial"/>
                <w:b w:val="0"/>
                <w:sz w:val="12"/>
              </w:rPr>
              <w:t>Protocol / evidence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MPLP-DOCS</w:t>
            </w:r>
          </w:p>
        </w:tc>
        <w:tc>
          <w:tcPr>
            <w:tcW w:type="dxa" w:w="1461"/>
          </w:tcPr>
          <w:p>
            <w:pPr>
              <w:spacing w:after="0"/>
            </w:pPr>
            <w:r>
              <w:rPr>
                <w:rFonts w:ascii="Arial" w:hAnsi="Arial"/>
                <w:b w:val="0"/>
                <w:sz w:val="12"/>
              </w:rPr>
              <w:t>MPLP documentation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Official docs entry point located; mapping remains analytical</w:t>
            </w:r>
          </w:p>
        </w:tc>
        <w:tc>
          <w:tcPr>
            <w:tcW w:type="dxa" w:w="1461"/>
          </w:tcPr>
          <w:p>
            <w:pPr>
              <w:spacing w:after="0"/>
            </w:pPr>
            <w:r>
              <w:rPr>
                <w:rFonts w:ascii="Arial" w:hAnsi="Arial"/>
                <w:b w:val="0"/>
                <w:sz w:val="12"/>
              </w:rPr>
              <w:t>Keep exact URL pinned; do not treat mapping as implementation proof</w:t>
            </w:r>
          </w:p>
        </w:tc>
      </w:tr>
      <w:tr>
        <w:tc>
          <w:tcPr>
            <w:tcW w:type="dxa" w:w="1461"/>
          </w:tcPr>
          <w:p>
            <w:pPr>
              <w:spacing w:after="0"/>
            </w:pPr>
            <w:r>
              <w:rPr>
                <w:rFonts w:ascii="Arial" w:hAnsi="Arial"/>
                <w:b w:val="0"/>
                <w:sz w:val="12"/>
              </w:rPr>
              <w:t>MPLP-SPEC</w:t>
            </w:r>
          </w:p>
        </w:tc>
        <w:tc>
          <w:tcPr>
            <w:tcW w:type="dxa" w:w="1461"/>
          </w:tcPr>
          <w:p>
            <w:pPr>
              <w:spacing w:after="0"/>
            </w:pPr>
            <w:r>
              <w:rPr>
                <w:rFonts w:ascii="Arial" w:hAnsi="Arial"/>
                <w:b w:val="0"/>
                <w:sz w:val="12"/>
              </w:rPr>
              <w:t>MPLP protocol specification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Source-bound through MPLP docs entry point</w:t>
            </w:r>
          </w:p>
        </w:tc>
        <w:tc>
          <w:tcPr>
            <w:tcW w:type="dxa" w:w="1461"/>
          </w:tcPr>
          <w:p>
            <w:pPr>
              <w:spacing w:after="0"/>
            </w:pPr>
            <w:r>
              <w:rPr>
                <w:rFonts w:ascii="Arial" w:hAnsi="Arial"/>
                <w:b w:val="0"/>
                <w:sz w:val="12"/>
              </w:rPr>
              <w:t>Validate version/citation rendering during publication-candidate QA</w:t>
            </w:r>
          </w:p>
        </w:tc>
      </w:tr>
      <w:tr>
        <w:tc>
          <w:tcPr>
            <w:tcW w:type="dxa" w:w="1461"/>
          </w:tcPr>
          <w:p>
            <w:pPr>
              <w:spacing w:after="0"/>
            </w:pPr>
            <w:r>
              <w:rPr>
                <w:rFonts w:ascii="Arial" w:hAnsi="Arial"/>
                <w:b w:val="0"/>
                <w:sz w:val="12"/>
              </w:rPr>
              <w:t>VALIDATION-LAB</w:t>
            </w:r>
          </w:p>
        </w:tc>
        <w:tc>
          <w:tcPr>
            <w:tcW w:type="dxa" w:w="1461"/>
          </w:tcPr>
          <w:p>
            <w:pPr>
              <w:spacing w:after="0"/>
            </w:pPr>
            <w:r>
              <w:rPr>
                <w:rFonts w:ascii="Arial" w:hAnsi="Arial"/>
                <w:b w:val="0"/>
                <w:sz w:val="12"/>
              </w:rPr>
              <w:t>Validation Lab methodology / public surface</w:t>
            </w:r>
          </w:p>
        </w:tc>
        <w:tc>
          <w:tcPr>
            <w:tcW w:type="dxa" w:w="1461"/>
          </w:tcPr>
          <w:p>
            <w:pPr>
              <w:spacing w:after="0"/>
            </w:pPr>
            <w:r>
              <w:rPr>
                <w:rFonts w:ascii="Arial" w:hAnsi="Arial"/>
                <w:b w:val="0"/>
                <w:sz w:val="12"/>
              </w:rPr>
              <w:t>Validation methodology source</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 14, Appendix K, claim register</w:t>
            </w:r>
          </w:p>
        </w:tc>
        <w:tc>
          <w:tcPr>
            <w:tcW w:type="dxa" w:w="1461"/>
          </w:tcPr>
          <w:p>
            <w:pPr>
              <w:spacing w:after="0"/>
            </w:pPr>
            <w:r>
              <w:rPr>
                <w:rFonts w:ascii="Arial" w:hAnsi="Arial"/>
                <w:b w:val="0"/>
                <w:sz w:val="12"/>
              </w:rPr>
              <w:t>Methodology page located and narrowed to public-surface non-certifying support</w:t>
            </w:r>
          </w:p>
        </w:tc>
        <w:tc>
          <w:tcPr>
            <w:tcW w:type="dxa" w:w="1461"/>
          </w:tcPr>
          <w:p>
            <w:pPr>
              <w:spacing w:after="0"/>
            </w:pPr>
            <w:r>
              <w:rPr>
                <w:rFonts w:ascii="Arial" w:hAnsi="Arial"/>
                <w:b w:val="0"/>
                <w:sz w:val="12"/>
              </w:rPr>
              <w:t>Keep non-certifying boundary; do not treat as audit opinion, endorsement, or legal compliance proof</w:t>
            </w:r>
          </w:p>
        </w:tc>
      </w:tr>
      <w:tr>
        <w:tc>
          <w:tcPr>
            <w:tcW w:type="dxa" w:w="1461"/>
          </w:tcPr>
          <w:p>
            <w:pPr>
              <w:spacing w:after="0"/>
            </w:pPr>
            <w:r>
              <w:rPr>
                <w:rFonts w:ascii="Arial" w:hAnsi="Arial"/>
                <w:b w:val="0"/>
                <w:sz w:val="12"/>
              </w:rPr>
              <w:t>IBM-WATSONX-GOV</w:t>
            </w:r>
          </w:p>
        </w:tc>
        <w:tc>
          <w:tcPr>
            <w:tcW w:type="dxa" w:w="1461"/>
          </w:tcPr>
          <w:p>
            <w:pPr>
              <w:spacing w:after="0"/>
            </w:pPr>
            <w:r>
              <w:rPr>
                <w:rFonts w:ascii="Arial" w:hAnsi="Arial"/>
                <w:b w:val="0"/>
                <w:sz w:val="12"/>
              </w:rPr>
              <w:t>IBM watsonx.governance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docs pages for final citation</w:t>
            </w:r>
          </w:p>
        </w:tc>
      </w:tr>
      <w:tr>
        <w:tc>
          <w:tcPr>
            <w:tcW w:type="dxa" w:w="1461"/>
          </w:tcPr>
          <w:p>
            <w:pPr>
              <w:spacing w:after="0"/>
            </w:pPr>
            <w:r>
              <w:rPr>
                <w:rFonts w:ascii="Arial" w:hAnsi="Arial"/>
                <w:b w:val="0"/>
                <w:sz w:val="12"/>
              </w:rPr>
              <w:t>MS-AZURE-FOUNDRY</w:t>
            </w:r>
          </w:p>
        </w:tc>
        <w:tc>
          <w:tcPr>
            <w:tcW w:type="dxa" w:w="1461"/>
          </w:tcPr>
          <w:p>
            <w:pPr>
              <w:spacing w:after="0"/>
            </w:pPr>
            <w:r>
              <w:rPr>
                <w:rFonts w:ascii="Arial" w:hAnsi="Arial"/>
                <w:b w:val="0"/>
                <w:sz w:val="12"/>
              </w:rPr>
              <w:t>Microsoft Azure AI Foundry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 located; ALCS mappings remain L5 where not directly documented</w:t>
            </w:r>
          </w:p>
        </w:tc>
        <w:tc>
          <w:tcPr>
            <w:tcW w:type="dxa" w:w="1461"/>
          </w:tcPr>
          <w:p>
            <w:pPr>
              <w:spacing w:after="0"/>
            </w:pPr>
            <w:r>
              <w:rPr>
                <w:rFonts w:ascii="Arial" w:hAnsi="Arial"/>
                <w:b w:val="0"/>
                <w:sz w:val="12"/>
              </w:rPr>
              <w:t>Pin exact Microsoft Learn pages for final citation</w:t>
            </w:r>
          </w:p>
        </w:tc>
      </w:tr>
      <w:tr>
        <w:tc>
          <w:tcPr>
            <w:tcW w:type="dxa" w:w="1461"/>
          </w:tcPr>
          <w:p>
            <w:pPr>
              <w:spacing w:after="0"/>
            </w:pPr>
            <w:r>
              <w:rPr>
                <w:rFonts w:ascii="Arial" w:hAnsi="Arial"/>
                <w:b w:val="0"/>
                <w:sz w:val="12"/>
              </w:rPr>
              <w:t>AWS-BEDROCK-STACK</w:t>
            </w:r>
          </w:p>
        </w:tc>
        <w:tc>
          <w:tcPr>
            <w:tcW w:type="dxa" w:w="1461"/>
          </w:tcPr>
          <w:p>
            <w:pPr>
              <w:spacing w:after="0"/>
            </w:pPr>
            <w:r>
              <w:rPr>
                <w:rFonts w:ascii="Arial" w:hAnsi="Arial"/>
                <w:b w:val="0"/>
                <w:sz w:val="12"/>
              </w:rPr>
              <w:t>AWS Bedrock / Guardrails / AgentCore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AWS pages for final citation</w:t>
            </w:r>
          </w:p>
        </w:tc>
      </w:tr>
      <w:tr>
        <w:tc>
          <w:tcPr>
            <w:tcW w:type="dxa" w:w="1461"/>
          </w:tcPr>
          <w:p>
            <w:pPr>
              <w:spacing w:after="0"/>
            </w:pPr>
            <w:r>
              <w:rPr>
                <w:rFonts w:ascii="Arial" w:hAnsi="Arial"/>
                <w:b w:val="0"/>
                <w:sz w:val="12"/>
              </w:rPr>
              <w:t>GOOGLE-VERTEX-STACK</w:t>
            </w:r>
          </w:p>
        </w:tc>
        <w:tc>
          <w:tcPr>
            <w:tcW w:type="dxa" w:w="1461"/>
          </w:tcPr>
          <w:p>
            <w:pPr>
              <w:spacing w:after="0"/>
            </w:pPr>
            <w:r>
              <w:rPr>
                <w:rFonts w:ascii="Arial" w:hAnsi="Arial"/>
                <w:b w:val="0"/>
                <w:sz w:val="12"/>
              </w:rPr>
              <w:t>Google Vertex AI / ADK / Model Armor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Google pages for final citation</w:t>
            </w:r>
          </w:p>
        </w:tc>
      </w:tr>
      <w:tr>
        <w:tc>
          <w:tcPr>
            <w:tcW w:type="dxa" w:w="1461"/>
          </w:tcPr>
          <w:p>
            <w:pPr>
              <w:spacing w:after="0"/>
            </w:pPr>
            <w:r>
              <w:rPr>
                <w:rFonts w:ascii="Arial" w:hAnsi="Arial"/>
                <w:b w:val="0"/>
                <w:sz w:val="12"/>
              </w:rPr>
              <w:t>LANGGRAPH-LANGSMITH</w:t>
            </w:r>
          </w:p>
        </w:tc>
        <w:tc>
          <w:tcPr>
            <w:tcW w:type="dxa" w:w="1461"/>
          </w:tcPr>
          <w:p>
            <w:pPr>
              <w:spacing w:after="0"/>
            </w:pPr>
            <w:r>
              <w:rPr>
                <w:rFonts w:ascii="Arial" w:hAnsi="Arial"/>
                <w:b w:val="0"/>
                <w:sz w:val="12"/>
              </w:rPr>
              <w:t>LangGraph / LangSmith documentation</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LangChain docs pages for final citation</w:t>
            </w:r>
          </w:p>
        </w:tc>
      </w:tr>
      <w:tr>
        <w:tc>
          <w:tcPr>
            <w:tcW w:type="dxa" w:w="1461"/>
          </w:tcPr>
          <w:p>
            <w:pPr>
              <w:spacing w:after="0"/>
            </w:pPr>
            <w:r>
              <w:rPr>
                <w:rFonts w:ascii="Arial" w:hAnsi="Arial"/>
                <w:b w:val="0"/>
                <w:sz w:val="12"/>
              </w:rPr>
              <w:t>OPENAI-AGENTS-SDK</w:t>
            </w:r>
          </w:p>
        </w:tc>
        <w:tc>
          <w:tcPr>
            <w:tcW w:type="dxa" w:w="1461"/>
          </w:tcPr>
          <w:p>
            <w:pPr>
              <w:spacing w:after="0"/>
            </w:pPr>
            <w:r>
              <w:rPr>
                <w:rFonts w:ascii="Arial" w:hAnsi="Arial"/>
                <w:b w:val="0"/>
                <w:sz w:val="12"/>
              </w:rPr>
              <w:t>OpenAI Agents SDK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Accessible official Python/JS SDK docs located; platform guide HTTP 403 retained as access note</w:t>
            </w:r>
          </w:p>
        </w:tc>
        <w:tc>
          <w:tcPr>
            <w:tcW w:type="dxa" w:w="1461"/>
          </w:tcPr>
          <w:p>
            <w:pPr>
              <w:spacing w:after="0"/>
            </w:pPr>
            <w:r>
              <w:rPr>
                <w:rFonts w:ascii="Arial" w:hAnsi="Arial"/>
                <w:b w:val="0"/>
                <w:sz w:val="12"/>
              </w:rPr>
              <w:t>Use accessible official SDK docs for SDK-surface claims only</w:t>
            </w:r>
          </w:p>
        </w:tc>
      </w:tr>
      <w:tr>
        <w:tc>
          <w:tcPr>
            <w:tcW w:type="dxa" w:w="1461"/>
          </w:tcPr>
          <w:p>
            <w:pPr>
              <w:spacing w:after="0"/>
            </w:pPr>
            <w:r>
              <w:rPr>
                <w:rFonts w:ascii="Arial" w:hAnsi="Arial"/>
                <w:b w:val="0"/>
                <w:sz w:val="12"/>
              </w:rPr>
              <w:t>CREWAI-DOCS</w:t>
            </w:r>
          </w:p>
        </w:tc>
        <w:tc>
          <w:tcPr>
            <w:tcW w:type="dxa" w:w="1461"/>
          </w:tcPr>
          <w:p>
            <w:pPr>
              <w:spacing w:after="0"/>
            </w:pPr>
            <w:r>
              <w:rPr>
                <w:rFonts w:ascii="Arial" w:hAnsi="Arial"/>
                <w:b w:val="0"/>
                <w:sz w:val="12"/>
              </w:rPr>
              <w:t>CrewAI documentation and repository references</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docs and repository entry points located; ALCS mappings remain L5 where not directly documented</w:t>
            </w:r>
          </w:p>
        </w:tc>
        <w:tc>
          <w:tcPr>
            <w:tcW w:type="dxa" w:w="1461"/>
          </w:tcPr>
          <w:p>
            <w:pPr>
              <w:spacing w:after="0"/>
            </w:pPr>
            <w:r>
              <w:rPr>
                <w:rFonts w:ascii="Arial" w:hAnsi="Arial"/>
                <w:b w:val="0"/>
                <w:sz w:val="12"/>
              </w:rPr>
              <w:t>Pin exact CrewAI docs pages for final citation</w:t>
            </w:r>
          </w:p>
        </w:tc>
      </w:tr>
      <w:tr>
        <w:tc>
          <w:tcPr>
            <w:tcW w:type="dxa" w:w="1461"/>
          </w:tcPr>
          <w:p>
            <w:pPr>
              <w:spacing w:after="0"/>
            </w:pPr>
            <w:r>
              <w:rPr>
                <w:rFonts w:ascii="Arial" w:hAnsi="Arial"/>
                <w:b w:val="0"/>
                <w:sz w:val="12"/>
              </w:rPr>
              <w:t>CLAIM-EVIDENCE-REGISTER</w:t>
            </w:r>
          </w:p>
        </w:tc>
        <w:tc>
          <w:tcPr>
            <w:tcW w:type="dxa" w:w="1461"/>
          </w:tcPr>
          <w:p>
            <w:pPr>
              <w:spacing w:after="0"/>
            </w:pPr>
            <w:r>
              <w:rPr>
                <w:rFonts w:ascii="Arial" w:hAnsi="Arial"/>
                <w:b w:val="0"/>
                <w:sz w:val="12"/>
              </w:rPr>
              <w:t>Claim evidence register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Phase 1C follow-up</w:t>
            </w:r>
          </w:p>
        </w:tc>
        <w:tc>
          <w:tcPr>
            <w:tcW w:type="dxa" w:w="1461"/>
          </w:tcPr>
          <w:p>
            <w:pPr>
              <w:spacing w:after="0"/>
            </w:pPr>
            <w:r>
              <w:rPr>
                <w:rFonts w:ascii="Arial" w:hAnsi="Arial"/>
                <w:b w:val="0"/>
                <w:sz w:val="12"/>
              </w:rPr>
              <w:t>PHASE 1C CLAIM-LEVEL REVIEW COMPLETE — PROVISIONAL SOURCE BINDING</w:t>
            </w:r>
          </w:p>
        </w:tc>
        <w:tc>
          <w:tcPr>
            <w:tcW w:type="dxa" w:w="1461"/>
          </w:tcPr>
          <w:p>
            <w:pPr>
              <w:spacing w:after="0"/>
            </w:pPr>
            <w:r>
              <w:rPr>
                <w:rFonts w:ascii="Arial" w:hAnsi="Arial"/>
                <w:b w:val="0"/>
                <w:sz w:val="12"/>
              </w:rPr>
              <w:t>Maintain as source-to-claim audit ledger</w:t>
            </w:r>
          </w:p>
        </w:tc>
      </w:tr>
      <w:tr>
        <w:tc>
          <w:tcPr>
            <w:tcW w:type="dxa" w:w="1461"/>
          </w:tcPr>
          <w:p>
            <w:pPr>
              <w:spacing w:after="0"/>
            </w:pPr>
            <w:r>
              <w:rPr>
                <w:rFonts w:ascii="Arial" w:hAnsi="Arial"/>
                <w:b w:val="0"/>
                <w:sz w:val="12"/>
              </w:rPr>
              <w:t>CITATION-INVENTORY</w:t>
            </w:r>
          </w:p>
        </w:tc>
        <w:tc>
          <w:tcPr>
            <w:tcW w:type="dxa" w:w="1461"/>
          </w:tcPr>
          <w:p>
            <w:pPr>
              <w:spacing w:after="0"/>
            </w:pPr>
            <w:r>
              <w:rPr>
                <w:rFonts w:ascii="Arial" w:hAnsi="Arial"/>
                <w:b w:val="0"/>
                <w:sz w:val="12"/>
              </w:rPr>
              <w:t>Citation inventory ledger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C, Appendix I</w:t>
            </w:r>
          </w:p>
        </w:tc>
        <w:tc>
          <w:tcPr>
            <w:tcW w:type="dxa" w:w="1461"/>
          </w:tcPr>
          <w:p>
            <w:pPr>
              <w:spacing w:after="0"/>
            </w:pPr>
            <w:r>
              <w:rPr>
                <w:rFonts w:ascii="Arial" w:hAnsi="Arial"/>
                <w:b w:val="0"/>
                <w:sz w:val="12"/>
              </w:rPr>
              <w:t>PHASE 1D-11 CITATION SOURCE CLOSURE COMPLETE — HIGH-RISK BLOCKERS CLOSED</w:t>
            </w:r>
          </w:p>
        </w:tc>
        <w:tc>
          <w:tcPr>
            <w:tcW w:type="dxa" w:w="1461"/>
          </w:tcPr>
          <w:p>
            <w:pPr>
              <w:spacing w:after="0"/>
            </w:pPr>
            <w:r>
              <w:rPr>
                <w:rFonts w:ascii="Arial" w:hAnsi="Arial"/>
                <w:b w:val="0"/>
                <w:sz w:val="12"/>
              </w:rPr>
              <w:t>Maintain closure ledger and explicit limitations</w:t>
            </w:r>
          </w:p>
        </w:tc>
      </w:tr>
      <w:tr>
        <w:tc>
          <w:tcPr>
            <w:tcW w:type="dxa" w:w="1461"/>
          </w:tcPr>
          <w:p>
            <w:pPr>
              <w:spacing w:after="0"/>
            </w:pPr>
            <w:r>
              <w:rPr>
                <w:rFonts w:ascii="Arial" w:hAnsi="Arial"/>
                <w:b w:val="0"/>
                <w:sz w:val="12"/>
              </w:rPr>
              <w:t>SOURCE-COVERAGE-MATRIX</w:t>
            </w:r>
          </w:p>
        </w:tc>
        <w:tc>
          <w:tcPr>
            <w:tcW w:type="dxa" w:w="1461"/>
          </w:tcPr>
          <w:p>
            <w:pPr>
              <w:spacing w:after="0"/>
            </w:pPr>
            <w:r>
              <w:rPr>
                <w:rFonts w:ascii="Arial" w:hAnsi="Arial"/>
                <w:b w:val="0"/>
                <w:sz w:val="12"/>
              </w:rPr>
              <w:t>Source coverage matrix</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I, Phase 1C carryover</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citation rendering and page-level source pinning remain before publication-candidate release</w:t>
            </w:r>
          </w:p>
        </w:tc>
      </w:tr>
    </w:tbl>
    <w:p>
      <w:pPr>
        <w:pStyle w:val="Heading2"/>
      </w:pPr>
      <w:r>
        <w:t>I.3 Source Review and Publication Handoff Workflow</w:t>
      </w:r>
    </w:p>
    <w:p>
      <w:pPr>
        <w:spacing w:after="56"/>
      </w:pPr>
      <w:r>
        <w:t>Source review and publication handoff should follow a controlled workflow:</w:t>
      </w:r>
    </w:p>
    <w:p>
      <w:pPr>
        <w:pStyle w:val="ListNumber"/>
        <w:spacing w:after="56"/>
      </w:pPr>
      <w:r>
        <w:t>Freeze the active Markdown source set for validation.</w:t>
      </w:r>
    </w:p>
    <w:p>
      <w:pPr>
        <w:pStyle w:val="ListNumber"/>
        <w:spacing w:after="56"/>
      </w:pPr>
      <w:r>
        <w:t>Confirm the citation inventory status and source coverage matrix status.</w:t>
      </w:r>
    </w:p>
    <w:p>
      <w:pPr>
        <w:pStyle w:val="ListNumber"/>
        <w:spacing w:after="56"/>
      </w:pPr>
      <w:r>
        <w:t>Verify each L1 legal or standards citation for citation rendering and relevance.</w:t>
      </w:r>
    </w:p>
    <w:p>
      <w:pPr>
        <w:pStyle w:val="ListNumber"/>
        <w:spacing w:after="56"/>
      </w:pPr>
      <w:r>
        <w:t>Revalidate every L2 product documentation source for currency, scope, and claim support.</w:t>
      </w:r>
    </w:p>
    <w:p>
      <w:pPr>
        <w:pStyle w:val="ListNumber"/>
        <w:spacing w:after="56"/>
      </w:pPr>
      <w:r>
        <w:t>Confirm MPLP documentation, Validation Lab methodology, and OpenAI SDK replacement source status.</w:t>
      </w:r>
    </w:p>
    <w:p>
      <w:pPr>
        <w:pStyle w:val="ListNumber"/>
        <w:spacing w:after="56"/>
      </w:pPr>
      <w:r>
        <w:t>Reclassify evidence levels only when documentation supports the change.</w:t>
      </w:r>
    </w:p>
    <w:p>
      <w:pPr>
        <w:pStyle w:val="ListNumber"/>
        <w:spacing w:after="56"/>
      </w:pPr>
      <w:r>
        <w:t>Record all source changes, narrowed claims, L5 downgrades, and explicit limitations in Appendix I or a publication QA report.</w:t>
      </w:r>
    </w:p>
    <w:p>
      <w:pPr>
        <w:spacing w:after="56"/>
      </w:pPr>
      <w:r>
        <w:t>Phase 1D-11 completed the high-risk source closure path. It did not convert L2 documentation into audit proof, legal compliance proof, certification evidence, regulatory approval, procurement recommendation, or final vendor assessment evidence.</w:t>
      </w:r>
    </w:p>
    <w:p>
      <w:pPr>
        <w:pStyle w:val="Heading2"/>
      </w:pPr>
      <w:r>
        <w:t>I.4 URL and Citation Verification Queue</w:t>
      </w:r>
    </w:p>
    <w:p>
      <w:pPr>
        <w:keepNext/>
      </w:pPr>
      <w:r>
        <w:rPr>
          <w:b/>
          <w:sz w:val="16"/>
        </w:rPr>
        <w:t>Table T-I-02: URL Verification Queue</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URL / Source Pointer</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Verification Need</w:t>
            </w:r>
          </w:p>
        </w:tc>
        <w:tc>
          <w:tcPr>
            <w:tcW w:type="dxa" w:w="1704"/>
          </w:tcPr>
          <w:p>
            <w:pPr>
              <w:spacing w:after="0"/>
            </w:pPr>
            <w:r>
              <w:rPr>
                <w:rFonts w:ascii="Arial" w:hAnsi="Arial"/>
                <w:b/>
                <w:sz w:val="12"/>
              </w:rPr>
              <w:t>Priority</w:t>
            </w:r>
          </w:p>
        </w:tc>
        <w:tc>
          <w:tcPr>
            <w:tcW w:type="dxa" w:w="1704"/>
          </w:tcPr>
          <w:p>
            <w:pPr>
              <w:spacing w:after="0"/>
            </w:pPr>
            <w:r>
              <w:rPr>
                <w:rFonts w:ascii="Arial" w:hAnsi="Arial"/>
                <w:b/>
                <w:sz w:val="12"/>
              </w:rPr>
              <w:t>Notes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https://docs.mplp.io/docs/introduction/mplp-v1.0-protocol-overview</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Official docs accessible; protocol identity source-bound</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MRO/ALCS mapping remains L5 analytical where not directly stated</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https://docs.mplp.io/docs/introduction/mplp-v1.0-protocol-overview</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Bound through protocol overview</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Do not treat protocol mapping as implementation proof</w:t>
            </w:r>
          </w:p>
        </w:tc>
      </w:tr>
      <w:tr>
        <w:tc>
          <w:tcPr>
            <w:tcW w:type="dxa" w:w="1704"/>
          </w:tcPr>
          <w:p>
            <w:pPr>
              <w:spacing w:after="0"/>
            </w:pPr>
            <w:r>
              <w:rPr>
                <w:rFonts w:ascii="Arial" w:hAnsi="Arial"/>
                <w:b w:val="0"/>
                <w:sz w:val="12"/>
              </w:rPr>
              <w:t>VALIDATION-LAB</w:t>
            </w:r>
          </w:p>
        </w:tc>
        <w:tc>
          <w:tcPr>
            <w:tcW w:type="dxa" w:w="1704"/>
          </w:tcPr>
          <w:p>
            <w:pPr>
              <w:spacing w:after="0"/>
            </w:pPr>
            <w:r>
              <w:rPr>
                <w:rFonts w:ascii="Arial" w:hAnsi="Arial"/>
                <w:b w:val="0"/>
                <w:sz w:val="12"/>
              </w:rPr>
              <w:t>https://lab.mplp.io/methodology</w:t>
            </w:r>
          </w:p>
        </w:tc>
        <w:tc>
          <w:tcPr>
            <w:tcW w:type="dxa" w:w="1704"/>
          </w:tcPr>
          <w:p>
            <w:pPr>
              <w:spacing w:after="0"/>
            </w:pPr>
            <w:r>
              <w:rPr>
                <w:rFonts w:ascii="Arial" w:hAnsi="Arial"/>
                <w:b w:val="0"/>
                <w:sz w:val="12"/>
              </w:rPr>
              <w:t>Chapter 14, Appendix K</w:t>
            </w:r>
          </w:p>
        </w:tc>
        <w:tc>
          <w:tcPr>
            <w:tcW w:type="dxa" w:w="1704"/>
          </w:tcPr>
          <w:p>
            <w:pPr>
              <w:spacing w:after="0"/>
            </w:pPr>
            <w:r>
              <w:rPr>
                <w:rFonts w:ascii="Arial" w:hAnsi="Arial"/>
                <w:b w:val="0"/>
                <w:sz w:val="12"/>
              </w:rPr>
              <w:t>Methodology page accessible; narrowed to public-surface non-certifying example</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No certification, endorsement, audit opinion, or compliance proof</w:t>
            </w:r>
          </w:p>
        </w:tc>
      </w:tr>
      <w:tr>
        <w:tc>
          <w:tcPr>
            <w:tcW w:type="dxa" w:w="1704"/>
          </w:tcPr>
          <w:p>
            <w:pPr>
              <w:spacing w:after="0"/>
            </w:pPr>
            <w:r>
              <w:rPr>
                <w:rFonts w:ascii="Arial" w:hAnsi="Arial"/>
                <w:b w:val="0"/>
                <w:sz w:val="12"/>
              </w:rPr>
              <w:t>IBM-WATSONX-GOV</w:t>
            </w:r>
          </w:p>
        </w:tc>
        <w:tc>
          <w:tcPr>
            <w:tcW w:type="dxa" w:w="1704"/>
          </w:tcPr>
          <w:p>
            <w:pPr>
              <w:spacing w:after="0"/>
            </w:pPr>
            <w:r>
              <w:rPr>
                <w:rFonts w:ascii="Arial" w:hAnsi="Arial"/>
                <w:b w:val="0"/>
                <w:sz w:val="12"/>
              </w:rPr>
              <w:t>IBM official entry points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ALCS mapping remains L5 where not directly documented</w:t>
            </w:r>
          </w:p>
        </w:tc>
      </w:tr>
      <w:tr>
        <w:tc>
          <w:tcPr>
            <w:tcW w:type="dxa" w:w="1704"/>
          </w:tcPr>
          <w:p>
            <w:pPr>
              <w:spacing w:after="0"/>
            </w:pPr>
            <w:r>
              <w:rPr>
                <w:rFonts w:ascii="Arial" w:hAnsi="Arial"/>
                <w:b w:val="0"/>
                <w:sz w:val="12"/>
              </w:rPr>
              <w:t>MS-AZURE-FOUNDRY</w:t>
            </w:r>
          </w:p>
        </w:tc>
        <w:tc>
          <w:tcPr>
            <w:tcW w:type="dxa" w:w="1704"/>
          </w:tcPr>
          <w:p>
            <w:pPr>
              <w:spacing w:after="0"/>
            </w:pPr>
            <w:r>
              <w:rPr>
                <w:rFonts w:ascii="Arial" w:hAnsi="Arial"/>
                <w:b w:val="0"/>
                <w:sz w:val="12"/>
              </w:rPr>
              <w:t>https://learn.microsoft.com/en-us/azure/foundry/</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ALCS mapping remains L5 where not directly documented</w:t>
            </w:r>
          </w:p>
        </w:tc>
      </w:tr>
      <w:tr>
        <w:tc>
          <w:tcPr>
            <w:tcW w:type="dxa" w:w="1704"/>
          </w:tcPr>
          <w:p>
            <w:pPr>
              <w:spacing w:after="0"/>
            </w:pPr>
            <w:r>
              <w:rPr>
                <w:rFonts w:ascii="Arial" w:hAnsi="Arial"/>
                <w:b w:val="0"/>
                <w:sz w:val="12"/>
              </w:rPr>
              <w:t>AWS-BEDROCK-STACK</w:t>
            </w:r>
          </w:p>
        </w:tc>
        <w:tc>
          <w:tcPr>
            <w:tcW w:type="dxa" w:w="1704"/>
          </w:tcPr>
          <w:p>
            <w:pPr>
              <w:spacing w:after="0"/>
            </w:pPr>
            <w:r>
              <w:rPr>
                <w:rFonts w:ascii="Arial" w:hAnsi="Arial"/>
                <w:b w:val="0"/>
                <w:sz w:val="12"/>
              </w:rPr>
              <w:t>AWS official Bedrock / Guardrails / AgentCore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Guardrails/runtime features are not delegated-authority proof</w:t>
            </w:r>
          </w:p>
        </w:tc>
      </w:tr>
      <w:tr>
        <w:tc>
          <w:tcPr>
            <w:tcW w:type="dxa" w:w="1704"/>
          </w:tcPr>
          <w:p>
            <w:pPr>
              <w:spacing w:after="0"/>
            </w:pPr>
            <w:r>
              <w:rPr>
                <w:rFonts w:ascii="Arial" w:hAnsi="Arial"/>
                <w:b w:val="0"/>
                <w:sz w:val="12"/>
              </w:rPr>
              <w:t>GOOGLE-VERTEX-STACK</w:t>
            </w:r>
          </w:p>
        </w:tc>
        <w:tc>
          <w:tcPr>
            <w:tcW w:type="dxa" w:w="1704"/>
          </w:tcPr>
          <w:p>
            <w:pPr>
              <w:spacing w:after="0"/>
            </w:pPr>
            <w:r>
              <w:rPr>
                <w:rFonts w:ascii="Arial" w:hAnsi="Arial"/>
                <w:b w:val="0"/>
                <w:sz w:val="12"/>
              </w:rPr>
              <w:t>Google official Vertex / ADK / Model Armor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capability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Safety/agent primitives are not lifecycle responsibility proof</w:t>
            </w:r>
          </w:p>
        </w:tc>
      </w:tr>
      <w:tr>
        <w:tc>
          <w:tcPr>
            <w:tcW w:type="dxa" w:w="1704"/>
          </w:tcPr>
          <w:p>
            <w:pPr>
              <w:spacing w:after="0"/>
            </w:pPr>
            <w:r>
              <w:rPr>
                <w:rFonts w:ascii="Arial" w:hAnsi="Arial"/>
                <w:b w:val="0"/>
                <w:sz w:val="12"/>
              </w:rPr>
              <w:t>LANGGRAPH-LANGSMITH</w:t>
            </w:r>
          </w:p>
        </w:tc>
        <w:tc>
          <w:tcPr>
            <w:tcW w:type="dxa" w:w="1704"/>
          </w:tcPr>
          <w:p>
            <w:pPr>
              <w:spacing w:after="0"/>
            </w:pPr>
            <w:r>
              <w:rPr>
                <w:rFonts w:ascii="Arial" w:hAnsi="Arial"/>
                <w:b w:val="0"/>
                <w:sz w:val="12"/>
              </w:rPr>
              <w:t>LangChain official docs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orchestration/observability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Lifecycle governance requires implementer integration</w:t>
            </w:r>
          </w:p>
        </w:tc>
      </w:tr>
      <w:tr>
        <w:tc>
          <w:tcPr>
            <w:tcW w:type="dxa" w:w="1704"/>
          </w:tcPr>
          <w:p>
            <w:pPr>
              <w:spacing w:after="0"/>
            </w:pPr>
            <w:r>
              <w:rPr>
                <w:rFonts w:ascii="Arial" w:hAnsi="Arial"/>
                <w:b w:val="0"/>
                <w:sz w:val="12"/>
              </w:rPr>
              <w:t>OPENAI-AGENTS-SDK</w:t>
            </w:r>
          </w:p>
        </w:tc>
        <w:tc>
          <w:tcPr>
            <w:tcW w:type="dxa" w:w="1704"/>
          </w:tcPr>
          <w:p>
            <w:pPr>
              <w:spacing w:after="0"/>
            </w:pPr>
            <w:r>
              <w:rPr>
                <w:rFonts w:ascii="Arial" w:hAnsi="Arial"/>
                <w:b w:val="0"/>
                <w:sz w:val="12"/>
              </w:rPr>
              <w:t>https://openai.github.io/openai-agents-python/; https://openai.github.io/openai-agents-js/</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official SDK docs replace platform guide 403 for retained SDK claims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Platform guide HTTP 403 retained as access note only</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https://docs.crewai.com/; https://github.com/crewAIInc/crewAI</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Accessible; claims narrowed to orchestration surfaces</w:t>
            </w:r>
          </w:p>
        </w:tc>
        <w:tc>
          <w:tcPr>
            <w:tcW w:type="dxa" w:w="1704"/>
          </w:tcPr>
          <w:p>
            <w:pPr>
              <w:spacing w:after="0"/>
            </w:pPr>
            <w:r>
              <w:rPr>
                <w:rFonts w:ascii="Arial" w:hAnsi="Arial"/>
                <w:b w:val="0"/>
                <w:sz w:val="12"/>
              </w:rPr>
              <w:t>Non-blocking</w:t>
            </w:r>
          </w:p>
        </w:tc>
        <w:tc>
          <w:tcPr>
            <w:tcW w:type="dxa" w:w="1704"/>
          </w:tcPr>
          <w:p>
            <w:pPr>
              <w:spacing w:after="0"/>
            </w:pPr>
            <w:r>
              <w:rPr>
                <w:rFonts w:ascii="Arial" w:hAnsi="Arial"/>
                <w:b w:val="0"/>
                <w:sz w:val="12"/>
              </w:rPr>
              <w:t>Accountability/lifecycle governance remains implementer-built</w:t>
            </w:r>
          </w:p>
        </w:tc>
      </w:tr>
      <w:tr>
        <w:tc>
          <w:tcPr>
            <w:tcW w:type="dxa" w:w="1704"/>
          </w:tcPr>
          <w:p>
            <w:pPr>
              <w:spacing w:after="0"/>
            </w:pPr>
            <w:r>
              <w:rPr>
                <w:rFonts w:ascii="Arial" w:hAnsi="Arial"/>
                <w:b w:val="0"/>
                <w:sz w:val="12"/>
              </w:rPr>
              <w:t>L1-LEGAL-STANDARDS</w:t>
            </w:r>
          </w:p>
        </w:tc>
        <w:tc>
          <w:tcPr>
            <w:tcW w:type="dxa" w:w="1704"/>
          </w:tcPr>
          <w:p>
            <w:pPr>
              <w:spacing w:after="0"/>
            </w:pPr>
            <w:r>
              <w:rPr>
                <w:rFonts w:ascii="Arial" w:hAnsi="Arial"/>
                <w:b w:val="0"/>
                <w:sz w:val="12"/>
              </w:rPr>
              <w:t>Citation source pointers / reference notes</w:t>
            </w:r>
          </w:p>
        </w:tc>
        <w:tc>
          <w:tcPr>
            <w:tcW w:type="dxa" w:w="1704"/>
          </w:tcPr>
          <w:p>
            <w:pPr>
              <w:spacing w:after="0"/>
            </w:pPr>
            <w:r>
              <w:rPr>
                <w:rFonts w:ascii="Arial" w:hAnsi="Arial"/>
                <w:b w:val="0"/>
                <w:sz w:val="12"/>
              </w:rPr>
              <w:t>Chapters 4, 7, 8, Appendices E/F</w:t>
            </w:r>
          </w:p>
        </w:tc>
        <w:tc>
          <w:tcPr>
            <w:tcW w:type="dxa" w:w="1704"/>
          </w:tcPr>
          <w:p>
            <w:pPr>
              <w:spacing w:after="0"/>
            </w:pPr>
            <w:r>
              <w:rPr>
                <w:rFonts w:ascii="Arial" w:hAnsi="Arial"/>
                <w:b w:val="0"/>
                <w:sz w:val="12"/>
              </w:rPr>
              <w:t>Verify citation rendering and article/standard references</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Does not change legal interpretation</w:t>
            </w:r>
          </w:p>
        </w:tc>
      </w:tr>
      <w:tr>
        <w:tc>
          <w:tcPr>
            <w:tcW w:type="dxa" w:w="1704"/>
          </w:tcPr>
          <w:p>
            <w:pPr>
              <w:spacing w:after="0"/>
            </w:pPr>
            <w:r>
              <w:rPr>
                <w:rFonts w:ascii="Arial" w:hAnsi="Arial"/>
                <w:b w:val="0"/>
                <w:sz w:val="12"/>
              </w:rPr>
              <w:t>FIGURE-TABLE-REFERENCES</w:t>
            </w:r>
          </w:p>
        </w:tc>
        <w:tc>
          <w:tcPr>
            <w:tcW w:type="dxa" w:w="1704"/>
          </w:tcPr>
          <w:p>
            <w:pPr>
              <w:spacing w:after="0"/>
            </w:pPr>
            <w:r>
              <w:rPr>
                <w:rFonts w:ascii="Arial" w:hAnsi="Arial"/>
                <w:b w:val="0"/>
                <w:sz w:val="12"/>
              </w:rPr>
              <w:t>Internal references</w:t>
            </w:r>
          </w:p>
        </w:tc>
        <w:tc>
          <w:tcPr>
            <w:tcW w:type="dxa" w:w="1704"/>
          </w:tcPr>
          <w:p>
            <w:pPr>
              <w:spacing w:after="0"/>
            </w:pPr>
            <w:r>
              <w:rPr>
                <w:rFonts w:ascii="Arial" w:hAnsi="Arial"/>
                <w:b w:val="0"/>
                <w:sz w:val="12"/>
              </w:rPr>
              <w:t>Entire source</w:t>
            </w:r>
          </w:p>
        </w:tc>
        <w:tc>
          <w:tcPr>
            <w:tcW w:type="dxa" w:w="1704"/>
          </w:tcPr>
          <w:p>
            <w:pPr>
              <w:spacing w:after="0"/>
            </w:pPr>
            <w:r>
              <w:rPr>
                <w:rFonts w:ascii="Arial" w:hAnsi="Arial"/>
                <w:b w:val="0"/>
                <w:sz w:val="12"/>
              </w:rPr>
              <w:t>Verify table and figure references render correctly</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Coordinate with Phase 1D layout QA</w:t>
            </w:r>
          </w:p>
        </w:tc>
      </w:tr>
    </w:tbl>
    <w:p>
      <w:pPr>
        <w:spacing w:after="56"/>
      </w:pPr>
      <w:r>
        <w:t>Phase 1D-11 located, validated, replaced, or narrowed the high-priority L2 groups. Final human proofing may refine citations, but no high-risk source-pointer remains unresolved.</w:t>
      </w:r>
    </w:p>
    <w:p>
      <w:pPr>
        <w:pStyle w:val="Heading2"/>
      </w:pPr>
      <w:r>
        <w:t>I.5 Evidence Level Reclassification Rules</w:t>
      </w:r>
    </w:p>
    <w:p>
      <w:pPr>
        <w:keepNext/>
      </w:pPr>
      <w:r>
        <w:rPr>
          <w:b/>
          <w:sz w:val="16"/>
        </w:rPr>
        <w:t>Table T-I-03: Evidence Level Reclassification Rules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Current Level</w:t>
            </w:r>
          </w:p>
        </w:tc>
        <w:tc>
          <w:tcPr>
            <w:tcW w:type="dxa" w:w="2045"/>
          </w:tcPr>
          <w:p>
            <w:pPr>
              <w:spacing w:after="0"/>
            </w:pPr>
            <w:r>
              <w:rPr>
                <w:rFonts w:ascii="Arial" w:hAnsi="Arial"/>
                <w:b/>
                <w:sz w:val="14"/>
              </w:rPr>
              <w:t>Trigger for Reclassification</w:t>
            </w:r>
          </w:p>
        </w:tc>
        <w:tc>
          <w:tcPr>
            <w:tcW w:type="dxa" w:w="2045"/>
          </w:tcPr>
          <w:p>
            <w:pPr>
              <w:spacing w:after="0"/>
            </w:pPr>
            <w:r>
              <w:rPr>
                <w:rFonts w:ascii="Arial" w:hAnsi="Arial"/>
                <w:b/>
                <w:sz w:val="14"/>
              </w:rPr>
              <w:t>New Level</w:t>
            </w:r>
          </w:p>
        </w:tc>
        <w:tc>
          <w:tcPr>
            <w:tcW w:type="dxa" w:w="2045"/>
          </w:tcPr>
          <w:p>
            <w:pPr>
              <w:spacing w:after="0"/>
            </w:pPr>
            <w:r>
              <w:rPr>
                <w:rFonts w:ascii="Arial" w:hAnsi="Arial"/>
                <w:b/>
                <w:sz w:val="14"/>
              </w:rPr>
              <w:t>Required Documentation</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L5 author inference</w:t>
            </w:r>
          </w:p>
        </w:tc>
        <w:tc>
          <w:tcPr>
            <w:tcW w:type="dxa" w:w="2045"/>
          </w:tcPr>
          <w:p>
            <w:pPr>
              <w:spacing w:after="0"/>
            </w:pPr>
            <w:r>
              <w:rPr>
                <w:rFonts w:ascii="Arial" w:hAnsi="Arial"/>
                <w:b w:val="0"/>
                <w:sz w:val="14"/>
              </w:rPr>
              <w:t>Official product documentation directly supports the claim</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Source URL, publication/access date, quoted claim summary, mapped claim location</w:t>
            </w:r>
          </w:p>
        </w:tc>
        <w:tc>
          <w:tcPr>
            <w:tcW w:type="dxa" w:w="2045"/>
          </w:tcPr>
          <w:p>
            <w:pPr>
              <w:spacing w:after="0"/>
            </w:pPr>
            <w:r>
              <w:rPr>
                <w:rFonts w:ascii="Arial" w:hAnsi="Arial"/>
                <w:b w:val="0"/>
                <w:sz w:val="14"/>
              </w:rPr>
              <w:t>Do not reclassify based on assumption</w:t>
            </w:r>
          </w:p>
        </w:tc>
      </w:tr>
      <w:tr>
        <w:tc>
          <w:tcPr>
            <w:tcW w:type="dxa" w:w="2045"/>
          </w:tcPr>
          <w:p>
            <w:pPr>
              <w:spacing w:after="0"/>
            </w:pPr>
            <w:r>
              <w:rPr>
                <w:rFonts w:ascii="Arial" w:hAnsi="Arial"/>
                <w:b w:val="0"/>
                <w:sz w:val="14"/>
              </w:rPr>
              <w:t>L4 vendor claim</w:t>
            </w:r>
          </w:p>
        </w:tc>
        <w:tc>
          <w:tcPr>
            <w:tcW w:type="dxa" w:w="2045"/>
          </w:tcPr>
          <w:p>
            <w:pPr>
              <w:spacing w:after="0"/>
            </w:pPr>
            <w:r>
              <w:rPr>
                <w:rFonts w:ascii="Arial" w:hAnsi="Arial"/>
                <w:b w:val="0"/>
                <w:sz w:val="14"/>
              </w:rPr>
              <w:t>Claim is found in official technical documentation with implementation detail</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documentation reference and implementation detail</w:t>
            </w:r>
          </w:p>
        </w:tc>
        <w:tc>
          <w:tcPr>
            <w:tcW w:type="dxa" w:w="2045"/>
          </w:tcPr>
          <w:p>
            <w:pPr>
              <w:spacing w:after="0"/>
            </w:pPr>
            <w:r>
              <w:rPr>
                <w:rFonts w:ascii="Arial" w:hAnsi="Arial"/>
                <w:b w:val="0"/>
                <w:sz w:val="14"/>
              </w:rPr>
              <w:t>Marketing-only material remains L4</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Documentation no longer exists, changed materially, or no longer supports the claim</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Change note, archived pointer if available, unsupported claim record</w:t>
            </w:r>
          </w:p>
        </w:tc>
        <w:tc>
          <w:tcPr>
            <w:tcW w:type="dxa" w:w="2045"/>
          </w:tcPr>
          <w:p>
            <w:pPr>
              <w:spacing w:after="0"/>
            </w:pPr>
            <w:r>
              <w:rPr>
                <w:rFonts w:ascii="Arial" w:hAnsi="Arial"/>
                <w:b w:val="0"/>
                <w:sz w:val="14"/>
              </w:rPr>
              <w:t>Downgrade evidence rather than preserving stale confidence</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Third-party audit report validates implementation detail</w:t>
            </w:r>
          </w:p>
        </w:tc>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Audit report reference, scope, date, and control mapping</w:t>
            </w:r>
          </w:p>
        </w:tc>
        <w:tc>
          <w:tcPr>
            <w:tcW w:type="dxa" w:w="2045"/>
          </w:tcPr>
          <w:p>
            <w:pPr>
              <w:spacing w:after="0"/>
            </w:pPr>
            <w:r>
              <w:rPr>
                <w:rFonts w:ascii="Arial" w:hAnsi="Arial"/>
                <w:b w:val="0"/>
                <w:sz w:val="14"/>
              </w:rPr>
              <w:t>Audit scope must match claim scope</w:t>
            </w:r>
          </w:p>
        </w:tc>
      </w:tr>
      <w:tr>
        <w:tc>
          <w:tcPr>
            <w:tcW w:type="dxa" w:w="2045"/>
          </w:tcPr>
          <w:p>
            <w:pPr>
              <w:spacing w:after="0"/>
            </w:pPr>
            <w:r>
              <w:rPr>
                <w:rFonts w:ascii="Arial" w:hAnsi="Arial"/>
                <w:b w:val="0"/>
                <w:sz w:val="14"/>
              </w:rPr>
              <w:t>L3 audit report</w:t>
            </w:r>
          </w:p>
        </w:tc>
        <w:tc>
          <w:tcPr>
            <w:tcW w:type="dxa" w:w="2045"/>
          </w:tcPr>
          <w:p>
            <w:pPr>
              <w:spacing w:after="0"/>
            </w:pPr>
            <w:r>
              <w:rPr>
                <w:rFonts w:ascii="Arial" w:hAnsi="Arial"/>
                <w:b w:val="0"/>
                <w:sz w:val="14"/>
              </w:rPr>
              <w:t>Audit scope does not cover the claim or is not accessible</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Gap explanation and reviewer note</w:t>
            </w:r>
          </w:p>
        </w:tc>
        <w:tc>
          <w:tcPr>
            <w:tcW w:type="dxa" w:w="2045"/>
          </w:tcPr>
          <w:p>
            <w:pPr>
              <w:spacing w:after="0"/>
            </w:pPr>
            <w:r>
              <w:rPr>
                <w:rFonts w:ascii="Arial" w:hAnsi="Arial"/>
                <w:b w:val="0"/>
                <w:sz w:val="14"/>
              </w:rPr>
              <w:t>Do not infer coverage from report existence</w:t>
            </w:r>
          </w:p>
        </w:tc>
      </w:tr>
      <w:tr>
        <w:tc>
          <w:tcPr>
            <w:tcW w:type="dxa" w:w="2045"/>
          </w:tcPr>
          <w:p>
            <w:pPr>
              <w:spacing w:after="0"/>
            </w:pPr>
            <w:r>
              <w:rPr>
                <w:rFonts w:ascii="Arial" w:hAnsi="Arial"/>
                <w:b w:val="0"/>
                <w:sz w:val="14"/>
              </w:rPr>
              <w:t>L1 legal text</w:t>
            </w:r>
          </w:p>
        </w:tc>
        <w:tc>
          <w:tcPr>
            <w:tcW w:type="dxa" w:w="2045"/>
          </w:tcPr>
          <w:p>
            <w:pPr>
              <w:spacing w:after="0"/>
            </w:pPr>
            <w:r>
              <w:rPr>
                <w:rFonts w:ascii="Arial" w:hAnsi="Arial"/>
                <w:b w:val="0"/>
                <w:sz w:val="14"/>
              </w:rPr>
              <w:t>Legal text establishes regulatory baseline but not system implementation</w:t>
            </w:r>
          </w:p>
        </w:tc>
        <w:tc>
          <w:tcPr>
            <w:tcW w:type="dxa" w:w="2045"/>
          </w:tcPr>
          <w:p>
            <w:pPr>
              <w:spacing w:after="0"/>
            </w:pPr>
            <w:r>
              <w:rPr>
                <w:rFonts w:ascii="Arial" w:hAnsi="Arial"/>
                <w:b w:val="0"/>
                <w:sz w:val="14"/>
              </w:rPr>
              <w:t>L1 for baseline only</w:t>
            </w:r>
          </w:p>
        </w:tc>
        <w:tc>
          <w:tcPr>
            <w:tcW w:type="dxa" w:w="2045"/>
          </w:tcPr>
          <w:p>
            <w:pPr>
              <w:spacing w:after="0"/>
            </w:pPr>
            <w:r>
              <w:rPr>
                <w:rFonts w:ascii="Arial" w:hAnsi="Arial"/>
                <w:b w:val="0"/>
                <w:sz w:val="14"/>
              </w:rPr>
              <w:t>Citation and claim boundary note</w:t>
            </w:r>
          </w:p>
        </w:tc>
        <w:tc>
          <w:tcPr>
            <w:tcW w:type="dxa" w:w="2045"/>
          </w:tcPr>
          <w:p>
            <w:pPr>
              <w:spacing w:after="0"/>
            </w:pPr>
            <w:r>
              <w:rPr>
                <w:rFonts w:ascii="Arial" w:hAnsi="Arial"/>
                <w:b w:val="0"/>
                <w:sz w:val="14"/>
              </w:rPr>
              <w:t>Do not use legal text alone as implementation evidence</w:t>
            </w:r>
          </w:p>
        </w:tc>
      </w:tr>
      <w:tr>
        <w:tc>
          <w:tcPr>
            <w:tcW w:type="dxa" w:w="2045"/>
          </w:tcPr>
          <w:p>
            <w:pPr>
              <w:spacing w:after="0"/>
            </w:pPr>
            <w:r>
              <w:rPr>
                <w:rFonts w:ascii="Arial" w:hAnsi="Arial"/>
                <w:b w:val="0"/>
                <w:sz w:val="14"/>
              </w:rPr>
              <w:t>Any level</w:t>
            </w:r>
          </w:p>
        </w:tc>
        <w:tc>
          <w:tcPr>
            <w:tcW w:type="dxa" w:w="2045"/>
          </w:tcPr>
          <w:p>
            <w:pPr>
              <w:spacing w:after="0"/>
            </w:pPr>
            <w:r>
              <w:rPr>
                <w:rFonts w:ascii="Arial" w:hAnsi="Arial"/>
                <w:b w:val="0"/>
                <w:sz w:val="14"/>
              </w:rPr>
              <w:t>Source is unverifiable during source review</w:t>
            </w:r>
          </w:p>
        </w:tc>
        <w:tc>
          <w:tcPr>
            <w:tcW w:type="dxa" w:w="2045"/>
          </w:tcPr>
          <w:p>
            <w:pPr>
              <w:spacing w:after="0"/>
            </w:pPr>
            <w:r>
              <w:rPr>
                <w:rFonts w:ascii="Arial" w:hAnsi="Arial"/>
                <w:b w:val="0"/>
                <w:sz w:val="14"/>
              </w:rPr>
              <w:t>Lower confidence level or unresolved</w:t>
            </w:r>
          </w:p>
        </w:tc>
        <w:tc>
          <w:tcPr>
            <w:tcW w:type="dxa" w:w="2045"/>
          </w:tcPr>
          <w:p>
            <w:pPr>
              <w:spacing w:after="0"/>
            </w:pPr>
            <w:r>
              <w:rPr>
                <w:rFonts w:ascii="Arial" w:hAnsi="Arial"/>
                <w:b w:val="0"/>
                <w:sz w:val="14"/>
              </w:rPr>
              <w:t>Verification attempt log and unresolved issue record</w:t>
            </w:r>
          </w:p>
        </w:tc>
        <w:tc>
          <w:tcPr>
            <w:tcW w:type="dxa" w:w="2045"/>
          </w:tcPr>
          <w:p>
            <w:pPr>
              <w:spacing w:after="0"/>
            </w:pPr>
            <w:r>
              <w:rPr>
                <w:rFonts w:ascii="Arial" w:hAnsi="Arial"/>
                <w:b w:val="0"/>
                <w:sz w:val="14"/>
              </w:rPr>
              <w:t>Preserve uncertainty explicitly</w:t>
            </w:r>
          </w:p>
        </w:tc>
      </w:tr>
    </w:tbl>
    <w:p>
      <w:pPr>
        <w:pStyle w:val="Heading2"/>
      </w:pPr>
      <w:r>
        <w:t>I.6 Source Coverage Matrix Validation Note</w:t>
      </w:r>
    </w:p>
    <w:p>
      <w:pPr>
        <w:keepNext/>
      </w:pPr>
      <w:r>
        <w:rPr>
          <w:b/>
          <w:sz w:val="16"/>
        </w:rPr>
        <w:t>Table T-I-04: Source Coverage Matrix Validation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Coverage Area</w:t>
            </w:r>
          </w:p>
        </w:tc>
        <w:tc>
          <w:tcPr>
            <w:tcW w:type="dxa" w:w="2045"/>
          </w:tcPr>
          <w:p>
            <w:pPr>
              <w:spacing w:after="0"/>
            </w:pPr>
            <w:r>
              <w:rPr>
                <w:rFonts w:ascii="Arial" w:hAnsi="Arial"/>
                <w:b/>
                <w:sz w:val="14"/>
              </w:rPr>
              <w:t>Expected Source Type</w:t>
            </w:r>
          </w:p>
        </w:tc>
        <w:tc>
          <w:tcPr>
            <w:tcW w:type="dxa" w:w="2045"/>
          </w:tcPr>
          <w:p>
            <w:pPr>
              <w:spacing w:after="0"/>
            </w:pPr>
            <w:r>
              <w:rPr>
                <w:rFonts w:ascii="Arial" w:hAnsi="Arial"/>
                <w:b/>
                <w:sz w:val="14"/>
              </w:rPr>
              <w:t>Current Status</w:t>
            </w:r>
          </w:p>
        </w:tc>
        <w:tc>
          <w:tcPr>
            <w:tcW w:type="dxa" w:w="2045"/>
          </w:tcPr>
          <w:p>
            <w:pPr>
              <w:spacing w:after="0"/>
            </w:pPr>
            <w:r>
              <w:rPr>
                <w:rFonts w:ascii="Arial" w:hAnsi="Arial"/>
                <w:b/>
                <w:sz w:val="14"/>
              </w:rPr>
              <w:t>Gap</w:t>
            </w:r>
          </w:p>
        </w:tc>
        <w:tc>
          <w:tcPr>
            <w:tcW w:type="dxa" w:w="2045"/>
          </w:tcPr>
          <w:p>
            <w:pPr>
              <w:spacing w:after="0"/>
            </w:pPr>
            <w:r>
              <w:rPr>
                <w:rFonts w:ascii="Arial" w:hAnsi="Arial"/>
                <w:b/>
                <w:sz w:val="14"/>
              </w:rPr>
              <w:t>Publication Follow-up Action</w:t>
            </w:r>
          </w:p>
        </w:tc>
      </w:tr>
      <w:tr>
        <w:tc>
          <w:tcPr>
            <w:tcW w:type="dxa" w:w="2045"/>
          </w:tcPr>
          <w:p>
            <w:pPr>
              <w:spacing w:after="0"/>
            </w:pPr>
            <w:r>
              <w:rPr>
                <w:rFonts w:ascii="Arial" w:hAnsi="Arial"/>
                <w:b w:val="0"/>
                <w:sz w:val="14"/>
              </w:rPr>
              <w:t>Legal baseline claims</w:t>
            </w:r>
          </w:p>
        </w:tc>
        <w:tc>
          <w:tcPr>
            <w:tcW w:type="dxa" w:w="2045"/>
          </w:tcPr>
          <w:p>
            <w:pPr>
              <w:spacing w:after="0"/>
            </w:pPr>
            <w:r>
              <w:rPr>
                <w:rFonts w:ascii="Arial" w:hAnsi="Arial"/>
                <w:b w:val="0"/>
                <w:sz w:val="14"/>
              </w:rPr>
              <w:t>L1 legal / regulatory text</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article mapping not globally validated</w:t>
            </w:r>
          </w:p>
        </w:tc>
        <w:tc>
          <w:tcPr>
            <w:tcW w:type="dxa" w:w="2045"/>
          </w:tcPr>
          <w:p>
            <w:pPr>
              <w:spacing w:after="0"/>
            </w:pPr>
            <w:r>
              <w:rPr>
                <w:rFonts w:ascii="Arial" w:hAnsi="Arial"/>
                <w:b w:val="0"/>
                <w:sz w:val="14"/>
              </w:rPr>
              <w:t>Verify all legal citations and claim boundaries</w:t>
            </w:r>
          </w:p>
        </w:tc>
      </w:tr>
      <w:tr>
        <w:tc>
          <w:tcPr>
            <w:tcW w:type="dxa" w:w="2045"/>
          </w:tcPr>
          <w:p>
            <w:pPr>
              <w:spacing w:after="0"/>
            </w:pPr>
            <w:r>
              <w:rPr>
                <w:rFonts w:ascii="Arial" w:hAnsi="Arial"/>
                <w:b w:val="0"/>
                <w:sz w:val="14"/>
              </w:rPr>
              <w:t>Standards baseline claims</w:t>
            </w:r>
          </w:p>
        </w:tc>
        <w:tc>
          <w:tcPr>
            <w:tcW w:type="dxa" w:w="2045"/>
          </w:tcPr>
          <w:p>
            <w:pPr>
              <w:spacing w:after="0"/>
            </w:pPr>
            <w:r>
              <w:rPr>
                <w:rFonts w:ascii="Arial" w:hAnsi="Arial"/>
                <w:b w:val="0"/>
                <w:sz w:val="14"/>
              </w:rPr>
              <w:t>L1 formal standards</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standard references not globally validated</w:t>
            </w:r>
          </w:p>
        </w:tc>
        <w:tc>
          <w:tcPr>
            <w:tcW w:type="dxa" w:w="2045"/>
          </w:tcPr>
          <w:p>
            <w:pPr>
              <w:spacing w:after="0"/>
            </w:pPr>
            <w:r>
              <w:rPr>
                <w:rFonts w:ascii="Arial" w:hAnsi="Arial"/>
                <w:b w:val="0"/>
                <w:sz w:val="14"/>
              </w:rPr>
              <w:t>Verify all standards citations</w:t>
            </w:r>
          </w:p>
        </w:tc>
      </w:tr>
      <w:tr>
        <w:tc>
          <w:tcPr>
            <w:tcW w:type="dxa" w:w="2045"/>
          </w:tcPr>
          <w:p>
            <w:pPr>
              <w:spacing w:after="0"/>
            </w:pPr>
            <w:r>
              <w:rPr>
                <w:rFonts w:ascii="Arial" w:hAnsi="Arial"/>
                <w:b w:val="0"/>
                <w:sz w:val="14"/>
              </w:rPr>
              <w:t>Product capability claims</w:t>
            </w:r>
          </w:p>
        </w:tc>
        <w:tc>
          <w:tcPr>
            <w:tcW w:type="dxa" w:w="2045"/>
          </w:tcPr>
          <w:p>
            <w:pPr>
              <w:spacing w:after="0"/>
            </w:pPr>
            <w:r>
              <w:rPr>
                <w:rFonts w:ascii="Arial" w:hAnsi="Arial"/>
                <w:b w:val="0"/>
                <w:sz w:val="14"/>
              </w:rPr>
              <w:t>L2 product documentation plus L5 mapping where needed</w:t>
            </w:r>
          </w:p>
        </w:tc>
        <w:tc>
          <w:tcPr>
            <w:tcW w:type="dxa" w:w="2045"/>
          </w:tcPr>
          <w:p>
            <w:pPr>
              <w:spacing w:after="0"/>
            </w:pPr>
            <w:r>
              <w:rPr>
                <w:rFonts w:ascii="Arial" w:hAnsi="Arial"/>
                <w:b w:val="0"/>
                <w:sz w:val="14"/>
              </w:rPr>
              <w:t>Phase 1D-11 closure applied</w:t>
            </w:r>
          </w:p>
        </w:tc>
        <w:tc>
          <w:tcPr>
            <w:tcW w:type="dxa" w:w="2045"/>
          </w:tcPr>
          <w:p>
            <w:pPr>
              <w:spacing w:after="0"/>
            </w:pPr>
            <w:r>
              <w:rPr>
                <w:rFonts w:ascii="Arial" w:hAnsi="Arial"/>
                <w:b w:val="0"/>
                <w:sz w:val="14"/>
              </w:rPr>
              <w:t>No high-risk source-pointer remains unresolved</w:t>
            </w:r>
          </w:p>
        </w:tc>
        <w:tc>
          <w:tcPr>
            <w:tcW w:type="dxa" w:w="2045"/>
          </w:tcPr>
          <w:p>
            <w:pPr>
              <w:spacing w:after="0"/>
            </w:pPr>
            <w:r>
              <w:rPr>
                <w:rFonts w:ascii="Arial" w:hAnsi="Arial"/>
                <w:b w:val="0"/>
                <w:sz w:val="14"/>
              </w:rPr>
              <w:t>Preserve narrowed claims and L5 downgrades during publication QA</w:t>
            </w:r>
          </w:p>
        </w:tc>
      </w:tr>
      <w:tr>
        <w:tc>
          <w:tcPr>
            <w:tcW w:type="dxa" w:w="2045"/>
          </w:tcPr>
          <w:p>
            <w:pPr>
              <w:spacing w:after="0"/>
            </w:pPr>
            <w:r>
              <w:rPr>
                <w:rFonts w:ascii="Arial" w:hAnsi="Arial"/>
                <w:b w:val="0"/>
                <w:sz w:val="14"/>
              </w:rPr>
              <w:t>MPLP protocol mapping</w:t>
            </w:r>
          </w:p>
        </w:tc>
        <w:tc>
          <w:tcPr>
            <w:tcW w:type="dxa" w:w="2045"/>
          </w:tcPr>
          <w:p>
            <w:pPr>
              <w:spacing w:after="0"/>
            </w:pPr>
            <w:r>
              <w:rPr>
                <w:rFonts w:ascii="Arial" w:hAnsi="Arial"/>
                <w:b w:val="0"/>
                <w:sz w:val="14"/>
              </w:rPr>
              <w:t>L2 protocol docs plus disclosed author relationship</w:t>
            </w:r>
          </w:p>
        </w:tc>
        <w:tc>
          <w:tcPr>
            <w:tcW w:type="dxa" w:w="2045"/>
          </w:tcPr>
          <w:p>
            <w:pPr>
              <w:spacing w:after="0"/>
            </w:pPr>
            <w:r>
              <w:rPr>
                <w:rFonts w:ascii="Arial" w:hAnsi="Arial"/>
                <w:b w:val="0"/>
                <w:sz w:val="14"/>
              </w:rPr>
              <w:t>Official docs entry point located; mapping remains L2 + L5</w:t>
            </w:r>
          </w:p>
        </w:tc>
        <w:tc>
          <w:tcPr>
            <w:tcW w:type="dxa" w:w="2045"/>
          </w:tcPr>
          <w:p>
            <w:pPr>
              <w:spacing w:after="0"/>
            </w:pPr>
            <w:r>
              <w:rPr>
                <w:rFonts w:ascii="Arial" w:hAnsi="Arial"/>
                <w:b w:val="0"/>
                <w:sz w:val="14"/>
              </w:rPr>
              <w:t>Version/citation rendering still requires final proofing</w:t>
            </w:r>
          </w:p>
        </w:tc>
        <w:tc>
          <w:tcPr>
            <w:tcW w:type="dxa" w:w="2045"/>
          </w:tcPr>
          <w:p>
            <w:pPr>
              <w:spacing w:after="0"/>
            </w:pPr>
            <w:r>
              <w:rPr>
                <w:rFonts w:ascii="Arial" w:hAnsi="Arial"/>
                <w:b w:val="0"/>
                <w:sz w:val="14"/>
              </w:rPr>
              <w:t>Preserve conflict-of-interest and implementation-proof boundary</w:t>
            </w:r>
          </w:p>
        </w:tc>
      </w:tr>
      <w:tr>
        <w:tc>
          <w:tcPr>
            <w:tcW w:type="dxa" w:w="2045"/>
          </w:tcPr>
          <w:p>
            <w:pPr>
              <w:spacing w:after="0"/>
            </w:pPr>
            <w:r>
              <w:rPr>
                <w:rFonts w:ascii="Arial" w:hAnsi="Arial"/>
                <w:b w:val="0"/>
                <w:sz w:val="14"/>
              </w:rPr>
              <w:t>Validation Lab discussion</w:t>
            </w:r>
          </w:p>
        </w:tc>
        <w:tc>
          <w:tcPr>
            <w:tcW w:type="dxa" w:w="2045"/>
          </w:tcPr>
          <w:p>
            <w:pPr>
              <w:spacing w:after="0"/>
            </w:pPr>
            <w:r>
              <w:rPr>
                <w:rFonts w:ascii="Arial" w:hAnsi="Arial"/>
                <w:b w:val="0"/>
                <w:sz w:val="14"/>
              </w:rPr>
              <w:t>L2 public methodology page plus L5 methodology interpretation</w:t>
            </w:r>
          </w:p>
        </w:tc>
        <w:tc>
          <w:tcPr>
            <w:tcW w:type="dxa" w:w="2045"/>
          </w:tcPr>
          <w:p>
            <w:pPr>
              <w:spacing w:after="0"/>
            </w:pPr>
            <w:r>
              <w:rPr>
                <w:rFonts w:ascii="Arial" w:hAnsi="Arial"/>
                <w:b w:val="0"/>
                <w:sz w:val="14"/>
              </w:rPr>
              <w:t>Phase 1D-11 closure applied</w:t>
            </w:r>
          </w:p>
        </w:tc>
        <w:tc>
          <w:tcPr>
            <w:tcW w:type="dxa" w:w="2045"/>
          </w:tcPr>
          <w:p>
            <w:pPr>
              <w:spacing w:after="0"/>
            </w:pPr>
            <w:r>
              <w:rPr>
                <w:rFonts w:ascii="Arial" w:hAnsi="Arial"/>
                <w:b w:val="0"/>
                <w:sz w:val="14"/>
              </w:rPr>
              <w:t>No high-risk source-pointer remains unresolved</w:t>
            </w:r>
          </w:p>
        </w:tc>
        <w:tc>
          <w:tcPr>
            <w:tcW w:type="dxa" w:w="2045"/>
          </w:tcPr>
          <w:p>
            <w:pPr>
              <w:spacing w:after="0"/>
            </w:pPr>
            <w:r>
              <w:rPr>
                <w:rFonts w:ascii="Arial" w:hAnsi="Arial"/>
                <w:b w:val="0"/>
                <w:sz w:val="14"/>
              </w:rPr>
              <w:t>Keep non-certifying boundary and do not promote methodology claims</w:t>
            </w:r>
          </w:p>
        </w:tc>
      </w:tr>
      <w:tr>
        <w:tc>
          <w:tcPr>
            <w:tcW w:type="dxa" w:w="2045"/>
          </w:tcPr>
          <w:p>
            <w:pPr>
              <w:spacing w:after="0"/>
            </w:pPr>
            <w:r>
              <w:rPr>
                <w:rFonts w:ascii="Arial" w:hAnsi="Arial"/>
                <w:b w:val="0"/>
                <w:sz w:val="14"/>
              </w:rPr>
              <w:t>Appendix G provisional assessments</w:t>
            </w:r>
          </w:p>
        </w:tc>
        <w:tc>
          <w:tcPr>
            <w:tcW w:type="dxa" w:w="2045"/>
          </w:tcPr>
          <w:p>
            <w:pPr>
              <w:spacing w:after="0"/>
            </w:pPr>
            <w:r>
              <w:rPr>
                <w:rFonts w:ascii="Arial" w:hAnsi="Arial"/>
                <w:b w:val="0"/>
                <w:sz w:val="14"/>
              </w:rPr>
              <w:t>L2 product docs and L5 inference</w:t>
            </w:r>
          </w:p>
        </w:tc>
        <w:tc>
          <w:tcPr>
            <w:tcW w:type="dxa" w:w="2045"/>
          </w:tcPr>
          <w:p>
            <w:pPr>
              <w:spacing w:after="0"/>
            </w:pPr>
            <w:r>
              <w:rPr>
                <w:rFonts w:ascii="Arial" w:hAnsi="Arial"/>
                <w:b w:val="0"/>
                <w:sz w:val="14"/>
              </w:rPr>
              <w:t>Revalidated provisional</w:t>
            </w:r>
          </w:p>
        </w:tc>
        <w:tc>
          <w:tcPr>
            <w:tcW w:type="dxa" w:w="2045"/>
          </w:tcPr>
          <w:p>
            <w:pPr>
              <w:spacing w:after="0"/>
            </w:pPr>
            <w:r>
              <w:rPr>
                <w:rFonts w:ascii="Arial" w:hAnsi="Arial"/>
                <w:b w:val="0"/>
                <w:sz w:val="14"/>
              </w:rPr>
              <w:t>Final assessment remains non-final and non-ranking</w:t>
            </w:r>
          </w:p>
        </w:tc>
        <w:tc>
          <w:tcPr>
            <w:tcW w:type="dxa" w:w="2045"/>
          </w:tcPr>
          <w:p>
            <w:pPr>
              <w:spacing w:after="0"/>
            </w:pPr>
            <w:r>
              <w:rPr>
                <w:rFonts w:ascii="Arial" w:hAnsi="Arial"/>
                <w:b w:val="0"/>
                <w:sz w:val="14"/>
              </w:rPr>
              <w:t>Preserve no-score/no-ranking posture and page-level citation needs</w:t>
            </w:r>
          </w:p>
        </w:tc>
      </w:tr>
      <w:tr>
        <w:tc>
          <w:tcPr>
            <w:tcW w:type="dxa" w:w="2045"/>
          </w:tcPr>
          <w:p>
            <w:pPr>
              <w:spacing w:after="0"/>
            </w:pPr>
            <w:r>
              <w:rPr>
                <w:rFonts w:ascii="Arial" w:hAnsi="Arial"/>
                <w:b w:val="0"/>
                <w:sz w:val="14"/>
              </w:rPr>
              <w:t>Citation inventory</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1D-11 CITATION SOURCE CLOSURE COMPLETE — HIGH-RISK BLOCKERS CLOSED</w:t>
            </w:r>
          </w:p>
        </w:tc>
        <w:tc>
          <w:tcPr>
            <w:tcW w:type="dxa" w:w="2045"/>
          </w:tcPr>
          <w:p>
            <w:pPr>
              <w:spacing w:after="0"/>
            </w:pPr>
            <w:r>
              <w:rPr>
                <w:rFonts w:ascii="Arial" w:hAnsi="Arial"/>
                <w:b w:val="0"/>
                <w:sz w:val="14"/>
              </w:rPr>
              <w:t>Remaining limitations explicit</w:t>
            </w:r>
          </w:p>
        </w:tc>
        <w:tc>
          <w:tcPr>
            <w:tcW w:type="dxa" w:w="2045"/>
          </w:tcPr>
          <w:p>
            <w:pPr>
              <w:spacing w:after="0"/>
            </w:pPr>
            <w:r>
              <w:rPr>
                <w:rFonts w:ascii="Arial" w:hAnsi="Arial"/>
                <w:b w:val="0"/>
                <w:sz w:val="14"/>
              </w:rPr>
              <w:t>Preserve closure ledger through final proof</w:t>
            </w:r>
          </w:p>
        </w:tc>
      </w:tr>
      <w:tr>
        <w:tc>
          <w:tcPr>
            <w:tcW w:type="dxa" w:w="2045"/>
          </w:tcPr>
          <w:p>
            <w:pPr>
              <w:spacing w:after="0"/>
            </w:pPr>
            <w:r>
              <w:rPr>
                <w:rFonts w:ascii="Arial" w:hAnsi="Arial"/>
                <w:b w:val="0"/>
                <w:sz w:val="14"/>
              </w:rPr>
              <w:t>Source coverage matrix</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1D-11 CITATION SOURCE CLOSURE COMPLETE — HIGH-RISK BLOCKERS CLOSED</w:t>
            </w:r>
          </w:p>
        </w:tc>
        <w:tc>
          <w:tcPr>
            <w:tcW w:type="dxa" w:w="2045"/>
          </w:tcPr>
          <w:p>
            <w:pPr>
              <w:spacing w:after="0"/>
            </w:pPr>
            <w:r>
              <w:rPr>
                <w:rFonts w:ascii="Arial" w:hAnsi="Arial"/>
                <w:b w:val="0"/>
                <w:sz w:val="14"/>
              </w:rPr>
              <w:t>Claim-label preservation verified in generated artifact</w:t>
            </w:r>
          </w:p>
        </w:tc>
        <w:tc>
          <w:tcPr>
            <w:tcW w:type="dxa" w:w="2045"/>
          </w:tcPr>
          <w:p>
            <w:pPr>
              <w:spacing w:after="0"/>
            </w:pPr>
            <w:r>
              <w:rPr>
                <w:rFonts w:ascii="Arial" w:hAnsi="Arial"/>
                <w:b w:val="0"/>
                <w:sz w:val="14"/>
              </w:rPr>
              <w:t>Preserve source labels during final proof</w:t>
            </w:r>
          </w:p>
        </w:tc>
      </w:tr>
    </w:tbl>
    <w:p>
      <w:pPr>
        <w:spacing w:after="56"/>
      </w:pPr>
      <w:r>
        <w:t>The source coverage matrix has been updated through Phase 1D-11 as a coverage and closure ledger. Appendix G remains revalidated provisional, not final, and no score is a vendor ranking, procurement recommendation, certification, or legal compliance proof.</w:t>
      </w:r>
    </w:p>
    <w:p>
      <w:pPr>
        <w:pStyle w:val="Heading1"/>
      </w:pPr>
      <w:r>
        <w:t>Appendix J — v0.3.2 Gap Closure Coverage Matrix</w:t>
      </w:r>
    </w:p>
    <w:p>
      <w:pPr>
        <w:spacing w:after="56"/>
      </w:pPr>
      <w:r>
        <w:t>Version: v0.3.2-FRC-R3</w:t>
      </w:r>
    </w:p>
    <w:p>
      <w:pPr>
        <w:pStyle w:val="Heading2"/>
      </w:pPr>
      <w:r>
        <w:t>J.0 Gap Closure Boundary</w:t>
      </w:r>
    </w:p>
    <w:p>
      <w:pPr>
        <w:spacing w:after="56"/>
      </w:pPr>
      <w:r>
        <w:t>This appendix provides a governance closure matrix showing how known v0.3.1/v0.3.2 reconstruction gaps were addressed, structurally closed, corrected by later patch, historically deferred to Phase 1C, or deferred to Phase 1D publication QA.</w:t>
      </w:r>
    </w:p>
    <w:p>
      <w:pPr>
        <w:spacing w:after="56"/>
      </w:pPr>
      <w:r>
        <w:t>This appendix does not claim that all issues are fully resolved. It distinguishes content closure from source validation, editorial cleanup, and publication layout QA.</w:t>
      </w:r>
    </w:p>
    <w:p>
      <w:pPr>
        <w:spacing w:after="56"/>
      </w:pPr>
      <w:r>
        <w:t>Closure status values:</w:t>
      </w:r>
    </w:p>
    <w:p>
      <w:pPr>
        <w:pStyle w:val="ListBullet"/>
        <w:spacing w:after="56"/>
      </w:pPr>
      <w:r>
        <w:t>Closed</w:t>
      </w:r>
    </w:p>
    <w:p>
      <w:pPr>
        <w:pStyle w:val="ListBullet"/>
        <w:spacing w:after="56"/>
      </w:pPr>
      <w:r>
        <w:t>Structurally Closed</w:t>
      </w:r>
    </w:p>
    <w:p>
      <w:pPr>
        <w:pStyle w:val="ListBullet"/>
        <w:spacing w:after="56"/>
      </w:pPr>
      <w:r>
        <w:t>Corrected by Later Patch</w:t>
      </w:r>
    </w:p>
    <w:p>
      <w:pPr>
        <w:pStyle w:val="ListBullet"/>
        <w:spacing w:after="56"/>
      </w:pPr>
      <w:r>
        <w:t>Formerly Deferred to Phase 1C — Closed / Superseded by Phase 1C follow-up</w:t>
      </w:r>
    </w:p>
    <w:p>
      <w:pPr>
        <w:pStyle w:val="ListBullet"/>
        <w:spacing w:after="56"/>
      </w:pPr>
      <w:r>
        <w:t>Deferred to Phase 1D</w:t>
      </w:r>
    </w:p>
    <w:p>
      <w:pPr>
        <w:pStyle w:val="ListBullet"/>
        <w:spacing w:after="56"/>
      </w:pPr>
      <w:r>
        <w:t>Candidate Issue to Verify</w:t>
      </w:r>
    </w:p>
    <w:p>
      <w:pPr>
        <w:pStyle w:val="Heading2"/>
      </w:pPr>
      <w:r>
        <w:t>J.1 Gap Categories</w:t>
      </w:r>
    </w:p>
    <w:p>
      <w:pPr>
        <w:spacing w:after="56"/>
      </w:pPr>
      <w:r>
        <w:t>Gap categories used in this appendix:</w:t>
      </w:r>
    </w:p>
    <w:p>
      <w:pPr>
        <w:pStyle w:val="ListNumber"/>
        <w:spacing w:after="56"/>
      </w:pPr>
      <w:r>
        <w:t>Content reconstruction gaps: Missing chapters, appendices, tables, or required sections.</w:t>
      </w:r>
    </w:p>
    <w:p>
      <w:pPr>
        <w:pStyle w:val="ListNumber"/>
        <w:spacing w:after="56"/>
      </w:pPr>
      <w:r>
        <w:t>Methodology consistency gaps: Evidence multipliers, scoring formulas, score-5 wording, and composite weights.</w:t>
      </w:r>
    </w:p>
    <w:p>
      <w:pPr>
        <w:pStyle w:val="ListNumber"/>
        <w:spacing w:after="56"/>
      </w:pPr>
      <w:r>
        <w:t>Boundary discipline gaps: Overclaim risk, vendor ordering, certification implication, legal compliance implication, and procurement misuse.</w:t>
      </w:r>
    </w:p>
    <w:p>
      <w:pPr>
        <w:pStyle w:val="ListNumber"/>
        <w:spacing w:after="56"/>
      </w:pPr>
      <w:r>
        <w:t>Source governance gaps: Citation inventory status, L2 documentation revalidation, evidence level annotation, URL validation, and source coverage matrix validation.</w:t>
      </w:r>
    </w:p>
    <w:p>
      <w:pPr>
        <w:pStyle w:val="ListNumber"/>
        <w:spacing w:after="56"/>
      </w:pPr>
      <w:r>
        <w:t>Layout and publication gaps: Wide-table handling, figure numbering, captions, page breaks, and final DOCX/PDF QA.</w:t>
      </w:r>
    </w:p>
    <w:p>
      <w:pPr>
        <w:pStyle w:val="Heading2"/>
      </w:pPr>
      <w:r>
        <w:t>J.2 Phase 1B Gap Closure Matrix</w:t>
      </w:r>
    </w:p>
    <w:p>
      <w:pPr>
        <w:keepNext/>
      </w:pPr>
      <w:r>
        <w:rPr>
          <w:b/>
          <w:sz w:val="16"/>
        </w:rPr>
        <w:t>Table T-J-01: v0.3.2 Gap Closure Coverage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Gap ID</w:t>
            </w:r>
          </w:p>
        </w:tc>
        <w:tc>
          <w:tcPr>
            <w:tcW w:type="dxa" w:w="1704"/>
          </w:tcPr>
          <w:p>
            <w:pPr>
              <w:spacing w:after="0"/>
            </w:pPr>
            <w:r>
              <w:rPr>
                <w:rFonts w:ascii="Arial" w:hAnsi="Arial"/>
                <w:b/>
                <w:sz w:val="12"/>
              </w:rPr>
              <w:t>Gap Description</w:t>
            </w:r>
          </w:p>
        </w:tc>
        <w:tc>
          <w:tcPr>
            <w:tcW w:type="dxa" w:w="1704"/>
          </w:tcPr>
          <w:p>
            <w:pPr>
              <w:spacing w:after="0"/>
            </w:pPr>
            <w:r>
              <w:rPr>
                <w:rFonts w:ascii="Arial" w:hAnsi="Arial"/>
                <w:b/>
                <w:sz w:val="12"/>
              </w:rPr>
              <w:t>Origin Phase</w:t>
            </w:r>
          </w:p>
        </w:tc>
        <w:tc>
          <w:tcPr>
            <w:tcW w:type="dxa" w:w="1704"/>
          </w:tcPr>
          <w:p>
            <w:pPr>
              <w:spacing w:after="0"/>
            </w:pPr>
            <w:r>
              <w:rPr>
                <w:rFonts w:ascii="Arial" w:hAnsi="Arial"/>
                <w:b/>
                <w:sz w:val="12"/>
              </w:rPr>
              <w:t>Closure Status</w:t>
            </w:r>
          </w:p>
        </w:tc>
        <w:tc>
          <w:tcPr>
            <w:tcW w:type="dxa" w:w="1704"/>
          </w:tcPr>
          <w:p>
            <w:pPr>
              <w:spacing w:after="0"/>
            </w:pPr>
            <w:r>
              <w:rPr>
                <w:rFonts w:ascii="Arial" w:hAnsi="Arial"/>
                <w:b/>
                <w:sz w:val="12"/>
              </w:rPr>
              <w:t>Closure Evidence</w:t>
            </w:r>
          </w:p>
        </w:tc>
        <w:tc>
          <w:tcPr>
            <w:tcW w:type="dxa" w:w="1704"/>
          </w:tcPr>
          <w:p>
            <w:pPr>
              <w:spacing w:after="0"/>
            </w:pPr>
            <w:r>
              <w:rPr>
                <w:rFonts w:ascii="Arial" w:hAnsi="Arial"/>
                <w:b/>
                <w:sz w:val="12"/>
              </w:rPr>
              <w:t>Remaining Action</w:t>
            </w:r>
          </w:p>
        </w:tc>
      </w:tr>
      <w:tr>
        <w:tc>
          <w:tcPr>
            <w:tcW w:type="dxa" w:w="1704"/>
          </w:tcPr>
          <w:p>
            <w:pPr>
              <w:spacing w:after="0"/>
            </w:pPr>
            <w:r>
              <w:rPr>
                <w:rFonts w:ascii="Arial" w:hAnsi="Arial"/>
                <w:b w:val="0"/>
                <w:sz w:val="12"/>
              </w:rPr>
              <w:t>G-J-01</w:t>
            </w:r>
          </w:p>
        </w:tc>
        <w:tc>
          <w:tcPr>
            <w:tcW w:type="dxa" w:w="1704"/>
          </w:tcPr>
          <w:p>
            <w:pPr>
              <w:spacing w:after="0"/>
            </w:pPr>
            <w:r>
              <w:rPr>
                <w:rFonts w:ascii="Arial" w:hAnsi="Arial"/>
                <w:b w:val="0"/>
                <w:sz w:val="12"/>
              </w:rPr>
              <w:t>R2 PDF/DOCX reconstruction introduced layout and extraction instability</w:t>
            </w:r>
          </w:p>
        </w:tc>
        <w:tc>
          <w:tcPr>
            <w:tcW w:type="dxa" w:w="1704"/>
          </w:tcPr>
          <w:p>
            <w:pPr>
              <w:spacing w:after="0"/>
            </w:pPr>
            <w:r>
              <w:rPr>
                <w:rFonts w:ascii="Arial" w:hAnsi="Arial"/>
                <w:b w:val="0"/>
                <w:sz w:val="12"/>
              </w:rPr>
              <w:t>R2 carryover</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Markdown-first reconstruction strategy adopted in Phase 1A</w:t>
            </w:r>
          </w:p>
        </w:tc>
        <w:tc>
          <w:tcPr>
            <w:tcW w:type="dxa" w:w="1704"/>
          </w:tcPr>
          <w:p>
            <w:pPr>
              <w:spacing w:after="0"/>
            </w:pPr>
            <w:r>
              <w:rPr>
                <w:rFonts w:ascii="Arial" w:hAnsi="Arial"/>
                <w:b w:val="0"/>
                <w:sz w:val="12"/>
              </w:rPr>
              <w:t>Phase 1D publication QA remains</w:t>
            </w:r>
          </w:p>
        </w:tc>
      </w:tr>
      <w:tr>
        <w:tc>
          <w:tcPr>
            <w:tcW w:type="dxa" w:w="1704"/>
          </w:tcPr>
          <w:p>
            <w:pPr>
              <w:spacing w:after="0"/>
            </w:pPr>
            <w:r>
              <w:rPr>
                <w:rFonts w:ascii="Arial" w:hAnsi="Arial"/>
                <w:b w:val="0"/>
                <w:sz w:val="12"/>
              </w:rPr>
              <w:t>G-J-02</w:t>
            </w:r>
          </w:p>
        </w:tc>
        <w:tc>
          <w:tcPr>
            <w:tcW w:type="dxa" w:w="1704"/>
          </w:tcPr>
          <w:p>
            <w:pPr>
              <w:spacing w:after="0"/>
            </w:pPr>
            <w:r>
              <w:rPr>
                <w:rFonts w:ascii="Arial" w:hAnsi="Arial"/>
                <w:b w:val="0"/>
                <w:sz w:val="12"/>
              </w:rPr>
              <w:t>Body chapters 1-18 incomplete in clean source</w:t>
            </w:r>
          </w:p>
        </w:tc>
        <w:tc>
          <w:tcPr>
            <w:tcW w:type="dxa" w:w="1704"/>
          </w:tcPr>
          <w:p>
            <w:pPr>
              <w:spacing w:after="0"/>
            </w:pPr>
            <w:r>
              <w:rPr>
                <w:rFonts w:ascii="Arial" w:hAnsi="Arial"/>
                <w:b w:val="0"/>
                <w:sz w:val="12"/>
              </w:rPr>
              <w:t>Phase 1A/1B</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Chapters 1-18 filled across Phase 1A and Phase 1B-1 through 1B-7</w:t>
            </w:r>
          </w:p>
        </w:tc>
        <w:tc>
          <w:tcPr>
            <w:tcW w:type="dxa" w:w="1704"/>
          </w:tcPr>
          <w:p>
            <w:pPr>
              <w:spacing w:after="0"/>
            </w:pPr>
            <w:r>
              <w:rPr>
                <w:rFonts w:ascii="Arial" w:hAnsi="Arial"/>
                <w:b w:val="0"/>
                <w:sz w:val="12"/>
              </w:rPr>
              <w:t>Phase 1C editorial consistency check completed; final proof remains</w:t>
            </w:r>
          </w:p>
        </w:tc>
      </w:tr>
      <w:tr>
        <w:tc>
          <w:tcPr>
            <w:tcW w:type="dxa" w:w="1704"/>
          </w:tcPr>
          <w:p>
            <w:pPr>
              <w:spacing w:after="0"/>
            </w:pPr>
            <w:r>
              <w:rPr>
                <w:rFonts w:ascii="Arial" w:hAnsi="Arial"/>
                <w:b w:val="0"/>
                <w:sz w:val="12"/>
              </w:rPr>
              <w:t>G-J-03</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Appendices A-D filled and corrected by Phase 1B-8C</w:t>
            </w:r>
          </w:p>
        </w:tc>
        <w:tc>
          <w:tcPr>
            <w:tcW w:type="dxa" w:w="1704"/>
          </w:tcPr>
          <w:p>
            <w:pPr>
              <w:spacing w:after="0"/>
            </w:pPr>
            <w:r>
              <w:rPr>
                <w:rFonts w:ascii="Arial" w:hAnsi="Arial"/>
                <w:b w:val="0"/>
                <w:sz w:val="12"/>
              </w:rPr>
              <w:t>Phase 1C source review completed; Phase 1D layout QA remains</w:t>
            </w:r>
          </w:p>
        </w:tc>
      </w:tr>
      <w:tr>
        <w:tc>
          <w:tcPr>
            <w:tcW w:type="dxa" w:w="1704"/>
          </w:tcPr>
          <w:p>
            <w:pPr>
              <w:spacing w:after="0"/>
            </w:pPr>
            <w:r>
              <w:rPr>
                <w:rFonts w:ascii="Arial" w:hAnsi="Arial"/>
                <w:b w:val="0"/>
                <w:sz w:val="12"/>
              </w:rPr>
              <w:t>G-J-04</w:t>
            </w:r>
          </w:p>
        </w:tc>
        <w:tc>
          <w:tcPr>
            <w:tcW w:type="dxa" w:w="1704"/>
          </w:tcPr>
          <w:p>
            <w:pPr>
              <w:spacing w:after="0"/>
            </w:pPr>
            <w:r>
              <w:rPr>
                <w:rFonts w:ascii="Arial" w:hAnsi="Arial"/>
                <w:b w:val="0"/>
                <w:sz w:val="12"/>
              </w:rPr>
              <w:t>Appendix B evidence multipliers and composite weights inconsistent with canonical method</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methodology correction</w:t>
            </w:r>
          </w:p>
        </w:tc>
        <w:tc>
          <w:tcPr>
            <w:tcW w:type="dxa" w:w="1704"/>
          </w:tcPr>
          <w:p>
            <w:pPr>
              <w:spacing w:after="0"/>
            </w:pPr>
            <w:r>
              <w:rPr>
                <w:rFonts w:ascii="Arial" w:hAnsi="Arial"/>
                <w:b w:val="0"/>
                <w:sz w:val="12"/>
              </w:rPr>
              <w:t>Verified in Phase 1C global consistency pass; final proof remains</w:t>
            </w:r>
          </w:p>
        </w:tc>
      </w:tr>
      <w:tr>
        <w:tc>
          <w:tcPr>
            <w:tcW w:type="dxa" w:w="1704"/>
          </w:tcPr>
          <w:p>
            <w:pPr>
              <w:spacing w:after="0"/>
            </w:pPr>
            <w:r>
              <w:rPr>
                <w:rFonts w:ascii="Arial" w:hAnsi="Arial"/>
                <w:b w:val="0"/>
                <w:sz w:val="12"/>
              </w:rPr>
              <w:t>G-J-05</w:t>
            </w:r>
          </w:p>
        </w:tc>
        <w:tc>
          <w:tcPr>
            <w:tcW w:type="dxa" w:w="1704"/>
          </w:tcPr>
          <w:p>
            <w:pPr>
              <w:spacing w:after="0"/>
            </w:pPr>
            <w:r>
              <w:rPr>
                <w:rFonts w:ascii="Arial" w:hAnsi="Arial"/>
                <w:b w:val="0"/>
                <w:sz w:val="12"/>
              </w:rPr>
              <w:t>Appendix A compliance-sounding field values risked overclaim</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neutralized field values</w:t>
            </w:r>
          </w:p>
        </w:tc>
        <w:tc>
          <w:tcPr>
            <w:tcW w:type="dxa" w:w="1704"/>
          </w:tcPr>
          <w:p>
            <w:pPr>
              <w:spacing w:after="0"/>
            </w:pPr>
            <w:r>
              <w:rPr>
                <w:rFonts w:ascii="Arial" w:hAnsi="Arial"/>
                <w:b w:val="0"/>
                <w:sz w:val="12"/>
              </w:rPr>
              <w:t>Phase 1C template review completed; final proof remains</w:t>
            </w:r>
          </w:p>
        </w:tc>
      </w:tr>
      <w:tr>
        <w:tc>
          <w:tcPr>
            <w:tcW w:type="dxa" w:w="1704"/>
          </w:tcPr>
          <w:p>
            <w:pPr>
              <w:spacing w:after="0"/>
            </w:pPr>
            <w:r>
              <w:rPr>
                <w:rFonts w:ascii="Arial" w:hAnsi="Arial"/>
                <w:b w:val="0"/>
                <w:sz w:val="12"/>
              </w:rPr>
              <w:t>G-J-06</w:t>
            </w:r>
          </w:p>
        </w:tc>
        <w:tc>
          <w:tcPr>
            <w:tcW w:type="dxa" w:w="1704"/>
          </w:tcPr>
          <w:p>
            <w:pPr>
              <w:spacing w:after="0"/>
            </w:pPr>
            <w:r>
              <w:rPr>
                <w:rFonts w:ascii="Arial" w:hAnsi="Arial"/>
                <w:b w:val="0"/>
                <w:sz w:val="12"/>
              </w:rPr>
              <w:t>Appendix D vendor mappings needed provisional language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provisional mapping language; Phase 1D-11 source closure narrowed high-risk source pointers</w:t>
            </w:r>
          </w:p>
        </w:tc>
        <w:tc>
          <w:tcPr>
            <w:tcW w:type="dxa" w:w="1704"/>
          </w:tcPr>
          <w:p>
            <w:pPr>
              <w:spacing w:after="0"/>
            </w:pPr>
            <w:r>
              <w:rPr>
                <w:rFonts w:ascii="Arial" w:hAnsi="Arial"/>
                <w:b w:val="0"/>
                <w:sz w:val="12"/>
              </w:rPr>
              <w:t>Preserve L5 analytical labels and explicit limitations</w:t>
            </w:r>
          </w:p>
        </w:tc>
      </w:tr>
      <w:tr>
        <w:tc>
          <w:tcPr>
            <w:tcW w:type="dxa" w:w="1704"/>
          </w:tcPr>
          <w:p>
            <w:pPr>
              <w:spacing w:after="0"/>
            </w:pPr>
            <w:r>
              <w:rPr>
                <w:rFonts w:ascii="Arial" w:hAnsi="Arial"/>
                <w:b w:val="0"/>
                <w:sz w:val="12"/>
              </w:rPr>
              <w:t>G-J-07</w:t>
            </w:r>
          </w:p>
        </w:tc>
        <w:tc>
          <w:tcPr>
            <w:tcW w:type="dxa" w:w="1704"/>
          </w:tcPr>
          <w:p>
            <w:pPr>
              <w:spacing w:after="0"/>
            </w:pPr>
            <w:r>
              <w:rPr>
                <w:rFonts w:ascii="Arial" w:hAnsi="Arial"/>
                <w:b w:val="0"/>
                <w:sz w:val="12"/>
              </w:rPr>
              <w:t>Appendices E/F/G initially needed detailed rubrics and system assessments</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Appendices E-G filled; E/F rubrics and G assessments created</w:t>
            </w:r>
          </w:p>
        </w:tc>
        <w:tc>
          <w:tcPr>
            <w:tcW w:type="dxa" w:w="1704"/>
          </w:tcPr>
          <w:p>
            <w:pPr>
              <w:spacing w:after="0"/>
            </w:pPr>
            <w:r>
              <w:rPr>
                <w:rFonts w:ascii="Arial" w:hAnsi="Arial"/>
                <w:b w:val="0"/>
                <w:sz w:val="12"/>
              </w:rPr>
              <w:t>Phase 1C source validation completed; final proof remains</w:t>
            </w:r>
          </w:p>
        </w:tc>
      </w:tr>
      <w:tr>
        <w:tc>
          <w:tcPr>
            <w:tcW w:type="dxa" w:w="1704"/>
          </w:tcPr>
          <w:p>
            <w:pPr>
              <w:spacing w:after="0"/>
            </w:pPr>
            <w:r>
              <w:rPr>
                <w:rFonts w:ascii="Arial" w:hAnsi="Arial"/>
                <w:b w:val="0"/>
                <w:sz w:val="12"/>
              </w:rPr>
              <w:t>G-J-08</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G corrected to 8 representative systems plus T-G-09 qualitative summary; Phase 1D-11 closed high-risk source pointers</w:t>
            </w:r>
          </w:p>
        </w:tc>
        <w:tc>
          <w:tcPr>
            <w:tcW w:type="dxa" w:w="1704"/>
          </w:tcPr>
          <w:p>
            <w:pPr>
              <w:spacing w:after="0"/>
            </w:pPr>
            <w:r>
              <w:rPr>
                <w:rFonts w:ascii="Arial" w:hAnsi="Arial"/>
                <w:b w:val="0"/>
                <w:sz w:val="12"/>
              </w:rPr>
              <w:t>Preserve non-ranking, provisional, source-qualified posture</w:t>
            </w:r>
          </w:p>
        </w:tc>
      </w:tr>
      <w:tr>
        <w:tc>
          <w:tcPr>
            <w:tcW w:type="dxa" w:w="1704"/>
          </w:tcPr>
          <w:p>
            <w:pPr>
              <w:spacing w:after="0"/>
            </w:pPr>
            <w:r>
              <w:rPr>
                <w:rFonts w:ascii="Arial" w:hAnsi="Arial"/>
                <w:b w:val="0"/>
                <w:sz w:val="12"/>
              </w:rPr>
              <w:t>G-J-09</w:t>
            </w:r>
          </w:p>
        </w:tc>
        <w:tc>
          <w:tcPr>
            <w:tcW w:type="dxa" w:w="1704"/>
          </w:tcPr>
          <w:p>
            <w:pPr>
              <w:spacing w:after="0"/>
            </w:pPr>
            <w:r>
              <w:rPr>
                <w:rFonts w:ascii="Arial" w:hAnsi="Arial"/>
                <w:b w:val="0"/>
                <w:sz w:val="12"/>
              </w:rPr>
              <w:t>Appendix E/F score-5 wording risked implying legal text proves implementation</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E/F score-5 rows hardened</w:t>
            </w:r>
          </w:p>
        </w:tc>
        <w:tc>
          <w:tcPr>
            <w:tcW w:type="dxa" w:w="1704"/>
          </w:tcPr>
          <w:p>
            <w:pPr>
              <w:spacing w:after="0"/>
            </w:pPr>
            <w:r>
              <w:rPr>
                <w:rFonts w:ascii="Arial" w:hAnsi="Arial"/>
                <w:b w:val="0"/>
                <w:sz w:val="12"/>
              </w:rPr>
              <w:t>Verified in Phase 1C consistency pass; final proof remains</w:t>
            </w:r>
          </w:p>
        </w:tc>
      </w:tr>
      <w:tr>
        <w:tc>
          <w:tcPr>
            <w:tcW w:type="dxa" w:w="1704"/>
          </w:tcPr>
          <w:p>
            <w:pPr>
              <w:spacing w:after="0"/>
            </w:pPr>
            <w:r>
              <w:rPr>
                <w:rFonts w:ascii="Arial" w:hAnsi="Arial"/>
                <w:b w:val="0"/>
                <w:sz w:val="12"/>
              </w:rPr>
              <w:t>G-J-10</w:t>
            </w:r>
          </w:p>
        </w:tc>
        <w:tc>
          <w:tcPr>
            <w:tcW w:type="dxa" w:w="1704"/>
          </w:tcPr>
          <w:p>
            <w:pPr>
              <w:spacing w:after="0"/>
            </w:pPr>
            <w:r>
              <w:rPr>
                <w:rFonts w:ascii="Arial" w:hAnsi="Arial"/>
                <w:b w:val="0"/>
                <w:sz w:val="12"/>
              </w:rPr>
              <w:t>Phase 1B-9D governance ledgers stale after partial patch</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SOURCE MASTER, Appendix G metadata, carryover list, and final report synchronized</w:t>
            </w:r>
          </w:p>
        </w:tc>
        <w:tc>
          <w:tcPr>
            <w:tcW w:type="dxa" w:w="1704"/>
          </w:tcPr>
          <w:p>
            <w:pPr>
              <w:spacing w:after="0"/>
            </w:pPr>
            <w:r>
              <w:rPr>
                <w:rFonts w:ascii="Arial" w:hAnsi="Arial"/>
                <w:b w:val="0"/>
                <w:sz w:val="12"/>
              </w:rPr>
              <w:t>Continue with Phase 1B-10 completion record</w:t>
            </w:r>
          </w:p>
        </w:tc>
      </w:tr>
      <w:tr>
        <w:tc>
          <w:tcPr>
            <w:tcW w:type="dxa" w:w="1704"/>
          </w:tcPr>
          <w:p>
            <w:pPr>
              <w:spacing w:after="0"/>
            </w:pPr>
            <w:r>
              <w:rPr>
                <w:rFonts w:ascii="Arial" w:hAnsi="Arial"/>
                <w:b w:val="0"/>
                <w:sz w:val="12"/>
              </w:rPr>
              <w:t>G-J-11</w:t>
            </w:r>
          </w:p>
        </w:tc>
        <w:tc>
          <w:tcPr>
            <w:tcW w:type="dxa" w:w="1704"/>
          </w:tcPr>
          <w:p>
            <w:pPr>
              <w:spacing w:after="0"/>
            </w:pPr>
            <w:r>
              <w:rPr>
                <w:rFonts w:ascii="Arial" w:hAnsi="Arial"/>
                <w:b w:val="0"/>
                <w:sz w:val="12"/>
              </w:rPr>
              <w:t>Appendices H-K missing from clean source</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Appendices H-K filled in Phase 1B-10</w:t>
            </w:r>
          </w:p>
        </w:tc>
        <w:tc>
          <w:tcPr>
            <w:tcW w:type="dxa" w:w="1704"/>
          </w:tcPr>
          <w:p>
            <w:pPr>
              <w:spacing w:after="0"/>
            </w:pPr>
            <w:r>
              <w:rPr>
                <w:rFonts w:ascii="Arial" w:hAnsi="Arial"/>
                <w:b w:val="0"/>
                <w:sz w:val="12"/>
              </w:rPr>
              <w:t>Phase 1C source validation completed; Phase 1D layout QA remains</w:t>
            </w:r>
          </w:p>
        </w:tc>
      </w:tr>
      <w:tr>
        <w:tc>
          <w:tcPr>
            <w:tcW w:type="dxa" w:w="1704"/>
          </w:tcPr>
          <w:p>
            <w:pPr>
              <w:spacing w:after="0"/>
            </w:pPr>
            <w:r>
              <w:rPr>
                <w:rFonts w:ascii="Arial" w:hAnsi="Arial"/>
                <w:b w:val="0"/>
                <w:sz w:val="12"/>
              </w:rPr>
              <w:t>G-J-12</w:t>
            </w:r>
          </w:p>
        </w:tc>
        <w:tc>
          <w:tcPr>
            <w:tcW w:type="dxa" w:w="1704"/>
          </w:tcPr>
          <w:p>
            <w:pPr>
              <w:spacing w:after="0"/>
            </w:pPr>
            <w:r>
              <w:rPr>
                <w:rFonts w:ascii="Arial" w:hAnsi="Arial"/>
                <w:b w:val="0"/>
                <w:sz w:val="12"/>
              </w:rPr>
              <w:t>Citation Inventory remained partial after Phase 1B</w:t>
            </w:r>
          </w:p>
        </w:tc>
        <w:tc>
          <w:tcPr>
            <w:tcW w:type="dxa" w:w="1704"/>
          </w:tcPr>
          <w:p>
            <w:pPr>
              <w:spacing w:after="0"/>
            </w:pPr>
            <w:r>
              <w:rPr>
                <w:rFonts w:ascii="Arial" w:hAnsi="Arial"/>
                <w:b w:val="0"/>
                <w:sz w:val="12"/>
              </w:rPr>
              <w:t>Phase 1B-3</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1D-11 citation/source closure ledger records source-bound, narrowed, replaced, and L5-downgraded claims</w:t>
            </w:r>
          </w:p>
        </w:tc>
        <w:tc>
          <w:tcPr>
            <w:tcW w:type="dxa" w:w="1704"/>
          </w:tcPr>
          <w:p>
            <w:pPr>
              <w:spacing w:after="0"/>
            </w:pPr>
            <w:r>
              <w:rPr>
                <w:rFonts w:ascii="Arial" w:hAnsi="Arial"/>
                <w:b w:val="0"/>
                <w:sz w:val="12"/>
              </w:rPr>
              <w:t>Preserve explicit limitations during publication-candidate review</w:t>
            </w:r>
          </w:p>
        </w:tc>
      </w:tr>
      <w:tr>
        <w:tc>
          <w:tcPr>
            <w:tcW w:type="dxa" w:w="1704"/>
          </w:tcPr>
          <w:p>
            <w:pPr>
              <w:spacing w:after="0"/>
            </w:pPr>
            <w:r>
              <w:rPr>
                <w:rFonts w:ascii="Arial" w:hAnsi="Arial"/>
                <w:b w:val="0"/>
                <w:sz w:val="12"/>
              </w:rPr>
              <w:t>G-J-15</w:t>
            </w:r>
          </w:p>
        </w:tc>
        <w:tc>
          <w:tcPr>
            <w:tcW w:type="dxa" w:w="1704"/>
          </w:tcPr>
          <w:p>
            <w:pPr>
              <w:spacing w:after="0"/>
            </w:pPr>
            <w:r>
              <w:rPr>
                <w:rFonts w:ascii="Arial" w:hAnsi="Arial"/>
                <w:b w:val="0"/>
                <w:sz w:val="12"/>
              </w:rPr>
              <w:t>Claim-level L2 product/protocol source binding remained pending after Phase 1C cleanup</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1D-11 closed high-risk L2 source-pointer blockers; Appendix G remains revalidated provisional</w:t>
            </w:r>
          </w:p>
        </w:tc>
        <w:tc>
          <w:tcPr>
            <w:tcW w:type="dxa" w:w="1704"/>
          </w:tcPr>
          <w:p>
            <w:pPr>
              <w:spacing w:after="0"/>
            </w:pPr>
            <w:r>
              <w:rPr>
                <w:rFonts w:ascii="Arial" w:hAnsi="Arial"/>
                <w:b w:val="0"/>
                <w:sz w:val="12"/>
              </w:rPr>
              <w:t>Keep Appendix G provisional; no final scores/rankings</w:t>
            </w:r>
          </w:p>
        </w:tc>
      </w:tr>
      <w:tr>
        <w:tc>
          <w:tcPr>
            <w:tcW w:type="dxa" w:w="1704"/>
          </w:tcPr>
          <w:p>
            <w:pPr>
              <w:spacing w:after="0"/>
            </w:pPr>
            <w:r>
              <w:rPr>
                <w:rFonts w:ascii="Arial" w:hAnsi="Arial"/>
                <w:b w:val="0"/>
                <w:sz w:val="12"/>
              </w:rPr>
              <w:t>G-J-13</w:t>
            </w:r>
          </w:p>
        </w:tc>
        <w:tc>
          <w:tcPr>
            <w:tcW w:type="dxa" w:w="1704"/>
          </w:tcPr>
          <w:p>
            <w:pPr>
              <w:spacing w:after="0"/>
            </w:pPr>
            <w:r>
              <w:rPr>
                <w:rFonts w:ascii="Arial" w:hAnsi="Arial"/>
                <w:b w:val="0"/>
                <w:sz w:val="12"/>
              </w:rPr>
              <w:t>Wide tables require layout evaluation</w:t>
            </w:r>
          </w:p>
        </w:tc>
        <w:tc>
          <w:tcPr>
            <w:tcW w:type="dxa" w:w="1704"/>
          </w:tcPr>
          <w:p>
            <w:pPr>
              <w:spacing w:after="0"/>
            </w:pPr>
            <w:r>
              <w:rPr>
                <w:rFonts w:ascii="Arial" w:hAnsi="Arial"/>
                <w:b w:val="0"/>
                <w:sz w:val="12"/>
              </w:rPr>
              <w:t>R2 / Phase 1B</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recorded layout risk notes in table inventory</w:t>
            </w:r>
          </w:p>
        </w:tc>
        <w:tc>
          <w:tcPr>
            <w:tcW w:type="dxa" w:w="1704"/>
          </w:tcPr>
          <w:p>
            <w:pPr>
              <w:spacing w:after="0"/>
            </w:pPr>
            <w:r>
              <w:rPr>
                <w:rFonts w:ascii="Arial" w:hAnsi="Arial"/>
                <w:b w:val="0"/>
                <w:sz w:val="12"/>
              </w:rPr>
              <w:t>Render and inspect tables in Phase 1D</w:t>
            </w:r>
          </w:p>
        </w:tc>
      </w:tr>
      <w:tr>
        <w:tc>
          <w:tcPr>
            <w:tcW w:type="dxa" w:w="1704"/>
          </w:tcPr>
          <w:p>
            <w:pPr>
              <w:spacing w:after="0"/>
            </w:pPr>
            <w:r>
              <w:rPr>
                <w:rFonts w:ascii="Arial" w:hAnsi="Arial"/>
                <w:b w:val="0"/>
                <w:sz w:val="12"/>
              </w:rPr>
              <w:t>G-J-14</w:t>
            </w:r>
          </w:p>
        </w:tc>
        <w:tc>
          <w:tcPr>
            <w:tcW w:type="dxa" w:w="1704"/>
          </w:tcPr>
          <w:p>
            <w:pPr>
              <w:spacing w:after="0"/>
            </w:pPr>
            <w:r>
              <w:rPr>
                <w:rFonts w:ascii="Arial" w:hAnsi="Arial"/>
                <w:b w:val="0"/>
                <w:sz w:val="12"/>
              </w:rPr>
              <w:t>DOCX/PDF layout, figures, captions, and page breaks not regenerated</w:t>
            </w:r>
          </w:p>
        </w:tc>
        <w:tc>
          <w:tcPr>
            <w:tcW w:type="dxa" w:w="1704"/>
          </w:tcPr>
          <w:p>
            <w:pPr>
              <w:spacing w:after="0"/>
            </w:pPr>
            <w:r>
              <w:rPr>
                <w:rFonts w:ascii="Arial" w:hAnsi="Arial"/>
                <w:b w:val="0"/>
                <w:sz w:val="12"/>
              </w:rPr>
              <w:t>Phase 1D</w:t>
            </w:r>
          </w:p>
        </w:tc>
        <w:tc>
          <w:tcPr>
            <w:tcW w:type="dxa" w:w="1704"/>
          </w:tcPr>
          <w:p>
            <w:pPr>
              <w:spacing w:after="0"/>
            </w:pPr>
            <w:r>
              <w:rPr>
                <w:rFonts w:ascii="Arial" w:hAnsi="Arial"/>
                <w:b w:val="0"/>
                <w:sz w:val="12"/>
              </w:rPr>
              <w:t>Deferred to Phase 1D</w:t>
            </w:r>
          </w:p>
        </w:tc>
        <w:tc>
          <w:tcPr>
            <w:tcW w:type="dxa" w:w="1704"/>
          </w:tcPr>
          <w:p>
            <w:pPr>
              <w:spacing w:after="0"/>
            </w:pPr>
            <w:r>
              <w:rPr>
                <w:rFonts w:ascii="Arial" w:hAnsi="Arial"/>
                <w:b w:val="0"/>
                <w:sz w:val="12"/>
              </w:rPr>
              <w:t>DOCX/PDF generation intentionally deferred</w:t>
            </w:r>
          </w:p>
        </w:tc>
        <w:tc>
          <w:tcPr>
            <w:tcW w:type="dxa" w:w="1704"/>
          </w:tcPr>
          <w:p>
            <w:pPr>
              <w:spacing w:after="0"/>
            </w:pPr>
            <w:r>
              <w:rPr>
                <w:rFonts w:ascii="Arial" w:hAnsi="Arial"/>
                <w:b w:val="0"/>
                <w:sz w:val="12"/>
              </w:rPr>
              <w:t>Generate and visually QA in Phase 1D</w:t>
            </w:r>
          </w:p>
        </w:tc>
      </w:tr>
    </w:tbl>
    <w:p>
      <w:pPr>
        <w:pStyle w:val="Heading2"/>
      </w:pPr>
      <w:r>
        <w:t>J.3 Phase 1C Items and Current Disposition</w:t>
      </w:r>
    </w:p>
    <w:p>
      <w:pPr>
        <w:keepNext/>
      </w:pPr>
      <w:r>
        <w:rPr>
          <w:b/>
          <w:sz w:val="16"/>
        </w:rPr>
        <w:t>Table T-J-02: Phase 1C Items and Current Disposition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Reason Deferred</w:t>
            </w:r>
          </w:p>
        </w:tc>
        <w:tc>
          <w:tcPr>
            <w:tcW w:type="dxa" w:w="2045"/>
          </w:tcPr>
          <w:p>
            <w:pPr>
              <w:spacing w:after="0"/>
            </w:pPr>
            <w:r>
              <w:rPr>
                <w:rFonts w:ascii="Arial" w:hAnsi="Arial"/>
                <w:b/>
                <w:sz w:val="14"/>
              </w:rPr>
              <w:t>Required Action</w:t>
            </w:r>
          </w:p>
        </w:tc>
        <w:tc>
          <w:tcPr>
            <w:tcW w:type="dxa" w:w="2045"/>
          </w:tcPr>
          <w:p>
            <w:pPr>
              <w:spacing w:after="0"/>
            </w:pPr>
            <w:r>
              <w:rPr>
                <w:rFonts w:ascii="Arial" w:hAnsi="Arial"/>
                <w:b/>
                <w:sz w:val="14"/>
              </w:rPr>
              <w:t>Blocking Level</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Chapter 14/15 ALCS numbering consistency</w:t>
            </w:r>
          </w:p>
        </w:tc>
        <w:tc>
          <w:tcPr>
            <w:tcW w:type="dxa" w:w="2045"/>
          </w:tcPr>
          <w:p>
            <w:pPr>
              <w:spacing w:after="0"/>
            </w:pPr>
            <w:r>
              <w:rPr>
                <w:rFonts w:ascii="Arial" w:hAnsi="Arial"/>
                <w:b w:val="0"/>
                <w:sz w:val="14"/>
              </w:rPr>
              <w:t>Phase 1C taxonomy pass found naming and scenario mapping drift</w:t>
            </w:r>
          </w:p>
        </w:tc>
        <w:tc>
          <w:tcPr>
            <w:tcW w:type="dxa" w:w="2045"/>
          </w:tcPr>
          <w:p>
            <w:pPr>
              <w:spacing w:after="0"/>
            </w:pPr>
            <w:r>
              <w:rPr>
                <w:rFonts w:ascii="Arial" w:hAnsi="Arial"/>
                <w:b w:val="0"/>
                <w:sz w:val="14"/>
              </w:rPr>
              <w:t>Corrected active-source ALCS/MRO references</w:t>
            </w:r>
          </w:p>
        </w:tc>
        <w:tc>
          <w:tcPr>
            <w:tcW w:type="dxa" w:w="2045"/>
          </w:tcPr>
          <w:p>
            <w:pPr>
              <w:spacing w:after="0"/>
            </w:pPr>
            <w:r>
              <w:rPr>
                <w:rFonts w:ascii="Arial" w:hAnsi="Arial"/>
                <w:b w:val="0"/>
                <w:sz w:val="14"/>
              </w:rPr>
              <w:t>Closed for taxonomy; monitor in final proof</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17 roadmap-count inconsistency</w:t>
            </w:r>
          </w:p>
        </w:tc>
        <w:tc>
          <w:tcPr>
            <w:tcW w:type="dxa" w:w="2045"/>
          </w:tcPr>
          <w:p>
            <w:pPr>
              <w:spacing w:after="0"/>
            </w:pPr>
            <w:r>
              <w:rPr>
                <w:rFonts w:ascii="Arial" w:hAnsi="Arial"/>
                <w:b w:val="0"/>
                <w:sz w:val="14"/>
              </w:rPr>
              <w:t>Body chapter wording did not match Stage 0-to-7 table</w:t>
            </w:r>
          </w:p>
        </w:tc>
        <w:tc>
          <w:tcPr>
            <w:tcW w:type="dxa" w:w="2045"/>
          </w:tcPr>
          <w:p>
            <w:pPr>
              <w:spacing w:after="0"/>
            </w:pPr>
            <w:r>
              <w:rPr>
                <w:rFonts w:ascii="Arial" w:hAnsi="Arial"/>
                <w:b w:val="0"/>
                <w:sz w:val="14"/>
              </w:rPr>
              <w:t>Corrected to Stage 0-to-7 wording</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18 contribution-count inconsistency</w:t>
            </w:r>
          </w:p>
        </w:tc>
        <w:tc>
          <w:tcPr>
            <w:tcW w:type="dxa" w:w="2045"/>
          </w:tcPr>
          <w:p>
            <w:pPr>
              <w:spacing w:after="0"/>
            </w:pPr>
            <w:r>
              <w:rPr>
                <w:rFonts w:ascii="Arial" w:hAnsi="Arial"/>
                <w:b w:val="0"/>
                <w:sz w:val="14"/>
              </w:rPr>
              <w:t>Contribution summary did not match T-18-01 row count</w:t>
            </w:r>
          </w:p>
        </w:tc>
        <w:tc>
          <w:tcPr>
            <w:tcW w:type="dxa" w:w="2045"/>
          </w:tcPr>
          <w:p>
            <w:pPr>
              <w:spacing w:after="0"/>
            </w:pPr>
            <w:r>
              <w:rPr>
                <w:rFonts w:ascii="Arial" w:hAnsi="Arial"/>
                <w:b w:val="0"/>
                <w:sz w:val="14"/>
              </w:rPr>
              <w:t>Corrected to eight contributions</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F-09 figure numbering gap</w:t>
            </w:r>
          </w:p>
        </w:tc>
        <w:tc>
          <w:tcPr>
            <w:tcW w:type="dxa" w:w="2045"/>
          </w:tcPr>
          <w:p>
            <w:pPr>
              <w:spacing w:after="0"/>
            </w:pPr>
            <w:r>
              <w:rPr>
                <w:rFonts w:ascii="Arial" w:hAnsi="Arial"/>
                <w:b w:val="0"/>
                <w:sz w:val="14"/>
              </w:rPr>
              <w:t>Figure inventory skipped F-09</w:t>
            </w:r>
          </w:p>
        </w:tc>
        <w:tc>
          <w:tcPr>
            <w:tcW w:type="dxa" w:w="2045"/>
          </w:tcPr>
          <w:p>
            <w:pPr>
              <w:spacing w:after="0"/>
            </w:pPr>
            <w:r>
              <w:rPr>
                <w:rFonts w:ascii="Arial" w:hAnsi="Arial"/>
                <w:b w:val="0"/>
                <w:sz w:val="14"/>
              </w:rPr>
              <w:t>Reserved F-09 to avoid renumbering risk</w:t>
            </w:r>
          </w:p>
        </w:tc>
        <w:tc>
          <w:tcPr>
            <w:tcW w:type="dxa" w:w="2045"/>
          </w:tcPr>
          <w:p>
            <w:pPr>
              <w:spacing w:after="0"/>
            </w:pPr>
            <w:r>
              <w:rPr>
                <w:rFonts w:ascii="Arial" w:hAnsi="Arial"/>
                <w:b w:val="0"/>
                <w:sz w:val="14"/>
              </w:rPr>
              <w:t>Closed for inventory; Phase 1D rendering decision remains</w:t>
            </w:r>
          </w:p>
        </w:tc>
        <w:tc>
          <w:tcPr>
            <w:tcW w:type="dxa" w:w="2045"/>
          </w:tcPr>
          <w:p>
            <w:pPr>
              <w:spacing w:after="0"/>
            </w:pPr>
            <w:r>
              <w:rPr>
                <w:rFonts w:ascii="Arial" w:hAnsi="Arial"/>
                <w:b w:val="0"/>
                <w:sz w:val="14"/>
              </w:rPr>
              <w:t>Phase 1C / 1D</w:t>
            </w:r>
          </w:p>
        </w:tc>
      </w:tr>
      <w:tr>
        <w:tc>
          <w:tcPr>
            <w:tcW w:type="dxa" w:w="2045"/>
          </w:tcPr>
          <w:p>
            <w:pPr>
              <w:spacing w:after="0"/>
            </w:pPr>
            <w:r>
              <w:rPr>
                <w:rFonts w:ascii="Arial" w:hAnsi="Arial"/>
                <w:b w:val="0"/>
                <w:sz w:val="14"/>
              </w:rPr>
              <w:t>Citation inventory pre-cleanup status</w:t>
            </w:r>
          </w:p>
        </w:tc>
        <w:tc>
          <w:tcPr>
            <w:tcW w:type="dxa" w:w="2045"/>
          </w:tcPr>
          <w:p>
            <w:pPr>
              <w:spacing w:after="0"/>
            </w:pPr>
            <w:r>
              <w:rPr>
                <w:rFonts w:ascii="Arial" w:hAnsi="Arial"/>
                <w:b w:val="0"/>
                <w:sz w:val="14"/>
              </w:rPr>
              <w:t>Citation validation belongs to global cleanup</w:t>
            </w:r>
          </w:p>
        </w:tc>
        <w:tc>
          <w:tcPr>
            <w:tcW w:type="dxa" w:w="2045"/>
          </w:tcPr>
          <w:p>
            <w:pPr>
              <w:spacing w:after="0"/>
            </w:pPr>
            <w:r>
              <w:rPr>
                <w:rFonts w:ascii="Arial" w:hAnsi="Arial"/>
                <w:b w:val="0"/>
                <w:sz w:val="14"/>
              </w:rPr>
              <w:t>Updated citation inventory to Phase 1D-11 citation/source closure complete</w:t>
            </w:r>
          </w:p>
        </w:tc>
        <w:tc>
          <w:tcPr>
            <w:tcW w:type="dxa" w:w="2045"/>
          </w:tcPr>
          <w:p>
            <w:pPr>
              <w:spacing w:after="0"/>
            </w:pPr>
            <w:r>
              <w:rPr>
                <w:rFonts w:ascii="Arial" w:hAnsi="Arial"/>
                <w:b w:val="0"/>
                <w:sz w:val="14"/>
              </w:rPr>
              <w:t>Remaining limitations explicit and non-blocking</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All L2 product docs required Phase 1C revalidation</w:t>
            </w:r>
          </w:p>
        </w:tc>
        <w:tc>
          <w:tcPr>
            <w:tcW w:type="dxa" w:w="2045"/>
          </w:tcPr>
          <w:p>
            <w:pPr>
              <w:spacing w:after="0"/>
            </w:pPr>
            <w:r>
              <w:rPr>
                <w:rFonts w:ascii="Arial" w:hAnsi="Arial"/>
                <w:b w:val="0"/>
                <w:sz w:val="14"/>
              </w:rPr>
              <w:t>Product docs may have changed and required claim-level review</w:t>
            </w:r>
          </w:p>
        </w:tc>
        <w:tc>
          <w:tcPr>
            <w:tcW w:type="dxa" w:w="2045"/>
          </w:tcPr>
          <w:p>
            <w:pPr>
              <w:spacing w:after="0"/>
            </w:pPr>
            <w:r>
              <w:rPr>
                <w:rFonts w:ascii="Arial" w:hAnsi="Arial"/>
                <w:b w:val="0"/>
                <w:sz w:val="14"/>
              </w:rPr>
              <w:t>Official entry points located; material claims source-bound, narrowed, replaced, or downgraded to L5</w:t>
            </w:r>
          </w:p>
        </w:tc>
        <w:tc>
          <w:tcPr>
            <w:tcW w:type="dxa" w:w="2045"/>
          </w:tcPr>
          <w:p>
            <w:pPr>
              <w:spacing w:after="0"/>
            </w:pPr>
            <w:r>
              <w:rPr>
                <w:rFonts w:ascii="Arial" w:hAnsi="Arial"/>
                <w:b w:val="0"/>
                <w:sz w:val="14"/>
              </w:rPr>
              <w:t>Appendix G remains provisional; no final scores/rankings</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T-D-01 required layout evaluation</w:t>
            </w:r>
          </w:p>
        </w:tc>
        <w:tc>
          <w:tcPr>
            <w:tcW w:type="dxa" w:w="2045"/>
          </w:tcPr>
          <w:p>
            <w:pPr>
              <w:spacing w:after="0"/>
            </w:pPr>
            <w:r>
              <w:rPr>
                <w:rFonts w:ascii="Arial" w:hAnsi="Arial"/>
                <w:b w:val="0"/>
                <w:sz w:val="14"/>
              </w:rPr>
              <w:t>Very wide table may require split or landscape handling</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evaluation for T-13/T-14/T-15/T-17/T-18 and Appendix G</w:t>
            </w:r>
          </w:p>
        </w:tc>
        <w:tc>
          <w:tcPr>
            <w:tcW w:type="dxa" w:w="2045"/>
          </w:tcPr>
          <w:p>
            <w:pPr>
              <w:spacing w:after="0"/>
            </w:pPr>
            <w:r>
              <w:rPr>
                <w:rFonts w:ascii="Arial" w:hAnsi="Arial"/>
                <w:b w:val="0"/>
                <w:sz w:val="14"/>
              </w:rPr>
              <w:t>Several wide tables may not render in portrait layout</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MPLP/Validation Lab URL validation</w:t>
            </w:r>
          </w:p>
        </w:tc>
        <w:tc>
          <w:tcPr>
            <w:tcW w:type="dxa" w:w="2045"/>
          </w:tcPr>
          <w:p>
            <w:pPr>
              <w:spacing w:after="0"/>
            </w:pPr>
            <w:r>
              <w:rPr>
                <w:rFonts w:ascii="Arial" w:hAnsi="Arial"/>
                <w:b w:val="0"/>
                <w:sz w:val="14"/>
              </w:rPr>
              <w:t>URLs were not validated in Phase 1B</w:t>
            </w:r>
          </w:p>
        </w:tc>
        <w:tc>
          <w:tcPr>
            <w:tcW w:type="dxa" w:w="2045"/>
          </w:tcPr>
          <w:p>
            <w:pPr>
              <w:spacing w:after="0"/>
            </w:pPr>
            <w:r>
              <w:rPr>
                <w:rFonts w:ascii="Arial" w:hAnsi="Arial"/>
                <w:b w:val="0"/>
                <w:sz w:val="14"/>
              </w:rPr>
              <w:t>MPLP docs/site and Validation Lab methodology page validated; mapping remains bounded</w:t>
            </w:r>
          </w:p>
        </w:tc>
        <w:tc>
          <w:tcPr>
            <w:tcW w:type="dxa" w:w="2045"/>
          </w:tcPr>
          <w:p>
            <w:pPr>
              <w:spacing w:after="0"/>
            </w:pPr>
            <w:r>
              <w:rPr>
                <w:rFonts w:ascii="Arial" w:hAnsi="Arial"/>
                <w:b w:val="0"/>
                <w:sz w:val="14"/>
              </w:rPr>
              <w:t>Validation Lab supports public-surface non-certifying example only</w:t>
            </w:r>
          </w:p>
        </w:tc>
        <w:tc>
          <w:tcPr>
            <w:tcW w:type="dxa" w:w="2045"/>
          </w:tcPr>
          <w:p>
            <w:pPr>
              <w:spacing w:after="0"/>
            </w:pPr>
            <w:r>
              <w:rPr>
                <w:rFonts w:ascii="Arial" w:hAnsi="Arial"/>
                <w:b w:val="0"/>
                <w:sz w:val="14"/>
              </w:rPr>
              <w:t>Phase 1D-11</w:t>
            </w:r>
          </w:p>
        </w:tc>
      </w:tr>
      <w:tr>
        <w:tc>
          <w:tcPr>
            <w:tcW w:type="dxa" w:w="2045"/>
          </w:tcPr>
          <w:p>
            <w:pPr>
              <w:spacing w:after="0"/>
            </w:pPr>
            <w:r>
              <w:rPr>
                <w:rFonts w:ascii="Arial" w:hAnsi="Arial"/>
                <w:b w:val="0"/>
                <w:sz w:val="14"/>
              </w:rPr>
              <w:t>Evidence level annotation</w:t>
            </w:r>
          </w:p>
        </w:tc>
        <w:tc>
          <w:tcPr>
            <w:tcW w:type="dxa" w:w="2045"/>
          </w:tcPr>
          <w:p>
            <w:pPr>
              <w:spacing w:after="0"/>
            </w:pPr>
            <w:r>
              <w:rPr>
                <w:rFonts w:ascii="Arial" w:hAnsi="Arial"/>
                <w:b w:val="0"/>
                <w:sz w:val="14"/>
              </w:rPr>
              <w:t>Evidence confidence must be visible and consistent</w:t>
            </w:r>
          </w:p>
        </w:tc>
        <w:tc>
          <w:tcPr>
            <w:tcW w:type="dxa" w:w="2045"/>
          </w:tcPr>
          <w:p>
            <w:pPr>
              <w:spacing w:after="0"/>
            </w:pPr>
            <w:r>
              <w:rPr>
                <w:rFonts w:ascii="Arial" w:hAnsi="Arial"/>
                <w:b w:val="0"/>
                <w:sz w:val="14"/>
              </w:rPr>
              <w:t>Claim evidence register added L1-L5 labels and downgrade dispositions</w:t>
            </w:r>
          </w:p>
        </w:tc>
        <w:tc>
          <w:tcPr>
            <w:tcW w:type="dxa" w:w="2045"/>
          </w:tcPr>
          <w:p>
            <w:pPr>
              <w:spacing w:after="0"/>
            </w:pPr>
            <w:r>
              <w:rPr>
                <w:rFonts w:ascii="Arial" w:hAnsi="Arial"/>
                <w:b w:val="0"/>
                <w:sz w:val="14"/>
              </w:rPr>
              <w:t>Verify citations render with evidence labels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Source coverage matrix validation</w:t>
            </w:r>
          </w:p>
        </w:tc>
        <w:tc>
          <w:tcPr>
            <w:tcW w:type="dxa" w:w="2045"/>
          </w:tcPr>
          <w:p>
            <w:pPr>
              <w:spacing w:after="0"/>
            </w:pPr>
            <w:r>
              <w:rPr>
                <w:rFonts w:ascii="Arial" w:hAnsi="Arial"/>
                <w:b w:val="0"/>
                <w:sz w:val="14"/>
              </w:rPr>
              <w:t>Coverage matrix is a governance ledger requiring global validation</w:t>
            </w:r>
          </w:p>
        </w:tc>
        <w:tc>
          <w:tcPr>
            <w:tcW w:type="dxa" w:w="2045"/>
          </w:tcPr>
          <w:p>
            <w:pPr>
              <w:spacing w:after="0"/>
            </w:pPr>
            <w:r>
              <w:rPr>
                <w:rFonts w:ascii="Arial" w:hAnsi="Arial"/>
                <w:b w:val="0"/>
                <w:sz w:val="14"/>
              </w:rPr>
              <w:t>Matrix expanded and updated to claim-level source-binding status</w:t>
            </w:r>
          </w:p>
        </w:tc>
        <w:tc>
          <w:tcPr>
            <w:tcW w:type="dxa" w:w="2045"/>
          </w:tcPr>
          <w:p>
            <w:pPr>
              <w:spacing w:after="0"/>
            </w:pPr>
            <w:r>
              <w:rPr>
                <w:rFonts w:ascii="Arial" w:hAnsi="Arial"/>
                <w:b w:val="0"/>
                <w:sz w:val="14"/>
              </w:rPr>
              <w:t>Maintain claim register during page-level citation pinning</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Appendix G provisional assessments required source revalidation before finalization</w:t>
            </w:r>
          </w:p>
        </w:tc>
        <w:tc>
          <w:tcPr>
            <w:tcW w:type="dxa" w:w="2045"/>
          </w:tcPr>
          <w:p>
            <w:pPr>
              <w:spacing w:after="0"/>
            </w:pPr>
            <w:r>
              <w:rPr>
                <w:rFonts w:ascii="Arial" w:hAnsi="Arial"/>
                <w:b w:val="0"/>
                <w:sz w:val="14"/>
              </w:rPr>
              <w:t>Appendix G uses qualitative provisional posture</w:t>
            </w:r>
          </w:p>
        </w:tc>
        <w:tc>
          <w:tcPr>
            <w:tcW w:type="dxa" w:w="2045"/>
          </w:tcPr>
          <w:p>
            <w:pPr>
              <w:spacing w:after="0"/>
            </w:pPr>
            <w:r>
              <w:rPr>
                <w:rFonts w:ascii="Arial" w:hAnsi="Arial"/>
                <w:b w:val="0"/>
                <w:sz w:val="14"/>
              </w:rPr>
              <w:t>Appendix G marked revalidated provisional; material claims source-bound, narrowed, or downgraded</w:t>
            </w:r>
          </w:p>
        </w:tc>
        <w:tc>
          <w:tcPr>
            <w:tcW w:type="dxa" w:w="2045"/>
          </w:tcPr>
          <w:p>
            <w:pPr>
              <w:spacing w:after="0"/>
            </w:pPr>
            <w:r>
              <w:rPr>
                <w:rFonts w:ascii="Arial" w:hAnsi="Arial"/>
                <w:b w:val="0"/>
                <w:sz w:val="14"/>
              </w:rPr>
              <w:t>Keep provisional until publication approval; no final scores/rankings</w:t>
            </w:r>
          </w:p>
        </w:tc>
        <w:tc>
          <w:tcPr>
            <w:tcW w:type="dxa" w:w="2045"/>
          </w:tcPr>
          <w:p>
            <w:pPr>
              <w:spacing w:after="0"/>
            </w:pPr>
            <w:r>
              <w:rPr>
                <w:rFonts w:ascii="Arial" w:hAnsi="Arial"/>
                <w:b w:val="0"/>
                <w:sz w:val="14"/>
              </w:rPr>
              <w:t>Phase 1C follow-up</w:t>
            </w:r>
          </w:p>
        </w:tc>
      </w:tr>
    </w:tbl>
    <w:p>
      <w:pPr>
        <w:pStyle w:val="Heading2"/>
      </w:pPr>
      <w:r>
        <w:t>J.4 Deferred Phase 1D Items</w:t>
      </w:r>
    </w:p>
    <w:p>
      <w:pPr>
        <w:keepNext/>
      </w:pPr>
      <w:r>
        <w:rPr>
          <w:b/>
          <w:sz w:val="16"/>
        </w:rPr>
        <w:t>Table T-J-03: Phase 1D Layout / Publication Items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Publication Risk</w:t>
            </w:r>
          </w:p>
        </w:tc>
        <w:tc>
          <w:tcPr>
            <w:tcW w:type="dxa" w:w="2045"/>
          </w:tcPr>
          <w:p>
            <w:pPr>
              <w:spacing w:after="0"/>
            </w:pPr>
            <w:r>
              <w:rPr>
                <w:rFonts w:ascii="Arial" w:hAnsi="Arial"/>
                <w:b/>
                <w:sz w:val="14"/>
              </w:rPr>
              <w:t>Required QA</w:t>
            </w:r>
          </w:p>
        </w:tc>
        <w:tc>
          <w:tcPr>
            <w:tcW w:type="dxa" w:w="2045"/>
          </w:tcPr>
          <w:p>
            <w:pPr>
              <w:spacing w:after="0"/>
            </w:pPr>
            <w:r>
              <w:rPr>
                <w:rFonts w:ascii="Arial" w:hAnsi="Arial"/>
                <w:b/>
                <w:sz w:val="14"/>
              </w:rPr>
              <w:t>Expected Output</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DOCX generation</w:t>
            </w:r>
          </w:p>
        </w:tc>
        <w:tc>
          <w:tcPr>
            <w:tcW w:type="dxa" w:w="2045"/>
          </w:tcPr>
          <w:p>
            <w:pPr>
              <w:spacing w:after="0"/>
            </w:pPr>
            <w:r>
              <w:rPr>
                <w:rFonts w:ascii="Arial" w:hAnsi="Arial"/>
                <w:b w:val="0"/>
                <w:sz w:val="14"/>
              </w:rPr>
              <w:t>Formatting may drift from Markdown source</w:t>
            </w:r>
          </w:p>
        </w:tc>
        <w:tc>
          <w:tcPr>
            <w:tcW w:type="dxa" w:w="2045"/>
          </w:tcPr>
          <w:p>
            <w:pPr>
              <w:spacing w:after="0"/>
            </w:pPr>
            <w:r>
              <w:rPr>
                <w:rFonts w:ascii="Arial" w:hAnsi="Arial"/>
                <w:b w:val="0"/>
                <w:sz w:val="14"/>
              </w:rPr>
              <w:t>Generate DOCX from reviewed source</w:t>
            </w:r>
          </w:p>
        </w:tc>
        <w:tc>
          <w:tcPr>
            <w:tcW w:type="dxa" w:w="2045"/>
          </w:tcPr>
          <w:p>
            <w:pPr>
              <w:spacing w:after="0"/>
            </w:pPr>
            <w:r>
              <w:rPr>
                <w:rFonts w:ascii="Arial" w:hAnsi="Arial"/>
                <w:b w:val="0"/>
                <w:sz w:val="14"/>
              </w:rPr>
              <w:t>Publication candidate DOCX</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PDF generation</w:t>
            </w:r>
          </w:p>
        </w:tc>
        <w:tc>
          <w:tcPr>
            <w:tcW w:type="dxa" w:w="2045"/>
          </w:tcPr>
          <w:p>
            <w:pPr>
              <w:spacing w:after="0"/>
            </w:pPr>
            <w:r>
              <w:rPr>
                <w:rFonts w:ascii="Arial" w:hAnsi="Arial"/>
                <w:b w:val="0"/>
                <w:sz w:val="14"/>
              </w:rPr>
              <w:t>Tables or figures may clip or wrap poorly</w:t>
            </w:r>
          </w:p>
        </w:tc>
        <w:tc>
          <w:tcPr>
            <w:tcW w:type="dxa" w:w="2045"/>
          </w:tcPr>
          <w:p>
            <w:pPr>
              <w:spacing w:after="0"/>
            </w:pPr>
            <w:r>
              <w:rPr>
                <w:rFonts w:ascii="Arial" w:hAnsi="Arial"/>
                <w:b w:val="0"/>
                <w:sz w:val="14"/>
              </w:rPr>
              <w:t>Generate PDF from finalized DOCX/source</w:t>
            </w:r>
          </w:p>
        </w:tc>
        <w:tc>
          <w:tcPr>
            <w:tcW w:type="dxa" w:w="2045"/>
          </w:tcPr>
          <w:p>
            <w:pPr>
              <w:spacing w:after="0"/>
            </w:pPr>
            <w:r>
              <w:rPr>
                <w:rFonts w:ascii="Arial" w:hAnsi="Arial"/>
                <w:b w:val="0"/>
                <w:sz w:val="14"/>
              </w:rPr>
              <w:t>Publication candidate PDF</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rendering</w:t>
            </w:r>
          </w:p>
        </w:tc>
        <w:tc>
          <w:tcPr>
            <w:tcW w:type="dxa" w:w="2045"/>
          </w:tcPr>
          <w:p>
            <w:pPr>
              <w:spacing w:after="0"/>
            </w:pPr>
            <w:r>
              <w:rPr>
                <w:rFonts w:ascii="Arial" w:hAnsi="Arial"/>
                <w:b w:val="0"/>
                <w:sz w:val="14"/>
              </w:rPr>
              <w:t>Landscape tables may be unreadable or clipped</w:t>
            </w:r>
          </w:p>
        </w:tc>
        <w:tc>
          <w:tcPr>
            <w:tcW w:type="dxa" w:w="2045"/>
          </w:tcPr>
          <w:p>
            <w:pPr>
              <w:spacing w:after="0"/>
            </w:pPr>
            <w:r>
              <w:rPr>
                <w:rFonts w:ascii="Arial" w:hAnsi="Arial"/>
                <w:b w:val="0"/>
                <w:sz w:val="14"/>
              </w:rPr>
              <w:t>Inspect T-D-01, T-13/T-14/T-15/T-17/T-18, Appendix G, H-K tables</w:t>
            </w:r>
          </w:p>
        </w:tc>
        <w:tc>
          <w:tcPr>
            <w:tcW w:type="dxa" w:w="2045"/>
          </w:tcPr>
          <w:p>
            <w:pPr>
              <w:spacing w:after="0"/>
            </w:pPr>
            <w:r>
              <w:rPr>
                <w:rFonts w:ascii="Arial" w:hAnsi="Arial"/>
                <w:b w:val="0"/>
                <w:sz w:val="14"/>
              </w:rPr>
              <w:t>Wide-table remediation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Figure readability</w:t>
            </w:r>
          </w:p>
        </w:tc>
        <w:tc>
          <w:tcPr>
            <w:tcW w:type="dxa" w:w="2045"/>
          </w:tcPr>
          <w:p>
            <w:pPr>
              <w:spacing w:after="0"/>
            </w:pPr>
            <w:r>
              <w:rPr>
                <w:rFonts w:ascii="Arial" w:hAnsi="Arial"/>
                <w:b w:val="0"/>
                <w:sz w:val="14"/>
              </w:rPr>
              <w:t>Figure panels or generated figures may not be publication grade</w:t>
            </w:r>
          </w:p>
        </w:tc>
        <w:tc>
          <w:tcPr>
            <w:tcW w:type="dxa" w:w="2045"/>
          </w:tcPr>
          <w:p>
            <w:pPr>
              <w:spacing w:after="0"/>
            </w:pPr>
            <w:r>
              <w:rPr>
                <w:rFonts w:ascii="Arial" w:hAnsi="Arial"/>
                <w:b w:val="0"/>
                <w:sz w:val="14"/>
              </w:rPr>
              <w:t>Verify figure resolution, labels, captions, and references</w:t>
            </w:r>
          </w:p>
        </w:tc>
        <w:tc>
          <w:tcPr>
            <w:tcW w:type="dxa" w:w="2045"/>
          </w:tcPr>
          <w:p>
            <w:pPr>
              <w:spacing w:after="0"/>
            </w:pPr>
            <w:r>
              <w:rPr>
                <w:rFonts w:ascii="Arial" w:hAnsi="Arial"/>
                <w:b w:val="0"/>
                <w:sz w:val="14"/>
              </w:rPr>
              <w:t>Figure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Table captions and page breaks</w:t>
            </w:r>
          </w:p>
        </w:tc>
        <w:tc>
          <w:tcPr>
            <w:tcW w:type="dxa" w:w="2045"/>
          </w:tcPr>
          <w:p>
            <w:pPr>
              <w:spacing w:after="0"/>
            </w:pPr>
            <w:r>
              <w:rPr>
                <w:rFonts w:ascii="Arial" w:hAnsi="Arial"/>
                <w:b w:val="0"/>
                <w:sz w:val="14"/>
              </w:rPr>
              <w:t>Captions and headers may split incorrectly</w:t>
            </w:r>
          </w:p>
        </w:tc>
        <w:tc>
          <w:tcPr>
            <w:tcW w:type="dxa" w:w="2045"/>
          </w:tcPr>
          <w:p>
            <w:pPr>
              <w:spacing w:after="0"/>
            </w:pPr>
            <w:r>
              <w:rPr>
                <w:rFonts w:ascii="Arial" w:hAnsi="Arial"/>
                <w:b w:val="0"/>
                <w:sz w:val="14"/>
              </w:rPr>
              <w:t>Inspect page breaks, captions, repeated headers</w:t>
            </w:r>
          </w:p>
        </w:tc>
        <w:tc>
          <w:tcPr>
            <w:tcW w:type="dxa" w:w="2045"/>
          </w:tcPr>
          <w:p>
            <w:pPr>
              <w:spacing w:after="0"/>
            </w:pPr>
            <w:r>
              <w:rPr>
                <w:rFonts w:ascii="Arial" w:hAnsi="Arial"/>
                <w:b w:val="0"/>
                <w:sz w:val="14"/>
              </w:rPr>
              <w:t>Layout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Citation rendering</w:t>
            </w:r>
          </w:p>
        </w:tc>
        <w:tc>
          <w:tcPr>
            <w:tcW w:type="dxa" w:w="2045"/>
          </w:tcPr>
          <w:p>
            <w:pPr>
              <w:spacing w:after="0"/>
            </w:pPr>
            <w:r>
              <w:rPr>
                <w:rFonts w:ascii="Arial" w:hAnsi="Arial"/>
                <w:b w:val="0"/>
                <w:sz w:val="14"/>
              </w:rPr>
              <w:t>Citations may not render consistently in DOCX/PDF</w:t>
            </w:r>
          </w:p>
        </w:tc>
        <w:tc>
          <w:tcPr>
            <w:tcW w:type="dxa" w:w="2045"/>
          </w:tcPr>
          <w:p>
            <w:pPr>
              <w:spacing w:after="0"/>
            </w:pPr>
            <w:r>
              <w:rPr>
                <w:rFonts w:ascii="Arial" w:hAnsi="Arial"/>
                <w:b w:val="0"/>
                <w:sz w:val="14"/>
              </w:rPr>
              <w:t>Verify citation formatting after generation</w:t>
            </w:r>
          </w:p>
        </w:tc>
        <w:tc>
          <w:tcPr>
            <w:tcW w:type="dxa" w:w="2045"/>
          </w:tcPr>
          <w:p>
            <w:pPr>
              <w:spacing w:after="0"/>
            </w:pPr>
            <w:r>
              <w:rPr>
                <w:rFonts w:ascii="Arial" w:hAnsi="Arial"/>
                <w:b w:val="0"/>
                <w:sz w:val="14"/>
              </w:rPr>
              <w:t>Citation rendering QA record</w:t>
            </w:r>
          </w:p>
        </w:tc>
        <w:tc>
          <w:tcPr>
            <w:tcW w:type="dxa" w:w="2045"/>
          </w:tcPr>
          <w:p>
            <w:pPr>
              <w:spacing w:after="0"/>
            </w:pPr>
            <w:r>
              <w:rPr>
                <w:rFonts w:ascii="Arial" w:hAnsi="Arial"/>
                <w:b w:val="0"/>
                <w:sz w:val="14"/>
              </w:rPr>
              <w:t>Phase 1D</w:t>
            </w:r>
          </w:p>
        </w:tc>
      </w:tr>
    </w:tbl>
    <w:p>
      <w:pPr>
        <w:pStyle w:val="Heading2"/>
      </w:pPr>
      <w:r>
        <w:t>J.5 Closure Interpretation Boundary</w:t>
      </w:r>
    </w:p>
    <w:p>
      <w:pPr>
        <w:spacing w:after="56"/>
      </w:pPr>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Pr>
        <w:spacing w:after="56"/>
      </w:pPr>
      <w:r>
        <w:t>Phase 1D-11 citation/source closure has been completed for high-risk blockers. Remaining work is publication-candidate human review and final proofing, with explicit non-blocking limitations preserved.</w:t>
      </w:r>
    </w:p>
    <w:p>
      <w:pPr>
        <w:pStyle w:val="Heading1"/>
      </w:pPr>
      <w:r>
        <w:t>Appendix K — Editorial Remediation Record</w:t>
      </w:r>
    </w:p>
    <w:p>
      <w:pPr>
        <w:spacing w:after="56"/>
      </w:pPr>
      <w:r>
        <w:t>Version: v0.3.2-FRC-R3</w:t>
      </w:r>
    </w:p>
    <w:p>
      <w:pPr>
        <w:pStyle w:val="Heading2"/>
      </w:pPr>
      <w:r>
        <w:t>K.0 Editorial Remediation Boundary</w:t>
      </w:r>
    </w:p>
    <w:p>
      <w:pPr>
        <w:spacing w:after="56"/>
      </w:pPr>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Pr>
        <w:spacing w:after="56"/>
      </w:pPr>
      <w:r>
        <w:t>The record does not claim that Phase 1D publication QA or publication-candidate review has been completed.</w:t>
      </w:r>
    </w:p>
    <w:p>
      <w:pPr>
        <w:pStyle w:val="Heading2"/>
      </w:pPr>
      <w:r>
        <w:t>K.1 Remediation Categories</w:t>
      </w:r>
    </w:p>
    <w:p>
      <w:pPr>
        <w:spacing w:after="56"/>
      </w:pPr>
      <w:r>
        <w:t>Remediation categories:</w:t>
      </w:r>
    </w:p>
    <w:p>
      <w:pPr>
        <w:pStyle w:val="ListNumber"/>
        <w:spacing w:after="56"/>
      </w:pPr>
      <w:r>
        <w:t>Structural reconstruction: Creating clean Markdown source, filling chapters, and replacing unstable PDF extraction behavior.</w:t>
      </w:r>
    </w:p>
    <w:p>
      <w:pPr>
        <w:pStyle w:val="ListNumber"/>
        <w:spacing w:after="56"/>
      </w:pPr>
      <w:r>
        <w:t>Methodology correction: Aligning evidence multipliers, scoring formulas, score-5 interpretation, and composite weighting.</w:t>
      </w:r>
    </w:p>
    <w:p>
      <w:pPr>
        <w:pStyle w:val="ListNumber"/>
        <w:spacing w:after="56"/>
      </w:pPr>
      <w:r>
        <w:t>Boundary hardening: Preventing legal, procurement, certification, vendor ordering, or compliance-proof overclaim.</w:t>
      </w:r>
    </w:p>
    <w:p>
      <w:pPr>
        <w:pStyle w:val="ListNumber"/>
        <w:spacing w:after="56"/>
      </w:pPr>
      <w:r>
        <w:t>Source governance: Preserving citation inventory status, L2 revalidation requirements, evidence level annotation, and source coverage validation.</w:t>
      </w:r>
    </w:p>
    <w:p>
      <w:pPr>
        <w:pStyle w:val="ListNumber"/>
        <w:spacing w:after="56"/>
      </w:pPr>
      <w:r>
        <w:t>Publication deferral: Reserving DOCX/PDF generation and layout QA for Phase 1D.</w:t>
      </w:r>
    </w:p>
    <w:p>
      <w:pPr>
        <w:pStyle w:val="Heading2"/>
      </w:pPr>
      <w:r>
        <w:t>K.2 Phase 1A Remediation Record</w:t>
      </w:r>
    </w:p>
    <w:p>
      <w:pPr>
        <w:spacing w:after="56"/>
      </w:pPr>
      <w:r>
        <w:t>Phase 1A established the clean source foundation:</w:t>
      </w:r>
    </w:p>
    <w:p>
      <w:pPr>
        <w:pStyle w:val="ListBullet"/>
        <w:spacing w:after="56"/>
      </w:pPr>
      <w:r>
        <w:t>Rebuilt the document as Markdown-first source.</w:t>
      </w:r>
    </w:p>
    <w:p>
      <w:pPr>
        <w:pStyle w:val="ListBullet"/>
        <w:spacing w:after="56"/>
      </w:pPr>
      <w:r>
        <w:t>Filled core body chapters and methodology chapters.</w:t>
      </w:r>
    </w:p>
    <w:p>
      <w:pPr>
        <w:pStyle w:val="ListBullet"/>
        <w:spacing w:after="56"/>
      </w:pPr>
      <w:r>
        <w:t>Established RCCS, ALCS, evidence multiplier, and composite scoring discipline.</w:t>
      </w:r>
    </w:p>
    <w:p>
      <w:pPr>
        <w:pStyle w:val="ListBullet"/>
        <w:spacing w:after="56"/>
      </w:pPr>
      <w:r>
        <w:t>Preserved non-legal and non-certifying boundaries.</w:t>
      </w:r>
    </w:p>
    <w:p>
      <w:pPr>
        <w:pStyle w:val="ListBullet"/>
        <w:spacing w:after="56"/>
      </w:pPr>
      <w:r>
        <w:t>Deferred DOCX/PDF generation until after source completion and cleanup.</w:t>
      </w:r>
    </w:p>
    <w:p>
      <w:pPr>
        <w:pStyle w:val="Heading2"/>
      </w:pPr>
      <w:r>
        <w:t>K.3 Phase 1B Remediation Record</w:t>
      </w:r>
    </w:p>
    <w:p>
      <w:pPr>
        <w:keepNext/>
      </w:pPr>
      <w:r>
        <w:rPr>
          <w:b/>
          <w:sz w:val="16"/>
        </w:rPr>
        <w:t>Table T-K-01: Editorial Remediation Record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Record ID</w:t>
            </w:r>
          </w:p>
        </w:tc>
        <w:tc>
          <w:tcPr>
            <w:tcW w:type="dxa" w:w="1704"/>
          </w:tcPr>
          <w:p>
            <w:pPr>
              <w:spacing w:after="0"/>
            </w:pPr>
            <w:r>
              <w:rPr>
                <w:rFonts w:ascii="Arial" w:hAnsi="Arial"/>
                <w:b/>
                <w:sz w:val="12"/>
              </w:rPr>
              <w:t>Phase</w:t>
            </w:r>
          </w:p>
        </w:tc>
        <w:tc>
          <w:tcPr>
            <w:tcW w:type="dxa" w:w="1704"/>
          </w:tcPr>
          <w:p>
            <w:pPr>
              <w:spacing w:after="0"/>
            </w:pPr>
            <w:r>
              <w:rPr>
                <w:rFonts w:ascii="Arial" w:hAnsi="Arial"/>
                <w:b/>
                <w:sz w:val="12"/>
              </w:rPr>
              <w:t>Issue</w:t>
            </w:r>
          </w:p>
        </w:tc>
        <w:tc>
          <w:tcPr>
            <w:tcW w:type="dxa" w:w="1704"/>
          </w:tcPr>
          <w:p>
            <w:pPr>
              <w:spacing w:after="0"/>
            </w:pPr>
            <w:r>
              <w:rPr>
                <w:rFonts w:ascii="Arial" w:hAnsi="Arial"/>
                <w:b/>
                <w:sz w:val="12"/>
              </w:rPr>
              <w:t>Remediation</w:t>
            </w:r>
          </w:p>
        </w:tc>
        <w:tc>
          <w:tcPr>
            <w:tcW w:type="dxa" w:w="1704"/>
          </w:tcPr>
          <w:p>
            <w:pPr>
              <w:spacing w:after="0"/>
            </w:pPr>
            <w:r>
              <w:rPr>
                <w:rFonts w:ascii="Arial" w:hAnsi="Arial"/>
                <w:b/>
                <w:sz w:val="12"/>
              </w:rPr>
              <w:t>Evidence / File Area</w:t>
            </w:r>
          </w:p>
        </w:tc>
        <w:tc>
          <w:tcPr>
            <w:tcW w:type="dxa" w:w="1704"/>
          </w:tcPr>
          <w:p>
            <w:pPr>
              <w:spacing w:after="0"/>
            </w:pPr>
            <w:r>
              <w:rPr>
                <w:rFonts w:ascii="Arial" w:hAnsi="Arial"/>
                <w:b/>
                <w:sz w:val="12"/>
              </w:rPr>
              <w:t>Status</w:t>
            </w:r>
          </w:p>
        </w:tc>
      </w:tr>
      <w:tr>
        <w:tc>
          <w:tcPr>
            <w:tcW w:type="dxa" w:w="1704"/>
          </w:tcPr>
          <w:p>
            <w:pPr>
              <w:spacing w:after="0"/>
            </w:pPr>
            <w:r>
              <w:rPr>
                <w:rFonts w:ascii="Arial" w:hAnsi="Arial"/>
                <w:b w:val="0"/>
                <w:sz w:val="12"/>
              </w:rPr>
              <w:t>R-K-01</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R2 extraction and layout instability</w:t>
            </w:r>
          </w:p>
        </w:tc>
        <w:tc>
          <w:tcPr>
            <w:tcW w:type="dxa" w:w="1704"/>
          </w:tcPr>
          <w:p>
            <w:pPr>
              <w:spacing w:after="0"/>
            </w:pPr>
            <w:r>
              <w:rPr>
                <w:rFonts w:ascii="Arial" w:hAnsi="Arial"/>
                <w:b w:val="0"/>
                <w:sz w:val="12"/>
              </w:rPr>
              <w:t>Adopted Markdown-first reconstruction strategy</w:t>
            </w:r>
          </w:p>
        </w:tc>
        <w:tc>
          <w:tcPr>
            <w:tcW w:type="dxa" w:w="1704"/>
          </w:tcPr>
          <w:p>
            <w:pPr>
              <w:spacing w:after="0"/>
            </w:pPr>
            <w:r>
              <w:rPr>
                <w:rFonts w:ascii="Arial" w:hAnsi="Arial"/>
                <w:b w:val="0"/>
                <w:sz w:val="12"/>
              </w:rPr>
              <w:t>Reconstruction notes; SOURCE MASTER</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R-K-02</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Core methodology needed stable scoring discipline</w:t>
            </w:r>
          </w:p>
        </w:tc>
        <w:tc>
          <w:tcPr>
            <w:tcW w:type="dxa" w:w="1704"/>
          </w:tcPr>
          <w:p>
            <w:pPr>
              <w:spacing w:after="0"/>
            </w:pPr>
            <w:r>
              <w:rPr>
                <w:rFonts w:ascii="Arial" w:hAnsi="Arial"/>
                <w:b w:val="0"/>
                <w:sz w:val="12"/>
              </w:rPr>
              <w:t>Established canonical evidence multipliers and scoring formulas</w:t>
            </w:r>
          </w:p>
        </w:tc>
        <w:tc>
          <w:tcPr>
            <w:tcW w:type="dxa" w:w="1704"/>
          </w:tcPr>
          <w:p>
            <w:pPr>
              <w:spacing w:after="0"/>
            </w:pPr>
            <w:r>
              <w:rPr>
                <w:rFonts w:ascii="Arial" w:hAnsi="Arial"/>
                <w:b w:val="0"/>
                <w:sz w:val="12"/>
              </w:rPr>
              <w:t>Chapters 7-9; Appendix B</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R-K-03</w:t>
            </w:r>
          </w:p>
        </w:tc>
        <w:tc>
          <w:tcPr>
            <w:tcW w:type="dxa" w:w="1704"/>
          </w:tcPr>
          <w:p>
            <w:pPr>
              <w:spacing w:after="0"/>
            </w:pPr>
            <w:r>
              <w:rPr>
                <w:rFonts w:ascii="Arial" w:hAnsi="Arial"/>
                <w:b w:val="0"/>
                <w:sz w:val="12"/>
              </w:rPr>
              <w:t>Phase 1B-1 to 1B-7</w:t>
            </w:r>
          </w:p>
        </w:tc>
        <w:tc>
          <w:tcPr>
            <w:tcW w:type="dxa" w:w="1704"/>
          </w:tcPr>
          <w:p>
            <w:pPr>
              <w:spacing w:after="0"/>
            </w:pPr>
            <w:r>
              <w:rPr>
                <w:rFonts w:ascii="Arial" w:hAnsi="Arial"/>
                <w:b w:val="0"/>
                <w:sz w:val="12"/>
              </w:rPr>
              <w:t>Body chapters 11-15 and 17-18 missing from clean source</w:t>
            </w:r>
          </w:p>
        </w:tc>
        <w:tc>
          <w:tcPr>
            <w:tcW w:type="dxa" w:w="1704"/>
          </w:tcPr>
          <w:p>
            <w:pPr>
              <w:spacing w:after="0"/>
            </w:pPr>
            <w:r>
              <w:rPr>
                <w:rFonts w:ascii="Arial" w:hAnsi="Arial"/>
                <w:b w:val="0"/>
                <w:sz w:val="12"/>
              </w:rPr>
              <w:t>Filled comparative field, mappings, validation pattern, failure scenarios, roadmap, and conclusion</w:t>
            </w:r>
          </w:p>
        </w:tc>
        <w:tc>
          <w:tcPr>
            <w:tcW w:type="dxa" w:w="1704"/>
          </w:tcPr>
          <w:p>
            <w:pPr>
              <w:spacing w:after="0"/>
            </w:pPr>
            <w:r>
              <w:rPr>
                <w:rFonts w:ascii="Arial" w:hAnsi="Arial"/>
                <w:b w:val="0"/>
                <w:sz w:val="12"/>
              </w:rPr>
              <w:t>Sections 11-15, 17-18</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R-K-04</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Created templates, scorecards, source notes, and expanded MRO mapping</w:t>
            </w:r>
          </w:p>
        </w:tc>
        <w:tc>
          <w:tcPr>
            <w:tcW w:type="dxa" w:w="1704"/>
          </w:tcPr>
          <w:p>
            <w:pPr>
              <w:spacing w:after="0"/>
            </w:pPr>
            <w:r>
              <w:rPr>
                <w:rFonts w:ascii="Arial" w:hAnsi="Arial"/>
                <w:b w:val="0"/>
                <w:sz w:val="12"/>
              </w:rPr>
              <w:t>Appendices A-D</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R-K-05</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B methodology values inconsistent with canonical method</w:t>
            </w:r>
          </w:p>
        </w:tc>
        <w:tc>
          <w:tcPr>
            <w:tcW w:type="dxa" w:w="1704"/>
          </w:tcPr>
          <w:p>
            <w:pPr>
              <w:spacing w:after="0"/>
            </w:pPr>
            <w:r>
              <w:rPr>
                <w:rFonts w:ascii="Arial" w:hAnsi="Arial"/>
                <w:b w:val="0"/>
                <w:sz w:val="12"/>
              </w:rPr>
              <w:t>Corrected evidence multipliers, adjusted score formula, composite weights, and Article 12 example</w:t>
            </w:r>
          </w:p>
        </w:tc>
        <w:tc>
          <w:tcPr>
            <w:tcW w:type="dxa" w:w="1704"/>
          </w:tcPr>
          <w:p>
            <w:pPr>
              <w:spacing w:after="0"/>
            </w:pPr>
            <w:r>
              <w:rPr>
                <w:rFonts w:ascii="Arial" w:hAnsi="Arial"/>
                <w:b w:val="0"/>
                <w:sz w:val="12"/>
              </w:rPr>
              <w:t>Appendix B; Phase 1B-8C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R-K-06</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A and D contained overclaim risk</w:t>
            </w:r>
          </w:p>
        </w:tc>
        <w:tc>
          <w:tcPr>
            <w:tcW w:type="dxa" w:w="1704"/>
          </w:tcPr>
          <w:p>
            <w:pPr>
              <w:spacing w:after="0"/>
            </w:pPr>
            <w:r>
              <w:rPr>
                <w:rFonts w:ascii="Arial" w:hAnsi="Arial"/>
                <w:b w:val="0"/>
                <w:sz w:val="12"/>
              </w:rPr>
              <w:t>Neutralized compliance-sounding template values and marked mappings provisional</w:t>
            </w:r>
          </w:p>
        </w:tc>
        <w:tc>
          <w:tcPr>
            <w:tcW w:type="dxa" w:w="1704"/>
          </w:tcPr>
          <w:p>
            <w:pPr>
              <w:spacing w:after="0"/>
            </w:pPr>
            <w:r>
              <w:rPr>
                <w:rFonts w:ascii="Arial" w:hAnsi="Arial"/>
                <w:b w:val="0"/>
                <w:sz w:val="12"/>
              </w:rPr>
              <w:t>Appendices A and D</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R-K-07</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Appendices E-G missing detailed rubric and assessment content</w:t>
            </w:r>
          </w:p>
        </w:tc>
        <w:tc>
          <w:tcPr>
            <w:tcW w:type="dxa" w:w="1704"/>
          </w:tcPr>
          <w:p>
            <w:pPr>
              <w:spacing w:after="0"/>
            </w:pPr>
            <w:r>
              <w:rPr>
                <w:rFonts w:ascii="Arial" w:hAnsi="Arial"/>
                <w:b w:val="0"/>
                <w:sz w:val="12"/>
              </w:rPr>
              <w:t>Created RCCS rubrics, ALCS rubrics, and provisional system assessments</w:t>
            </w:r>
          </w:p>
        </w:tc>
        <w:tc>
          <w:tcPr>
            <w:tcW w:type="dxa" w:w="1704"/>
          </w:tcPr>
          <w:p>
            <w:pPr>
              <w:spacing w:after="0"/>
            </w:pPr>
            <w:r>
              <w:rPr>
                <w:rFonts w:ascii="Arial" w:hAnsi="Arial"/>
                <w:b w:val="0"/>
                <w:sz w:val="12"/>
              </w:rPr>
              <w:t>Appendices E-G</w:t>
            </w:r>
          </w:p>
        </w:tc>
        <w:tc>
          <w:tcPr>
            <w:tcW w:type="dxa" w:w="1704"/>
          </w:tcPr>
          <w:p>
            <w:pPr>
              <w:spacing w:after="0"/>
            </w:pPr>
            <w:r>
              <w:rPr>
                <w:rFonts w:ascii="Arial" w:hAnsi="Arial"/>
                <w:b w:val="0"/>
                <w:sz w:val="12"/>
              </w:rPr>
              <w:t>Structurally closed</w:t>
            </w:r>
          </w:p>
        </w:tc>
      </w:tr>
      <w:tr>
        <w:tc>
          <w:tcPr>
            <w:tcW w:type="dxa" w:w="1704"/>
          </w:tcPr>
          <w:p>
            <w:pPr>
              <w:spacing w:after="0"/>
            </w:pPr>
            <w:r>
              <w:rPr>
                <w:rFonts w:ascii="Arial" w:hAnsi="Arial"/>
                <w:b w:val="0"/>
                <w:sz w:val="12"/>
              </w:rPr>
              <w:t>R-K-08</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Rewrote Appendix G using authorized 8 systems and qualitative provisional posture</w:t>
            </w:r>
          </w:p>
        </w:tc>
        <w:tc>
          <w:tcPr>
            <w:tcW w:type="dxa" w:w="1704"/>
          </w:tcPr>
          <w:p>
            <w:pPr>
              <w:spacing w:after="0"/>
            </w:pPr>
            <w:r>
              <w:rPr>
                <w:rFonts w:ascii="Arial" w:hAnsi="Arial"/>
                <w:b w:val="0"/>
                <w:sz w:val="12"/>
              </w:rPr>
              <w:t>Appendix G; 1B-9C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R-K-09</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E/F score-5 wording risked implementation overclaim</w:t>
            </w:r>
          </w:p>
        </w:tc>
        <w:tc>
          <w:tcPr>
            <w:tcW w:type="dxa" w:w="1704"/>
          </w:tcPr>
          <w:p>
            <w:pPr>
              <w:spacing w:after="0"/>
            </w:pPr>
            <w:r>
              <w:rPr>
                <w:rFonts w:ascii="Arial" w:hAnsi="Arial"/>
                <w:b w:val="0"/>
                <w:sz w:val="12"/>
              </w:rPr>
              <w:t>Hardened score-5 rows to require implementation evidence</w:t>
            </w:r>
          </w:p>
        </w:tc>
        <w:tc>
          <w:tcPr>
            <w:tcW w:type="dxa" w:w="1704"/>
          </w:tcPr>
          <w:p>
            <w:pPr>
              <w:spacing w:after="0"/>
            </w:pPr>
            <w:r>
              <w:rPr>
                <w:rFonts w:ascii="Arial" w:hAnsi="Arial"/>
                <w:b w:val="0"/>
                <w:sz w:val="12"/>
              </w:rPr>
              <w:t>Appendices E/F</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R-K-10</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Governance ledgers stale after partial 1B-9D patch</w:t>
            </w:r>
          </w:p>
        </w:tc>
        <w:tc>
          <w:tcPr>
            <w:tcW w:type="dxa" w:w="1704"/>
          </w:tcPr>
          <w:p>
            <w:pPr>
              <w:spacing w:after="0"/>
            </w:pPr>
            <w:r>
              <w:rPr>
                <w:rFonts w:ascii="Arial" w:hAnsi="Arial"/>
                <w:b w:val="0"/>
                <w:sz w:val="12"/>
              </w:rPr>
              <w:t>Synced Appendix G metadata, SOURCE MASTER, carryover list, and report</w:t>
            </w:r>
          </w:p>
        </w:tc>
        <w:tc>
          <w:tcPr>
            <w:tcW w:type="dxa" w:w="1704"/>
          </w:tcPr>
          <w:p>
            <w:pPr>
              <w:spacing w:after="0"/>
            </w:pPr>
            <w:r>
              <w:rPr>
                <w:rFonts w:ascii="Arial" w:hAnsi="Arial"/>
                <w:b w:val="0"/>
                <w:sz w:val="12"/>
              </w:rPr>
              <w:t>SOURCE MASTER; 1B-9D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R-K-11</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Appendices H-K missing</w:t>
            </w:r>
          </w:p>
        </w:tc>
        <w:tc>
          <w:tcPr>
            <w:tcW w:type="dxa" w:w="1704"/>
          </w:tcPr>
          <w:p>
            <w:pPr>
              <w:spacing w:after="0"/>
            </w:pPr>
            <w:r>
              <w:rPr>
                <w:rFonts w:ascii="Arial" w:hAnsi="Arial"/>
                <w:b w:val="0"/>
                <w:sz w:val="12"/>
              </w:rPr>
              <w:t>Filled procurement scorecard, source audit register, gap closure matrix, and editorial remediation record</w:t>
            </w:r>
          </w:p>
        </w:tc>
        <w:tc>
          <w:tcPr>
            <w:tcW w:type="dxa" w:w="1704"/>
          </w:tcPr>
          <w:p>
            <w:pPr>
              <w:spacing w:after="0"/>
            </w:pPr>
            <w:r>
              <w:rPr>
                <w:rFonts w:ascii="Arial" w:hAnsi="Arial"/>
                <w:b w:val="0"/>
                <w:sz w:val="12"/>
              </w:rPr>
              <w:t>Appendices H-K</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R-K-12</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Phase 1C / 1D obligations needed final pre-cleanup ledger</w:t>
            </w:r>
          </w:p>
        </w:tc>
        <w:tc>
          <w:tcPr>
            <w:tcW w:type="dxa" w:w="1704"/>
          </w:tcPr>
          <w:p>
            <w:pPr>
              <w:spacing w:after="0"/>
            </w:pPr>
            <w:r>
              <w:rPr>
                <w:rFonts w:ascii="Arial" w:hAnsi="Arial"/>
                <w:b w:val="0"/>
                <w:sz w:val="12"/>
              </w:rPr>
              <w:t>Preserved canonical carryover and publication deferrals</w:t>
            </w:r>
          </w:p>
        </w:tc>
        <w:tc>
          <w:tcPr>
            <w:tcW w:type="dxa" w:w="1704"/>
          </w:tcPr>
          <w:p>
            <w:pPr>
              <w:spacing w:after="0"/>
            </w:pPr>
            <w:r>
              <w:rPr>
                <w:rFonts w:ascii="Arial" w:hAnsi="Arial"/>
                <w:b w:val="0"/>
                <w:sz w:val="12"/>
              </w:rPr>
              <w:t>Appendices I/J/K; completion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R-K-13</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Taxonomy and editorial drift remained after Phase 1B</w:t>
            </w:r>
          </w:p>
        </w:tc>
        <w:tc>
          <w:tcPr>
            <w:tcW w:type="dxa" w:w="1704"/>
          </w:tcPr>
          <w:p>
            <w:pPr>
              <w:spacing w:after="0"/>
            </w:pPr>
            <w:r>
              <w:rPr>
                <w:rFonts w:ascii="Arial" w:hAnsi="Arial"/>
                <w:b w:val="0"/>
                <w:sz w:val="12"/>
              </w:rPr>
              <w:t>Corrected ALCS/MRO names, Stage 0-to-7 wording, eight-contribution wording, and F-09 reservation</w:t>
            </w:r>
          </w:p>
        </w:tc>
        <w:tc>
          <w:tcPr>
            <w:tcW w:type="dxa" w:w="1704"/>
          </w:tcPr>
          <w:p>
            <w:pPr>
              <w:spacing w:after="0"/>
            </w:pPr>
            <w:r>
              <w:rPr>
                <w:rFonts w:ascii="Arial" w:hAnsi="Arial"/>
                <w:b w:val="0"/>
                <w:sz w:val="12"/>
              </w:rPr>
              <w:t>Chapters 14/15/17/18; figure inventory</w:t>
            </w:r>
          </w:p>
        </w:tc>
        <w:tc>
          <w:tcPr>
            <w:tcW w:type="dxa" w:w="1704"/>
          </w:tcPr>
          <w:p>
            <w:pPr>
              <w:spacing w:after="0"/>
            </w:pPr>
            <w:r>
              <w:rPr>
                <w:rFonts w:ascii="Arial" w:hAnsi="Arial"/>
                <w:b w:val="0"/>
                <w:sz w:val="12"/>
              </w:rPr>
              <w:t>Closed for editorial cleanup</w:t>
            </w:r>
          </w:p>
        </w:tc>
      </w:tr>
      <w:tr>
        <w:tc>
          <w:tcPr>
            <w:tcW w:type="dxa" w:w="1704"/>
          </w:tcPr>
          <w:p>
            <w:pPr>
              <w:spacing w:after="0"/>
            </w:pPr>
            <w:r>
              <w:rPr>
                <w:rFonts w:ascii="Arial" w:hAnsi="Arial"/>
                <w:b w:val="0"/>
                <w:sz w:val="12"/>
              </w:rPr>
              <w:t>R-K-14</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Citation and coverage ledgers remained pre-cleanup</w:t>
            </w:r>
          </w:p>
        </w:tc>
        <w:tc>
          <w:tcPr>
            <w:tcW w:type="dxa" w:w="1704"/>
          </w:tcPr>
          <w:p>
            <w:pPr>
              <w:spacing w:after="0"/>
            </w:pPr>
            <w:r>
              <w:rPr>
                <w:rFonts w:ascii="Arial" w:hAnsi="Arial"/>
                <w:b w:val="0"/>
                <w:sz w:val="12"/>
              </w:rPr>
              <w:t>Updated citation inventory and source coverage matrix with URL/entry-point review and unresolved claim-level validation queue</w:t>
            </w:r>
          </w:p>
        </w:tc>
        <w:tc>
          <w:tcPr>
            <w:tcW w:type="dxa" w:w="1704"/>
          </w:tcPr>
          <w:p>
            <w:pPr>
              <w:spacing w:after="0"/>
            </w:pPr>
            <w:r>
              <w:rPr>
                <w:rFonts w:ascii="Arial" w:hAnsi="Arial"/>
                <w:b w:val="0"/>
                <w:sz w:val="12"/>
              </w:rPr>
              <w:t>Citation inventory; source coverage matrix</w:t>
            </w:r>
          </w:p>
        </w:tc>
        <w:tc>
          <w:tcPr>
            <w:tcW w:type="dxa" w:w="1704"/>
          </w:tcPr>
          <w:p>
            <w:pPr>
              <w:spacing w:after="0"/>
            </w:pPr>
            <w:r>
              <w:rPr>
                <w:rFonts w:ascii="Arial" w:hAnsi="Arial"/>
                <w:b w:val="0"/>
                <w:sz w:val="12"/>
              </w:rPr>
              <w:t>Corrected by Phase 1C follow-up</w:t>
            </w:r>
          </w:p>
        </w:tc>
      </w:tr>
      <w:tr>
        <w:tc>
          <w:tcPr>
            <w:tcW w:type="dxa" w:w="1704"/>
          </w:tcPr>
          <w:p>
            <w:pPr>
              <w:spacing w:after="0"/>
            </w:pPr>
            <w:r>
              <w:rPr>
                <w:rFonts w:ascii="Arial" w:hAnsi="Arial"/>
                <w:b w:val="0"/>
                <w:sz w:val="12"/>
              </w:rPr>
              <w:t>R-K-15</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Wide-table risks were not fully documented for Phase 1D</w:t>
            </w:r>
          </w:p>
        </w:tc>
        <w:tc>
          <w:tcPr>
            <w:tcW w:type="dxa" w:w="1704"/>
          </w:tcPr>
          <w:p>
            <w:pPr>
              <w:spacing w:after="0"/>
            </w:pPr>
            <w:r>
              <w:rPr>
                <w:rFonts w:ascii="Arial" w:hAnsi="Arial"/>
                <w:b w:val="0"/>
                <w:sz w:val="12"/>
              </w:rPr>
              <w:t>Added layout risk notes for requested wide-table set and H-K tables</w:t>
            </w:r>
          </w:p>
        </w:tc>
        <w:tc>
          <w:tcPr>
            <w:tcW w:type="dxa" w:w="1704"/>
          </w:tcPr>
          <w:p>
            <w:pPr>
              <w:spacing w:after="0"/>
            </w:pPr>
            <w:r>
              <w:rPr>
                <w:rFonts w:ascii="Arial" w:hAnsi="Arial"/>
                <w:b w:val="0"/>
                <w:sz w:val="12"/>
              </w:rPr>
              <w:t>Table inventory</w:t>
            </w:r>
          </w:p>
        </w:tc>
        <w:tc>
          <w:tcPr>
            <w:tcW w:type="dxa" w:w="1704"/>
          </w:tcPr>
          <w:p>
            <w:pPr>
              <w:spacing w:after="0"/>
            </w:pPr>
            <w:r>
              <w:rPr>
                <w:rFonts w:ascii="Arial" w:hAnsi="Arial"/>
                <w:b w:val="0"/>
                <w:sz w:val="12"/>
              </w:rPr>
              <w:t>Closed for layout-readiness audit</w:t>
            </w:r>
          </w:p>
        </w:tc>
      </w:tr>
      <w:tr>
        <w:tc>
          <w:tcPr>
            <w:tcW w:type="dxa" w:w="1704"/>
          </w:tcPr>
          <w:p>
            <w:pPr>
              <w:spacing w:after="0"/>
            </w:pPr>
            <w:r>
              <w:rPr>
                <w:rFonts w:ascii="Arial" w:hAnsi="Arial"/>
                <w:b w:val="0"/>
                <w:sz w:val="12"/>
              </w:rPr>
              <w:t>R-K-16</w:t>
            </w:r>
          </w:p>
        </w:tc>
        <w:tc>
          <w:tcPr>
            <w:tcW w:type="dxa" w:w="1704"/>
          </w:tcPr>
          <w:p>
            <w:pPr>
              <w:spacing w:after="0"/>
            </w:pPr>
            <w:r>
              <w:rPr>
                <w:rFonts w:ascii="Arial" w:hAnsi="Arial"/>
                <w:b w:val="0"/>
                <w:sz w:val="12"/>
              </w:rPr>
              <w:t>Phase 1C follow-up / Phase 1D-11</w:t>
            </w:r>
          </w:p>
        </w:tc>
        <w:tc>
          <w:tcPr>
            <w:tcW w:type="dxa" w:w="1704"/>
          </w:tcPr>
          <w:p>
            <w:pPr>
              <w:spacing w:after="0"/>
            </w:pPr>
            <w:r>
              <w:rPr>
                <w:rFonts w:ascii="Arial" w:hAnsi="Arial"/>
                <w:b w:val="0"/>
                <w:sz w:val="12"/>
              </w:rPr>
              <w:t>Claim-level L2 product/protocol source binding remained pending</w:t>
            </w:r>
          </w:p>
        </w:tc>
        <w:tc>
          <w:tcPr>
            <w:tcW w:type="dxa" w:w="1704"/>
          </w:tcPr>
          <w:p>
            <w:pPr>
              <w:spacing w:after="0"/>
            </w:pPr>
            <w:r>
              <w:rPr>
                <w:rFonts w:ascii="Arial" w:hAnsi="Arial"/>
                <w:b w:val="0"/>
                <w:sz w:val="12"/>
              </w:rPr>
              <w:t>Created claim evidence register; Phase 1D-11 closed high-risk source pointers by official source replacement, claim narrowing, L5 downgrade, and explicit limitations</w:t>
            </w:r>
          </w:p>
        </w:tc>
        <w:tc>
          <w:tcPr>
            <w:tcW w:type="dxa" w:w="1704"/>
          </w:tcPr>
          <w:p>
            <w:pPr>
              <w:spacing w:after="0"/>
            </w:pPr>
            <w:r>
              <w:rPr>
                <w:rFonts w:ascii="Arial" w:hAnsi="Arial"/>
                <w:b w:val="0"/>
                <w:sz w:val="12"/>
              </w:rPr>
              <w:t>Claim evidence register; citation inventory; source coverage matrix; Appendix G</w:t>
            </w:r>
          </w:p>
        </w:tc>
        <w:tc>
          <w:tcPr>
            <w:tcW w:type="dxa" w:w="1704"/>
          </w:tcPr>
          <w:p>
            <w:pPr>
              <w:spacing w:after="0"/>
            </w:pPr>
            <w:r>
              <w:rPr>
                <w:rFonts w:ascii="Arial" w:hAnsi="Arial"/>
                <w:b w:val="0"/>
                <w:sz w:val="12"/>
              </w:rPr>
              <w:t>Closed for publication-candidate review; Appendix G remains provisional</w:t>
            </w:r>
          </w:p>
        </w:tc>
      </w:tr>
    </w:tbl>
    <w:p>
      <w:pPr>
        <w:pStyle w:val="Heading2"/>
      </w:pPr>
      <w:r>
        <w:t>K.4 Boundary and Non-Claim Remediation Record</w:t>
      </w:r>
    </w:p>
    <w:p>
      <w:pPr>
        <w:keepNext/>
      </w:pPr>
      <w:r>
        <w:rPr>
          <w:b/>
          <w:sz w:val="16"/>
        </w:rPr>
        <w:t>Table T-K-02: Boundary Hardening Record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Boundary Area</w:t>
            </w:r>
          </w:p>
        </w:tc>
        <w:tc>
          <w:tcPr>
            <w:tcW w:type="dxa" w:w="2045"/>
          </w:tcPr>
          <w:p>
            <w:pPr>
              <w:spacing w:after="0"/>
            </w:pPr>
            <w:r>
              <w:rPr>
                <w:rFonts w:ascii="Arial" w:hAnsi="Arial"/>
                <w:b/>
                <w:sz w:val="14"/>
              </w:rPr>
              <w:t>Risk</w:t>
            </w:r>
          </w:p>
        </w:tc>
        <w:tc>
          <w:tcPr>
            <w:tcW w:type="dxa" w:w="2045"/>
          </w:tcPr>
          <w:p>
            <w:pPr>
              <w:spacing w:after="0"/>
            </w:pPr>
            <w:r>
              <w:rPr>
                <w:rFonts w:ascii="Arial" w:hAnsi="Arial"/>
                <w:b/>
                <w:sz w:val="14"/>
              </w:rPr>
              <w:t>Remediation Applied</w:t>
            </w:r>
          </w:p>
        </w:tc>
        <w:tc>
          <w:tcPr>
            <w:tcW w:type="dxa" w:w="2045"/>
          </w:tcPr>
          <w:p>
            <w:pPr>
              <w:spacing w:after="0"/>
            </w:pPr>
            <w:r>
              <w:rPr>
                <w:rFonts w:ascii="Arial" w:hAnsi="Arial"/>
                <w:b/>
                <w:sz w:val="14"/>
              </w:rPr>
              <w:t>Remaining Check</w:t>
            </w:r>
          </w:p>
        </w:tc>
        <w:tc>
          <w:tcPr>
            <w:tcW w:type="dxa" w:w="2045"/>
          </w:tcPr>
          <w:p>
            <w:pPr>
              <w:spacing w:after="0"/>
            </w:pPr>
            <w:r>
              <w:rPr>
                <w:rFonts w:ascii="Arial" w:hAnsi="Arial"/>
                <w:b/>
                <w:sz w:val="14"/>
              </w:rPr>
              <w:t>Phase</w:t>
            </w:r>
          </w:p>
        </w:tc>
      </w:tr>
      <w:tr>
        <w:tc>
          <w:tcPr>
            <w:tcW w:type="dxa" w:w="2045"/>
          </w:tcPr>
          <w:p>
            <w:pPr>
              <w:spacing w:after="0"/>
            </w:pPr>
            <w:r>
              <w:rPr>
                <w:rFonts w:ascii="Arial" w:hAnsi="Arial"/>
                <w:b w:val="0"/>
                <w:sz w:val="14"/>
              </w:rPr>
              <w:t>RCCS-T/RCCS-M/ALCS non-legal-score boundary</w:t>
            </w:r>
          </w:p>
        </w:tc>
        <w:tc>
          <w:tcPr>
            <w:tcW w:type="dxa" w:w="2045"/>
          </w:tcPr>
          <w:p>
            <w:pPr>
              <w:spacing w:after="0"/>
            </w:pPr>
            <w:r>
              <w:rPr>
                <w:rFonts w:ascii="Arial" w:hAnsi="Arial"/>
                <w:b w:val="0"/>
                <w:sz w:val="14"/>
              </w:rPr>
              <w:t>Readers may treat analytical scores as legal determinations</w:t>
            </w:r>
          </w:p>
        </w:tc>
        <w:tc>
          <w:tcPr>
            <w:tcW w:type="dxa" w:w="2045"/>
          </w:tcPr>
          <w:p>
            <w:pPr>
              <w:spacing w:after="0"/>
            </w:pPr>
            <w:r>
              <w:rPr>
                <w:rFonts w:ascii="Arial" w:hAnsi="Arial"/>
                <w:b w:val="0"/>
                <w:sz w:val="14"/>
              </w:rPr>
              <w:t>Repeated boundary language across chapters and appendices; RCCS-M marked as author analytical and forward-looking</w:t>
            </w:r>
          </w:p>
        </w:tc>
        <w:tc>
          <w:tcPr>
            <w:tcW w:type="dxa" w:w="2045"/>
          </w:tcPr>
          <w:p>
            <w:pPr>
              <w:spacing w:after="0"/>
            </w:pPr>
            <w:r>
              <w:rPr>
                <w:rFonts w:ascii="Arial" w:hAnsi="Arial"/>
                <w:b w:val="0"/>
                <w:sz w:val="14"/>
              </w:rPr>
              <w:t>Phase 1D-13B consistency review completed; verify in final proof</w:t>
            </w:r>
          </w:p>
        </w:tc>
        <w:tc>
          <w:tcPr>
            <w:tcW w:type="dxa" w:w="2045"/>
          </w:tcPr>
          <w:p>
            <w:pPr>
              <w:spacing w:after="0"/>
            </w:pPr>
            <w:r>
              <w:rPr>
                <w:rFonts w:ascii="Arial" w:hAnsi="Arial"/>
                <w:b w:val="0"/>
                <w:sz w:val="14"/>
              </w:rPr>
              <w:t>Phase 1A / 1B / 1D-13B</w:t>
            </w:r>
          </w:p>
        </w:tc>
      </w:tr>
      <w:tr>
        <w:tc>
          <w:tcPr>
            <w:tcW w:type="dxa" w:w="2045"/>
          </w:tcPr>
          <w:p>
            <w:pPr>
              <w:spacing w:after="0"/>
            </w:pPr>
            <w:r>
              <w:rPr>
                <w:rFonts w:ascii="Arial" w:hAnsi="Arial"/>
                <w:b w:val="0"/>
                <w:sz w:val="14"/>
              </w:rPr>
              <w:t>MPLP non-required / non-exclusive boundary</w:t>
            </w:r>
          </w:p>
        </w:tc>
        <w:tc>
          <w:tcPr>
            <w:tcW w:type="dxa" w:w="2045"/>
          </w:tcPr>
          <w:p>
            <w:pPr>
              <w:spacing w:after="0"/>
            </w:pPr>
            <w:r>
              <w:rPr>
                <w:rFonts w:ascii="Arial" w:hAnsi="Arial"/>
                <w:b w:val="0"/>
                <w:sz w:val="14"/>
              </w:rPr>
              <w:t>MPLP could be misread as required or sufficient by itself</w:t>
            </w:r>
          </w:p>
        </w:tc>
        <w:tc>
          <w:tcPr>
            <w:tcW w:type="dxa" w:w="2045"/>
          </w:tcPr>
          <w:p>
            <w:pPr>
              <w:spacing w:after="0"/>
            </w:pPr>
            <w:r>
              <w:rPr>
                <w:rFonts w:ascii="Arial" w:hAnsi="Arial"/>
                <w:b w:val="0"/>
                <w:sz w:val="14"/>
              </w:rPr>
              <w:t>Disclosed author relationship and framed MPLP as one protocol path</w:t>
            </w:r>
          </w:p>
        </w:tc>
        <w:tc>
          <w:tcPr>
            <w:tcW w:type="dxa" w:w="2045"/>
          </w:tcPr>
          <w:p>
            <w:pPr>
              <w:spacing w:after="0"/>
            </w:pPr>
            <w:r>
              <w:rPr>
                <w:rFonts w:ascii="Arial" w:hAnsi="Arial"/>
                <w:b w:val="0"/>
                <w:sz w:val="14"/>
              </w:rPr>
              <w:t>Phase 1C wording review completed; verify in final proof</w:t>
            </w:r>
          </w:p>
        </w:tc>
        <w:tc>
          <w:tcPr>
            <w:tcW w:type="dxa" w:w="2045"/>
          </w:tcPr>
          <w:p>
            <w:pPr>
              <w:spacing w:after="0"/>
            </w:pPr>
            <w:r>
              <w:rPr>
                <w:rFonts w:ascii="Arial" w:hAnsi="Arial"/>
                <w:b w:val="0"/>
                <w:sz w:val="14"/>
              </w:rPr>
              <w:t>Phase 1B-4</w:t>
            </w:r>
          </w:p>
        </w:tc>
      </w:tr>
      <w:tr>
        <w:tc>
          <w:tcPr>
            <w:tcW w:type="dxa" w:w="2045"/>
          </w:tcPr>
          <w:p>
            <w:pPr>
              <w:spacing w:after="0"/>
            </w:pPr>
            <w:r>
              <w:rPr>
                <w:rFonts w:ascii="Arial" w:hAnsi="Arial"/>
                <w:b w:val="0"/>
                <w:sz w:val="14"/>
              </w:rPr>
              <w:t>Validation Lab non-certifying boundary</w:t>
            </w:r>
          </w:p>
        </w:tc>
        <w:tc>
          <w:tcPr>
            <w:tcW w:type="dxa" w:w="2045"/>
          </w:tcPr>
          <w:p>
            <w:pPr>
              <w:spacing w:after="0"/>
            </w:pPr>
            <w:r>
              <w:rPr>
                <w:rFonts w:ascii="Arial" w:hAnsi="Arial"/>
                <w:b w:val="0"/>
                <w:sz w:val="14"/>
              </w:rPr>
              <w:t>Validation Lab could be misread as an approval body</w:t>
            </w:r>
          </w:p>
        </w:tc>
        <w:tc>
          <w:tcPr>
            <w:tcW w:type="dxa" w:w="2045"/>
          </w:tcPr>
          <w:p>
            <w:pPr>
              <w:spacing w:after="0"/>
            </w:pPr>
            <w:r>
              <w:rPr>
                <w:rFonts w:ascii="Arial" w:hAnsi="Arial"/>
                <w:b w:val="0"/>
                <w:sz w:val="14"/>
              </w:rPr>
              <w:t>Framed as a non-certifying evidence adjudication example</w:t>
            </w:r>
          </w:p>
        </w:tc>
        <w:tc>
          <w:tcPr>
            <w:tcW w:type="dxa" w:w="2045"/>
          </w:tcPr>
          <w:p>
            <w:pPr>
              <w:spacing w:after="0"/>
            </w:pPr>
            <w:r>
              <w:rPr>
                <w:rFonts w:ascii="Arial" w:hAnsi="Arial"/>
                <w:b w:val="0"/>
                <w:sz w:val="14"/>
              </w:rPr>
              <w:t>URL and boundary language reviewed at entry-point level; verify in final proof</w:t>
            </w:r>
          </w:p>
        </w:tc>
        <w:tc>
          <w:tcPr>
            <w:tcW w:type="dxa" w:w="2045"/>
          </w:tcPr>
          <w:p>
            <w:pPr>
              <w:spacing w:after="0"/>
            </w:pPr>
            <w:r>
              <w:rPr>
                <w:rFonts w:ascii="Arial" w:hAnsi="Arial"/>
                <w:b w:val="0"/>
                <w:sz w:val="14"/>
              </w:rPr>
              <w:t>Phase 1B-5</w:t>
            </w:r>
          </w:p>
        </w:tc>
      </w:tr>
      <w:tr>
        <w:tc>
          <w:tcPr>
            <w:tcW w:type="dxa" w:w="2045"/>
          </w:tcPr>
          <w:p>
            <w:pPr>
              <w:spacing w:after="0"/>
            </w:pPr>
            <w:r>
              <w:rPr>
                <w:rFonts w:ascii="Arial" w:hAnsi="Arial"/>
                <w:b w:val="0"/>
                <w:sz w:val="14"/>
              </w:rPr>
              <w:t>Appendix G no-score/no-ranking boundary</w:t>
            </w:r>
          </w:p>
        </w:tc>
        <w:tc>
          <w:tcPr>
            <w:tcW w:type="dxa" w:w="2045"/>
          </w:tcPr>
          <w:p>
            <w:pPr>
              <w:spacing w:after="0"/>
            </w:pPr>
            <w:r>
              <w:rPr>
                <w:rFonts w:ascii="Arial" w:hAnsi="Arial"/>
                <w:b w:val="0"/>
                <w:sz w:val="14"/>
              </w:rPr>
              <w:t>Provisional assessment could be misused as vendor ordering</w:t>
            </w:r>
          </w:p>
        </w:tc>
        <w:tc>
          <w:tcPr>
            <w:tcW w:type="dxa" w:w="2045"/>
          </w:tcPr>
          <w:p>
            <w:pPr>
              <w:spacing w:after="0"/>
            </w:pPr>
            <w:r>
              <w:rPr>
                <w:rFonts w:ascii="Arial" w:hAnsi="Arial"/>
                <w:b w:val="0"/>
                <w:sz w:val="14"/>
              </w:rPr>
              <w:t>Removed scores, ordered comparisons, and selection language; Phase 1C follow-up preserved revalidated provisional status</w:t>
            </w:r>
          </w:p>
        </w:tc>
        <w:tc>
          <w:tcPr>
            <w:tcW w:type="dxa" w:w="2045"/>
          </w:tcPr>
          <w:p>
            <w:pPr>
              <w:spacing w:after="0"/>
            </w:pPr>
            <w:r>
              <w:rPr>
                <w:rFonts w:ascii="Arial" w:hAnsi="Arial"/>
                <w:b w:val="0"/>
                <w:sz w:val="14"/>
              </w:rPr>
              <w:t>Verify no score/ranking language in final proof</w:t>
            </w:r>
          </w:p>
        </w:tc>
        <w:tc>
          <w:tcPr>
            <w:tcW w:type="dxa" w:w="2045"/>
          </w:tcPr>
          <w:p>
            <w:pPr>
              <w:spacing w:after="0"/>
            </w:pPr>
            <w:r>
              <w:rPr>
                <w:rFonts w:ascii="Arial" w:hAnsi="Arial"/>
                <w:b w:val="0"/>
                <w:sz w:val="14"/>
              </w:rPr>
              <w:t>Phase 1B-9C / 1B-9D / 1C</w:t>
            </w:r>
          </w:p>
        </w:tc>
      </w:tr>
      <w:tr>
        <w:tc>
          <w:tcPr>
            <w:tcW w:type="dxa" w:w="2045"/>
          </w:tcPr>
          <w:p>
            <w:pPr>
              <w:spacing w:after="0"/>
            </w:pPr>
            <w:r>
              <w:rPr>
                <w:rFonts w:ascii="Arial" w:hAnsi="Arial"/>
                <w:b w:val="0"/>
                <w:sz w:val="14"/>
              </w:rPr>
              <w:t>Appendix E/F legal-text boundary</w:t>
            </w:r>
          </w:p>
        </w:tc>
        <w:tc>
          <w:tcPr>
            <w:tcW w:type="dxa" w:w="2045"/>
          </w:tcPr>
          <w:p>
            <w:pPr>
              <w:spacing w:after="0"/>
            </w:pPr>
            <w:r>
              <w:rPr>
                <w:rFonts w:ascii="Arial" w:hAnsi="Arial"/>
                <w:b w:val="0"/>
                <w:sz w:val="14"/>
              </w:rPr>
              <w:t>Legal text could be misread as implementation evidence</w:t>
            </w:r>
          </w:p>
        </w:tc>
        <w:tc>
          <w:tcPr>
            <w:tcW w:type="dxa" w:w="2045"/>
          </w:tcPr>
          <w:p>
            <w:pPr>
              <w:spacing w:after="0"/>
            </w:pPr>
            <w:r>
              <w:rPr>
                <w:rFonts w:ascii="Arial" w:hAnsi="Arial"/>
                <w:b w:val="0"/>
                <w:sz w:val="14"/>
              </w:rPr>
              <w:t>Hardened score-5 rows and top-level scale language</w:t>
            </w:r>
          </w:p>
        </w:tc>
        <w:tc>
          <w:tcPr>
            <w:tcW w:type="dxa" w:w="2045"/>
          </w:tcPr>
          <w:p>
            <w:pPr>
              <w:spacing w:after="0"/>
            </w:pPr>
            <w:r>
              <w:rPr>
                <w:rFonts w:ascii="Arial" w:hAnsi="Arial"/>
                <w:b w:val="0"/>
                <w:sz w:val="14"/>
              </w:rPr>
              <w:t>Formula and rubric consistency reviewed; verify in final proof</w:t>
            </w:r>
          </w:p>
        </w:tc>
        <w:tc>
          <w:tcPr>
            <w:tcW w:type="dxa" w:w="2045"/>
          </w:tcPr>
          <w:p>
            <w:pPr>
              <w:spacing w:after="0"/>
            </w:pPr>
            <w:r>
              <w:rPr>
                <w:rFonts w:ascii="Arial" w:hAnsi="Arial"/>
                <w:b w:val="0"/>
                <w:sz w:val="14"/>
              </w:rPr>
              <w:t>Phase 1B-9C / 1B-9D</w:t>
            </w:r>
          </w:p>
        </w:tc>
      </w:tr>
      <w:tr>
        <w:tc>
          <w:tcPr>
            <w:tcW w:type="dxa" w:w="2045"/>
          </w:tcPr>
          <w:p>
            <w:pPr>
              <w:spacing w:after="0"/>
            </w:pPr>
            <w:r>
              <w:rPr>
                <w:rFonts w:ascii="Arial" w:hAnsi="Arial"/>
                <w:b w:val="0"/>
                <w:sz w:val="14"/>
              </w:rPr>
              <w:t>Appendix H procurement boundary</w:t>
            </w:r>
          </w:p>
        </w:tc>
        <w:tc>
          <w:tcPr>
            <w:tcW w:type="dxa" w:w="2045"/>
          </w:tcPr>
          <w:p>
            <w:pPr>
              <w:spacing w:after="0"/>
            </w:pPr>
            <w:r>
              <w:rPr>
                <w:rFonts w:ascii="Arial" w:hAnsi="Arial"/>
                <w:b w:val="0"/>
                <w:sz w:val="14"/>
              </w:rPr>
              <w:t>Buyer checklist could be misused as vendor selection advice</w:t>
            </w:r>
          </w:p>
        </w:tc>
        <w:tc>
          <w:tcPr>
            <w:tcW w:type="dxa" w:w="2045"/>
          </w:tcPr>
          <w:p>
            <w:pPr>
              <w:spacing w:after="0"/>
            </w:pPr>
            <w:r>
              <w:rPr>
                <w:rFonts w:ascii="Arial" w:hAnsi="Arial"/>
                <w:b w:val="0"/>
                <w:sz w:val="14"/>
              </w:rPr>
              <w:t>Added procurement-use boundary and required human review</w:t>
            </w:r>
          </w:p>
        </w:tc>
        <w:tc>
          <w:tcPr>
            <w:tcW w:type="dxa" w:w="2045"/>
          </w:tcPr>
          <w:p>
            <w:pPr>
              <w:spacing w:after="0"/>
            </w:pPr>
            <w:r>
              <w:rPr>
                <w:rFonts w:ascii="Arial" w:hAnsi="Arial"/>
                <w:b w:val="0"/>
                <w:sz w:val="14"/>
              </w:rPr>
              <w:t>Verify no vendor ordering language in final proof</w:t>
            </w:r>
          </w:p>
        </w:tc>
        <w:tc>
          <w:tcPr>
            <w:tcW w:type="dxa" w:w="2045"/>
          </w:tcPr>
          <w:p>
            <w:pPr>
              <w:spacing w:after="0"/>
            </w:pPr>
            <w:r>
              <w:rPr>
                <w:rFonts w:ascii="Arial" w:hAnsi="Arial"/>
                <w:b w:val="0"/>
                <w:sz w:val="14"/>
              </w:rPr>
              <w:t>Phase 1B-10</w:t>
            </w:r>
          </w:p>
        </w:tc>
      </w:tr>
      <w:tr>
        <w:tc>
          <w:tcPr>
            <w:tcW w:type="dxa" w:w="2045"/>
          </w:tcPr>
          <w:p>
            <w:pPr>
              <w:spacing w:after="0"/>
            </w:pPr>
            <w:r>
              <w:rPr>
                <w:rFonts w:ascii="Arial" w:hAnsi="Arial"/>
                <w:b w:val="0"/>
                <w:sz w:val="14"/>
              </w:rPr>
              <w:t>Appendix I source audit boundary</w:t>
            </w:r>
          </w:p>
        </w:tc>
        <w:tc>
          <w:tcPr>
            <w:tcW w:type="dxa" w:w="2045"/>
          </w:tcPr>
          <w:p>
            <w:pPr>
              <w:spacing w:after="0"/>
            </w:pPr>
            <w:r>
              <w:rPr>
                <w:rFonts w:ascii="Arial" w:hAnsi="Arial"/>
                <w:b w:val="0"/>
                <w:sz w:val="14"/>
              </w:rPr>
              <w:t>Revalidation register could be misread as completed validation</w:t>
            </w:r>
          </w:p>
        </w:tc>
        <w:tc>
          <w:tcPr>
            <w:tcW w:type="dxa" w:w="2045"/>
          </w:tcPr>
          <w:p>
            <w:pPr>
              <w:spacing w:after="0"/>
            </w:pPr>
            <w:r>
              <w:rPr>
                <w:rFonts w:ascii="Arial" w:hAnsi="Arial"/>
                <w:b w:val="0"/>
                <w:sz w:val="14"/>
              </w:rPr>
              <w:t>Stated that source closure supports publication-candidate review but not legal, audit, certification, or procurement conclusions</w:t>
            </w:r>
          </w:p>
        </w:tc>
        <w:tc>
          <w:tcPr>
            <w:tcW w:type="dxa" w:w="2045"/>
          </w:tcPr>
          <w:p>
            <w:pPr>
              <w:spacing w:after="0"/>
            </w:pPr>
            <w:r>
              <w:rPr>
                <w:rFonts w:ascii="Arial" w:hAnsi="Arial"/>
                <w:b w:val="0"/>
                <w:sz w:val="14"/>
              </w:rPr>
              <w:t>Preserve explicit limitations during final proofing</w:t>
            </w:r>
          </w:p>
        </w:tc>
        <w:tc>
          <w:tcPr>
            <w:tcW w:type="dxa" w:w="2045"/>
          </w:tcPr>
          <w:p>
            <w:pPr>
              <w:spacing w:after="0"/>
            </w:pPr>
            <w:r>
              <w:rPr>
                <w:rFonts w:ascii="Arial" w:hAnsi="Arial"/>
                <w:b w:val="0"/>
                <w:sz w:val="14"/>
              </w:rPr>
              <w:t>Phase 1B-10 / Phase 1C / Phase 1D-11</w:t>
            </w:r>
          </w:p>
        </w:tc>
      </w:tr>
      <w:tr>
        <w:tc>
          <w:tcPr>
            <w:tcW w:type="dxa" w:w="2045"/>
          </w:tcPr>
          <w:p>
            <w:pPr>
              <w:spacing w:after="0"/>
            </w:pPr>
            <w:r>
              <w:rPr>
                <w:rFonts w:ascii="Arial" w:hAnsi="Arial"/>
                <w:b w:val="0"/>
                <w:sz w:val="14"/>
              </w:rPr>
              <w:t>Appendix J closure boundary</w:t>
            </w:r>
          </w:p>
        </w:tc>
        <w:tc>
          <w:tcPr>
            <w:tcW w:type="dxa" w:w="2045"/>
          </w:tcPr>
          <w:p>
            <w:pPr>
              <w:spacing w:after="0"/>
            </w:pPr>
            <w:r>
              <w:rPr>
                <w:rFonts w:ascii="Arial" w:hAnsi="Arial"/>
                <w:b w:val="0"/>
                <w:sz w:val="14"/>
              </w:rPr>
              <w:t>Gap closure could be misread as final publication readiness</w:t>
            </w:r>
          </w:p>
        </w:tc>
        <w:tc>
          <w:tcPr>
            <w:tcW w:type="dxa" w:w="2045"/>
          </w:tcPr>
          <w:p>
            <w:pPr>
              <w:spacing w:after="0"/>
            </w:pPr>
            <w:r>
              <w:rPr>
                <w:rFonts w:ascii="Arial" w:hAnsi="Arial"/>
                <w:b w:val="0"/>
                <w:sz w:val="14"/>
              </w:rPr>
              <w:t>Distinguished closed, structurally closed, completed Phase 1C follow-up, and Phase 1D/publication QA items</w:t>
            </w:r>
          </w:p>
        </w:tc>
        <w:tc>
          <w:tcPr>
            <w:tcW w:type="dxa" w:w="2045"/>
          </w:tcPr>
          <w:p>
            <w:pPr>
              <w:spacing w:after="0"/>
            </w:pPr>
            <w:r>
              <w:rPr>
                <w:rFonts w:ascii="Arial" w:hAnsi="Arial"/>
                <w:b w:val="0"/>
                <w:sz w:val="14"/>
              </w:rPr>
              <w:t>Complete remaining publication QA work</w:t>
            </w:r>
          </w:p>
        </w:tc>
        <w:tc>
          <w:tcPr>
            <w:tcW w:type="dxa" w:w="2045"/>
          </w:tcPr>
          <w:p>
            <w:pPr>
              <w:spacing w:after="0"/>
            </w:pPr>
            <w:r>
              <w:rPr>
                <w:rFonts w:ascii="Arial" w:hAnsi="Arial"/>
                <w:b w:val="0"/>
                <w:sz w:val="14"/>
              </w:rPr>
              <w:t>Phase 1B-10 / Wave 7</w:t>
            </w:r>
          </w:p>
        </w:tc>
      </w:tr>
    </w:tbl>
    <w:p>
      <w:pPr>
        <w:pStyle w:val="Heading2"/>
      </w:pPr>
      <w:r>
        <w:t>K.5 Remaining Publication QA Actions</w:t>
      </w:r>
    </w:p>
    <w:p>
      <w:pPr>
        <w:keepNext/>
      </w:pPr>
      <w:r>
        <w:rPr>
          <w:b/>
          <w:sz w:val="16"/>
        </w:rPr>
        <w:t>Table T-K-03: Remaining Publication QA Actions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Action</w:t>
            </w:r>
          </w:p>
        </w:tc>
        <w:tc>
          <w:tcPr>
            <w:tcW w:type="dxa" w:w="2045"/>
          </w:tcPr>
          <w:p>
            <w:pPr>
              <w:spacing w:after="0"/>
            </w:pPr>
            <w:r>
              <w:rPr>
                <w:rFonts w:ascii="Arial" w:hAnsi="Arial"/>
                <w:b/>
                <w:sz w:val="14"/>
              </w:rPr>
              <w:t>Reason</w:t>
            </w:r>
          </w:p>
        </w:tc>
        <w:tc>
          <w:tcPr>
            <w:tcW w:type="dxa" w:w="2045"/>
          </w:tcPr>
          <w:p>
            <w:pPr>
              <w:spacing w:after="0"/>
            </w:pPr>
            <w:r>
              <w:rPr>
                <w:rFonts w:ascii="Arial" w:hAnsi="Arial"/>
                <w:b/>
                <w:sz w:val="14"/>
              </w:rPr>
              <w:t>Target Phase</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Blocking Level</w:t>
            </w:r>
          </w:p>
        </w:tc>
      </w:tr>
      <w:tr>
        <w:tc>
          <w:tcPr>
            <w:tcW w:type="dxa" w:w="2045"/>
          </w:tcPr>
          <w:p>
            <w:pPr>
              <w:spacing w:after="0"/>
            </w:pPr>
            <w:r>
              <w:rPr>
                <w:rFonts w:ascii="Arial" w:hAnsi="Arial"/>
                <w:b w:val="0"/>
                <w:sz w:val="14"/>
              </w:rPr>
              <w:t>Source-bound product/protocol claim proofing</w:t>
            </w:r>
          </w:p>
        </w:tc>
        <w:tc>
          <w:tcPr>
            <w:tcW w:type="dxa" w:w="2045"/>
          </w:tcPr>
          <w:p>
            <w:pPr>
              <w:spacing w:after="0"/>
            </w:pPr>
            <w:r>
              <w:rPr>
                <w:rFonts w:ascii="Arial" w:hAnsi="Arial"/>
                <w:b w:val="0"/>
                <w:sz w:val="14"/>
              </w:rPr>
              <w:t>Phase 1D-11 closed high-risk blockers, but final human proofing should preserve narrowed wording</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Closure ledger and rendered References / Sources section</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Validation Lab methodology-specific citation</w:t>
            </w:r>
          </w:p>
        </w:tc>
        <w:tc>
          <w:tcPr>
            <w:tcW w:type="dxa" w:w="2045"/>
          </w:tcPr>
          <w:p>
            <w:pPr>
              <w:spacing w:after="0"/>
            </w:pPr>
            <w:r>
              <w:rPr>
                <w:rFonts w:ascii="Arial" w:hAnsi="Arial"/>
                <w:b w:val="0"/>
                <w:sz w:val="14"/>
              </w:rPr>
              <w:t>Methodology page is pinned; support remains public-surface and non-certifying</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Methodology URL plus boundary note</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Evidence level source-to-claim rendering check</w:t>
            </w:r>
          </w:p>
        </w:tc>
        <w:tc>
          <w:tcPr>
            <w:tcW w:type="dxa" w:w="2045"/>
          </w:tcPr>
          <w:p>
            <w:pPr>
              <w:spacing w:after="0"/>
            </w:pPr>
            <w:r>
              <w:rPr>
                <w:rFonts w:ascii="Arial" w:hAnsi="Arial"/>
                <w:b w:val="0"/>
                <w:sz w:val="14"/>
              </w:rPr>
              <w:t>Evidence confidence is tied to claims and rendered in artifacts</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Citation/evidence rendering QA record</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Appendix G revalidated provisional proofread</w:t>
            </w:r>
          </w:p>
        </w:tc>
        <w:tc>
          <w:tcPr>
            <w:tcW w:type="dxa" w:w="2045"/>
          </w:tcPr>
          <w:p>
            <w:pPr>
              <w:spacing w:after="0"/>
            </w:pPr>
            <w:r>
              <w:rPr>
                <w:rFonts w:ascii="Arial" w:hAnsi="Arial"/>
                <w:b w:val="0"/>
                <w:sz w:val="14"/>
              </w:rPr>
              <w:t>Provisional postures now have source binding but remain non-final</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Final no-score/no-ranking grep and citation check</w:t>
            </w:r>
          </w:p>
        </w:tc>
        <w:tc>
          <w:tcPr>
            <w:tcW w:type="dxa" w:w="2045"/>
          </w:tcPr>
          <w:p>
            <w:pPr>
              <w:spacing w:after="0"/>
            </w:pPr>
            <w:r>
              <w:rPr>
                <w:rFonts w:ascii="Arial" w:hAnsi="Arial"/>
                <w:b w:val="0"/>
                <w:sz w:val="14"/>
              </w:rPr>
              <w:t>Non-blocking limitation</w:t>
            </w:r>
          </w:p>
        </w:tc>
      </w:tr>
      <w:tr>
        <w:tc>
          <w:tcPr>
            <w:tcW w:type="dxa" w:w="2045"/>
          </w:tcPr>
          <w:p>
            <w:pPr>
              <w:spacing w:after="0"/>
            </w:pPr>
            <w:r>
              <w:rPr>
                <w:rFonts w:ascii="Arial" w:hAnsi="Arial"/>
                <w:b w:val="0"/>
                <w:sz w:val="14"/>
              </w:rPr>
              <w:t>DOCX/PDF generation and visual QA</w:t>
            </w:r>
          </w:p>
        </w:tc>
        <w:tc>
          <w:tcPr>
            <w:tcW w:type="dxa" w:w="2045"/>
          </w:tcPr>
          <w:p>
            <w:pPr>
              <w:spacing w:after="0"/>
            </w:pPr>
            <w:r>
              <w:rPr>
                <w:rFonts w:ascii="Arial" w:hAnsi="Arial"/>
                <w:b w:val="0"/>
                <w:sz w:val="14"/>
              </w:rPr>
              <w:t>HTML/PDF/DOCX derivative generated through Phase 1D-11</w:t>
            </w:r>
          </w:p>
        </w:tc>
        <w:tc>
          <w:tcPr>
            <w:tcW w:type="dxa" w:w="2045"/>
          </w:tcPr>
          <w:p>
            <w:pPr>
              <w:spacing w:after="0"/>
            </w:pPr>
            <w:r>
              <w:rPr>
                <w:rFonts w:ascii="Arial" w:hAnsi="Arial"/>
                <w:b w:val="0"/>
                <w:sz w:val="14"/>
              </w:rPr>
              <w:t>Publication-candidate review</w:t>
            </w:r>
          </w:p>
        </w:tc>
        <w:tc>
          <w:tcPr>
            <w:tcW w:type="dxa" w:w="2045"/>
          </w:tcPr>
          <w:p>
            <w:pPr>
              <w:spacing w:after="0"/>
            </w:pPr>
            <w:r>
              <w:rPr>
                <w:rFonts w:ascii="Arial" w:hAnsi="Arial"/>
                <w:b w:val="0"/>
                <w:sz w:val="14"/>
              </w:rPr>
              <w:t>HTML/PDF/DOCX artifacts and visual QA report</w:t>
            </w:r>
          </w:p>
        </w:tc>
        <w:tc>
          <w:tcPr>
            <w:tcW w:type="dxa" w:w="2045"/>
          </w:tcPr>
          <w:p>
            <w:pPr>
              <w:spacing w:after="0"/>
            </w:pPr>
            <w:r>
              <w:rPr>
                <w:rFonts w:ascii="Arial" w:hAnsi="Arial"/>
                <w:b w:val="0"/>
                <w:sz w:val="14"/>
              </w:rPr>
              <w:t>Non-blocking limitation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