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AI Compliance White Paper 2026</w:t>
      </w:r>
    </w:p>
    <w:p/>
    <w:p>
      <w:r>
        <w:t>From Model Governance to Agentic Lifecycle Conformance</w:t>
      </w:r>
    </w:p>
    <w:p/>
    <w:p/>
    <w:p>
      <w:r>
        <w:t>Document ID: GACWP-2026-v0.3.2-FRC-R3</w:t>
      </w:r>
    </w:p>
    <w:p>
      <w:r>
        <w:t>Version: v0.3.2 Final Release Candidate R3</w:t>
      </w:r>
    </w:p>
    <w:p>
      <w:r>
        <w:t>Trace Tag: GACWP-2026-v0.3.2-FRC-R3</w:t>
      </w:r>
    </w:p>
    <w:p>
      <w:r>
        <w:t>Status: Source reconstruction candidate; not ready for publication; non-legal technical governance analysis; not legal advice</w:t>
      </w:r>
    </w:p>
    <w:p>
      <w:r>
        <w:t>Compiled: May 2026</w:t>
      </w:r>
    </w:p>
    <w:p>
      <w:r>
        <w:t>Source Snapshot: Sources available and checked as of May 2026</w:t>
      </w:r>
    </w:p>
    <w:p>
      <w:r>
        <w:t>Scope Snapshot: Public-source technical governance analysis based on sources available and checked as of May 2026</w:t>
      </w:r>
    </w:p>
    <w:p/>
    <w:p/>
    <w:p>
      <w:pPr>
        <w:pStyle w:val="Heading2"/>
      </w:pPr>
      <w:r>
        <w:t>Core Thesis</w:t>
      </w:r>
    </w:p>
    <w:p/>
    <w:p>
      <w:r>
        <w:t>AI Agent / MAS compliance is not only model compliance. It is lifecycle responsibility compliance.</w:t>
      </w:r>
    </w:p>
    <w:p/>
    <w:p/>
    <w:p>
      <w:pPr>
        <w:pStyle w:val="Heading2"/>
      </w:pPr>
      <w:r>
        <w:t>Document Control and Positioning</w:t>
      </w:r>
    </w:p>
    <w:p/>
    <w:p>
      <w:pPr>
        <w:sectPr>
          <w:footerReference w:type="default" r:id="rId9"/>
          <w:pgSz w:w="12240" w:h="15840"/>
          <w:pgMar w:top="1008" w:right="1008" w:bottom="1008" w:left="100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Value</w:t>
            </w:r>
          </w:p>
        </w:tc>
      </w:tr>
      <w:tr>
        <w:trPr>
          <w:cantSplit/>
        </w:trPr>
        <w:tc>
          <w:tcPr>
            <w:tcW w:type="dxa" w:w="5112"/>
            <w:vAlign w:val="top"/>
          </w:tcPr>
          <w:p>
            <w:pPr>
              <w:spacing w:after="0"/>
              <w:jc w:val="left"/>
            </w:pPr>
            <w:r>
              <w:rPr>
                <w:rFonts w:ascii="Arial" w:hAnsi="Arial"/>
                <w:b w:val="0"/>
                <w:sz w:val="16"/>
              </w:rPr>
              <w:t>Document ID</w:t>
            </w:r>
          </w:p>
        </w:tc>
        <w:tc>
          <w:tcPr>
            <w:tcW w:type="dxa" w:w="5112"/>
            <w:vAlign w:val="top"/>
          </w:tcPr>
          <w:p>
            <w:pPr>
              <w:spacing w:after="0"/>
              <w:jc w:val="left"/>
            </w:pPr>
            <w:r>
              <w:rPr>
                <w:rFonts w:ascii="Arial" w:hAnsi="Arial"/>
                <w:b w:val="0"/>
                <w:sz w:val="16"/>
              </w:rPr>
              <w:t>GACWP-2026-v0.3.2-FRC-R3</w:t>
            </w:r>
          </w:p>
        </w:tc>
      </w:tr>
      <w:tr>
        <w:trPr>
          <w:cantSplit/>
        </w:trPr>
        <w:tc>
          <w:tcPr>
            <w:tcW w:type="dxa" w:w="5112"/>
            <w:vAlign w:val="top"/>
          </w:tcPr>
          <w:p>
            <w:pPr>
              <w:spacing w:after="0"/>
              <w:jc w:val="left"/>
            </w:pPr>
            <w:r>
              <w:rPr>
                <w:rFonts w:ascii="Arial" w:hAnsi="Arial"/>
                <w:b w:val="0"/>
                <w:sz w:val="16"/>
              </w:rPr>
              <w:t>Version</w:t>
            </w:r>
          </w:p>
        </w:tc>
        <w:tc>
          <w:tcPr>
            <w:tcW w:type="dxa" w:w="5112"/>
            <w:vAlign w:val="top"/>
          </w:tcPr>
          <w:p>
            <w:pPr>
              <w:spacing w:after="0"/>
              <w:jc w:val="left"/>
            </w:pPr>
            <w:r>
              <w:rPr>
                <w:rFonts w:ascii="Arial" w:hAnsi="Arial"/>
                <w:b w:val="0"/>
                <w:sz w:val="16"/>
              </w:rPr>
              <w:t>v0.3.2 Final Release Candidate R3</w:t>
            </w:r>
          </w:p>
        </w:tc>
      </w:tr>
      <w:tr>
        <w:trPr>
          <w:cantSplit/>
        </w:trPr>
        <w:tc>
          <w:tcPr>
            <w:tcW w:type="dxa" w:w="5112"/>
            <w:vAlign w:val="top"/>
          </w:tcPr>
          <w:p>
            <w:pPr>
              <w:spacing w:after="0"/>
              <w:jc w:val="left"/>
            </w:pPr>
            <w:r>
              <w:rPr>
                <w:rFonts w:ascii="Arial" w:hAnsi="Arial"/>
                <w:b w:val="0"/>
                <w:sz w:val="16"/>
              </w:rPr>
              <w:t>Status</w:t>
            </w:r>
          </w:p>
        </w:tc>
        <w:tc>
          <w:tcPr>
            <w:tcW w:type="dxa" w:w="5112"/>
            <w:vAlign w:val="top"/>
          </w:tcPr>
          <w:p>
            <w:pPr>
              <w:spacing w:after="0"/>
              <w:jc w:val="left"/>
            </w:pPr>
            <w:r>
              <w:rPr>
                <w:rFonts w:ascii="Arial" w:hAnsi="Arial"/>
                <w:b w:val="0"/>
                <w:sz w:val="16"/>
              </w:rPr>
              <w:t>Source reconstruction candidate; not ready for publication; agenda-setting technical governance white paper; not legal advice</w:t>
            </w:r>
          </w:p>
        </w:tc>
      </w:tr>
      <w:tr>
        <w:trPr>
          <w:cantSplit/>
        </w:trPr>
        <w:tc>
          <w:tcPr>
            <w:tcW w:type="dxa" w:w="5112"/>
            <w:vAlign w:val="top"/>
          </w:tcPr>
          <w:p>
            <w:pPr>
              <w:spacing w:after="0"/>
              <w:jc w:val="left"/>
            </w:pPr>
            <w:r>
              <w:rPr>
                <w:rFonts w:ascii="Arial" w:hAnsi="Arial"/>
                <w:b w:val="0"/>
                <w:sz w:val="16"/>
              </w:rPr>
              <w:t>Primary concept</w:t>
            </w:r>
          </w:p>
        </w:tc>
        <w:tc>
          <w:tcPr>
            <w:tcW w:type="dxa" w:w="5112"/>
            <w:vAlign w:val="top"/>
          </w:tcPr>
          <w:p>
            <w:pPr>
              <w:spacing w:after="0"/>
              <w:jc w:val="left"/>
            </w:pPr>
            <w:r>
              <w:rPr>
                <w:rFonts w:ascii="Arial" w:hAnsi="Arial"/>
                <w:b w:val="0"/>
                <w:sz w:val="16"/>
              </w:rPr>
              <w:t>AI Agent Lifecycle Governance</w:t>
            </w:r>
          </w:p>
        </w:tc>
      </w:tr>
      <w:tr>
        <w:trPr>
          <w:cantSplit/>
        </w:trPr>
        <w:tc>
          <w:tcPr>
            <w:tcW w:type="dxa" w:w="5112"/>
            <w:vAlign w:val="top"/>
          </w:tcPr>
          <w:p>
            <w:pPr>
              <w:spacing w:after="0"/>
              <w:jc w:val="left"/>
            </w:pPr>
            <w:r>
              <w:rPr>
                <w:rFonts w:ascii="Arial" w:hAnsi="Arial"/>
                <w:b w:val="0"/>
                <w:sz w:val="16"/>
              </w:rPr>
              <w:t>Primary transition</w:t>
            </w:r>
          </w:p>
        </w:tc>
        <w:tc>
          <w:tcPr>
            <w:tcW w:type="dxa" w:w="5112"/>
            <w:vAlign w:val="top"/>
          </w:tcPr>
          <w:p>
            <w:pPr>
              <w:spacing w:after="0"/>
              <w:jc w:val="left"/>
            </w:pPr>
            <w:r>
              <w:rPr>
                <w:rFonts w:ascii="Arial" w:hAnsi="Arial"/>
                <w:b w:val="0"/>
                <w:sz w:val="16"/>
              </w:rPr>
              <w:t>From model governance to agentic lifecycle conformance</w:t>
            </w:r>
          </w:p>
        </w:tc>
      </w:tr>
      <w:tr>
        <w:trPr>
          <w:cantSplit/>
        </w:trPr>
        <w:tc>
          <w:tcPr>
            <w:tcW w:type="dxa" w:w="5112"/>
            <w:vAlign w:val="top"/>
          </w:tcPr>
          <w:p>
            <w:pPr>
              <w:spacing w:after="0"/>
              <w:jc w:val="left"/>
            </w:pPr>
            <w:r>
              <w:rPr>
                <w:rFonts w:ascii="Arial" w:hAnsi="Arial"/>
                <w:b w:val="0"/>
                <w:sz w:val="16"/>
              </w:rPr>
              <w:t>Primary thesis</w:t>
            </w:r>
          </w:p>
        </w:tc>
        <w:tc>
          <w:tcPr>
            <w:tcW w:type="dxa" w:w="5112"/>
            <w:vAlign w:val="top"/>
          </w:tcPr>
          <w:p>
            <w:pPr>
              <w:spacing w:after="0"/>
              <w:jc w:val="left"/>
            </w:pPr>
            <w:r>
              <w:rPr>
                <w:rFonts w:ascii="Arial" w:hAnsi="Arial"/>
                <w:b w:val="0"/>
                <w:sz w:val="16"/>
              </w:rPr>
              <w:t>AI Agent / MAS compliance is not only model compliance. It is lifecycle responsibility compliance.</w:t>
            </w:r>
          </w:p>
        </w:tc>
      </w:tr>
      <w:tr>
        <w:trPr>
          <w:cantSplit/>
        </w:trPr>
        <w:tc>
          <w:tcPr>
            <w:tcW w:type="dxa" w:w="5112"/>
            <w:vAlign w:val="top"/>
          </w:tcPr>
          <w:p>
            <w:pPr>
              <w:spacing w:after="0"/>
              <w:jc w:val="left"/>
            </w:pPr>
            <w:r>
              <w:rPr>
                <w:rFonts w:ascii="Arial" w:hAnsi="Arial"/>
                <w:b w:val="0"/>
                <w:sz w:val="16"/>
              </w:rPr>
              <w:t>Protocol boundary</w:t>
            </w:r>
          </w:p>
        </w:tc>
        <w:tc>
          <w:tcPr>
            <w:tcW w:type="dxa" w:w="5112"/>
            <w:vAlign w:val="top"/>
          </w:tcPr>
          <w:p>
            <w:pPr>
              <w:spacing w:after="0"/>
              <w:jc w:val="left"/>
            </w:pPr>
            <w:r>
              <w:rPr>
                <w:rFonts w:ascii="Arial" w:hAnsi="Arial"/>
                <w:b w:val="0"/>
                <w:sz w:val="16"/>
              </w:rPr>
              <w:t>MPLP is discussed as a lifecycle protocol path, not as a certification program, legal authority, cloud platform, or exclusive compliance method.</w:t>
            </w:r>
          </w:p>
        </w:tc>
      </w:tr>
      <w:tr>
        <w:trPr>
          <w:cantSplit/>
        </w:trPr>
        <w:tc>
          <w:tcPr>
            <w:tcW w:type="dxa" w:w="5112"/>
            <w:vAlign w:val="top"/>
          </w:tcPr>
          <w:p>
            <w:pPr>
              <w:spacing w:after="0"/>
              <w:jc w:val="left"/>
            </w:pPr>
            <w:r>
              <w:rPr>
                <w:rFonts w:ascii="Arial" w:hAnsi="Arial"/>
                <w:b w:val="0"/>
                <w:sz w:val="16"/>
              </w:rPr>
              <w:t>Validation boundary</w:t>
            </w:r>
          </w:p>
        </w:tc>
        <w:tc>
          <w:tcPr>
            <w:tcW w:type="dxa" w:w="5112"/>
            <w:vAlign w:val="top"/>
          </w:tcPr>
          <w:p>
            <w:pPr>
              <w:spacing w:after="0"/>
              <w:jc w:val="left"/>
            </w:pPr>
            <w:r>
              <w:rPr>
                <w:rFonts w:ascii="Arial" w:hAnsi="Arial"/>
                <w:b w:val="0"/>
                <w:sz w:val="16"/>
              </w:rPr>
              <w:t>Validation Lab is referenced as a non-certifying evidence adjudication example, not as a regulator, conformity assessment body, certification authority, market endorsement program, or legal compliance certification mechanism.</w:t>
            </w:r>
          </w:p>
        </w:tc>
      </w:tr>
      <w:tr>
        <w:trPr>
          <w:cantSplit/>
        </w:trPr>
        <w:tc>
          <w:tcPr>
            <w:tcW w:type="dxa" w:w="5112"/>
            <w:vAlign w:val="top"/>
          </w:tcPr>
          <w:p>
            <w:pPr>
              <w:spacing w:after="0"/>
              <w:jc w:val="left"/>
            </w:pPr>
            <w:r>
              <w:rPr>
                <w:rFonts w:ascii="Arial" w:hAnsi="Arial"/>
                <w:b w:val="0"/>
                <w:sz w:val="16"/>
              </w:rPr>
              <w:t>Scoring boundary</w:t>
            </w:r>
          </w:p>
        </w:tc>
        <w:tc>
          <w:tcPr>
            <w:tcW w:type="dxa" w:w="5112"/>
            <w:vAlign w:val="top"/>
          </w:tcPr>
          <w:p>
            <w:pPr>
              <w:spacing w:after="0"/>
              <w:jc w:val="left"/>
            </w:pPr>
            <w:r>
              <w:rPr>
                <w:rFonts w:ascii="Arial" w:hAnsi="Arial"/>
                <w:b w:val="0"/>
                <w:sz w:val="16"/>
              </w:rPr>
              <w:t>RCCS/ALCS is an analytical scoring framework, not a legal compliance score.</w:t>
            </w:r>
          </w:p>
        </w:tc>
      </w:tr>
      <w:tr>
        <w:trPr>
          <w:cantSplit/>
        </w:trPr>
        <w:tc>
          <w:tcPr>
            <w:tcW w:type="dxa" w:w="5112"/>
            <w:vAlign w:val="top"/>
          </w:tcPr>
          <w:p>
            <w:pPr>
              <w:spacing w:after="0"/>
              <w:jc w:val="left"/>
            </w:pPr>
            <w:r>
              <w:rPr>
                <w:rFonts w:ascii="Arial" w:hAnsi="Arial"/>
                <w:b w:val="0"/>
                <w:sz w:val="16"/>
              </w:rPr>
              <w:t>System mapping boundary</w:t>
            </w:r>
          </w:p>
        </w:tc>
        <w:tc>
          <w:tcPr>
            <w:tcW w:type="dxa" w:w="5112"/>
            <w:vAlign w:val="top"/>
          </w:tcPr>
          <w:p>
            <w:pPr>
              <w:spacing w:after="0"/>
              <w:jc w:val="left"/>
            </w:pPr>
            <w:r>
              <w:rPr>
                <w:rFonts w:ascii="Arial" w:hAnsi="Arial"/>
                <w:b w:val="0"/>
                <w:sz w:val="16"/>
              </w:rPr>
              <w:t>System mappings are responsibility-semantics comparisons, not product endorsements or procurement recommendations.</w:t>
            </w:r>
          </w:p>
        </w:tc>
      </w:tr>
    </w:tbl>
    <w:p>
      <w:pPr>
        <w:sectPr>
          <w:pgSz w:w="12240" w:h="15840"/>
          <w:pgMar w:top="792" w:right="648" w:bottom="792" w:left="648" w:header="720" w:footer="720" w:gutter="0"/>
          <w:cols w:space="720"/>
          <w:docGrid w:linePitch="360"/>
        </w:sectPr>
      </w:pPr>
    </w:p>
    <w:p/>
    <w:p/>
    <w:p>
      <w:pPr>
        <w:pStyle w:val="Heading2"/>
      </w:pPr>
      <w:r>
        <w:t>Publication Scope and Boundary Statement</w:t>
      </w:r>
    </w:p>
    <w:p/>
    <w:p>
      <w:r>
        <w:t>This white paper is a non-legal technical governance analysis, not legal advice. It translates regulatory and standards language into engineering requirements for agentic and multi-agent systems.</w:t>
      </w:r>
    </w:p>
    <w:p/>
    <w:p>
      <w:pPr>
        <w:pStyle w:val="Heading3"/>
      </w:pPr>
      <w:r>
        <w:t>Purpose</w:t>
      </w:r>
    </w:p>
    <w:p/>
    <w:p>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
      <w:pPr>
        <w:pStyle w:val="Heading3"/>
      </w:pPr>
      <w:r>
        <w:t>What This Paper Does</w:t>
      </w:r>
    </w:p>
    <w:p/>
    <w:p>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
      <w:r>
        <w:t>The report therefore separates three questions that are often confused:</w:t>
      </w:r>
    </w:p>
    <w:p/>
    <w:p>
      <w:r>
        <w:t>1. What does existing regulation or governance guidance already require?</w:t>
      </w:r>
    </w:p>
    <w:p>
      <w:r>
        <w:t>2. What must engineering systems represent to make those requirements testable in agentic workflows?</w:t>
      </w:r>
    </w:p>
    <w:p>
      <w:r>
        <w:t>3. Which current frameworks, platforms, and protocols have primitives that can be mapped to those requirements, and where do their mappings stop?</w:t>
      </w:r>
    </w:p>
    <w:p/>
    <w:p>
      <w:pPr>
        <w:pStyle w:val="Heading3"/>
      </w:pPr>
      <w:r>
        <w:t>Scope Boundaries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In Scope</w:t>
            </w:r>
          </w:p>
        </w:tc>
        <w:tc>
          <w:tcPr>
            <w:tcW w:type="dxa" w:w="5112"/>
            <w:vAlign w:val="top"/>
            <w:shd w:fill="D9EAF7"/>
          </w:tcPr>
          <w:p>
            <w:pPr>
              <w:spacing w:after="0"/>
              <w:jc w:val="left"/>
            </w:pPr>
            <w:r>
              <w:rPr>
                <w:rFonts w:ascii="Arial" w:hAnsi="Arial"/>
                <w:b/>
                <w:sz w:val="16"/>
              </w:rPr>
              <w:t>Out of Scope</w:t>
            </w:r>
          </w:p>
        </w:tc>
      </w:tr>
      <w:tr>
        <w:trPr>
          <w:cantSplit/>
        </w:trPr>
        <w:tc>
          <w:tcPr>
            <w:tcW w:type="dxa" w:w="5112"/>
            <w:vAlign w:val="top"/>
          </w:tcPr>
          <w:p>
            <w:pPr>
              <w:spacing w:after="0"/>
              <w:jc w:val="left"/>
            </w:pPr>
            <w:r>
              <w:rPr>
                <w:rFonts w:ascii="Arial" w:hAnsi="Arial"/>
                <w:b w:val="0"/>
                <w:sz w:val="16"/>
              </w:rPr>
              <w:t>Agentic AI lifecycle responsibility</w:t>
            </w:r>
          </w:p>
        </w:tc>
        <w:tc>
          <w:tcPr>
            <w:tcW w:type="dxa" w:w="5112"/>
            <w:vAlign w:val="top"/>
          </w:tcPr>
          <w:p>
            <w:pPr>
              <w:spacing w:after="0"/>
              <w:jc w:val="left"/>
            </w:pPr>
            <w:r>
              <w:rPr>
                <w:rFonts w:ascii="Arial" w:hAnsi="Arial"/>
                <w:b w:val="0"/>
                <w:sz w:val="16"/>
              </w:rPr>
              <w:t>Legal advice for any specific jurisdiction</w:t>
            </w:r>
          </w:p>
        </w:tc>
      </w:tr>
      <w:tr>
        <w:trPr>
          <w:cantSplit/>
        </w:trPr>
        <w:tc>
          <w:tcPr>
            <w:tcW w:type="dxa" w:w="5112"/>
            <w:vAlign w:val="top"/>
          </w:tcPr>
          <w:p>
            <w:pPr>
              <w:spacing w:after="0"/>
              <w:jc w:val="left"/>
            </w:pPr>
            <w:r>
              <w:rPr>
                <w:rFonts w:ascii="Arial" w:hAnsi="Arial"/>
                <w:b w:val="0"/>
                <w:sz w:val="16"/>
              </w:rPr>
              <w:t>Multi-agent system responsibility transfer</w:t>
            </w:r>
          </w:p>
        </w:tc>
        <w:tc>
          <w:tcPr>
            <w:tcW w:type="dxa" w:w="5112"/>
            <w:vAlign w:val="top"/>
          </w:tcPr>
          <w:p>
            <w:pPr>
              <w:spacing w:after="0"/>
              <w:jc w:val="left"/>
            </w:pPr>
            <w:r>
              <w:rPr>
                <w:rFonts w:ascii="Arial" w:hAnsi="Arial"/>
                <w:b w:val="0"/>
                <w:sz w:val="16"/>
              </w:rPr>
              <w:t>Political content moderation regimes</w:t>
            </w:r>
          </w:p>
        </w:tc>
      </w:tr>
      <w:tr>
        <w:trPr>
          <w:cantSplit/>
        </w:trPr>
        <w:tc>
          <w:tcPr>
            <w:tcW w:type="dxa" w:w="5112"/>
            <w:vAlign w:val="top"/>
          </w:tcPr>
          <w:p>
            <w:pPr>
              <w:spacing w:after="0"/>
              <w:jc w:val="left"/>
            </w:pPr>
            <w:r>
              <w:rPr>
                <w:rFonts w:ascii="Arial" w:hAnsi="Arial"/>
                <w:b w:val="0"/>
                <w:sz w:val="16"/>
              </w:rPr>
              <w:t>Evidence, provenance, record-keeping, replay</w:t>
            </w:r>
          </w:p>
        </w:tc>
        <w:tc>
          <w:tcPr>
            <w:tcW w:type="dxa" w:w="5112"/>
            <w:vAlign w:val="top"/>
          </w:tcPr>
          <w:p>
            <w:pPr>
              <w:spacing w:after="0"/>
              <w:jc w:val="left"/>
            </w:pPr>
            <w:r>
              <w:rPr>
                <w:rFonts w:ascii="Arial" w:hAnsi="Arial"/>
                <w:b w:val="0"/>
                <w:sz w:val="16"/>
              </w:rPr>
              <w:t>Certification issuance or conformity assessment</w:t>
            </w:r>
          </w:p>
        </w:tc>
      </w:tr>
      <w:tr>
        <w:trPr>
          <w:cantSplit/>
        </w:trPr>
        <w:tc>
          <w:tcPr>
            <w:tcW w:type="dxa" w:w="5112"/>
            <w:vAlign w:val="top"/>
          </w:tcPr>
          <w:p>
            <w:pPr>
              <w:spacing w:after="0"/>
              <w:jc w:val="left"/>
            </w:pPr>
            <w:r>
              <w:rPr>
                <w:rFonts w:ascii="Arial" w:hAnsi="Arial"/>
                <w:b w:val="0"/>
                <w:sz w:val="16"/>
              </w:rPr>
              <w:t>Human oversight as an engineering control</w:t>
            </w:r>
          </w:p>
        </w:tc>
        <w:tc>
          <w:tcPr>
            <w:tcW w:type="dxa" w:w="5112"/>
            <w:vAlign w:val="top"/>
          </w:tcPr>
          <w:p>
            <w:pPr>
              <w:spacing w:after="0"/>
              <w:jc w:val="left"/>
            </w:pPr>
            <w:r>
              <w:rPr>
                <w:rFonts w:ascii="Arial" w:hAnsi="Arial"/>
                <w:b w:val="0"/>
                <w:sz w:val="16"/>
              </w:rPr>
              <w:t>Claims of regulatory approval</w:t>
            </w:r>
          </w:p>
        </w:tc>
      </w:tr>
      <w:tr>
        <w:trPr>
          <w:cantSplit/>
        </w:trPr>
        <w:tc>
          <w:tcPr>
            <w:tcW w:type="dxa" w:w="5112"/>
            <w:vAlign w:val="top"/>
          </w:tcPr>
          <w:p>
            <w:pPr>
              <w:spacing w:after="0"/>
              <w:jc w:val="left"/>
            </w:pPr>
            <w:r>
              <w:rPr>
                <w:rFonts w:ascii="Arial" w:hAnsi="Arial"/>
                <w:b w:val="0"/>
                <w:sz w:val="16"/>
              </w:rPr>
              <w:t>Privacy-preserving validation and selective disclosure</w:t>
            </w:r>
          </w:p>
        </w:tc>
        <w:tc>
          <w:tcPr>
            <w:tcW w:type="dxa" w:w="5112"/>
            <w:vAlign w:val="top"/>
          </w:tcPr>
          <w:p>
            <w:pPr>
              <w:spacing w:after="0"/>
              <w:jc w:val="left"/>
            </w:pPr>
            <w:r>
              <w:rPr>
                <w:rFonts w:ascii="Arial" w:hAnsi="Arial"/>
                <w:b w:val="0"/>
                <w:sz w:val="16"/>
              </w:rPr>
              <w:t>Full product security review of each vendor</w:t>
            </w:r>
          </w:p>
        </w:tc>
      </w:tr>
      <w:tr>
        <w:trPr>
          <w:cantSplit/>
        </w:trPr>
        <w:tc>
          <w:tcPr>
            <w:tcW w:type="dxa" w:w="5112"/>
            <w:vAlign w:val="top"/>
          </w:tcPr>
          <w:p>
            <w:pPr>
              <w:spacing w:after="0"/>
              <w:jc w:val="left"/>
            </w:pPr>
            <w:r>
              <w:rPr>
                <w:rFonts w:ascii="Arial" w:hAnsi="Arial"/>
                <w:b w:val="0"/>
                <w:sz w:val="16"/>
              </w:rPr>
              <w:t>Framework and platform semantic mapping</w:t>
            </w:r>
          </w:p>
        </w:tc>
        <w:tc>
          <w:tcPr>
            <w:tcW w:type="dxa" w:w="5112"/>
            <w:vAlign w:val="top"/>
          </w:tcPr>
          <w:p>
            <w:pPr>
              <w:spacing w:after="0"/>
              <w:jc w:val="left"/>
            </w:pPr>
            <w:r>
              <w:rPr>
                <w:rFonts w:ascii="Arial" w:hAnsi="Arial"/>
                <w:b w:val="0"/>
                <w:sz w:val="16"/>
              </w:rPr>
              <w:t>Performance benchmarking or model quality ranking</w:t>
            </w:r>
          </w:p>
        </w:tc>
      </w:tr>
    </w:tbl>
    <w:p>
      <w:pPr>
        <w:sectPr>
          <w:pgSz w:w="12240" w:h="15840"/>
          <w:pgMar w:top="792" w:right="648" w:bottom="792" w:left="648" w:header="720" w:footer="720" w:gutter="0"/>
          <w:cols w:space="720"/>
          <w:docGrid w:linePitch="360"/>
        </w:sectPr>
      </w:pPr>
    </w:p>
    <w:p/>
    <w:p/>
    <w:p>
      <w:pPr>
        <w:pStyle w:val="Heading2"/>
      </w:pPr>
      <w:r>
        <w:t>Conflict of Interest and Boundary Disclosure</w:t>
      </w:r>
    </w:p>
    <w:p/>
    <w:p>
      <w:pPr>
        <w:pStyle w:val="Heading3"/>
      </w:pPr>
      <w:r>
        <w:t>Conflict of Interest</w:t>
      </w:r>
    </w:p>
    <w:p/>
    <w:p>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
      <w:pPr>
        <w:pStyle w:val="Heading3"/>
      </w:pPr>
      <w:r>
        <w:t>Boundary Controls</w:t>
      </w:r>
    </w:p>
    <w:p/>
    <w:p>
      <w:r>
        <w:t>The controls used to limit over-claiming are as follows: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Boundary</w:t>
            </w:r>
          </w:p>
        </w:tc>
        <w:tc>
          <w:tcPr>
            <w:tcW w:type="dxa" w:w="3408"/>
            <w:vAlign w:val="top"/>
            <w:shd w:fill="D9EAF7"/>
          </w:tcPr>
          <w:p>
            <w:pPr>
              <w:spacing w:after="0"/>
              <w:jc w:val="left"/>
            </w:pPr>
            <w:r>
              <w:rPr>
                <w:rFonts w:ascii="Arial" w:hAnsi="Arial"/>
                <w:b/>
                <w:sz w:val="16"/>
              </w:rPr>
              <w:t>Required Wording</w:t>
            </w:r>
          </w:p>
        </w:tc>
        <w:tc>
          <w:tcPr>
            <w:tcW w:type="dxa" w:w="3408"/>
            <w:vAlign w:val="top"/>
            <w:shd w:fill="D9EAF7"/>
          </w:tcPr>
          <w:p>
            <w:pPr>
              <w:spacing w:after="0"/>
              <w:jc w:val="left"/>
            </w:pPr>
            <w:r>
              <w:rPr>
                <w:rFonts w:ascii="Arial" w:hAnsi="Arial"/>
                <w:b/>
                <w:sz w:val="16"/>
              </w:rPr>
              <w:t>Forbidden Wording</w:t>
            </w:r>
          </w:p>
        </w:tc>
      </w:tr>
      <w:tr>
        <w:trPr>
          <w:cantSplit/>
        </w:trPr>
        <w:tc>
          <w:tcPr>
            <w:tcW w:type="dxa" w:w="3408"/>
            <w:vAlign w:val="top"/>
          </w:tcPr>
          <w:p>
            <w:pPr>
              <w:spacing w:after="0"/>
              <w:jc w:val="left"/>
            </w:pPr>
            <w:r>
              <w:rPr>
                <w:rFonts w:ascii="Arial" w:hAnsi="Arial"/>
                <w:b w:val="0"/>
                <w:sz w:val="16"/>
              </w:rPr>
              <w:t>MPLP</w:t>
            </w:r>
          </w:p>
        </w:tc>
        <w:tc>
          <w:tcPr>
            <w:tcW w:type="dxa" w:w="3408"/>
            <w:vAlign w:val="top"/>
          </w:tcPr>
          <w:p>
            <w:pPr>
              <w:spacing w:after="0"/>
              <w:jc w:val="left"/>
            </w:pPr>
            <w:r>
              <w:rPr>
                <w:rFonts w:ascii="Arial" w:hAnsi="Arial"/>
                <w:b w:val="0"/>
                <w:sz w:val="16"/>
              </w:rPr>
              <w:t>A lifecycle protocol path for expressing agentic responsibility objects</w:t>
            </w:r>
          </w:p>
        </w:tc>
        <w:tc>
          <w:tcPr>
            <w:tcW w:type="dxa" w:w="3408"/>
            <w:vAlign w:val="top"/>
          </w:tcPr>
          <w:p>
            <w:pPr>
              <w:spacing w:after="0"/>
              <w:jc w:val="left"/>
            </w:pPr>
            <w:r>
              <w:rPr>
                <w:rFonts w:ascii="Arial" w:hAnsi="Arial"/>
                <w:b w:val="0"/>
                <w:sz w:val="16"/>
              </w:rPr>
              <w:t>The only compliant standard</w:t>
            </w:r>
          </w:p>
        </w:tc>
      </w:tr>
      <w:tr>
        <w:trPr>
          <w:cantSplit/>
        </w:trPr>
        <w:tc>
          <w:tcPr>
            <w:tcW w:type="dxa" w:w="3408"/>
            <w:vAlign w:val="top"/>
          </w:tcPr>
          <w:p>
            <w:pPr>
              <w:spacing w:after="0"/>
              <w:jc w:val="left"/>
            </w:pPr>
            <w:r>
              <w:rPr>
                <w:rFonts w:ascii="Arial" w:hAnsi="Arial"/>
                <w:b w:val="0"/>
                <w:sz w:val="16"/>
              </w:rPr>
              <w:t>Validation Lab</w:t>
            </w:r>
          </w:p>
        </w:tc>
        <w:tc>
          <w:tcPr>
            <w:tcW w:type="dxa" w:w="3408"/>
            <w:vAlign w:val="top"/>
          </w:tcPr>
          <w:p>
            <w:pPr>
              <w:spacing w:after="0"/>
              <w:jc w:val="left"/>
            </w:pPr>
            <w:r>
              <w:rPr>
                <w:rFonts w:ascii="Arial" w:hAnsi="Arial"/>
                <w:b w:val="0"/>
                <w:sz w:val="16"/>
              </w:rPr>
              <w:t>A non-certifying evidence adjudication example</w:t>
            </w:r>
          </w:p>
        </w:tc>
        <w:tc>
          <w:tcPr>
            <w:tcW w:type="dxa" w:w="3408"/>
            <w:vAlign w:val="top"/>
          </w:tcPr>
          <w:p>
            <w:pPr>
              <w:spacing w:after="0"/>
              <w:jc w:val="left"/>
            </w:pPr>
            <w:r>
              <w:rPr>
                <w:rFonts w:ascii="Arial" w:hAnsi="Arial"/>
                <w:b w:val="0"/>
                <w:sz w:val="16"/>
              </w:rPr>
              <w:t>A certification authority</w:t>
            </w:r>
          </w:p>
        </w:tc>
      </w:tr>
      <w:tr>
        <w:trPr>
          <w:cantSplit/>
        </w:trPr>
        <w:tc>
          <w:tcPr>
            <w:tcW w:type="dxa" w:w="3408"/>
            <w:vAlign w:val="top"/>
          </w:tcPr>
          <w:p>
            <w:pPr>
              <w:spacing w:after="0"/>
              <w:jc w:val="left"/>
            </w:pPr>
            <w:r>
              <w:rPr>
                <w:rFonts w:ascii="Arial" w:hAnsi="Arial"/>
                <w:b w:val="0"/>
                <w:sz w:val="16"/>
              </w:rPr>
              <w:t>RCCS/ALCS</w:t>
            </w:r>
          </w:p>
        </w:tc>
        <w:tc>
          <w:tcPr>
            <w:tcW w:type="dxa" w:w="3408"/>
            <w:vAlign w:val="top"/>
          </w:tcPr>
          <w:p>
            <w:pPr>
              <w:spacing w:after="0"/>
              <w:jc w:val="left"/>
            </w:pPr>
            <w:r>
              <w:rPr>
                <w:rFonts w:ascii="Arial" w:hAnsi="Arial"/>
                <w:b w:val="0"/>
                <w:sz w:val="16"/>
              </w:rPr>
              <w:t>A proposed analytical scoring framework</w:t>
            </w:r>
          </w:p>
        </w:tc>
        <w:tc>
          <w:tcPr>
            <w:tcW w:type="dxa" w:w="3408"/>
            <w:vAlign w:val="top"/>
          </w:tcPr>
          <w:p>
            <w:pPr>
              <w:spacing w:after="0"/>
              <w:jc w:val="left"/>
            </w:pPr>
            <w:r>
              <w:rPr>
                <w:rFonts w:ascii="Arial" w:hAnsi="Arial"/>
                <w:b w:val="0"/>
                <w:sz w:val="16"/>
              </w:rPr>
              <w:t>A regulator-approved benchmark</w:t>
            </w:r>
          </w:p>
        </w:tc>
      </w:tr>
      <w:tr>
        <w:trPr>
          <w:cantSplit/>
        </w:trPr>
        <w:tc>
          <w:tcPr>
            <w:tcW w:type="dxa" w:w="3408"/>
            <w:vAlign w:val="top"/>
          </w:tcPr>
          <w:p>
            <w:pPr>
              <w:spacing w:after="0"/>
              <w:jc w:val="left"/>
            </w:pPr>
            <w:r>
              <w:rPr>
                <w:rFonts w:ascii="Arial" w:hAnsi="Arial"/>
                <w:b w:val="0"/>
                <w:sz w:val="16"/>
              </w:rPr>
              <w:t>System mapping</w:t>
            </w:r>
          </w:p>
        </w:tc>
        <w:tc>
          <w:tcPr>
            <w:tcW w:type="dxa" w:w="3408"/>
            <w:vAlign w:val="top"/>
          </w:tcPr>
          <w:p>
            <w:pPr>
              <w:spacing w:after="0"/>
              <w:jc w:val="left"/>
            </w:pPr>
            <w:r>
              <w:rPr>
                <w:rFonts w:ascii="Arial" w:hAnsi="Arial"/>
                <w:b w:val="0"/>
                <w:sz w:val="16"/>
              </w:rPr>
              <w:t>A mapping of public primitives to lifecycle objects</w:t>
            </w:r>
          </w:p>
        </w:tc>
        <w:tc>
          <w:tcPr>
            <w:tcW w:type="dxa" w:w="3408"/>
            <w:vAlign w:val="top"/>
          </w:tcPr>
          <w:p>
            <w:pPr>
              <w:spacing w:after="0"/>
              <w:jc w:val="left"/>
            </w:pPr>
            <w:r>
              <w:rPr>
                <w:rFonts w:ascii="Arial" w:hAnsi="Arial"/>
                <w:b w:val="0"/>
                <w:sz w:val="16"/>
              </w:rPr>
              <w:t>A final legal compliance judgment</w:t>
            </w:r>
          </w:p>
        </w:tc>
      </w:tr>
      <w:tr>
        <w:trPr>
          <w:cantSplit/>
        </w:trPr>
        <w:tc>
          <w:tcPr>
            <w:tcW w:type="dxa" w:w="3408"/>
            <w:vAlign w:val="top"/>
          </w:tcPr>
          <w:p>
            <w:pPr>
              <w:spacing w:after="0"/>
              <w:jc w:val="left"/>
            </w:pPr>
            <w:r>
              <w:rPr>
                <w:rFonts w:ascii="Arial" w:hAnsi="Arial"/>
                <w:b w:val="0"/>
                <w:sz w:val="16"/>
              </w:rPr>
              <w:t>AI Agent Lifecycle Governance</w:t>
            </w:r>
          </w:p>
        </w:tc>
        <w:tc>
          <w:tcPr>
            <w:tcW w:type="dxa" w:w="3408"/>
            <w:vAlign w:val="top"/>
          </w:tcPr>
          <w:p>
            <w:pPr>
              <w:spacing w:after="0"/>
              <w:jc w:val="left"/>
            </w:pPr>
            <w:r>
              <w:rPr>
                <w:rFonts w:ascii="Arial" w:hAnsi="Arial"/>
                <w:b w:val="0"/>
                <w:sz w:val="16"/>
              </w:rPr>
              <w:t>A missing semantic and engineering layer</w:t>
            </w:r>
          </w:p>
        </w:tc>
        <w:tc>
          <w:tcPr>
            <w:tcW w:type="dxa" w:w="3408"/>
            <w:vAlign w:val="top"/>
          </w:tcPr>
          <w:p>
            <w:pPr>
              <w:spacing w:after="0"/>
              <w:jc w:val="left"/>
            </w:pPr>
            <w:r>
              <w:rPr>
                <w:rFonts w:ascii="Arial" w:hAnsi="Arial"/>
                <w:b w:val="0"/>
                <w:sz w:val="16"/>
              </w:rPr>
              <w:t>A binding regulatory standard</w:t>
            </w:r>
          </w:p>
        </w:tc>
      </w:tr>
    </w:tbl>
    <w:p>
      <w:pPr>
        <w:sectPr>
          <w:pgSz w:w="12240" w:h="15840"/>
          <w:pgMar w:top="792" w:right="648" w:bottom="792" w:left="648" w:header="720" w:footer="720" w:gutter="0"/>
          <w:cols w:space="720"/>
          <w:docGrid w:linePitch="360"/>
        </w:sectPr>
      </w:pPr>
    </w:p>
    <w:p/>
    <w:p>
      <w:r>
        <w:t>This boundary discipline strengthens the paper. The argument does not need to claim that MPLP is the only path. It only needs to show that agentic AI compliance requires lifecycle responsibility objects and that MPLP is one coherent way to express such objects.</w:t>
      </w:r>
    </w:p>
    <w:p/>
    <w:p/>
    <w:p>
      <w:pPr>
        <w:pStyle w:val="Heading2"/>
      </w:pPr>
      <w:r>
        <w:t>Citation and Evidence Basis</w:t>
      </w:r>
    </w:p>
    <w:p/>
    <w:p>
      <w:r>
        <w:t>This paper uses a five-level evidence hierarchy to ensure that claims are grounded in verifiable sources rather than marketing language or conceptual speculation.</w:t>
      </w:r>
    </w:p>
    <w:p/>
    <w:p>
      <w:pPr>
        <w:pStyle w:val="Heading3"/>
      </w:pPr>
      <w:r>
        <w:t>Evidence Levels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Level</w:t>
            </w:r>
          </w:p>
        </w:tc>
        <w:tc>
          <w:tcPr>
            <w:tcW w:type="dxa" w:w="2556"/>
            <w:vAlign w:val="top"/>
            <w:shd w:fill="D9EAF7"/>
          </w:tcPr>
          <w:p>
            <w:pPr>
              <w:spacing w:after="0"/>
              <w:jc w:val="left"/>
            </w:pPr>
            <w:r>
              <w:rPr>
                <w:rFonts w:ascii="Arial" w:hAnsi="Arial"/>
                <w:b/>
                <w:sz w:val="14"/>
              </w:rPr>
              <w:t>Evidence Type</w:t>
            </w:r>
          </w:p>
        </w:tc>
        <w:tc>
          <w:tcPr>
            <w:tcW w:type="dxa" w:w="2556"/>
            <w:vAlign w:val="top"/>
            <w:shd w:fill="D9EAF7"/>
          </w:tcPr>
          <w:p>
            <w:pPr>
              <w:spacing w:after="0"/>
              <w:jc w:val="left"/>
            </w:pPr>
            <w:r>
              <w:rPr>
                <w:rFonts w:ascii="Arial" w:hAnsi="Arial"/>
                <w:b/>
                <w:sz w:val="14"/>
              </w:rPr>
              <w:t>Use in This Paper</w:t>
            </w:r>
          </w:p>
        </w:tc>
        <w:tc>
          <w:tcPr>
            <w:tcW w:type="dxa" w:w="2556"/>
            <w:vAlign w:val="top"/>
            <w:shd w:fill="D9EAF7"/>
          </w:tcPr>
          <w:p>
            <w:pPr>
              <w:spacing w:after="0"/>
              <w:jc w:val="left"/>
            </w:pPr>
            <w:r>
              <w:rPr>
                <w:rFonts w:ascii="Arial" w:hAnsi="Arial"/>
                <w:b/>
                <w:sz w:val="14"/>
              </w:rPr>
              <w:t>Confidence</w:t>
            </w:r>
          </w:p>
        </w:tc>
      </w:tr>
      <w:tr>
        <w:trPr>
          <w:cantSplit/>
        </w:trPr>
        <w:tc>
          <w:tcPr>
            <w:tcW w:type="dxa" w:w="2556"/>
            <w:vAlign w:val="top"/>
          </w:tcPr>
          <w:p>
            <w:pPr>
              <w:spacing w:after="0"/>
              <w:jc w:val="left"/>
            </w:pPr>
            <w:r>
              <w:rPr>
                <w:rFonts w:ascii="Arial" w:hAnsi="Arial"/>
                <w:b w:val="0"/>
                <w:sz w:val="14"/>
              </w:rPr>
              <w:t>L1</w:t>
            </w:r>
          </w:p>
        </w:tc>
        <w:tc>
          <w:tcPr>
            <w:tcW w:type="dxa" w:w="2556"/>
            <w:vAlign w:val="top"/>
          </w:tcPr>
          <w:p>
            <w:pPr>
              <w:spacing w:after="0"/>
              <w:jc w:val="left"/>
            </w:pPr>
            <w:r>
              <w:rPr>
                <w:rFonts w:ascii="Arial" w:hAnsi="Arial"/>
                <w:b w:val="0"/>
                <w:sz w:val="14"/>
              </w:rPr>
              <w:t>Binding legal, regulatory, or formal standards text</w:t>
            </w:r>
          </w:p>
        </w:tc>
        <w:tc>
          <w:tcPr>
            <w:tcW w:type="dxa" w:w="2556"/>
            <w:vAlign w:val="top"/>
          </w:tcPr>
          <w:p>
            <w:pPr>
              <w:spacing w:after="0"/>
              <w:jc w:val="left"/>
            </w:pPr>
            <w:r>
              <w:rPr>
                <w:rFonts w:ascii="Arial" w:hAnsi="Arial"/>
                <w:b w:val="0"/>
                <w:sz w:val="14"/>
              </w:rPr>
              <w:t>Used for baseline obligations and formal object requirements; does not prove implementation</w:t>
            </w:r>
          </w:p>
        </w:tc>
        <w:tc>
          <w:tcPr>
            <w:tcW w:type="dxa" w:w="2556"/>
            <w:vAlign w:val="top"/>
          </w:tcPr>
          <w:p>
            <w:pPr>
              <w:spacing w:after="0"/>
              <w:jc w:val="left"/>
            </w:pPr>
            <w:r>
              <w:rPr>
                <w:rFonts w:ascii="Arial" w:hAnsi="Arial"/>
                <w:b w:val="0"/>
                <w:sz w:val="14"/>
              </w:rPr>
              <w:t>Highest</w:t>
            </w:r>
          </w:p>
        </w:tc>
      </w:tr>
      <w:tr>
        <w:trPr>
          <w:cantSplit/>
        </w:trPr>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Official product documentation, API docs, developer documentation, platform architecture docs</w:t>
            </w:r>
          </w:p>
        </w:tc>
        <w:tc>
          <w:tcPr>
            <w:tcW w:type="dxa" w:w="2556"/>
            <w:vAlign w:val="top"/>
          </w:tcPr>
          <w:p>
            <w:pPr>
              <w:spacing w:after="0"/>
              <w:jc w:val="left"/>
            </w:pPr>
            <w:r>
              <w:rPr>
                <w:rFonts w:ascii="Arial" w:hAnsi="Arial"/>
                <w:b w:val="0"/>
                <w:sz w:val="14"/>
              </w:rPr>
              <w:t>Used for system mapping and capability interpretation</w:t>
            </w:r>
          </w:p>
        </w:tc>
        <w:tc>
          <w:tcPr>
            <w:tcW w:type="dxa" w:w="2556"/>
            <w:vAlign w:val="top"/>
          </w:tcPr>
          <w:p>
            <w:pPr>
              <w:spacing w:after="0"/>
              <w:jc w:val="left"/>
            </w:pPr>
            <w:r>
              <w:rPr>
                <w:rFonts w:ascii="Arial" w:hAnsi="Arial"/>
                <w:b w:val="0"/>
                <w:sz w:val="14"/>
              </w:rPr>
              <w:t>High</w:t>
            </w:r>
          </w:p>
        </w:tc>
      </w:tr>
      <w:tr>
        <w:trPr>
          <w:cantSplit/>
        </w:trPr>
        <w:tc>
          <w:tcPr>
            <w:tcW w:type="dxa" w:w="2556"/>
            <w:vAlign w:val="top"/>
          </w:tcPr>
          <w:p>
            <w:pPr>
              <w:spacing w:after="0"/>
              <w:jc w:val="left"/>
            </w:pPr>
            <w:r>
              <w:rPr>
                <w:rFonts w:ascii="Arial" w:hAnsi="Arial"/>
                <w:b w:val="0"/>
                <w:sz w:val="14"/>
              </w:rPr>
              <w:t>L3</w:t>
            </w:r>
          </w:p>
        </w:tc>
        <w:tc>
          <w:tcPr>
            <w:tcW w:type="dxa" w:w="2556"/>
            <w:vAlign w:val="top"/>
          </w:tcPr>
          <w:p>
            <w:pPr>
              <w:spacing w:after="0"/>
              <w:jc w:val="left"/>
            </w:pPr>
            <w:r>
              <w:rPr>
                <w:rFonts w:ascii="Arial" w:hAnsi="Arial"/>
                <w:b w:val="0"/>
                <w:sz w:val="14"/>
              </w:rPr>
              <w:t>Independent audits, certifications, third-party evaluations, regulatory commentary</w:t>
            </w:r>
          </w:p>
        </w:tc>
        <w:tc>
          <w:tcPr>
            <w:tcW w:type="dxa" w:w="2556"/>
            <w:vAlign w:val="top"/>
          </w:tcPr>
          <w:p>
            <w:pPr>
              <w:spacing w:after="0"/>
              <w:jc w:val="left"/>
            </w:pPr>
            <w:r>
              <w:rPr>
                <w:rFonts w:ascii="Arial" w:hAnsi="Arial"/>
                <w:b w:val="0"/>
                <w:sz w:val="14"/>
              </w:rPr>
              <w:t>Used for supplemental confidence and risk interpretation</w:t>
            </w:r>
          </w:p>
        </w:tc>
        <w:tc>
          <w:tcPr>
            <w:tcW w:type="dxa" w:w="2556"/>
            <w:vAlign w:val="top"/>
          </w:tcPr>
          <w:p>
            <w:pPr>
              <w:spacing w:after="0"/>
              <w:jc w:val="left"/>
            </w:pPr>
            <w:r>
              <w:rPr>
                <w:rFonts w:ascii="Arial" w:hAnsi="Arial"/>
                <w:b w:val="0"/>
                <w:sz w:val="14"/>
              </w:rPr>
              <w:t>Medium</w:t>
            </w:r>
          </w:p>
        </w:tc>
      </w:tr>
      <w:tr>
        <w:trPr>
          <w:cantSplit/>
        </w:trPr>
        <w:tc>
          <w:tcPr>
            <w:tcW w:type="dxa" w:w="2556"/>
            <w:vAlign w:val="top"/>
          </w:tcPr>
          <w:p>
            <w:pPr>
              <w:spacing w:after="0"/>
              <w:jc w:val="left"/>
            </w:pPr>
            <w:r>
              <w:rPr>
                <w:rFonts w:ascii="Arial" w:hAnsi="Arial"/>
                <w:b w:val="0"/>
                <w:sz w:val="14"/>
              </w:rPr>
              <w:t>L4</w:t>
            </w:r>
          </w:p>
        </w:tc>
        <w:tc>
          <w:tcPr>
            <w:tcW w:type="dxa" w:w="2556"/>
            <w:vAlign w:val="top"/>
          </w:tcPr>
          <w:p>
            <w:pPr>
              <w:spacing w:after="0"/>
              <w:jc w:val="left"/>
            </w:pPr>
            <w:r>
              <w:rPr>
                <w:rFonts w:ascii="Arial" w:hAnsi="Arial"/>
                <w:b w:val="0"/>
                <w:sz w:val="14"/>
              </w:rPr>
              <w:t>Vendor white papers, product pages, blog posts, marketing statements</w:t>
            </w:r>
          </w:p>
        </w:tc>
        <w:tc>
          <w:tcPr>
            <w:tcW w:type="dxa" w:w="2556"/>
            <w:vAlign w:val="top"/>
          </w:tcPr>
          <w:p>
            <w:pPr>
              <w:spacing w:after="0"/>
              <w:jc w:val="left"/>
            </w:pPr>
            <w:r>
              <w:rPr>
                <w:rFonts w:ascii="Arial" w:hAnsi="Arial"/>
                <w:b w:val="0"/>
                <w:sz w:val="14"/>
              </w:rPr>
              <w:t>Used only when lower-level technical evidence is unavailable or as positioning evidence</w:t>
            </w:r>
          </w:p>
        </w:tc>
        <w:tc>
          <w:tcPr>
            <w:tcW w:type="dxa" w:w="2556"/>
            <w:vAlign w:val="top"/>
          </w:tcPr>
          <w:p>
            <w:pPr>
              <w:spacing w:after="0"/>
              <w:jc w:val="left"/>
            </w:pPr>
            <w:r>
              <w:rPr>
                <w:rFonts w:ascii="Arial" w:hAnsi="Arial"/>
                <w:b w:val="0"/>
                <w:sz w:val="14"/>
              </w:rPr>
              <w:t>Low</w:t>
            </w:r>
          </w:p>
        </w:tc>
      </w:tr>
      <w:tr>
        <w:trPr>
          <w:cantSplit/>
        </w:trPr>
        <w:tc>
          <w:tcPr>
            <w:tcW w:type="dxa" w:w="2556"/>
            <w:vAlign w:val="top"/>
          </w:tcPr>
          <w:p>
            <w:pPr>
              <w:spacing w:after="0"/>
              <w:jc w:val="left"/>
            </w:pPr>
            <w:r>
              <w:rPr>
                <w:rFonts w:ascii="Arial" w:hAnsi="Arial"/>
                <w:b w:val="0"/>
                <w:sz w:val="14"/>
              </w:rPr>
              <w:t>L5</w:t>
            </w:r>
          </w:p>
        </w:tc>
        <w:tc>
          <w:tcPr>
            <w:tcW w:type="dxa" w:w="2556"/>
            <w:vAlign w:val="top"/>
          </w:tcPr>
          <w:p>
            <w:pPr>
              <w:spacing w:after="0"/>
              <w:jc w:val="left"/>
            </w:pPr>
            <w:r>
              <w:rPr>
                <w:rFonts w:ascii="Arial" w:hAnsi="Arial"/>
                <w:b w:val="0"/>
                <w:sz w:val="14"/>
              </w:rPr>
              <w:t>Author inference, conceptual analysis, strategic interpretation</w:t>
            </w:r>
          </w:p>
        </w:tc>
        <w:tc>
          <w:tcPr>
            <w:tcW w:type="dxa" w:w="2556"/>
            <w:vAlign w:val="top"/>
          </w:tcPr>
          <w:p>
            <w:pPr>
              <w:spacing w:after="0"/>
              <w:jc w:val="left"/>
            </w:pPr>
            <w:r>
              <w:rPr>
                <w:rFonts w:ascii="Arial" w:hAnsi="Arial"/>
                <w:b w:val="0"/>
                <w:sz w:val="14"/>
              </w:rPr>
              <w:t>Allowed only when clearly marked as inference</w:t>
            </w:r>
          </w:p>
        </w:tc>
        <w:tc>
          <w:tcPr>
            <w:tcW w:type="dxa" w:w="2556"/>
            <w:vAlign w:val="top"/>
          </w:tcPr>
          <w:p>
            <w:pPr>
              <w:spacing w:after="0"/>
              <w:jc w:val="left"/>
            </w:pPr>
            <w:r>
              <w:rPr>
                <w:rFonts w:ascii="Arial" w:hAnsi="Arial"/>
                <w:b w:val="0"/>
                <w:sz w:val="14"/>
              </w:rPr>
              <w:t>Disclosed</w:t>
            </w:r>
          </w:p>
        </w:tc>
      </w:tr>
    </w:tbl>
    <w:p>
      <w:pPr>
        <w:sectPr>
          <w:pgSz w:w="12240" w:h="15840"/>
          <w:pgMar w:top="792" w:right="648" w:bottom="792" w:left="648" w:header="720" w:footer="720" w:gutter="0"/>
          <w:cols w:space="720"/>
          <w:docGrid w:linePitch="360"/>
        </w:sectPr>
      </w:pPr>
    </w:p>
    <w:p/>
    <w:p>
      <w:pPr>
        <w:pStyle w:val="Heading3"/>
      </w:pPr>
      <w:r>
        <w:t>Evidence Hierarchy Rationale</w:t>
      </w:r>
    </w:p>
    <w:p/>
    <w:p>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
    <w:p>
      <w:pPr>
        <w:pStyle w:val="Heading2"/>
      </w:pPr>
      <w:r>
        <w:t>How to Cite This White Paper</w:t>
      </w:r>
    </w:p>
    <w:p/>
    <w:p>
      <w:pPr>
        <w:pStyle w:val="Heading3"/>
      </w:pPr>
      <w:r>
        <w:t>Recommended Citation</w:t>
      </w:r>
    </w:p>
    <w:p/>
    <w:p>
      <w:pPr>
        <w:ind w:left="317"/>
      </w:pPr>
      <w:r>
        <w:rPr>
          <w:i/>
        </w:rPr>
        <w:t>Global AI Compliance White Paper 2026: From Model Governance to Agentic Lifecycle Conformance. Version v0.3.2 Final Release Candidate R3 (GACWP-2026-v0.3.2-FRC-R3). May 2026. Available at [publication URL when released].</w:t>
      </w:r>
    </w:p>
    <w:p/>
    <w:p>
      <w:pPr>
        <w:pStyle w:val="Heading3"/>
      </w:pPr>
      <w:r>
        <w:t>Short Citation</w:t>
      </w:r>
    </w:p>
    <w:p/>
    <w:p>
      <w:pPr>
        <w:ind w:left="317"/>
      </w:pPr>
      <w:r>
        <w:rPr>
          <w:i/>
        </w:rPr>
        <w:t>GAIC White Paper v0.3.2-FRC-R3 (May 2026)</w:t>
      </w:r>
    </w:p>
    <w:p/>
    <w:p>
      <w:pPr>
        <w:pStyle w:val="Heading3"/>
      </w:pPr>
      <w:r>
        <w:t>Trace Tag for Technical References</w:t>
      </w:r>
    </w:p>
    <w:p/>
    <w:p>
      <w:pPr>
        <w:ind w:left="317"/>
      </w:pPr>
      <w:r>
        <w:rPr>
          <w:i/>
        </w:rPr>
        <w:t>GACWP-2026-v0.3.2-FRC-R3</w:t>
      </w:r>
    </w:p>
    <w:p/>
    <w:p/>
    <w:p>
      <w:pPr>
        <w:pStyle w:val="Heading2"/>
      </w:pPr>
      <w:r>
        <w:t>Version History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Version</w:t>
            </w:r>
          </w:p>
        </w:tc>
        <w:tc>
          <w:tcPr>
            <w:tcW w:type="dxa" w:w="2556"/>
            <w:vAlign w:val="top"/>
            <w:shd w:fill="D9EAF7"/>
          </w:tcPr>
          <w:p>
            <w:pPr>
              <w:spacing w:after="0"/>
              <w:jc w:val="left"/>
            </w:pPr>
            <w:r>
              <w:rPr>
                <w:rFonts w:ascii="Arial" w:hAnsi="Arial"/>
                <w:b/>
                <w:sz w:val="14"/>
              </w:rPr>
              <w:t>Date</w:t>
            </w:r>
          </w:p>
        </w:tc>
        <w:tc>
          <w:tcPr>
            <w:tcW w:type="dxa" w:w="2556"/>
            <w:vAlign w:val="top"/>
            <w:shd w:fill="D9EAF7"/>
          </w:tcPr>
          <w:p>
            <w:pPr>
              <w:spacing w:after="0"/>
              <w:jc w:val="left"/>
            </w:pPr>
            <w:r>
              <w:rPr>
                <w:rFonts w:ascii="Arial" w:hAnsi="Arial"/>
                <w:b/>
                <w:sz w:val="14"/>
              </w:rPr>
              <w:t>Trace Tag</w:t>
            </w:r>
          </w:p>
        </w:tc>
        <w:tc>
          <w:tcPr>
            <w:tcW w:type="dxa" w:w="2556"/>
            <w:vAlign w:val="top"/>
            <w:shd w:fill="D9EAF7"/>
          </w:tcPr>
          <w:p>
            <w:pPr>
              <w:spacing w:after="0"/>
              <w:jc w:val="left"/>
            </w:pPr>
            <w:r>
              <w:rPr>
                <w:rFonts w:ascii="Arial" w:hAnsi="Arial"/>
                <w:b/>
                <w:sz w:val="14"/>
              </w:rPr>
              <w:t>Summary</w:t>
            </w:r>
          </w:p>
        </w:tc>
      </w:tr>
      <w:tr>
        <w:trPr>
          <w:cantSplit/>
        </w:trPr>
        <w:tc>
          <w:tcPr>
            <w:tcW w:type="dxa" w:w="2556"/>
            <w:vAlign w:val="top"/>
          </w:tcPr>
          <w:p>
            <w:pPr>
              <w:spacing w:after="0"/>
              <w:jc w:val="left"/>
            </w:pPr>
            <w:r>
              <w:rPr>
                <w:rFonts w:ascii="Arial" w:hAnsi="Arial"/>
                <w:b w:val="0"/>
                <w:sz w:val="14"/>
              </w:rPr>
              <w:t>v0.3.2-FRC-R3</w:t>
            </w:r>
          </w:p>
        </w:tc>
        <w:tc>
          <w:tcPr>
            <w:tcW w:type="dxa" w:w="2556"/>
            <w:vAlign w:val="top"/>
          </w:tcPr>
          <w:p>
            <w:pPr>
              <w:spacing w:after="0"/>
              <w:jc w:val="left"/>
            </w:pPr>
            <w:r>
              <w:rPr>
                <w:rFonts w:ascii="Arial" w:hAnsi="Arial"/>
                <w:b w:val="0"/>
                <w:sz w:val="14"/>
              </w:rPr>
              <w:t>May 2026</w:t>
            </w:r>
          </w:p>
        </w:tc>
        <w:tc>
          <w:tcPr>
            <w:tcW w:type="dxa" w:w="2556"/>
            <w:vAlign w:val="top"/>
          </w:tcPr>
          <w:p>
            <w:pPr>
              <w:spacing w:after="0"/>
              <w:jc w:val="left"/>
            </w:pPr>
            <w:r>
              <w:rPr>
                <w:rFonts w:ascii="Arial" w:hAnsi="Arial"/>
                <w:b w:val="0"/>
                <w:sz w:val="14"/>
              </w:rPr>
              <w:t>GACWP-2026-v0.3.2-FRC-R3</w:t>
            </w:r>
          </w:p>
        </w:tc>
        <w:tc>
          <w:tcPr>
            <w:tcW w:type="dxa" w:w="2556"/>
            <w:vAlign w:val="top"/>
          </w:tcPr>
          <w:p>
            <w:pPr>
              <w:spacing w:after="0"/>
              <w:jc w:val="left"/>
            </w:pPr>
            <w:r>
              <w:rPr>
                <w:rFonts w:ascii="Arial" w:hAnsi="Arial"/>
                <w:b w:val="0"/>
                <w:sz w:val="14"/>
              </w:rPr>
              <w:t>Source reconstruction from v0.3.1 semantic base. Integrates Wave 1 enterprise control, procurement, board reporting, model risk, cybersecurity, companion-paper boundary, citation policy, and source-audit improvements. Rebuilds report from clean Markdown source rather than PDF-to-DOCX conversion artifacts.</w:t>
            </w:r>
          </w:p>
        </w:tc>
      </w:tr>
      <w:tr>
        <w:trPr>
          <w:cantSplit/>
        </w:trPr>
        <w:tc>
          <w:tcPr>
            <w:tcW w:type="dxa" w:w="2556"/>
            <w:vAlign w:val="top"/>
          </w:tcPr>
          <w:p>
            <w:pPr>
              <w:spacing w:after="0"/>
              <w:jc w:val="left"/>
            </w:pPr>
            <w:r>
              <w:rPr>
                <w:rFonts w:ascii="Arial" w:hAnsi="Arial"/>
                <w:b w:val="0"/>
                <w:sz w:val="14"/>
              </w:rPr>
              <w:t>v0.3.1-PC</w:t>
            </w:r>
          </w:p>
        </w:tc>
        <w:tc>
          <w:tcPr>
            <w:tcW w:type="dxa" w:w="2556"/>
            <w:vAlign w:val="top"/>
          </w:tcPr>
          <w:p>
            <w:pPr>
              <w:spacing w:after="0"/>
              <w:jc w:val="left"/>
            </w:pPr>
            <w:r>
              <w:rPr>
                <w:rFonts w:ascii="Arial" w:hAnsi="Arial"/>
                <w:b w:val="0"/>
                <w:sz w:val="14"/>
              </w:rPr>
              <w:t>May 2026</w:t>
            </w:r>
          </w:p>
        </w:tc>
        <w:tc>
          <w:tcPr>
            <w:tcW w:type="dxa" w:w="2556"/>
            <w:vAlign w:val="top"/>
          </w:tcPr>
          <w:p>
            <w:pPr>
              <w:spacing w:after="0"/>
              <w:jc w:val="left"/>
            </w:pPr>
            <w:r>
              <w:rPr>
                <w:rFonts w:ascii="Arial" w:hAnsi="Arial"/>
                <w:b w:val="0"/>
                <w:sz w:val="14"/>
              </w:rPr>
              <w:t>GACWP-2026-v0.3.1-PC</w:t>
            </w:r>
          </w:p>
        </w:tc>
        <w:tc>
          <w:tcPr>
            <w:tcW w:type="dxa" w:w="2556"/>
            <w:vAlign w:val="top"/>
          </w:tcPr>
          <w:p>
            <w:pPr>
              <w:spacing w:after="0"/>
              <w:jc w:val="left"/>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rPr>
          <w:cantSplit/>
        </w:trPr>
        <w:tc>
          <w:tcPr>
            <w:tcW w:type="dxa" w:w="2556"/>
            <w:vAlign w:val="top"/>
          </w:tcPr>
          <w:p>
            <w:pPr>
              <w:spacing w:after="0"/>
              <w:jc w:val="left"/>
            </w:pPr>
            <w:r>
              <w:rPr>
                <w:rFonts w:ascii="Arial" w:hAnsi="Arial"/>
                <w:b w:val="0"/>
                <w:sz w:val="14"/>
              </w:rPr>
              <w:t>v0.3-FULL</w:t>
            </w:r>
          </w:p>
        </w:tc>
        <w:tc>
          <w:tcPr>
            <w:tcW w:type="dxa" w:w="2556"/>
            <w:vAlign w:val="top"/>
          </w:tcPr>
          <w:p>
            <w:pPr>
              <w:spacing w:after="0"/>
              <w:jc w:val="left"/>
            </w:pPr>
            <w:r>
              <w:rPr>
                <w:rFonts w:ascii="Arial" w:hAnsi="Arial"/>
                <w:b w:val="0"/>
                <w:sz w:val="14"/>
              </w:rPr>
              <w:t>April 2026</w:t>
            </w:r>
          </w:p>
        </w:tc>
        <w:tc>
          <w:tcPr>
            <w:tcW w:type="dxa" w:w="2556"/>
            <w:vAlign w:val="top"/>
          </w:tcPr>
          <w:p>
            <w:pPr>
              <w:spacing w:after="0"/>
              <w:jc w:val="left"/>
            </w:pPr>
            <w:r>
              <w:rPr>
                <w:rFonts w:ascii="Arial" w:hAnsi="Arial"/>
                <w:b w:val="0"/>
                <w:sz w:val="14"/>
              </w:rPr>
              <w:t>GACWP-2026-v0.3-FULL</w:t>
            </w:r>
          </w:p>
        </w:tc>
        <w:tc>
          <w:tcPr>
            <w:tcW w:type="dxa" w:w="2556"/>
            <w:vAlign w:val="top"/>
          </w:tcPr>
          <w:p>
            <w:pPr>
              <w:spacing w:after="0"/>
              <w:jc w:val="left"/>
            </w:pPr>
            <w:r>
              <w:rPr>
                <w:rFonts w:ascii="Arial" w:hAnsi="Arial"/>
                <w:b w:val="0"/>
                <w:sz w:val="14"/>
              </w:rPr>
              <w:t>Full research edition baseline (historical reference only)</w:t>
            </w:r>
          </w:p>
        </w:tc>
      </w:tr>
    </w:tbl>
    <w:p>
      <w:pPr>
        <w:sectPr>
          <w:pgSz w:w="12240" w:h="15840"/>
          <w:pgMar w:top="792" w:right="648" w:bottom="792" w:left="648" w:header="720" w:footer="720" w:gutter="0"/>
          <w:cols w:space="720"/>
          <w:docGrid w:linePitch="360"/>
        </w:sectPr>
      </w:pPr>
    </w:p>
    <w:p/>
    <w:p>
      <w:pPr>
        <w:pStyle w:val="Heading3"/>
      </w:pPr>
      <w:r>
        <w:t>Revision Note for v0.3.2-FRC-R3</w:t>
      </w:r>
    </w:p>
    <w:p/>
    <w:p>
      <w:r>
        <w:t>v0.3.2-FRC-R3 reconstructs the white paper from the v0.3.1 semantic base, integrates Wave 1 enterprise control, procurement, board reporting, model risk, cybersecurity, companion-paper boundary, citation policy, and source-audit improvements, and rebuilds the report from a clean Markdown source rather than from PDF-to-DOCX conversion artifacts.</w:t>
      </w:r>
    </w:p>
    <w:p/>
    <w:p>
      <w:r>
        <w:t>Key improvements in R3:</w:t>
      </w:r>
    </w:p>
    <w:p>
      <w:pPr>
        <w:pStyle w:val="ListBullet"/>
      </w:pPr>
      <w:r>
        <w:t>Clean Markdown source master eliminates PDF conversion artifacts</w:t>
      </w:r>
    </w:p>
    <w:p>
      <w:pPr>
        <w:pStyle w:val="ListBullet"/>
      </w:pPr>
      <w:r>
        <w:t>Enhanced citation and evidence basis framework</w:t>
      </w:r>
    </w:p>
    <w:p>
      <w:pPr>
        <w:pStyle w:val="ListBullet"/>
      </w:pPr>
      <w:r>
        <w:t>Strengthened boundary disclosure and conflict-of-interest statements</w:t>
      </w:r>
    </w:p>
    <w:p>
      <w:pPr>
        <w:pStyle w:val="ListBullet"/>
      </w:pPr>
      <w:r>
        <w:t>Improved version control and trace tag discipline</w:t>
      </w:r>
    </w:p>
    <w:p>
      <w:pPr>
        <w:pStyle w:val="ListBullet"/>
      </w:pPr>
      <w:r>
        <w:t>Structured placeholder system for phased content reconstruction</w:t>
      </w:r>
    </w:p>
    <w:p>
      <w:pPr>
        <w:spacing w:before="160" w:after="80"/>
        <w:jc w:val="center"/>
      </w:pPr>
      <w:r>
        <w:rPr>
          <w:b/>
          <w:color w:val="1F4E79"/>
          <w:sz w:val="18"/>
        </w:rPr>
        <w:t>- Comprehensive inventory tracking for tables, figures, and citations</w:t>
      </w:r>
    </w:p>
    <w:p/>
    <w:p/>
    <w:p>
      <w:pPr>
        <w:pStyle w:val="Heading2"/>
      </w:pPr>
      <w:r>
        <w:t>Table of Contents</w:t>
      </w:r>
    </w:p>
    <w:p/>
    <w:p>
      <w:r>
        <w:t>Status: PHASE 1A-2 TO BE GENERATED</w:t>
      </w:r>
    </w:p>
    <w:p/>
    <w:p>
      <w:r>
        <w:t>The table of contents will be automatically generated from section headers once all body chapters are filled in Phase 1A-2, 1A-3, and 1A-4.</w:t>
      </w:r>
    </w:p>
    <w:p/>
    <w:p/>
    <w:p>
      <w:pPr>
        <w:pStyle w:val="Heading2"/>
      </w:pPr>
      <w:r>
        <w:t>List of Figures</w:t>
      </w:r>
    </w:p>
    <w:p/>
    <w:p>
      <w:r>
        <w:t>Status: PHASE 1A-2 TO BE GENERATED</w:t>
      </w:r>
    </w:p>
    <w:p/>
    <w:p>
      <w:pPr>
        <w:spacing w:before="160" w:after="80"/>
        <w:jc w:val="center"/>
      </w:pPr>
      <w:r>
        <w:rPr>
          <w:b/>
          <w:color w:val="1F4E79"/>
          <w:sz w:val="18"/>
        </w:rPr>
        <w:t>The list of figures will be compiled from the figure inventory once all body chapters are filled.</w:t>
      </w:r>
    </w:p>
    <w:p/>
    <w:p>
      <w:pPr>
        <w:spacing w:before="160" w:after="80"/>
        <w:jc w:val="center"/>
      </w:pPr>
      <w:r>
        <w:rPr>
          <w:b/>
          <w:color w:val="1F4E79"/>
          <w:sz w:val="18"/>
        </w:rPr>
        <w:t>Known figures from v0.3.1:</w:t>
      </w:r>
    </w:p>
    <w:p>
      <w:pPr>
        <w:spacing w:before="160" w:after="80"/>
        <w:jc w:val="center"/>
      </w:pPr>
      <w:r>
        <w:rPr>
          <w:b/>
          <w:color w:val="1F4E79"/>
          <w:sz w:val="18"/>
        </w:rPr>
        <w:t>- Figure 1: Lifecycle chain for AI Agent Lifecycle Governance</w:t>
      </w:r>
    </w:p>
    <w:p>
      <w:pPr>
        <w:spacing w:before="160" w:after="80"/>
        <w:jc w:val="center"/>
      </w:pPr>
      <w:r>
        <w:rPr>
          <w:b/>
          <w:color w:val="1F4E79"/>
          <w:sz w:val="18"/>
        </w:rPr>
        <w:t>- Figure 2: The governance stack - The missing layer sits between orchestration and enterprise trust</w:t>
      </w:r>
    </w:p>
    <w:p>
      <w:pPr>
        <w:spacing w:before="160" w:after="80"/>
        <w:jc w:val="center"/>
      </w:pPr>
      <w:r>
        <w:rPr>
          <w:b/>
          <w:color w:val="1F4E79"/>
          <w:sz w:val="18"/>
        </w:rPr>
        <w:t>- Figure 3: MRO topology around AI Agent Lifecycle Governance</w:t>
      </w:r>
    </w:p>
    <w:p>
      <w:pPr>
        <w:spacing w:before="160" w:after="80"/>
        <w:jc w:val="center"/>
      </w:pPr>
      <w:r>
        <w:rPr>
          <w:b/>
          <w:color w:val="1F4E79"/>
          <w:sz w:val="18"/>
        </w:rPr>
        <w:t>- Figure 4: Composite score weighting used in this paper</w:t>
      </w:r>
    </w:p>
    <w:p>
      <w:pPr>
        <w:spacing w:before="160" w:after="80"/>
        <w:jc w:val="center"/>
      </w:pPr>
      <w:r>
        <w:rPr>
          <w:b/>
          <w:color w:val="1F4E79"/>
          <w:sz w:val="18"/>
        </w:rPr>
        <w:t>- Figure 5: Illustrative lifecycle conformance mapping strength (0-4)</w:t>
      </w:r>
    </w:p>
    <w:p/>
    <w:p/>
    <w:p>
      <w:pPr>
        <w:pStyle w:val="Heading2"/>
      </w:pPr>
      <w:r>
        <w:t>List of Tables</w:t>
      </w:r>
    </w:p>
    <w:p/>
    <w:p>
      <w:r>
        <w:t>Status: PHASE 1A-2 TO BE GENERATED</w:t>
      </w:r>
    </w:p>
    <w:p/>
    <w:p>
      <w:r>
        <w:t>The list of tables will be compiled from the table inventory once all body chapters are filled.</w:t>
      </w:r>
    </w:p>
    <w:p/>
    <w:p>
      <w:r>
        <w:t>Known tables from v0.3.1:</w:t>
      </w:r>
    </w:p>
    <w:p>
      <w:pPr>
        <w:pStyle w:val="ListBullet"/>
      </w:pPr>
      <w:r>
        <w:t>Document Control and Positioning table</w:t>
      </w:r>
    </w:p>
    <w:p>
      <w:pPr>
        <w:pStyle w:val="ListBullet"/>
      </w:pPr>
      <w:r>
        <w:t>Evidence Basis levels table</w:t>
      </w:r>
    </w:p>
    <w:p>
      <w:pPr>
        <w:pStyle w:val="ListBullet"/>
      </w:pPr>
      <w:r>
        <w:t>Conflict of Interest boundary controls table</w:t>
      </w:r>
    </w:p>
    <w:p>
      <w:pPr>
        <w:pStyle w:val="ListBullet"/>
      </w:pPr>
      <w:r>
        <w:t>In Scope / Out of Scope table</w:t>
      </w:r>
    </w:p>
    <w:p>
      <w:pPr>
        <w:pStyle w:val="ListBullet"/>
      </w:pPr>
      <w:r>
        <w:t>Regulatory frameworks baseline table</w:t>
      </w:r>
    </w:p>
    <w:p>
      <w:pPr>
        <w:pStyle w:val="ListBullet"/>
      </w:pPr>
      <w:r>
        <w:t>Missing Regulatory Objects (MRO-01 through MRO-16) specification tables</w:t>
      </w:r>
    </w:p>
    <w:p>
      <w:pPr>
        <w:pStyle w:val="ListBullet"/>
      </w:pPr>
      <w:r>
        <w:t>RCCS dimensions table</w:t>
      </w:r>
    </w:p>
    <w:p>
      <w:pPr>
        <w:pStyle w:val="ListBullet"/>
      </w:pPr>
      <w:r>
        <w:t>ALCS dimensions table</w:t>
      </w:r>
    </w:p>
    <w:p>
      <w:pPr>
        <w:pStyle w:val="ListBullet"/>
      </w:pPr>
      <w:r>
        <w:t>ALCS to MRO mapping table</w:t>
      </w:r>
    </w:p>
    <w:p>
      <w:pPr>
        <w:pStyle w:val="ListBullet"/>
      </w:pPr>
      <w:r>
        <w:t>System comparison and mapping tables</w:t>
      </w:r>
    </w:p>
    <w:p>
      <w:pPr>
        <w:pStyle w:val="ListBullet"/>
      </w:pPr>
      <w:r>
        <w:t>Composite scoring formula and evidence multiplier tables</w:t>
      </w:r>
    </w:p>
    <w:p/>
    <w:p/>
    <w:p>
      <w:pPr>
        <w:pStyle w:val="Heading2"/>
      </w:pPr>
      <w:r>
        <w:t>Executive Summary</w:t>
      </w:r>
    </w:p>
    <w:p/>
    <w:p>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
      <w:pPr>
        <w:pStyle w:val="Heading3"/>
      </w:pPr>
      <w:r>
        <w:t>The Missing Layer</w:t>
      </w:r>
    </w:p>
    <w:p/>
    <w:p>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
      <w:pPr>
        <w:pStyle w:val="Heading3"/>
      </w:pPr>
      <w:r>
        <w:t>Core Thesis</w:t>
      </w:r>
    </w:p>
    <w:p/>
    <w:p>
      <w:r>
        <w:t>The paper argues that AI Agent / MAS compliance is not only model compliance. It is lifecycle responsibility compliance.</w:t>
      </w:r>
    </w:p>
    <w:p/>
    <w:p>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pPr>
        <w:pStyle w:val="Heading3"/>
      </w:pPr>
      <w:r>
        <w:t>Dual Scoring Framework</w:t>
      </w:r>
    </w:p>
    <w:p/>
    <w:p>
      <w:r>
        <w:t>The report introduces two scoring layers:</w:t>
      </w:r>
    </w:p>
    <w:p/>
    <w:p>
      <w:r>
        <w:t>1. 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
      <w:r>
        <w:t>2. 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
      <w:pPr>
        <w:pStyle w:val="Heading3"/>
      </w:pPr>
      <w:r>
        <w:t>Missing Regulatory Objects</w:t>
      </w:r>
    </w:p>
    <w:p/>
    <w:p>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
      <w:r>
        <w:t>The sixteen MROs are:</w:t>
      </w:r>
    </w:p>
    <w:p/>
    <w:p>
      <w:pPr>
        <w:pStyle w:val="ListBullet"/>
      </w:pPr>
      <w:r>
        <w:t>MRO-01: Human Role to MAS Responsibility Mapping</w:t>
      </w:r>
    </w:p>
    <w:p>
      <w:pPr>
        <w:pStyle w:val="ListBullet"/>
      </w:pPr>
      <w:r>
        <w:t>MRO-02: Delegated Authority Boundary</w:t>
      </w:r>
    </w:p>
    <w:p>
      <w:pPr>
        <w:pStyle w:val="ListBullet"/>
      </w:pPr>
      <w:r>
        <w:t>MRO-03: Agent Role is not Human Role</w:t>
      </w:r>
    </w:p>
    <w:p>
      <w:pPr>
        <w:pStyle w:val="ListBullet"/>
      </w:pPr>
      <w:r>
        <w:t>MRO-04: Accepted Outcome Compliance</w:t>
      </w:r>
    </w:p>
    <w:p>
      <w:pPr>
        <w:pStyle w:val="ListBullet"/>
      </w:pPr>
      <w:r>
        <w:t>MRO-05: Tool-Action Liability Boundary</w:t>
      </w:r>
    </w:p>
    <w:p>
      <w:pPr>
        <w:pStyle w:val="ListBullet"/>
      </w:pPr>
      <w:r>
        <w:t>MRO-06: Responsibility Transfer Across Agents</w:t>
      </w:r>
    </w:p>
    <w:p>
      <w:pPr>
        <w:pStyle w:val="ListBullet"/>
      </w:pPr>
      <w:r>
        <w:t>MRO-07: Authority Drift</w:t>
      </w:r>
    </w:p>
    <w:p>
      <w:pPr>
        <w:pStyle w:val="ListBullet"/>
      </w:pPr>
      <w:r>
        <w:t>MRO-08: MAS Evidence Partitioning</w:t>
      </w:r>
    </w:p>
    <w:p>
      <w:pPr>
        <w:pStyle w:val="ListBullet"/>
      </w:pPr>
      <w:r>
        <w:t>MRO-09: Cross-Project Reuse Compliance</w:t>
      </w:r>
    </w:p>
    <w:p>
      <w:pPr>
        <w:pStyle w:val="ListBullet"/>
      </w:pPr>
      <w:r>
        <w:t>MRO-10: Privacy / GDPR Lifecycle Mapping</w:t>
      </w:r>
    </w:p>
    <w:p>
      <w:pPr>
        <w:pStyle w:val="ListBullet"/>
      </w:pPr>
      <w:r>
        <w:t>MRO-11: Privacy-Preserving Third-Party Validation</w:t>
      </w:r>
    </w:p>
    <w:p>
      <w:pPr>
        <w:pStyle w:val="ListBullet"/>
      </w:pPr>
      <w:r>
        <w:t>MRO-12: Evidence Minimization and Selective Disclosure</w:t>
      </w:r>
    </w:p>
    <w:p>
      <w:pPr>
        <w:pStyle w:val="ListBullet"/>
      </w:pPr>
      <w:r>
        <w:t>MRO-13: Data Subject Rights vs Evidence Retention</w:t>
      </w:r>
    </w:p>
    <w:p>
      <w:pPr>
        <w:pStyle w:val="ListBullet"/>
      </w:pPr>
      <w:r>
        <w:t>MRO-14: Third-Party Processor / Subprocessor Chain</w:t>
      </w:r>
    </w:p>
    <w:p>
      <w:pPr>
        <w:pStyle w:val="ListBullet"/>
      </w:pPr>
      <w:r>
        <w:t>MRO-15: Vendor / Model / Runtime Substitution Conformance</w:t>
      </w:r>
    </w:p>
    <w:p>
      <w:pPr>
        <w:pStyle w:val="ListBullet"/>
      </w:pPr>
      <w:r>
        <w:t>MRO-16: Incident, Dispute, and Remediation Closure</w:t>
      </w:r>
    </w:p>
    <w:p/>
    <w:p>
      <w:pPr>
        <w:pStyle w:val="Heading3"/>
      </w:pPr>
      <w:r>
        <w:t>Comparative System Analysis</w:t>
      </w:r>
    </w:p>
    <w:p/>
    <w:p>
      <w:r>
        <w:t>Finally, the report compares the major system categories now shaping the enterprise agentic stack:</w:t>
      </w:r>
    </w:p>
    <w:p/>
    <w:p>
      <w:pPr>
        <w:pStyle w:val="ListBullet"/>
      </w:pPr>
      <w:r>
        <w:t>MPLP as a lifecycle protocol path</w:t>
      </w:r>
    </w:p>
    <w:p>
      <w:pPr>
        <w:pStyle w:val="ListBullet"/>
      </w:pPr>
      <w:r>
        <w:t>IBM watsonx.governance as an enterprise AI governance platform</w:t>
      </w:r>
    </w:p>
    <w:p>
      <w:pPr>
        <w:pStyle w:val="ListBullet"/>
      </w:pPr>
      <w:r>
        <w:t>Microsoft Azure AI Foundry as an enterprise AI platform and observability/control plane</w:t>
      </w:r>
    </w:p>
    <w:p>
      <w:pPr>
        <w:pStyle w:val="ListBullet"/>
      </w:pPr>
      <w:r>
        <w:t>AWS Bedrock and AgentCore as managed agent runtime and guardrail infrastructure</w:t>
      </w:r>
    </w:p>
    <w:p>
      <w:pPr>
        <w:pStyle w:val="ListBullet"/>
      </w:pPr>
      <w:r>
        <w:t>Google Vertex AI/ADK/Model Armor as managed AI and agent safety infrastructure</w:t>
      </w:r>
    </w:p>
    <w:p>
      <w:pPr>
        <w:pStyle w:val="ListBullet"/>
      </w:pPr>
      <w:r>
        <w:t>LangGraph/LangSmith as stateful orchestration and observability/evaluation tooling</w:t>
      </w:r>
    </w:p>
    <w:p>
      <w:pPr>
        <w:pStyle w:val="ListBullet"/>
      </w:pPr>
      <w:r>
        <w:t>OpenAI Agents SDK as a developer agent SDK</w:t>
      </w:r>
    </w:p>
    <w:p>
      <w:pPr>
        <w:pStyle w:val="ListBullet"/>
      </w:pPr>
      <w:r>
        <w:t>CrewAI as a multi-agent orchestration framework</w:t>
      </w:r>
    </w:p>
    <w:p/>
    <w:p>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
      <w:pPr>
        <w:pStyle w:val="Heading3"/>
      </w:pPr>
      <w:r>
        <w:t>Audience and Use</w:t>
      </w:r>
    </w:p>
    <w:p/>
    <w:p>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
      <w:pPr>
        <w:pStyle w:val="Heading3"/>
      </w:pPr>
      <w:r>
        <w:t>Document Status</w:t>
      </w:r>
    </w:p>
    <w:p/>
    <w:p>
      <w:r>
        <w:t>This is v0.3.2 Final Release Candidate R3 (GACWP-2026-v0.3.2-FRC-R3), a source reconstruction candidate built from the v0.3.1 semantic base. It is not ready for publication. It is a clean Markdown source master that eliminates PDF conversion artifacts and establishes a structured foundation for final content integration and validation.</w:t>
      </w:r>
    </w:p>
    <w:p/>
    <w:p/>
    <w:p>
      <w:r>
        <w:t>Author Position: Protocol Architect for the Agent Era</w:t>
      </w:r>
    </w:p>
    <w:p/>
    <w:p>
      <w:r>
        <w:t>Non-legal technical governance analysis. Not legal advice. MPLP is discussed with explicit conflict-of-interest disclosure.</w:t>
      </w:r>
    </w:p>
    <w:p/>
    <w:p/>
    <w:p>
      <w:r>
        <w:t>End of Front Matter</w:t>
      </w:r>
    </w:p>
    <w:p>
      <w:pPr>
        <w:pStyle w:val="Heading1"/>
      </w:pPr>
      <w:r>
        <w:t>Chapter 1: Scope, Methodology, and Non-Legal Boundary</w:t>
      </w:r>
    </w:p>
    <w:p/>
    <w:p>
      <w:r>
        <w:t>Version: v0.3.2-FRC-R3</w:t>
      </w:r>
    </w:p>
    <w:p>
      <w:r>
        <w:t>Status: Reconstructed from v0.3.1 semantic base</w:t>
      </w:r>
    </w:p>
    <w:p>
      <w:r>
        <w:t>Phase: 1A-2</w:t>
      </w:r>
    </w:p>
    <w:p/>
    <w:p/>
    <w:p>
      <w:pPr>
        <w:pStyle w:val="Heading2"/>
      </w:pPr>
      <w:r>
        <w:t>1.1 Purpose and Positioning</w:t>
      </w:r>
    </w:p>
    <w:p/>
    <w:p>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
      <w:pPr>
        <w:pStyle w:val="Heading2"/>
      </w:pPr>
      <w:r>
        <w:t>1.2 Intended Audience</w:t>
      </w:r>
    </w:p>
    <w:p/>
    <w:p>
      <w:r>
        <w:t>This paper is designed for professionals who must translate regulatory obligations into operational systems:</w:t>
      </w:r>
    </w:p>
    <w:p/>
    <w:p>
      <w:pPr>
        <w:pStyle w:val="ListBullet"/>
      </w:pPr>
      <w:r>
        <w:t>AI Governance Leaders who must define enterprise AI governance frameworks that extend beyond model risk management</w:t>
      </w:r>
    </w:p>
    <w:p>
      <w:pPr>
        <w:pStyle w:val="ListBullet"/>
      </w:pPr>
      <w:r>
        <w:t>Enterprise Architects who must design agentic systems that can demonstrate lifecycle responsibility</w:t>
      </w:r>
    </w:p>
    <w:p>
      <w:pPr>
        <w:pStyle w:val="ListBullet"/>
      </w:pPr>
      <w:r>
        <w:t>AI Risk Teams who must assess whether agentic workflows meet regulatory and internal control requirements</w:t>
      </w:r>
    </w:p>
    <w:p>
      <w:pPr>
        <w:pStyle w:val="ListBullet"/>
      </w:pPr>
      <w:r>
        <w:t>Compliance Teams who must map regulatory language to technical controls</w:t>
      </w:r>
    </w:p>
    <w:p>
      <w:pPr>
        <w:pStyle w:val="ListBullet"/>
      </w:pPr>
      <w:r>
        <w:t>Cybersecurity Leaders who must secure agentic workflows across tool actions, memory, and delegation</w:t>
      </w:r>
    </w:p>
    <w:p>
      <w:pPr>
        <w:pStyle w:val="ListBullet"/>
      </w:pPr>
      <w:r>
        <w:t>Agent Platform Builders who must design platforms that support lifecycle governance primitives</w:t>
      </w:r>
    </w:p>
    <w:p>
      <w:pPr>
        <w:pStyle w:val="ListBullet"/>
      </w:pPr>
      <w:r>
        <w:t>Insurance and Assurance Professionals who must evaluate whether agentic systems are auditable and insurable</w:t>
      </w:r>
    </w:p>
    <w:p>
      <w:pPr>
        <w:pStyle w:val="ListBullet"/>
      </w:pPr>
      <w:r>
        <w:t>Protocol Designers who must create standards for agentic lifecycle responsibility</w:t>
      </w:r>
    </w:p>
    <w:p/>
    <w:p>
      <w:pPr>
        <w:pStyle w:val="Heading2"/>
      </w:pPr>
      <w:r>
        <w:t>1.3 Scope Boundary</w:t>
      </w:r>
    </w:p>
    <w:p/>
    <w:p>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In Scope</w:t>
            </w:r>
          </w:p>
        </w:tc>
        <w:tc>
          <w:tcPr>
            <w:tcW w:type="dxa" w:w="5112"/>
            <w:vAlign w:val="top"/>
            <w:shd w:fill="D9EAF7"/>
          </w:tcPr>
          <w:p>
            <w:pPr>
              <w:spacing w:after="0"/>
              <w:jc w:val="left"/>
            </w:pPr>
            <w:r>
              <w:rPr>
                <w:rFonts w:ascii="Arial" w:hAnsi="Arial"/>
                <w:b/>
                <w:sz w:val="16"/>
              </w:rPr>
              <w:t>Out of Scope</w:t>
            </w:r>
          </w:p>
        </w:tc>
      </w:tr>
      <w:tr>
        <w:trPr>
          <w:cantSplit/>
        </w:trPr>
        <w:tc>
          <w:tcPr>
            <w:tcW w:type="dxa" w:w="5112"/>
            <w:vAlign w:val="top"/>
          </w:tcPr>
          <w:p>
            <w:pPr>
              <w:spacing w:after="0"/>
              <w:jc w:val="left"/>
            </w:pPr>
            <w:r>
              <w:rPr>
                <w:rFonts w:ascii="Arial" w:hAnsi="Arial"/>
                <w:b w:val="0"/>
                <w:sz w:val="16"/>
              </w:rPr>
              <w:t>Agentic AI lifecycle responsibility</w:t>
            </w:r>
          </w:p>
        </w:tc>
        <w:tc>
          <w:tcPr>
            <w:tcW w:type="dxa" w:w="5112"/>
            <w:vAlign w:val="top"/>
          </w:tcPr>
          <w:p>
            <w:pPr>
              <w:spacing w:after="0"/>
              <w:jc w:val="left"/>
            </w:pPr>
            <w:r>
              <w:rPr>
                <w:rFonts w:ascii="Arial" w:hAnsi="Arial"/>
                <w:b w:val="0"/>
                <w:sz w:val="16"/>
              </w:rPr>
              <w:t>Legal advice for any specific jurisdiction</w:t>
            </w:r>
          </w:p>
        </w:tc>
      </w:tr>
      <w:tr>
        <w:trPr>
          <w:cantSplit/>
        </w:trPr>
        <w:tc>
          <w:tcPr>
            <w:tcW w:type="dxa" w:w="5112"/>
            <w:vAlign w:val="top"/>
          </w:tcPr>
          <w:p>
            <w:pPr>
              <w:spacing w:after="0"/>
              <w:jc w:val="left"/>
            </w:pPr>
            <w:r>
              <w:rPr>
                <w:rFonts w:ascii="Arial" w:hAnsi="Arial"/>
                <w:b w:val="0"/>
                <w:sz w:val="16"/>
              </w:rPr>
              <w:t>Multi-agent system responsibility transfer</w:t>
            </w:r>
          </w:p>
        </w:tc>
        <w:tc>
          <w:tcPr>
            <w:tcW w:type="dxa" w:w="5112"/>
            <w:vAlign w:val="top"/>
          </w:tcPr>
          <w:p>
            <w:pPr>
              <w:spacing w:after="0"/>
              <w:jc w:val="left"/>
            </w:pPr>
            <w:r>
              <w:rPr>
                <w:rFonts w:ascii="Arial" w:hAnsi="Arial"/>
                <w:b w:val="0"/>
                <w:sz w:val="16"/>
              </w:rPr>
              <w:t>Political content moderation regimes</w:t>
            </w:r>
          </w:p>
        </w:tc>
      </w:tr>
      <w:tr>
        <w:trPr>
          <w:cantSplit/>
        </w:trPr>
        <w:tc>
          <w:tcPr>
            <w:tcW w:type="dxa" w:w="5112"/>
            <w:vAlign w:val="top"/>
          </w:tcPr>
          <w:p>
            <w:pPr>
              <w:spacing w:after="0"/>
              <w:jc w:val="left"/>
            </w:pPr>
            <w:r>
              <w:rPr>
                <w:rFonts w:ascii="Arial" w:hAnsi="Arial"/>
                <w:b w:val="0"/>
                <w:sz w:val="16"/>
              </w:rPr>
              <w:t>Evidence, provenance, record-keeping, replay</w:t>
            </w:r>
          </w:p>
        </w:tc>
        <w:tc>
          <w:tcPr>
            <w:tcW w:type="dxa" w:w="5112"/>
            <w:vAlign w:val="top"/>
          </w:tcPr>
          <w:p>
            <w:pPr>
              <w:spacing w:after="0"/>
              <w:jc w:val="left"/>
            </w:pPr>
            <w:r>
              <w:rPr>
                <w:rFonts w:ascii="Arial" w:hAnsi="Arial"/>
                <w:b w:val="0"/>
                <w:sz w:val="16"/>
              </w:rPr>
              <w:t>Certification issuance or conformity assessment</w:t>
            </w:r>
          </w:p>
        </w:tc>
      </w:tr>
      <w:tr>
        <w:trPr>
          <w:cantSplit/>
        </w:trPr>
        <w:tc>
          <w:tcPr>
            <w:tcW w:type="dxa" w:w="5112"/>
            <w:vAlign w:val="top"/>
          </w:tcPr>
          <w:p>
            <w:pPr>
              <w:spacing w:after="0"/>
              <w:jc w:val="left"/>
            </w:pPr>
            <w:r>
              <w:rPr>
                <w:rFonts w:ascii="Arial" w:hAnsi="Arial"/>
                <w:b w:val="0"/>
                <w:sz w:val="16"/>
              </w:rPr>
              <w:t>Human oversight as an engineering control</w:t>
            </w:r>
          </w:p>
        </w:tc>
        <w:tc>
          <w:tcPr>
            <w:tcW w:type="dxa" w:w="5112"/>
            <w:vAlign w:val="top"/>
          </w:tcPr>
          <w:p>
            <w:pPr>
              <w:spacing w:after="0"/>
              <w:jc w:val="left"/>
            </w:pPr>
            <w:r>
              <w:rPr>
                <w:rFonts w:ascii="Arial" w:hAnsi="Arial"/>
                <w:b w:val="0"/>
                <w:sz w:val="16"/>
              </w:rPr>
              <w:t>Claims of regulatory approval</w:t>
            </w:r>
          </w:p>
        </w:tc>
      </w:tr>
      <w:tr>
        <w:trPr>
          <w:cantSplit/>
        </w:trPr>
        <w:tc>
          <w:tcPr>
            <w:tcW w:type="dxa" w:w="5112"/>
            <w:vAlign w:val="top"/>
          </w:tcPr>
          <w:p>
            <w:pPr>
              <w:spacing w:after="0"/>
              <w:jc w:val="left"/>
            </w:pPr>
            <w:r>
              <w:rPr>
                <w:rFonts w:ascii="Arial" w:hAnsi="Arial"/>
                <w:b w:val="0"/>
                <w:sz w:val="16"/>
              </w:rPr>
              <w:t>Privacy-preserving validation and selective disclosure</w:t>
            </w:r>
          </w:p>
        </w:tc>
        <w:tc>
          <w:tcPr>
            <w:tcW w:type="dxa" w:w="5112"/>
            <w:vAlign w:val="top"/>
          </w:tcPr>
          <w:p>
            <w:pPr>
              <w:spacing w:after="0"/>
              <w:jc w:val="left"/>
            </w:pPr>
            <w:r>
              <w:rPr>
                <w:rFonts w:ascii="Arial" w:hAnsi="Arial"/>
                <w:b w:val="0"/>
                <w:sz w:val="16"/>
              </w:rPr>
              <w:t>Full product security review of each vendor</w:t>
            </w:r>
          </w:p>
        </w:tc>
      </w:tr>
      <w:tr>
        <w:trPr>
          <w:cantSplit/>
        </w:trPr>
        <w:tc>
          <w:tcPr>
            <w:tcW w:type="dxa" w:w="5112"/>
            <w:vAlign w:val="top"/>
          </w:tcPr>
          <w:p>
            <w:pPr>
              <w:spacing w:after="0"/>
              <w:jc w:val="left"/>
            </w:pPr>
            <w:r>
              <w:rPr>
                <w:rFonts w:ascii="Arial" w:hAnsi="Arial"/>
                <w:b w:val="0"/>
                <w:sz w:val="16"/>
              </w:rPr>
              <w:t>Framework and platform semantic mapping</w:t>
            </w:r>
          </w:p>
        </w:tc>
        <w:tc>
          <w:tcPr>
            <w:tcW w:type="dxa" w:w="5112"/>
            <w:vAlign w:val="top"/>
          </w:tcPr>
          <w:p>
            <w:pPr>
              <w:spacing w:after="0"/>
              <w:jc w:val="left"/>
            </w:pPr>
            <w:r>
              <w:rPr>
                <w:rFonts w:ascii="Arial" w:hAnsi="Arial"/>
                <w:b w:val="0"/>
                <w:sz w:val="16"/>
              </w:rPr>
              <w:t>Performance benchmarking or model quality ranking</w:t>
            </w:r>
          </w:p>
        </w:tc>
      </w:tr>
    </w:tbl>
    <w:p>
      <w:pPr>
        <w:sectPr>
          <w:pgSz w:w="12240" w:h="15840"/>
          <w:pgMar w:top="792" w:right="648" w:bottom="792" w:left="648" w:header="720" w:footer="720" w:gutter="0"/>
          <w:cols w:space="720"/>
          <w:docGrid w:linePitch="360"/>
        </w:sectPr>
      </w:pPr>
    </w:p>
    <w:p/>
    <w:p>
      <w:pPr>
        <w:pStyle w:val="Heading2"/>
      </w:pPr>
      <w:r>
        <w:t>1.4 Methodology</w:t>
      </w:r>
    </w:p>
    <w:p/>
    <w:p>
      <w:r>
        <w:t>The methodology uses a layered approach:</w:t>
      </w:r>
    </w:p>
    <w:p/>
    <w:p>
      <w:r>
        <w:t>1. Extract recurring regulatory concepts from the baseline frameworks: risk management, documentation, logs, transparency, oversight, accountability, security, monitoring, privacy, and redress.</w:t>
      </w:r>
    </w:p>
    <w:p/>
    <w:p>
      <w:r>
        <w:t>2. 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
      <w:r>
        <w:t>3. Define Missing Regulatory Objects that make those obligations testable. These are not proposed legal mandates. They are engineering objects that appear necessary if existing regulatory ideals are to become auditable in multi-agent execution.</w:t>
      </w:r>
    </w:p>
    <w:p/>
    <w:p>
      <w:r>
        <w:t>4. 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
      <w:r>
        <w:t>5. Map representative systems against those objects based on publicly available evidence. The comparison is not a ranking of product quality. It is a map of responsibility semantics.</w:t>
      </w:r>
    </w:p>
    <w:p/>
    <w:p>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
      <w:pPr>
        <w:pStyle w:val="Heading2"/>
      </w:pPr>
      <w:r>
        <w:t>1.5 Evidence Basis</w:t>
      </w:r>
    </w:p>
    <w:p/>
    <w:p>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Level</w:t>
            </w:r>
          </w:p>
        </w:tc>
        <w:tc>
          <w:tcPr>
            <w:tcW w:type="dxa" w:w="2556"/>
            <w:vAlign w:val="top"/>
            <w:shd w:fill="D9EAF7"/>
          </w:tcPr>
          <w:p>
            <w:pPr>
              <w:spacing w:after="0"/>
              <w:jc w:val="left"/>
            </w:pPr>
            <w:r>
              <w:rPr>
                <w:rFonts w:ascii="Arial" w:hAnsi="Arial"/>
                <w:b/>
                <w:sz w:val="14"/>
              </w:rPr>
              <w:t>Evidence Type</w:t>
            </w:r>
          </w:p>
        </w:tc>
        <w:tc>
          <w:tcPr>
            <w:tcW w:type="dxa" w:w="2556"/>
            <w:vAlign w:val="top"/>
            <w:shd w:fill="D9EAF7"/>
          </w:tcPr>
          <w:p>
            <w:pPr>
              <w:spacing w:after="0"/>
              <w:jc w:val="left"/>
            </w:pPr>
            <w:r>
              <w:rPr>
                <w:rFonts w:ascii="Arial" w:hAnsi="Arial"/>
                <w:b/>
                <w:sz w:val="14"/>
              </w:rPr>
              <w:t>Use in This Paper</w:t>
            </w:r>
          </w:p>
        </w:tc>
        <w:tc>
          <w:tcPr>
            <w:tcW w:type="dxa" w:w="2556"/>
            <w:vAlign w:val="top"/>
            <w:shd w:fill="D9EAF7"/>
          </w:tcPr>
          <w:p>
            <w:pPr>
              <w:spacing w:after="0"/>
              <w:jc w:val="left"/>
            </w:pPr>
            <w:r>
              <w:rPr>
                <w:rFonts w:ascii="Arial" w:hAnsi="Arial"/>
                <w:b/>
                <w:sz w:val="14"/>
              </w:rPr>
              <w:t>Confidence</w:t>
            </w:r>
          </w:p>
        </w:tc>
      </w:tr>
      <w:tr>
        <w:trPr>
          <w:cantSplit/>
        </w:trPr>
        <w:tc>
          <w:tcPr>
            <w:tcW w:type="dxa" w:w="2556"/>
            <w:vAlign w:val="top"/>
          </w:tcPr>
          <w:p>
            <w:pPr>
              <w:spacing w:after="0"/>
              <w:jc w:val="left"/>
            </w:pPr>
            <w:r>
              <w:rPr>
                <w:rFonts w:ascii="Arial" w:hAnsi="Arial"/>
                <w:b w:val="0"/>
                <w:sz w:val="14"/>
              </w:rPr>
              <w:t>L1</w:t>
            </w:r>
          </w:p>
        </w:tc>
        <w:tc>
          <w:tcPr>
            <w:tcW w:type="dxa" w:w="2556"/>
            <w:vAlign w:val="top"/>
          </w:tcPr>
          <w:p>
            <w:pPr>
              <w:spacing w:after="0"/>
              <w:jc w:val="left"/>
            </w:pPr>
            <w:r>
              <w:rPr>
                <w:rFonts w:ascii="Arial" w:hAnsi="Arial"/>
                <w:b w:val="0"/>
                <w:sz w:val="14"/>
              </w:rPr>
              <w:t>Binding legal, regulatory, or formal standards text</w:t>
            </w:r>
          </w:p>
        </w:tc>
        <w:tc>
          <w:tcPr>
            <w:tcW w:type="dxa" w:w="2556"/>
            <w:vAlign w:val="top"/>
          </w:tcPr>
          <w:p>
            <w:pPr>
              <w:spacing w:after="0"/>
              <w:jc w:val="left"/>
            </w:pPr>
            <w:r>
              <w:rPr>
                <w:rFonts w:ascii="Arial" w:hAnsi="Arial"/>
                <w:b w:val="0"/>
                <w:sz w:val="14"/>
              </w:rPr>
              <w:t>Used for baseline obligations and formal object requirements; does not prove implementation</w:t>
            </w:r>
          </w:p>
        </w:tc>
        <w:tc>
          <w:tcPr>
            <w:tcW w:type="dxa" w:w="2556"/>
            <w:vAlign w:val="top"/>
          </w:tcPr>
          <w:p>
            <w:pPr>
              <w:spacing w:after="0"/>
              <w:jc w:val="left"/>
            </w:pPr>
            <w:r>
              <w:rPr>
                <w:rFonts w:ascii="Arial" w:hAnsi="Arial"/>
                <w:b w:val="0"/>
                <w:sz w:val="14"/>
              </w:rPr>
              <w:t>Highest</w:t>
            </w:r>
          </w:p>
        </w:tc>
      </w:tr>
      <w:tr>
        <w:trPr>
          <w:cantSplit/>
        </w:trPr>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Official product documentation, API docs, developer documentation, platform architecture docs</w:t>
            </w:r>
          </w:p>
        </w:tc>
        <w:tc>
          <w:tcPr>
            <w:tcW w:type="dxa" w:w="2556"/>
            <w:vAlign w:val="top"/>
          </w:tcPr>
          <w:p>
            <w:pPr>
              <w:spacing w:after="0"/>
              <w:jc w:val="left"/>
            </w:pPr>
            <w:r>
              <w:rPr>
                <w:rFonts w:ascii="Arial" w:hAnsi="Arial"/>
                <w:b w:val="0"/>
                <w:sz w:val="14"/>
              </w:rPr>
              <w:t>Used for system mapping and capability interpretation</w:t>
            </w:r>
          </w:p>
        </w:tc>
        <w:tc>
          <w:tcPr>
            <w:tcW w:type="dxa" w:w="2556"/>
            <w:vAlign w:val="top"/>
          </w:tcPr>
          <w:p>
            <w:pPr>
              <w:spacing w:after="0"/>
              <w:jc w:val="left"/>
            </w:pPr>
            <w:r>
              <w:rPr>
                <w:rFonts w:ascii="Arial" w:hAnsi="Arial"/>
                <w:b w:val="0"/>
                <w:sz w:val="14"/>
              </w:rPr>
              <w:t>High</w:t>
            </w:r>
          </w:p>
        </w:tc>
      </w:tr>
      <w:tr>
        <w:trPr>
          <w:cantSplit/>
        </w:trPr>
        <w:tc>
          <w:tcPr>
            <w:tcW w:type="dxa" w:w="2556"/>
            <w:vAlign w:val="top"/>
          </w:tcPr>
          <w:p>
            <w:pPr>
              <w:spacing w:after="0"/>
              <w:jc w:val="left"/>
            </w:pPr>
            <w:r>
              <w:rPr>
                <w:rFonts w:ascii="Arial" w:hAnsi="Arial"/>
                <w:b w:val="0"/>
                <w:sz w:val="14"/>
              </w:rPr>
              <w:t>L3</w:t>
            </w:r>
          </w:p>
        </w:tc>
        <w:tc>
          <w:tcPr>
            <w:tcW w:type="dxa" w:w="2556"/>
            <w:vAlign w:val="top"/>
          </w:tcPr>
          <w:p>
            <w:pPr>
              <w:spacing w:after="0"/>
              <w:jc w:val="left"/>
            </w:pPr>
            <w:r>
              <w:rPr>
                <w:rFonts w:ascii="Arial" w:hAnsi="Arial"/>
                <w:b w:val="0"/>
                <w:sz w:val="14"/>
              </w:rPr>
              <w:t>Independent audits, certifications, third-party evaluations, regulatory commentary</w:t>
            </w:r>
          </w:p>
        </w:tc>
        <w:tc>
          <w:tcPr>
            <w:tcW w:type="dxa" w:w="2556"/>
            <w:vAlign w:val="top"/>
          </w:tcPr>
          <w:p>
            <w:pPr>
              <w:spacing w:after="0"/>
              <w:jc w:val="left"/>
            </w:pPr>
            <w:r>
              <w:rPr>
                <w:rFonts w:ascii="Arial" w:hAnsi="Arial"/>
                <w:b w:val="0"/>
                <w:sz w:val="14"/>
              </w:rPr>
              <w:t>Used for supplemental confidence and risk interpretation</w:t>
            </w:r>
          </w:p>
        </w:tc>
        <w:tc>
          <w:tcPr>
            <w:tcW w:type="dxa" w:w="2556"/>
            <w:vAlign w:val="top"/>
          </w:tcPr>
          <w:p>
            <w:pPr>
              <w:spacing w:after="0"/>
              <w:jc w:val="left"/>
            </w:pPr>
            <w:r>
              <w:rPr>
                <w:rFonts w:ascii="Arial" w:hAnsi="Arial"/>
                <w:b w:val="0"/>
                <w:sz w:val="14"/>
              </w:rPr>
              <w:t>Medium</w:t>
            </w:r>
          </w:p>
        </w:tc>
      </w:tr>
      <w:tr>
        <w:trPr>
          <w:cantSplit/>
        </w:trPr>
        <w:tc>
          <w:tcPr>
            <w:tcW w:type="dxa" w:w="2556"/>
            <w:vAlign w:val="top"/>
          </w:tcPr>
          <w:p>
            <w:pPr>
              <w:spacing w:after="0"/>
              <w:jc w:val="left"/>
            </w:pPr>
            <w:r>
              <w:rPr>
                <w:rFonts w:ascii="Arial" w:hAnsi="Arial"/>
                <w:b w:val="0"/>
                <w:sz w:val="14"/>
              </w:rPr>
              <w:t>L4</w:t>
            </w:r>
          </w:p>
        </w:tc>
        <w:tc>
          <w:tcPr>
            <w:tcW w:type="dxa" w:w="2556"/>
            <w:vAlign w:val="top"/>
          </w:tcPr>
          <w:p>
            <w:pPr>
              <w:spacing w:after="0"/>
              <w:jc w:val="left"/>
            </w:pPr>
            <w:r>
              <w:rPr>
                <w:rFonts w:ascii="Arial" w:hAnsi="Arial"/>
                <w:b w:val="0"/>
                <w:sz w:val="14"/>
              </w:rPr>
              <w:t>Vendor white papers, product pages, blog posts, marketing statements</w:t>
            </w:r>
          </w:p>
        </w:tc>
        <w:tc>
          <w:tcPr>
            <w:tcW w:type="dxa" w:w="2556"/>
            <w:vAlign w:val="top"/>
          </w:tcPr>
          <w:p>
            <w:pPr>
              <w:spacing w:after="0"/>
              <w:jc w:val="left"/>
            </w:pPr>
            <w:r>
              <w:rPr>
                <w:rFonts w:ascii="Arial" w:hAnsi="Arial"/>
                <w:b w:val="0"/>
                <w:sz w:val="14"/>
              </w:rPr>
              <w:t>Used only when lower-level technical evidence is unavailable or as positioning evidence</w:t>
            </w:r>
          </w:p>
        </w:tc>
        <w:tc>
          <w:tcPr>
            <w:tcW w:type="dxa" w:w="2556"/>
            <w:vAlign w:val="top"/>
          </w:tcPr>
          <w:p>
            <w:pPr>
              <w:spacing w:after="0"/>
              <w:jc w:val="left"/>
            </w:pPr>
            <w:r>
              <w:rPr>
                <w:rFonts w:ascii="Arial" w:hAnsi="Arial"/>
                <w:b w:val="0"/>
                <w:sz w:val="14"/>
              </w:rPr>
              <w:t>Low</w:t>
            </w:r>
          </w:p>
        </w:tc>
      </w:tr>
      <w:tr>
        <w:trPr>
          <w:cantSplit/>
        </w:trPr>
        <w:tc>
          <w:tcPr>
            <w:tcW w:type="dxa" w:w="2556"/>
            <w:vAlign w:val="top"/>
          </w:tcPr>
          <w:p>
            <w:pPr>
              <w:spacing w:after="0"/>
              <w:jc w:val="left"/>
            </w:pPr>
            <w:r>
              <w:rPr>
                <w:rFonts w:ascii="Arial" w:hAnsi="Arial"/>
                <w:b w:val="0"/>
                <w:sz w:val="14"/>
              </w:rPr>
              <w:t>L5</w:t>
            </w:r>
          </w:p>
        </w:tc>
        <w:tc>
          <w:tcPr>
            <w:tcW w:type="dxa" w:w="2556"/>
            <w:vAlign w:val="top"/>
          </w:tcPr>
          <w:p>
            <w:pPr>
              <w:spacing w:after="0"/>
              <w:jc w:val="left"/>
            </w:pPr>
            <w:r>
              <w:rPr>
                <w:rFonts w:ascii="Arial" w:hAnsi="Arial"/>
                <w:b w:val="0"/>
                <w:sz w:val="14"/>
              </w:rPr>
              <w:t>Author inference, conceptual analysis, strategic interpretation</w:t>
            </w:r>
          </w:p>
        </w:tc>
        <w:tc>
          <w:tcPr>
            <w:tcW w:type="dxa" w:w="2556"/>
            <w:vAlign w:val="top"/>
          </w:tcPr>
          <w:p>
            <w:pPr>
              <w:spacing w:after="0"/>
              <w:jc w:val="left"/>
            </w:pPr>
            <w:r>
              <w:rPr>
                <w:rFonts w:ascii="Arial" w:hAnsi="Arial"/>
                <w:b w:val="0"/>
                <w:sz w:val="14"/>
              </w:rPr>
              <w:t>Allowed only when clearly marked as inference</w:t>
            </w:r>
          </w:p>
        </w:tc>
        <w:tc>
          <w:tcPr>
            <w:tcW w:type="dxa" w:w="2556"/>
            <w:vAlign w:val="top"/>
          </w:tcPr>
          <w:p>
            <w:pPr>
              <w:spacing w:after="0"/>
              <w:jc w:val="left"/>
            </w:pPr>
            <w:r>
              <w:rPr>
                <w:rFonts w:ascii="Arial" w:hAnsi="Arial"/>
                <w:b w:val="0"/>
                <w:sz w:val="14"/>
              </w:rPr>
              <w:t>Disclosed</w:t>
            </w:r>
          </w:p>
        </w:tc>
      </w:tr>
    </w:tbl>
    <w:p>
      <w:pPr>
        <w:sectPr>
          <w:pgSz w:w="12240" w:h="15840"/>
          <w:pgMar w:top="792" w:right="648" w:bottom="792" w:left="648" w:header="720" w:footer="720" w:gutter="0"/>
          <w:cols w:space="720"/>
          <w:docGrid w:linePitch="360"/>
        </w:sectPr>
      </w:pPr>
    </w:p>
    <w:p/>
    <w:p>
      <w:pPr>
        <w:pStyle w:val="Heading2"/>
      </w:pPr>
      <w:r>
        <w:t>1.6 Non-Legal Boundary and Conflict of Interest Disclosure</w:t>
      </w:r>
    </w:p>
    <w:p/>
    <w:p>
      <w:r>
        <w:t>Author position: Protocol Architect for the Agent Era</w:t>
      </w:r>
    </w:p>
    <w:p/>
    <w:p>
      <w:r>
        <w:t>Non-legal technical governance analysis. Not legal advice. MPLP is discussed with explicit conflict-of-interest disclosure.</w:t>
      </w:r>
    </w:p>
    <w:p/>
    <w:p>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
      <w:r>
        <w:t>The controls used to limit over-claiming are as follows:</w:t>
      </w:r>
    </w:p>
    <w:p/>
    <w:p>
      <w:pPr>
        <w:pStyle w:val="ListBullet"/>
      </w:pPr>
      <w:r>
        <w:t>MPLP is treated as a protocol path, not a regulator</w:t>
      </w:r>
    </w:p>
    <w:p>
      <w:pPr>
        <w:pStyle w:val="ListBullet"/>
      </w:pPr>
      <w:r>
        <w:t>Validation Lab is treated as non-certifying evidence adjudication, not legal certification</w:t>
      </w:r>
    </w:p>
    <w:p>
      <w:pPr>
        <w:pStyle w:val="ListBullet"/>
      </w:pPr>
      <w:r>
        <w:t>Other platforms are evaluated for their own strengths rather than dismissed</w:t>
      </w:r>
    </w:p>
    <w:p>
      <w:pPr>
        <w:pStyle w:val="ListBullet"/>
      </w:pPr>
      <w:r>
        <w:t>Scoring claims are separated into regulatory coverage and lifecycle conformance evidence levels</w:t>
      </w:r>
    </w:p>
    <w:p>
      <w:pPr>
        <w:pStyle w:val="ListBullet"/>
      </w:pPr>
      <w:r>
        <w:t>The paper distinguishes a conceptual object model from real-world legal compliance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Boundary</w:t>
            </w:r>
          </w:p>
        </w:tc>
        <w:tc>
          <w:tcPr>
            <w:tcW w:type="dxa" w:w="3408"/>
            <w:vAlign w:val="top"/>
            <w:shd w:fill="D9EAF7"/>
          </w:tcPr>
          <w:p>
            <w:pPr>
              <w:spacing w:after="0"/>
              <w:jc w:val="left"/>
            </w:pPr>
            <w:r>
              <w:rPr>
                <w:rFonts w:ascii="Arial" w:hAnsi="Arial"/>
                <w:b/>
                <w:sz w:val="16"/>
              </w:rPr>
              <w:t>Required Wording</w:t>
            </w:r>
          </w:p>
        </w:tc>
        <w:tc>
          <w:tcPr>
            <w:tcW w:type="dxa" w:w="3408"/>
            <w:vAlign w:val="top"/>
            <w:shd w:fill="D9EAF7"/>
          </w:tcPr>
          <w:p>
            <w:pPr>
              <w:spacing w:after="0"/>
              <w:jc w:val="left"/>
            </w:pPr>
            <w:r>
              <w:rPr>
                <w:rFonts w:ascii="Arial" w:hAnsi="Arial"/>
                <w:b/>
                <w:sz w:val="16"/>
              </w:rPr>
              <w:t>Forbidden Wording</w:t>
            </w:r>
          </w:p>
        </w:tc>
      </w:tr>
      <w:tr>
        <w:trPr>
          <w:cantSplit/>
        </w:trPr>
        <w:tc>
          <w:tcPr>
            <w:tcW w:type="dxa" w:w="3408"/>
            <w:vAlign w:val="top"/>
          </w:tcPr>
          <w:p>
            <w:pPr>
              <w:spacing w:after="0"/>
              <w:jc w:val="left"/>
            </w:pPr>
            <w:r>
              <w:rPr>
                <w:rFonts w:ascii="Arial" w:hAnsi="Arial"/>
                <w:b w:val="0"/>
                <w:sz w:val="16"/>
              </w:rPr>
              <w:t>MPLP</w:t>
            </w:r>
          </w:p>
        </w:tc>
        <w:tc>
          <w:tcPr>
            <w:tcW w:type="dxa" w:w="3408"/>
            <w:vAlign w:val="top"/>
          </w:tcPr>
          <w:p>
            <w:pPr>
              <w:spacing w:after="0"/>
              <w:jc w:val="left"/>
            </w:pPr>
            <w:r>
              <w:rPr>
                <w:rFonts w:ascii="Arial" w:hAnsi="Arial"/>
                <w:b w:val="0"/>
                <w:sz w:val="16"/>
              </w:rPr>
              <w:t>A lifecycle protocol path for expressing agentic responsibility objects</w:t>
            </w:r>
          </w:p>
        </w:tc>
        <w:tc>
          <w:tcPr>
            <w:tcW w:type="dxa" w:w="3408"/>
            <w:vAlign w:val="top"/>
          </w:tcPr>
          <w:p>
            <w:pPr>
              <w:spacing w:after="0"/>
              <w:jc w:val="left"/>
            </w:pPr>
            <w:r>
              <w:rPr>
                <w:rFonts w:ascii="Arial" w:hAnsi="Arial"/>
                <w:b w:val="0"/>
                <w:sz w:val="16"/>
              </w:rPr>
              <w:t>The only compliant standard</w:t>
            </w:r>
          </w:p>
        </w:tc>
      </w:tr>
      <w:tr>
        <w:trPr>
          <w:cantSplit/>
        </w:trPr>
        <w:tc>
          <w:tcPr>
            <w:tcW w:type="dxa" w:w="3408"/>
            <w:vAlign w:val="top"/>
          </w:tcPr>
          <w:p>
            <w:pPr>
              <w:spacing w:after="0"/>
              <w:jc w:val="left"/>
            </w:pPr>
            <w:r>
              <w:rPr>
                <w:rFonts w:ascii="Arial" w:hAnsi="Arial"/>
                <w:b w:val="0"/>
                <w:sz w:val="16"/>
              </w:rPr>
              <w:t>Validation Lab</w:t>
            </w:r>
          </w:p>
        </w:tc>
        <w:tc>
          <w:tcPr>
            <w:tcW w:type="dxa" w:w="3408"/>
            <w:vAlign w:val="top"/>
          </w:tcPr>
          <w:p>
            <w:pPr>
              <w:spacing w:after="0"/>
              <w:jc w:val="left"/>
            </w:pPr>
            <w:r>
              <w:rPr>
                <w:rFonts w:ascii="Arial" w:hAnsi="Arial"/>
                <w:b w:val="0"/>
                <w:sz w:val="16"/>
              </w:rPr>
              <w:t>A non-certifying evidence adjudication example</w:t>
            </w:r>
          </w:p>
        </w:tc>
        <w:tc>
          <w:tcPr>
            <w:tcW w:type="dxa" w:w="3408"/>
            <w:vAlign w:val="top"/>
          </w:tcPr>
          <w:p>
            <w:pPr>
              <w:spacing w:after="0"/>
              <w:jc w:val="left"/>
            </w:pPr>
            <w:r>
              <w:rPr>
                <w:rFonts w:ascii="Arial" w:hAnsi="Arial"/>
                <w:b w:val="0"/>
                <w:sz w:val="16"/>
              </w:rPr>
              <w:t>A certification authority</w:t>
            </w:r>
          </w:p>
        </w:tc>
      </w:tr>
      <w:tr>
        <w:trPr>
          <w:cantSplit/>
        </w:trPr>
        <w:tc>
          <w:tcPr>
            <w:tcW w:type="dxa" w:w="3408"/>
            <w:vAlign w:val="top"/>
          </w:tcPr>
          <w:p>
            <w:pPr>
              <w:spacing w:after="0"/>
              <w:jc w:val="left"/>
            </w:pPr>
            <w:r>
              <w:rPr>
                <w:rFonts w:ascii="Arial" w:hAnsi="Arial"/>
                <w:b w:val="0"/>
                <w:sz w:val="16"/>
              </w:rPr>
              <w:t>RCCS/ALCS</w:t>
            </w:r>
          </w:p>
        </w:tc>
        <w:tc>
          <w:tcPr>
            <w:tcW w:type="dxa" w:w="3408"/>
            <w:vAlign w:val="top"/>
          </w:tcPr>
          <w:p>
            <w:pPr>
              <w:spacing w:after="0"/>
              <w:jc w:val="left"/>
            </w:pPr>
            <w:r>
              <w:rPr>
                <w:rFonts w:ascii="Arial" w:hAnsi="Arial"/>
                <w:b w:val="0"/>
                <w:sz w:val="16"/>
              </w:rPr>
              <w:t>A proposed analytical scoring framework</w:t>
            </w:r>
          </w:p>
        </w:tc>
        <w:tc>
          <w:tcPr>
            <w:tcW w:type="dxa" w:w="3408"/>
            <w:vAlign w:val="top"/>
          </w:tcPr>
          <w:p>
            <w:pPr>
              <w:spacing w:after="0"/>
              <w:jc w:val="left"/>
            </w:pPr>
            <w:r>
              <w:rPr>
                <w:rFonts w:ascii="Arial" w:hAnsi="Arial"/>
                <w:b w:val="0"/>
                <w:sz w:val="16"/>
              </w:rPr>
              <w:t>A regulator-approved benchmark</w:t>
            </w:r>
          </w:p>
        </w:tc>
      </w:tr>
      <w:tr>
        <w:trPr>
          <w:cantSplit/>
        </w:trPr>
        <w:tc>
          <w:tcPr>
            <w:tcW w:type="dxa" w:w="3408"/>
            <w:vAlign w:val="top"/>
          </w:tcPr>
          <w:p>
            <w:pPr>
              <w:spacing w:after="0"/>
              <w:jc w:val="left"/>
            </w:pPr>
            <w:r>
              <w:rPr>
                <w:rFonts w:ascii="Arial" w:hAnsi="Arial"/>
                <w:b w:val="0"/>
                <w:sz w:val="16"/>
              </w:rPr>
              <w:t>System mapping</w:t>
            </w:r>
          </w:p>
        </w:tc>
        <w:tc>
          <w:tcPr>
            <w:tcW w:type="dxa" w:w="3408"/>
            <w:vAlign w:val="top"/>
          </w:tcPr>
          <w:p>
            <w:pPr>
              <w:spacing w:after="0"/>
              <w:jc w:val="left"/>
            </w:pPr>
            <w:r>
              <w:rPr>
                <w:rFonts w:ascii="Arial" w:hAnsi="Arial"/>
                <w:b w:val="0"/>
                <w:sz w:val="16"/>
              </w:rPr>
              <w:t>A mapping of public primitives to lifecycle objects</w:t>
            </w:r>
          </w:p>
        </w:tc>
        <w:tc>
          <w:tcPr>
            <w:tcW w:type="dxa" w:w="3408"/>
            <w:vAlign w:val="top"/>
          </w:tcPr>
          <w:p>
            <w:pPr>
              <w:spacing w:after="0"/>
              <w:jc w:val="left"/>
            </w:pPr>
            <w:r>
              <w:rPr>
                <w:rFonts w:ascii="Arial" w:hAnsi="Arial"/>
                <w:b w:val="0"/>
                <w:sz w:val="16"/>
              </w:rPr>
              <w:t>A final legal compliance judgment</w:t>
            </w:r>
          </w:p>
        </w:tc>
      </w:tr>
      <w:tr>
        <w:trPr>
          <w:cantSplit/>
        </w:trPr>
        <w:tc>
          <w:tcPr>
            <w:tcW w:type="dxa" w:w="3408"/>
            <w:vAlign w:val="top"/>
          </w:tcPr>
          <w:p>
            <w:pPr>
              <w:spacing w:after="0"/>
              <w:jc w:val="left"/>
            </w:pPr>
            <w:r>
              <w:rPr>
                <w:rFonts w:ascii="Arial" w:hAnsi="Arial"/>
                <w:b w:val="0"/>
                <w:sz w:val="16"/>
              </w:rPr>
              <w:t>AI Agent Lifecycle Governance</w:t>
            </w:r>
          </w:p>
        </w:tc>
        <w:tc>
          <w:tcPr>
            <w:tcW w:type="dxa" w:w="3408"/>
            <w:vAlign w:val="top"/>
          </w:tcPr>
          <w:p>
            <w:pPr>
              <w:spacing w:after="0"/>
              <w:jc w:val="left"/>
            </w:pPr>
            <w:r>
              <w:rPr>
                <w:rFonts w:ascii="Arial" w:hAnsi="Arial"/>
                <w:b w:val="0"/>
                <w:sz w:val="16"/>
              </w:rPr>
              <w:t>A missing semantic and engineering layer</w:t>
            </w:r>
          </w:p>
        </w:tc>
        <w:tc>
          <w:tcPr>
            <w:tcW w:type="dxa" w:w="3408"/>
            <w:vAlign w:val="top"/>
          </w:tcPr>
          <w:p>
            <w:pPr>
              <w:spacing w:after="0"/>
              <w:jc w:val="left"/>
            </w:pPr>
            <w:r>
              <w:rPr>
                <w:rFonts w:ascii="Arial" w:hAnsi="Arial"/>
                <w:b w:val="0"/>
                <w:sz w:val="16"/>
              </w:rPr>
              <w:t>A binding regulatory standard</w:t>
            </w:r>
          </w:p>
        </w:tc>
      </w:tr>
    </w:tbl>
    <w:p>
      <w:pPr>
        <w:sectPr>
          <w:pgSz w:w="12240" w:h="15840"/>
          <w:pgMar w:top="792" w:right="648" w:bottom="792" w:left="648" w:header="720" w:footer="720" w:gutter="0"/>
          <w:cols w:space="720"/>
          <w:docGrid w:linePitch="360"/>
        </w:sectPr>
      </w:pPr>
    </w:p>
    <w:p/>
    <w:p>
      <w:r>
        <w:t>This boundary discipline strengthens the paper. The argument does not need to claim that MPLP is the only path. It only needs to show that agentic AI compliance requires lifecycle responsibility objects and that MPLP is one coherent way to express such objects.</w:t>
      </w:r>
    </w:p>
    <w:p/>
    <w:p/>
    <w:p>
      <w:r>
        <w:t>End of Chapter 1</w:t>
      </w:r>
    </w:p>
    <w:p>
      <w:pPr>
        <w:pStyle w:val="Heading1"/>
      </w:pPr>
      <w:r>
        <w:t>Chapter 2: The Missing Layer: AI Agent Lifecycle Governance</w:t>
      </w:r>
    </w:p>
    <w:p/>
    <w:p>
      <w:r>
        <w:t>Version: v0.3.2-FRC-R3</w:t>
      </w:r>
    </w:p>
    <w:p>
      <w:r>
        <w:t>Status: Reconstructed from v0.3.1 semantic base</w:t>
      </w:r>
    </w:p>
    <w:p>
      <w:r>
        <w:t>Phase: 1A-2</w:t>
      </w:r>
    </w:p>
    <w:p/>
    <w:p/>
    <w:p>
      <w:pPr>
        <w:pStyle w:val="Heading2"/>
      </w:pPr>
      <w:r>
        <w:t>2.1 Defining AI Agent Lifecycle Governance</w:t>
      </w:r>
    </w:p>
    <w:p/>
    <w:p>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
      <w:r>
        <w:t>The phrase matters because existing language is fragmented:</w:t>
      </w:r>
    </w:p>
    <w:p/>
    <w:p>
      <w:pPr>
        <w:pStyle w:val="ListBullet"/>
      </w:pPr>
      <w:r>
        <w:t>Model governance focuses on models</w:t>
      </w:r>
    </w:p>
    <w:p>
      <w:pPr>
        <w:pStyle w:val="ListBullet"/>
      </w:pPr>
      <w:r>
        <w:t>AI risk management focuses on organizational risk processes</w:t>
      </w:r>
    </w:p>
    <w:p>
      <w:pPr>
        <w:pStyle w:val="ListBullet"/>
      </w:pPr>
      <w:r>
        <w:t>Agent orchestration focuses on execution flow</w:t>
      </w:r>
    </w:p>
    <w:p>
      <w:pPr>
        <w:pStyle w:val="ListBullet"/>
      </w:pPr>
      <w:r>
        <w:t>Observability focuses on traces, metrics, and debugging</w:t>
      </w:r>
    </w:p>
    <w:p>
      <w:pPr>
        <w:pStyle w:val="ListBullet"/>
      </w:pPr>
      <w:r>
        <w:t>Human-in-the-loop focuses on review or approval moments</w:t>
      </w:r>
    </w:p>
    <w:p/>
    <w:p>
      <w:r>
        <w:t>None of these terms alone names the full lifecycle responsibility problem.</w:t>
      </w:r>
    </w:p>
    <w:p/>
    <w:p>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
      <w:pPr>
        <w:spacing w:before="160" w:after="80"/>
        <w:jc w:val="center"/>
      </w:pPr>
      <w:r>
        <w:rPr>
          <w:b/>
          <w:color w:val="1F4E79"/>
          <w:sz w:val="18"/>
        </w:rPr>
        <w:t>FIGURE 2: Governance Stack / Missing Layer</w:t>
      </w:r>
    </w:p>
    <w:p/>
    <w:p>
      <w:pPr>
        <w:spacing w:before="160" w:after="80"/>
        <w:jc w:val="center"/>
      </w:pPr>
      <w:r>
        <w:rPr>
          <w:b/>
          <w:color w:val="1F4E79"/>
          <w:sz w:val="18"/>
        </w:rPr>
        <w:t>Figure 2: The governance stack. The missing layer sits between orchestration and enterprise trust.</w:t>
      </w:r>
    </w:p>
    <w:p/>
    <w:p>
      <w:pPr>
        <w:pStyle w:val="Heading2"/>
      </w:pPr>
      <w:r>
        <w:t>2.2 Why Existing Terms Are Insufficient</w:t>
      </w:r>
    </w:p>
    <w:p/>
    <w:p>
      <w:r>
        <w:t>The table below shows how existing governance layers answer different questions and produce different artifacts. Each layer is necessary, but none alone addresses lifecycle responsibility for agentic work.</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Layer</w:t>
            </w:r>
          </w:p>
        </w:tc>
        <w:tc>
          <w:tcPr>
            <w:tcW w:type="dxa" w:w="2556"/>
            <w:vAlign w:val="top"/>
            <w:shd w:fill="D9EAF7"/>
          </w:tcPr>
          <w:p>
            <w:pPr>
              <w:spacing w:after="0"/>
              <w:jc w:val="left"/>
            </w:pPr>
            <w:r>
              <w:rPr>
                <w:rFonts w:ascii="Arial" w:hAnsi="Arial"/>
                <w:b/>
                <w:sz w:val="14"/>
              </w:rPr>
              <w:t>Question It Answers</w:t>
            </w:r>
          </w:p>
        </w:tc>
        <w:tc>
          <w:tcPr>
            <w:tcW w:type="dxa" w:w="2556"/>
            <w:vAlign w:val="top"/>
            <w:shd w:fill="D9EAF7"/>
          </w:tcPr>
          <w:p>
            <w:pPr>
              <w:spacing w:after="0"/>
              <w:jc w:val="left"/>
            </w:pPr>
            <w:r>
              <w:rPr>
                <w:rFonts w:ascii="Arial" w:hAnsi="Arial"/>
                <w:b/>
                <w:sz w:val="14"/>
              </w:rPr>
              <w:t>Typical Artifact</w:t>
            </w:r>
          </w:p>
        </w:tc>
        <w:tc>
          <w:tcPr>
            <w:tcW w:type="dxa" w:w="2556"/>
            <w:vAlign w:val="top"/>
            <w:shd w:fill="D9EAF7"/>
          </w:tcPr>
          <w:p>
            <w:pPr>
              <w:spacing w:after="0"/>
              <w:jc w:val="left"/>
            </w:pPr>
            <w:r>
              <w:rPr>
                <w:rFonts w:ascii="Arial" w:hAnsi="Arial"/>
                <w:b/>
                <w:sz w:val="14"/>
              </w:rPr>
              <w:t>Limitation if Used Alone</w:t>
            </w:r>
          </w:p>
        </w:tc>
      </w:tr>
      <w:tr>
        <w:trPr>
          <w:cantSplit/>
        </w:trPr>
        <w:tc>
          <w:tcPr>
            <w:tcW w:type="dxa" w:w="2556"/>
            <w:vAlign w:val="top"/>
          </w:tcPr>
          <w:p>
            <w:pPr>
              <w:spacing w:after="0"/>
              <w:jc w:val="left"/>
            </w:pPr>
            <w:r>
              <w:rPr>
                <w:rFonts w:ascii="Arial" w:hAnsi="Arial"/>
                <w:b w:val="0"/>
                <w:sz w:val="14"/>
              </w:rPr>
              <w:t>Model Governance</w:t>
            </w:r>
          </w:p>
        </w:tc>
        <w:tc>
          <w:tcPr>
            <w:tcW w:type="dxa" w:w="2556"/>
            <w:vAlign w:val="top"/>
          </w:tcPr>
          <w:p>
            <w:pPr>
              <w:spacing w:after="0"/>
              <w:jc w:val="left"/>
            </w:pPr>
            <w:r>
              <w:rPr>
                <w:rFonts w:ascii="Arial" w:hAnsi="Arial"/>
                <w:b w:val="0"/>
                <w:sz w:val="14"/>
              </w:rPr>
              <w:t>Is the model robust, documented, monitored, and aligned with policy?</w:t>
            </w:r>
          </w:p>
        </w:tc>
        <w:tc>
          <w:tcPr>
            <w:tcW w:type="dxa" w:w="2556"/>
            <w:vAlign w:val="top"/>
          </w:tcPr>
          <w:p>
            <w:pPr>
              <w:spacing w:after="0"/>
              <w:jc w:val="left"/>
            </w:pPr>
            <w:r>
              <w:rPr>
                <w:rFonts w:ascii="Arial" w:hAnsi="Arial"/>
                <w:b w:val="0"/>
                <w:sz w:val="14"/>
              </w:rPr>
              <w:t>Model cards, evaluations, risk assessments, monitoring reports</w:t>
            </w:r>
          </w:p>
        </w:tc>
        <w:tc>
          <w:tcPr>
            <w:tcW w:type="dxa" w:w="2556"/>
            <w:vAlign w:val="top"/>
          </w:tcPr>
          <w:p>
            <w:pPr>
              <w:spacing w:after="0"/>
              <w:jc w:val="left"/>
            </w:pPr>
            <w:r>
              <w:rPr>
                <w:rFonts w:ascii="Arial" w:hAnsi="Arial"/>
                <w:b w:val="0"/>
                <w:sz w:val="14"/>
              </w:rPr>
              <w:t>Does not prove lifecycle responsibility for agentic work</w:t>
            </w:r>
          </w:p>
        </w:tc>
      </w:tr>
      <w:tr>
        <w:trPr>
          <w:cantSplit/>
        </w:trPr>
        <w:tc>
          <w:tcPr>
            <w:tcW w:type="dxa" w:w="2556"/>
            <w:vAlign w:val="top"/>
          </w:tcPr>
          <w:p>
            <w:pPr>
              <w:spacing w:after="0"/>
              <w:jc w:val="left"/>
            </w:pPr>
            <w:r>
              <w:rPr>
                <w:rFonts w:ascii="Arial" w:hAnsi="Arial"/>
                <w:b w:val="0"/>
                <w:sz w:val="14"/>
              </w:rPr>
              <w:t>Agent Orchestration</w:t>
            </w:r>
          </w:p>
        </w:tc>
        <w:tc>
          <w:tcPr>
            <w:tcW w:type="dxa" w:w="2556"/>
            <w:vAlign w:val="top"/>
          </w:tcPr>
          <w:p>
            <w:pPr>
              <w:spacing w:after="0"/>
              <w:jc w:val="left"/>
            </w:pPr>
            <w:r>
              <w:rPr>
                <w:rFonts w:ascii="Arial" w:hAnsi="Arial"/>
                <w:b w:val="0"/>
                <w:sz w:val="14"/>
              </w:rPr>
              <w:t>How do agents, tools, state, and workflows execute?</w:t>
            </w:r>
          </w:p>
        </w:tc>
        <w:tc>
          <w:tcPr>
            <w:tcW w:type="dxa" w:w="2556"/>
            <w:vAlign w:val="top"/>
          </w:tcPr>
          <w:p>
            <w:pPr>
              <w:spacing w:after="0"/>
              <w:jc w:val="left"/>
            </w:pPr>
            <w:r>
              <w:rPr>
                <w:rFonts w:ascii="Arial" w:hAnsi="Arial"/>
                <w:b w:val="0"/>
                <w:sz w:val="14"/>
              </w:rPr>
              <w:t>Graphs, tasks, tools, handoffs, checkpoints</w:t>
            </w:r>
          </w:p>
        </w:tc>
        <w:tc>
          <w:tcPr>
            <w:tcW w:type="dxa" w:w="2556"/>
            <w:vAlign w:val="top"/>
          </w:tcPr>
          <w:p>
            <w:pPr>
              <w:spacing w:after="0"/>
              <w:jc w:val="left"/>
            </w:pPr>
            <w:r>
              <w:rPr>
                <w:rFonts w:ascii="Arial" w:hAnsi="Arial"/>
                <w:b w:val="0"/>
                <w:sz w:val="14"/>
              </w:rPr>
              <w:t>Does not by itself define legal or governance responsibility</w:t>
            </w:r>
          </w:p>
        </w:tc>
      </w:tr>
      <w:tr>
        <w:trPr>
          <w:cantSplit/>
        </w:trPr>
        <w:tc>
          <w:tcPr>
            <w:tcW w:type="dxa" w:w="2556"/>
            <w:vAlign w:val="top"/>
          </w:tcPr>
          <w:p>
            <w:pPr>
              <w:spacing w:after="0"/>
              <w:jc w:val="left"/>
            </w:pPr>
            <w:r>
              <w:rPr>
                <w:rFonts w:ascii="Arial" w:hAnsi="Arial"/>
                <w:b w:val="0"/>
                <w:sz w:val="14"/>
              </w:rPr>
              <w:t>Observability</w:t>
            </w:r>
          </w:p>
        </w:tc>
        <w:tc>
          <w:tcPr>
            <w:tcW w:type="dxa" w:w="2556"/>
            <w:vAlign w:val="top"/>
          </w:tcPr>
          <w:p>
            <w:pPr>
              <w:spacing w:after="0"/>
              <w:jc w:val="left"/>
            </w:pPr>
            <w:r>
              <w:rPr>
                <w:rFonts w:ascii="Arial" w:hAnsi="Arial"/>
                <w:b w:val="0"/>
                <w:sz w:val="14"/>
              </w:rPr>
              <w:t>What happened during execution?</w:t>
            </w:r>
          </w:p>
        </w:tc>
        <w:tc>
          <w:tcPr>
            <w:tcW w:type="dxa" w:w="2556"/>
            <w:vAlign w:val="top"/>
          </w:tcPr>
          <w:p>
            <w:pPr>
              <w:spacing w:after="0"/>
              <w:jc w:val="left"/>
            </w:pPr>
            <w:r>
              <w:rPr>
                <w:rFonts w:ascii="Arial" w:hAnsi="Arial"/>
                <w:b w:val="0"/>
                <w:sz w:val="14"/>
              </w:rPr>
              <w:t>Traces, logs, metrics, dashboards</w:t>
            </w:r>
          </w:p>
        </w:tc>
        <w:tc>
          <w:tcPr>
            <w:tcW w:type="dxa" w:w="2556"/>
            <w:vAlign w:val="top"/>
          </w:tcPr>
          <w:p>
            <w:pPr>
              <w:spacing w:after="0"/>
              <w:jc w:val="left"/>
            </w:pPr>
            <w:r>
              <w:rPr>
                <w:rFonts w:ascii="Arial" w:hAnsi="Arial"/>
                <w:b w:val="0"/>
                <w:sz w:val="14"/>
              </w:rPr>
              <w:t>Does not by itself prove authorization, acceptance, or dispute readiness</w:t>
            </w:r>
          </w:p>
        </w:tc>
      </w:tr>
      <w:tr>
        <w:trPr>
          <w:cantSplit/>
        </w:trPr>
        <w:tc>
          <w:tcPr>
            <w:tcW w:type="dxa" w:w="2556"/>
            <w:vAlign w:val="top"/>
          </w:tcPr>
          <w:p>
            <w:pPr>
              <w:spacing w:after="0"/>
              <w:jc w:val="left"/>
            </w:pPr>
            <w:r>
              <w:rPr>
                <w:rFonts w:ascii="Arial" w:hAnsi="Arial"/>
                <w:b w:val="0"/>
                <w:sz w:val="14"/>
              </w:rPr>
              <w:t>Human Review</w:t>
            </w:r>
          </w:p>
        </w:tc>
        <w:tc>
          <w:tcPr>
            <w:tcW w:type="dxa" w:w="2556"/>
            <w:vAlign w:val="top"/>
          </w:tcPr>
          <w:p>
            <w:pPr>
              <w:spacing w:after="0"/>
              <w:jc w:val="left"/>
            </w:pPr>
            <w:r>
              <w:rPr>
                <w:rFonts w:ascii="Arial" w:hAnsi="Arial"/>
                <w:b w:val="0"/>
                <w:sz w:val="14"/>
              </w:rPr>
              <w:t>Did a person approve, reject, or modify a step?</w:t>
            </w:r>
          </w:p>
        </w:tc>
        <w:tc>
          <w:tcPr>
            <w:tcW w:type="dxa" w:w="2556"/>
            <w:vAlign w:val="top"/>
          </w:tcPr>
          <w:p>
            <w:pPr>
              <w:spacing w:after="0"/>
              <w:jc w:val="left"/>
            </w:pPr>
            <w:r>
              <w:rPr>
                <w:rFonts w:ascii="Arial" w:hAnsi="Arial"/>
                <w:b w:val="0"/>
                <w:sz w:val="14"/>
              </w:rPr>
              <w:t>Approval UI, review event, interrupt</w:t>
            </w:r>
          </w:p>
        </w:tc>
        <w:tc>
          <w:tcPr>
            <w:tcW w:type="dxa" w:w="2556"/>
            <w:vAlign w:val="top"/>
          </w:tcPr>
          <w:p>
            <w:pPr>
              <w:spacing w:after="0"/>
              <w:jc w:val="left"/>
            </w:pPr>
            <w:r>
              <w:rPr>
                <w:rFonts w:ascii="Arial" w:hAnsi="Arial"/>
                <w:b w:val="0"/>
                <w:sz w:val="14"/>
              </w:rPr>
              <w:t>Does not by itself map human role to MAS responsibility</w:t>
            </w:r>
          </w:p>
        </w:tc>
      </w:tr>
      <w:tr>
        <w:trPr>
          <w:cantSplit/>
        </w:trPr>
        <w:tc>
          <w:tcPr>
            <w:tcW w:type="dxa" w:w="2556"/>
            <w:vAlign w:val="top"/>
          </w:tcPr>
          <w:p>
            <w:pPr>
              <w:spacing w:after="0"/>
              <w:jc w:val="left"/>
            </w:pPr>
            <w:r>
              <w:rPr>
                <w:rFonts w:ascii="Arial" w:hAnsi="Arial"/>
                <w:b w:val="0"/>
                <w:sz w:val="14"/>
              </w:rPr>
              <w:t>AI Agent Lifecycle Governance</w:t>
            </w:r>
          </w:p>
        </w:tc>
        <w:tc>
          <w:tcPr>
            <w:tcW w:type="dxa" w:w="2556"/>
            <w:vAlign w:val="top"/>
          </w:tcPr>
          <w:p>
            <w:pPr>
              <w:spacing w:after="0"/>
              <w:jc w:val="left"/>
            </w:pPr>
            <w:r>
              <w:rPr>
                <w:rFonts w:ascii="Arial" w:hAnsi="Arial"/>
                <w:b w:val="0"/>
                <w:sz w:val="14"/>
              </w:rPr>
              <w:t>How did intent become accepted outcome under responsibility, authority, privacy, evidence, and remediation controls?</w:t>
            </w:r>
          </w:p>
        </w:tc>
        <w:tc>
          <w:tcPr>
            <w:tcW w:type="dxa" w:w="2556"/>
            <w:vAlign w:val="top"/>
          </w:tcPr>
          <w:p>
            <w:pPr>
              <w:spacing w:after="0"/>
              <w:jc w:val="left"/>
            </w:pPr>
            <w:r>
              <w:rPr>
                <w:rFonts w:ascii="Arial" w:hAnsi="Arial"/>
                <w:b w:val="0"/>
                <w:sz w:val="14"/>
              </w:rPr>
              <w:t>Lifecycle responsibility objects, evidence packs, acceptance records, rulesets</w:t>
            </w:r>
          </w:p>
        </w:tc>
        <w:tc>
          <w:tcPr>
            <w:tcW w:type="dxa" w:w="2556"/>
            <w:vAlign w:val="top"/>
          </w:tcPr>
          <w:p>
            <w:pPr>
              <w:spacing w:after="0"/>
              <w:jc w:val="left"/>
            </w:pPr>
            <w:r>
              <w:rPr>
                <w:rFonts w:ascii="Arial" w:hAnsi="Arial"/>
                <w:b w:val="0"/>
                <w:sz w:val="14"/>
              </w:rPr>
              <w:t>Requires adoption across architecture and governance, not only tooling</w:t>
            </w:r>
          </w:p>
        </w:tc>
      </w:tr>
    </w:tbl>
    <w:p>
      <w:pPr>
        <w:sectPr>
          <w:pgSz w:w="12240" w:h="15840"/>
          <w:pgMar w:top="792" w:right="648" w:bottom="792" w:left="648" w:header="720" w:footer="720" w:gutter="0"/>
          <w:cols w:space="720"/>
          <w:docGrid w:linePitch="360"/>
        </w:sectPr>
      </w:pPr>
    </w:p>
    <w:p/>
    <w:p>
      <w:pPr>
        <w:pStyle w:val="Heading2"/>
      </w:pPr>
      <w:r>
        <w:t>2.3 The Core Move: Regulatory Abstractions to Lifecycle Objects</w:t>
      </w:r>
    </w:p>
    <w:p/>
    <w:p>
      <w:r>
        <w:t>The core move in this paper is to turn regulatory abstractions into lifecycle objects:</w:t>
      </w:r>
    </w:p>
    <w:p/>
    <w:p>
      <w:pPr>
        <w:pStyle w:val="ListBullet"/>
      </w:pPr>
      <w:r>
        <w:t>Human oversight becomes human-role-to-MAS responsibility mapping</w:t>
      </w:r>
    </w:p>
    <w:p>
      <w:pPr>
        <w:pStyle w:val="ListBullet"/>
      </w:pPr>
      <w:r>
        <w:t>Logging becomes partitioned evidence chain</w:t>
      </w:r>
    </w:p>
    <w:p>
      <w:pPr>
        <w:pStyle w:val="ListBullet"/>
      </w:pPr>
      <w:r>
        <w:t>Accountability becomes tool-action liability and responsibility transfer</w:t>
      </w:r>
    </w:p>
    <w:p>
      <w:pPr>
        <w:pStyle w:val="ListBullet"/>
      </w:pPr>
      <w:r>
        <w:t>Transparency becomes evidence-linked review and accepted outcome</w:t>
      </w:r>
    </w:p>
    <w:p>
      <w:pPr>
        <w:pStyle w:val="ListBullet"/>
      </w:pPr>
      <w:r>
        <w:t>Monitoring becomes lifecycle drift, incident closure, and continuous improvement</w:t>
      </w:r>
    </w:p>
    <w:p>
      <w:pPr>
        <w:pStyle w:val="ListBullet"/>
      </w:pPr>
      <w:r>
        <w:t>Privacy becomes lifecycle data-flow mapping, minimization, and selective disclosure</w:t>
      </w:r>
    </w:p>
    <w:p/>
    <w:p>
      <w:r>
        <w:t>This is not bureaucracy for its own sake. It is the recognition that agentic systems need explicit objects because the old system boundary has dissolved. The work unit is now distributed across agents, tools, memory, people, projects, and vendors.</w:t>
      </w:r>
    </w:p>
    <w:p/>
    <w:p>
      <w:pPr>
        <w:pStyle w:val="Heading2"/>
      </w:pPr>
      <w:r>
        <w:t>2.4 The Enterprise Implication</w:t>
      </w:r>
    </w:p>
    <w:p/>
    <w:p>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
      <w:r>
        <w:t>End of Chapter 2</w:t>
      </w:r>
    </w:p>
    <w:p>
      <w:pPr>
        <w:pStyle w:val="Heading1"/>
      </w:pPr>
      <w:r>
        <w:t>Chapter 3: Why Agentic AI Breaks Model-Centric Compliance</w:t>
      </w:r>
    </w:p>
    <w:p/>
    <w:p>
      <w:r>
        <w:t>Version: v0.3.2-FRC-R3</w:t>
      </w:r>
    </w:p>
    <w:p>
      <w:r>
        <w:t>Status: Reconstructed from v0.3.1 semantic base</w:t>
      </w:r>
    </w:p>
    <w:p>
      <w:r>
        <w:t>Phase: 1A-2</w:t>
      </w:r>
    </w:p>
    <w:p/>
    <w:p/>
    <w:p>
      <w:pPr>
        <w:pStyle w:val="Heading2"/>
      </w:pPr>
      <w:r>
        <w:t>3.1 The Unit of Risk Changes</w:t>
      </w:r>
    </w:p>
    <w:p/>
    <w:p>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
      <w:pPr>
        <w:pStyle w:val="Heading2"/>
      </w:pPr>
      <w:r>
        <w:t>3.2 Model Governance Remains Necessary But Insufficient</w:t>
      </w:r>
    </w:p>
    <w:p/>
    <w:p>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
      <w:r>
        <w:t>A model answer becomes enterprise risk when it is embedded inside a workflow that can send an email, approve a refund, update a database, deploy code, modify access permissions, route a customer case, create a compliance record, or trigger another autonomous agent.</w:t>
      </w:r>
    </w:p>
    <w:p/>
    <w:p>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
      <w:pPr>
        <w:pStyle w:val="Heading2"/>
      </w:pPr>
      <w:r>
        <w:t>3.3 Failure Mode Comparison</w:t>
      </w:r>
    </w:p>
    <w:p/>
    <w:p>
      <w:r>
        <w:t>The table below compares how failure modes manifest differently in model-centric systems versus agentic lifecycle systems.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Failure Mode</w:t>
            </w:r>
          </w:p>
        </w:tc>
        <w:tc>
          <w:tcPr>
            <w:tcW w:type="dxa" w:w="3408"/>
            <w:vAlign w:val="top"/>
            <w:shd w:fill="D9EAF7"/>
          </w:tcPr>
          <w:p>
            <w:pPr>
              <w:spacing w:after="0"/>
              <w:jc w:val="left"/>
            </w:pPr>
            <w:r>
              <w:rPr>
                <w:rFonts w:ascii="Arial" w:hAnsi="Arial"/>
                <w:b/>
                <w:sz w:val="16"/>
              </w:rPr>
              <w:t>Model-Centric View</w:t>
            </w:r>
          </w:p>
        </w:tc>
        <w:tc>
          <w:tcPr>
            <w:tcW w:type="dxa" w:w="3408"/>
            <w:vAlign w:val="top"/>
            <w:shd w:fill="D9EAF7"/>
          </w:tcPr>
          <w:p>
            <w:pPr>
              <w:spacing w:after="0"/>
              <w:jc w:val="left"/>
            </w:pPr>
            <w:r>
              <w:rPr>
                <w:rFonts w:ascii="Arial" w:hAnsi="Arial"/>
                <w:b/>
                <w:sz w:val="16"/>
              </w:rPr>
              <w:t>Lifecycle Governance View</w:t>
            </w:r>
          </w:p>
        </w:tc>
      </w:tr>
      <w:tr>
        <w:trPr>
          <w:cantSplit/>
        </w:trPr>
        <w:tc>
          <w:tcPr>
            <w:tcW w:type="dxa" w:w="3408"/>
            <w:vAlign w:val="top"/>
          </w:tcPr>
          <w:p>
            <w:pPr>
              <w:spacing w:after="0"/>
              <w:jc w:val="left"/>
            </w:pPr>
            <w:r>
              <w:rPr>
                <w:rFonts w:ascii="Arial" w:hAnsi="Arial"/>
                <w:b w:val="0"/>
                <w:sz w:val="16"/>
              </w:rPr>
              <w:t>Wrong output</w:t>
            </w:r>
          </w:p>
        </w:tc>
        <w:tc>
          <w:tcPr>
            <w:tcW w:type="dxa" w:w="3408"/>
            <w:vAlign w:val="top"/>
          </w:tcPr>
          <w:p>
            <w:pPr>
              <w:spacing w:after="0"/>
              <w:jc w:val="left"/>
            </w:pPr>
            <w:r>
              <w:rPr>
                <w:rFonts w:ascii="Arial" w:hAnsi="Arial"/>
                <w:b w:val="0"/>
                <w:sz w:val="16"/>
              </w:rPr>
              <w:t>Model produced incorrect text</w:t>
            </w:r>
          </w:p>
        </w:tc>
        <w:tc>
          <w:tcPr>
            <w:tcW w:type="dxa" w:w="3408"/>
            <w:vAlign w:val="top"/>
          </w:tcPr>
          <w:p>
            <w:pPr>
              <w:spacing w:after="0"/>
              <w:jc w:val="left"/>
            </w:pPr>
            <w:r>
              <w:rPr>
                <w:rFonts w:ascii="Arial" w:hAnsi="Arial"/>
                <w:b w:val="0"/>
                <w:sz w:val="16"/>
              </w:rPr>
              <w:t>Was the output accepted, used, challenged, corrected, and evidenced?</w:t>
            </w:r>
          </w:p>
        </w:tc>
      </w:tr>
      <w:tr>
        <w:trPr>
          <w:cantSplit/>
        </w:trPr>
        <w:tc>
          <w:tcPr>
            <w:tcW w:type="dxa" w:w="3408"/>
            <w:vAlign w:val="top"/>
          </w:tcPr>
          <w:p>
            <w:pPr>
              <w:spacing w:after="0"/>
              <w:jc w:val="left"/>
            </w:pPr>
            <w:r>
              <w:rPr>
                <w:rFonts w:ascii="Arial" w:hAnsi="Arial"/>
                <w:b w:val="0"/>
                <w:sz w:val="16"/>
              </w:rPr>
              <w:t>Unauthorized tool action</w:t>
            </w:r>
          </w:p>
        </w:tc>
        <w:tc>
          <w:tcPr>
            <w:tcW w:type="dxa" w:w="3408"/>
            <w:vAlign w:val="top"/>
          </w:tcPr>
          <w:p>
            <w:pPr>
              <w:spacing w:after="0"/>
              <w:jc w:val="left"/>
            </w:pPr>
            <w:r>
              <w:rPr>
                <w:rFonts w:ascii="Arial" w:hAnsi="Arial"/>
                <w:b w:val="0"/>
                <w:sz w:val="16"/>
              </w:rPr>
              <w:t>Agent called an external API</w:t>
            </w:r>
          </w:p>
        </w:tc>
        <w:tc>
          <w:tcPr>
            <w:tcW w:type="dxa" w:w="3408"/>
            <w:vAlign w:val="top"/>
          </w:tcPr>
          <w:p>
            <w:pPr>
              <w:spacing w:after="0"/>
              <w:jc w:val="left"/>
            </w:pPr>
            <w:r>
              <w:rPr>
                <w:rFonts w:ascii="Arial" w:hAnsi="Arial"/>
                <w:b w:val="0"/>
                <w:sz w:val="16"/>
              </w:rPr>
              <w:t>Was the action inside delegated authority and tied to a responsible owner?</w:t>
            </w:r>
          </w:p>
        </w:tc>
      </w:tr>
      <w:tr>
        <w:trPr>
          <w:cantSplit/>
        </w:trPr>
        <w:tc>
          <w:tcPr>
            <w:tcW w:type="dxa" w:w="3408"/>
            <w:vAlign w:val="top"/>
          </w:tcPr>
          <w:p>
            <w:pPr>
              <w:spacing w:after="0"/>
              <w:jc w:val="left"/>
            </w:pPr>
            <w:r>
              <w:rPr>
                <w:rFonts w:ascii="Arial" w:hAnsi="Arial"/>
                <w:b w:val="0"/>
                <w:sz w:val="16"/>
              </w:rPr>
              <w:t>Agent handoff</w:t>
            </w:r>
          </w:p>
        </w:tc>
        <w:tc>
          <w:tcPr>
            <w:tcW w:type="dxa" w:w="3408"/>
            <w:vAlign w:val="top"/>
          </w:tcPr>
          <w:p>
            <w:pPr>
              <w:spacing w:after="0"/>
              <w:jc w:val="left"/>
            </w:pPr>
            <w:r>
              <w:rPr>
                <w:rFonts w:ascii="Arial" w:hAnsi="Arial"/>
                <w:b w:val="0"/>
                <w:sz w:val="16"/>
              </w:rPr>
              <w:t>A workflow routed work to another agent</w:t>
            </w:r>
          </w:p>
        </w:tc>
        <w:tc>
          <w:tcPr>
            <w:tcW w:type="dxa" w:w="3408"/>
            <w:vAlign w:val="top"/>
          </w:tcPr>
          <w:p>
            <w:pPr>
              <w:spacing w:after="0"/>
              <w:jc w:val="left"/>
            </w:pPr>
            <w:r>
              <w:rPr>
                <w:rFonts w:ascii="Arial" w:hAnsi="Arial"/>
                <w:b w:val="0"/>
                <w:sz w:val="16"/>
              </w:rPr>
              <w:t>Were constraints and responsibility explicitly transferred?</w:t>
            </w:r>
          </w:p>
        </w:tc>
      </w:tr>
      <w:tr>
        <w:trPr>
          <w:cantSplit/>
        </w:trPr>
        <w:tc>
          <w:tcPr>
            <w:tcW w:type="dxa" w:w="3408"/>
            <w:vAlign w:val="top"/>
          </w:tcPr>
          <w:p>
            <w:pPr>
              <w:spacing w:after="0"/>
              <w:jc w:val="left"/>
            </w:pPr>
            <w:r>
              <w:rPr>
                <w:rFonts w:ascii="Arial" w:hAnsi="Arial"/>
                <w:b w:val="0"/>
                <w:sz w:val="16"/>
              </w:rPr>
              <w:t>Human approval</w:t>
            </w:r>
          </w:p>
        </w:tc>
        <w:tc>
          <w:tcPr>
            <w:tcW w:type="dxa" w:w="3408"/>
            <w:vAlign w:val="top"/>
          </w:tcPr>
          <w:p>
            <w:pPr>
              <w:spacing w:after="0"/>
              <w:jc w:val="left"/>
            </w:pPr>
            <w:r>
              <w:rPr>
                <w:rFonts w:ascii="Arial" w:hAnsi="Arial"/>
                <w:b w:val="0"/>
                <w:sz w:val="16"/>
              </w:rPr>
              <w:t>A person clicked approve</w:t>
            </w:r>
          </w:p>
        </w:tc>
        <w:tc>
          <w:tcPr>
            <w:tcW w:type="dxa" w:w="3408"/>
            <w:vAlign w:val="top"/>
          </w:tcPr>
          <w:p>
            <w:pPr>
              <w:spacing w:after="0"/>
              <w:jc w:val="left"/>
            </w:pPr>
            <w:r>
              <w:rPr>
                <w:rFonts w:ascii="Arial" w:hAnsi="Arial"/>
                <w:b w:val="0"/>
                <w:sz w:val="16"/>
              </w:rPr>
              <w:t>Was that human role authorized for this outcome and did the evidence support acceptance?</w:t>
            </w:r>
          </w:p>
        </w:tc>
      </w:tr>
      <w:tr>
        <w:trPr>
          <w:cantSplit/>
        </w:trPr>
        <w:tc>
          <w:tcPr>
            <w:tcW w:type="dxa" w:w="3408"/>
            <w:vAlign w:val="top"/>
          </w:tcPr>
          <w:p>
            <w:pPr>
              <w:spacing w:after="0"/>
              <w:jc w:val="left"/>
            </w:pPr>
            <w:r>
              <w:rPr>
                <w:rFonts w:ascii="Arial" w:hAnsi="Arial"/>
                <w:b w:val="0"/>
                <w:sz w:val="16"/>
              </w:rPr>
              <w:t>Audit log</w:t>
            </w:r>
          </w:p>
        </w:tc>
        <w:tc>
          <w:tcPr>
            <w:tcW w:type="dxa" w:w="3408"/>
            <w:vAlign w:val="top"/>
          </w:tcPr>
          <w:p>
            <w:pPr>
              <w:spacing w:after="0"/>
              <w:jc w:val="left"/>
            </w:pPr>
            <w:r>
              <w:rPr>
                <w:rFonts w:ascii="Arial" w:hAnsi="Arial"/>
                <w:b w:val="0"/>
                <w:sz w:val="16"/>
              </w:rPr>
              <w:t>System stored events</w:t>
            </w:r>
          </w:p>
        </w:tc>
        <w:tc>
          <w:tcPr>
            <w:tcW w:type="dxa" w:w="3408"/>
            <w:vAlign w:val="top"/>
          </w:tcPr>
          <w:p>
            <w:pPr>
              <w:spacing w:after="0"/>
              <w:jc w:val="left"/>
            </w:pPr>
            <w:r>
              <w:rPr>
                <w:rFonts w:ascii="Arial" w:hAnsi="Arial"/>
                <w:b w:val="0"/>
                <w:sz w:val="16"/>
              </w:rPr>
              <w:t>Can evidence be reconstructed across agents, tools, privacy boundaries, and plan versions?</w:t>
            </w:r>
          </w:p>
        </w:tc>
      </w:tr>
      <w:tr>
        <w:trPr>
          <w:cantSplit/>
        </w:trPr>
        <w:tc>
          <w:tcPr>
            <w:tcW w:type="dxa" w:w="3408"/>
            <w:vAlign w:val="top"/>
          </w:tcPr>
          <w:p>
            <w:pPr>
              <w:spacing w:after="0"/>
              <w:jc w:val="left"/>
            </w:pPr>
            <w:r>
              <w:rPr>
                <w:rFonts w:ascii="Arial" w:hAnsi="Arial"/>
                <w:b w:val="0"/>
                <w:sz w:val="16"/>
              </w:rPr>
              <w:t>Privacy issue</w:t>
            </w:r>
          </w:p>
        </w:tc>
        <w:tc>
          <w:tcPr>
            <w:tcW w:type="dxa" w:w="3408"/>
            <w:vAlign w:val="top"/>
          </w:tcPr>
          <w:p>
            <w:pPr>
              <w:spacing w:after="0"/>
              <w:jc w:val="left"/>
            </w:pPr>
            <w:r>
              <w:rPr>
                <w:rFonts w:ascii="Arial" w:hAnsi="Arial"/>
                <w:b w:val="0"/>
                <w:sz w:val="16"/>
              </w:rPr>
              <w:t>Database contained personal data</w:t>
            </w:r>
          </w:p>
        </w:tc>
        <w:tc>
          <w:tcPr>
            <w:tcW w:type="dxa" w:w="3408"/>
            <w:vAlign w:val="top"/>
          </w:tcPr>
          <w:p>
            <w:pPr>
              <w:spacing w:after="0"/>
              <w:jc w:val="left"/>
            </w:pPr>
            <w:r>
              <w:rPr>
                <w:rFonts w:ascii="Arial" w:hAnsi="Arial"/>
                <w:b w:val="0"/>
                <w:sz w:val="16"/>
              </w:rPr>
              <w:t>Did personal data flow through prompts, memory, tools, traces, and evidence packs under purpose limitation?</w:t>
            </w:r>
          </w:p>
        </w:tc>
      </w:tr>
    </w:tbl>
    <w:p>
      <w:pPr>
        <w:sectPr>
          <w:pgSz w:w="12240" w:h="15840"/>
          <w:pgMar w:top="792" w:right="648" w:bottom="792" w:left="648" w:header="720" w:footer="720" w:gutter="0"/>
          <w:cols w:space="720"/>
          <w:docGrid w:linePitch="360"/>
        </w:sectPr>
      </w:pPr>
    </w:p>
    <w:p/>
    <w:p>
      <w:pPr>
        <w:pStyle w:val="Heading2"/>
      </w:pPr>
      <w:r>
        <w:t>3.4 Why Well-Evaluated Agents Can Still Fail Governance</w:t>
      </w:r>
    </w:p>
    <w:p/>
    <w:p>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Pr>
        <w:pStyle w:val="Heading2"/>
      </w:pPr>
      <w:r>
        <w:t>3.5 The Compliance Question Changes</w:t>
      </w:r>
    </w:p>
    <w:p/>
    <w:p>
      <w:r>
        <w:t>The central compliance question is changing:</w:t>
      </w:r>
    </w:p>
    <w:p/>
    <w:p>
      <w:pPr>
        <w:pStyle w:val="ListBullet"/>
      </w:pPr>
      <w:r>
        <w:t>Model-centric question: Did the model produce a safe output?</w:t>
      </w:r>
    </w:p>
    <w:p>
      <w:pPr>
        <w:pStyle w:val="ListBullet"/>
      </w:pPr>
      <w:r>
        <w:t>Agentic lifecycle question: Was an agentic unit of work authorized, executed, evidenced, reviewed, accepted, disputed, remediated, and improved under controlled authority, evidence, privacy, and remediation constraints?</w:t>
      </w:r>
    </w:p>
    <w:p/>
    <w:p>
      <w:r>
        <w:t>This shift has practical consequences. Enterprise buyers, auditors, insurers, regulators, and internal governance teams now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r>
        <w:t>The paper argues that AI Agent / MAS compliance is not only model compliance. It is lifecycle responsibility compliance. That thesis has practical consequences. Enterprise buyers, auditors, insurers, regulators, and internal governance teams now need more than dashboards, logs, or guardrails. They need lifecycle objects.</w:t>
      </w:r>
    </w:p>
    <w:p/>
    <w:p/>
    <w:p>
      <w:r>
        <w:t>End of Chapter 3</w:t>
      </w:r>
    </w:p>
    <w:p>
      <w:pPr>
        <w:pStyle w:val="Heading1"/>
      </w:pPr>
      <w:r>
        <w:t>Chapter 4: Regulatory and Standards Baseline</w:t>
      </w:r>
    </w:p>
    <w:p/>
    <w:p>
      <w:r>
        <w:t>Version: v0.3.2-FRC-R3</w:t>
      </w:r>
    </w:p>
    <w:p>
      <w:r>
        <w:t>Status: Reconstructed from v0.3.1 semantic base</w:t>
      </w:r>
    </w:p>
    <w:p>
      <w:r>
        <w:t>Phase: 1A-2.4</w:t>
      </w:r>
    </w:p>
    <w:p/>
    <w:p/>
    <w:p>
      <w:pPr>
        <w:pStyle w:val="Heading2"/>
      </w:pPr>
      <w:r>
        <w:t>4.1 Purpose of the Baseline</w:t>
      </w:r>
    </w:p>
    <w:p/>
    <w:p>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
      <w:pPr>
        <w:pStyle w:val="Heading2"/>
      </w:pPr>
      <w:r>
        <w:t>4.2 Regulatory Frameworks Baseline Table</w:t>
      </w:r>
    </w:p>
    <w:p/>
    <w:p>
      <w:r>
        <w:t>The table below summarizes the frameworks analyzed in this chapter, their type, relevant requirements, and the agentic gap that remains.</w:t>
      </w:r>
    </w:p>
    <w:p/>
    <w:p>
      <w:pPr>
        <w:keepNext/>
      </w:pPr>
      <w:r>
        <w:rPr>
          <w:b/>
          <w:sz w:val="17"/>
        </w:rPr>
        <w:t>Table T-04-01: Regulatory Frameworks Baseline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Framework</w:t>
            </w:r>
          </w:p>
        </w:tc>
        <w:tc>
          <w:tcPr>
            <w:tcW w:type="dxa" w:w="2556"/>
            <w:vAlign w:val="top"/>
            <w:shd w:fill="D9EAF7"/>
          </w:tcPr>
          <w:p>
            <w:pPr>
              <w:spacing w:after="0"/>
              <w:jc w:val="left"/>
            </w:pPr>
            <w:r>
              <w:rPr>
                <w:rFonts w:ascii="Arial" w:hAnsi="Arial"/>
                <w:b/>
                <w:sz w:val="14"/>
              </w:rPr>
              <w:t>Type</w:t>
            </w:r>
          </w:p>
        </w:tc>
        <w:tc>
          <w:tcPr>
            <w:tcW w:type="dxa" w:w="2556"/>
            <w:vAlign w:val="top"/>
            <w:shd w:fill="D9EAF7"/>
          </w:tcPr>
          <w:p>
            <w:pPr>
              <w:spacing w:after="0"/>
              <w:jc w:val="left"/>
            </w:pPr>
            <w:r>
              <w:rPr>
                <w:rFonts w:ascii="Arial" w:hAnsi="Arial"/>
                <w:b/>
                <w:sz w:val="14"/>
              </w:rPr>
              <w:t>Relevant Requirements</w:t>
            </w:r>
          </w:p>
        </w:tc>
        <w:tc>
          <w:tcPr>
            <w:tcW w:type="dxa" w:w="2556"/>
            <w:vAlign w:val="top"/>
            <w:shd w:fill="D9EAF7"/>
          </w:tcPr>
          <w:p>
            <w:pPr>
              <w:spacing w:after="0"/>
              <w:jc w:val="left"/>
            </w:pPr>
            <w:r>
              <w:rPr>
                <w:rFonts w:ascii="Arial" w:hAnsi="Arial"/>
                <w:b/>
                <w:sz w:val="14"/>
              </w:rPr>
              <w:t>Agentic Gap</w:t>
            </w:r>
          </w:p>
        </w:tc>
      </w:tr>
      <w:tr>
        <w:trPr>
          <w:cantSplit/>
        </w:trPr>
        <w:tc>
          <w:tcPr>
            <w:tcW w:type="dxa" w:w="2556"/>
            <w:vAlign w:val="top"/>
          </w:tcPr>
          <w:p>
            <w:pPr>
              <w:spacing w:after="0"/>
              <w:jc w:val="left"/>
            </w:pPr>
            <w:r>
              <w:rPr>
                <w:rFonts w:ascii="Arial" w:hAnsi="Arial"/>
                <w:b w:val="0"/>
                <w:sz w:val="14"/>
              </w:rPr>
              <w:t>EU AI Act</w:t>
            </w:r>
          </w:p>
        </w:tc>
        <w:tc>
          <w:tcPr>
            <w:tcW w:type="dxa" w:w="2556"/>
            <w:vAlign w:val="top"/>
          </w:tcPr>
          <w:p>
            <w:pPr>
              <w:spacing w:after="0"/>
              <w:jc w:val="left"/>
            </w:pPr>
            <w:r>
              <w:rPr>
                <w:rFonts w:ascii="Arial" w:hAnsi="Arial"/>
                <w:b w:val="0"/>
                <w:sz w:val="14"/>
              </w:rPr>
              <w:t>Binding regulation</w:t>
            </w:r>
          </w:p>
        </w:tc>
        <w:tc>
          <w:tcPr>
            <w:tcW w:type="dxa" w:w="2556"/>
            <w:vAlign w:val="top"/>
          </w:tcPr>
          <w:p>
            <w:pPr>
              <w:spacing w:after="0"/>
              <w:jc w:val="left"/>
            </w:pPr>
            <w:r>
              <w:rPr>
                <w:rFonts w:ascii="Arial" w:hAnsi="Arial"/>
                <w:b w:val="0"/>
                <w:sz w:val="14"/>
              </w:rPr>
              <w:t>Technical documentation, record-keeping, transparency, human oversight, accuracy/robustness/cybersecurity, post-market monitoring</w:t>
            </w:r>
          </w:p>
        </w:tc>
        <w:tc>
          <w:tcPr>
            <w:tcW w:type="dxa" w:w="2556"/>
            <w:vAlign w:val="top"/>
          </w:tcPr>
          <w:p>
            <w:pPr>
              <w:spacing w:after="0"/>
              <w:jc w:val="left"/>
            </w:pPr>
            <w:r>
              <w:rPr>
                <w:rFonts w:ascii="Arial" w:hAnsi="Arial"/>
                <w:b w:val="0"/>
                <w:sz w:val="14"/>
              </w:rPr>
              <w:t>Strong legal baseline for high-risk systems; does not itself define MAS responsibility-transfer object models</w:t>
            </w:r>
          </w:p>
        </w:tc>
      </w:tr>
      <w:tr>
        <w:trPr>
          <w:cantSplit/>
        </w:trPr>
        <w:tc>
          <w:tcPr>
            <w:tcW w:type="dxa" w:w="2556"/>
            <w:vAlign w:val="top"/>
          </w:tcPr>
          <w:p>
            <w:pPr>
              <w:spacing w:after="0"/>
              <w:jc w:val="left"/>
            </w:pPr>
            <w:r>
              <w:rPr>
                <w:rFonts w:ascii="Arial" w:hAnsi="Arial"/>
                <w:b w:val="0"/>
                <w:sz w:val="14"/>
              </w:rPr>
              <w:t>GDPR</w:t>
            </w:r>
          </w:p>
        </w:tc>
        <w:tc>
          <w:tcPr>
            <w:tcW w:type="dxa" w:w="2556"/>
            <w:vAlign w:val="top"/>
          </w:tcPr>
          <w:p>
            <w:pPr>
              <w:spacing w:after="0"/>
              <w:jc w:val="left"/>
            </w:pPr>
            <w:r>
              <w:rPr>
                <w:rFonts w:ascii="Arial" w:hAnsi="Arial"/>
                <w:b w:val="0"/>
                <w:sz w:val="14"/>
              </w:rPr>
              <w:t>Binding privacy regulation</w:t>
            </w:r>
          </w:p>
        </w:tc>
        <w:tc>
          <w:tcPr>
            <w:tcW w:type="dxa" w:w="2556"/>
            <w:vAlign w:val="top"/>
          </w:tcPr>
          <w:p>
            <w:pPr>
              <w:spacing w:after="0"/>
              <w:jc w:val="left"/>
            </w:pPr>
            <w:r>
              <w:rPr>
                <w:rFonts w:ascii="Arial" w:hAnsi="Arial"/>
                <w:b w:val="0"/>
                <w:sz w:val="14"/>
              </w:rPr>
              <w:t>Lawfulness, fairness, transparency, purpose limitation, minimization, storage limitation, integrity/confidentiality, accountability</w:t>
            </w:r>
          </w:p>
        </w:tc>
        <w:tc>
          <w:tcPr>
            <w:tcW w:type="dxa" w:w="2556"/>
            <w:vAlign w:val="top"/>
          </w:tcPr>
          <w:p>
            <w:pPr>
              <w:spacing w:after="0"/>
              <w:jc w:val="left"/>
            </w:pPr>
            <w:r>
              <w:rPr>
                <w:rFonts w:ascii="Arial" w:hAnsi="Arial"/>
                <w:b w:val="0"/>
                <w:sz w:val="14"/>
              </w:rPr>
              <w:t>Applies strongly to agentic memory, prompt payloads, traces, evidence packs, and cross-project reuse; lifecycle mapping remains an engineering task</w:t>
            </w:r>
          </w:p>
        </w:tc>
      </w:tr>
      <w:tr>
        <w:trPr>
          <w:cantSplit/>
        </w:trPr>
        <w:tc>
          <w:tcPr>
            <w:tcW w:type="dxa" w:w="2556"/>
            <w:vAlign w:val="top"/>
          </w:tcPr>
          <w:p>
            <w:pPr>
              <w:spacing w:after="0"/>
              <w:jc w:val="left"/>
            </w:pPr>
            <w:r>
              <w:rPr>
                <w:rFonts w:ascii="Arial" w:hAnsi="Arial"/>
                <w:b w:val="0"/>
                <w:sz w:val="14"/>
              </w:rPr>
              <w:t>NIST AI RMF 1.0</w:t>
            </w:r>
          </w:p>
        </w:tc>
        <w:tc>
          <w:tcPr>
            <w:tcW w:type="dxa" w:w="2556"/>
            <w:vAlign w:val="top"/>
          </w:tcPr>
          <w:p>
            <w:pPr>
              <w:spacing w:after="0"/>
              <w:jc w:val="left"/>
            </w:pPr>
            <w:r>
              <w:rPr>
                <w:rFonts w:ascii="Arial" w:hAnsi="Arial"/>
                <w:b w:val="0"/>
                <w:sz w:val="14"/>
              </w:rPr>
              <w:t>Voluntary risk framework</w:t>
            </w:r>
          </w:p>
        </w:tc>
        <w:tc>
          <w:tcPr>
            <w:tcW w:type="dxa" w:w="2556"/>
            <w:vAlign w:val="top"/>
          </w:tcPr>
          <w:p>
            <w:pPr>
              <w:spacing w:after="0"/>
              <w:jc w:val="left"/>
            </w:pPr>
            <w:r>
              <w:rPr>
                <w:rFonts w:ascii="Arial" w:hAnsi="Arial"/>
                <w:b w:val="0"/>
                <w:sz w:val="14"/>
              </w:rPr>
              <w:t>Govern, Map, Measure, Manage functions across the AI lifecycle</w:t>
            </w:r>
          </w:p>
        </w:tc>
        <w:tc>
          <w:tcPr>
            <w:tcW w:type="dxa" w:w="2556"/>
            <w:vAlign w:val="top"/>
          </w:tcPr>
          <w:p>
            <w:pPr>
              <w:spacing w:after="0"/>
              <w:jc w:val="left"/>
            </w:pPr>
            <w:r>
              <w:rPr>
                <w:rFonts w:ascii="Arial" w:hAnsi="Arial"/>
                <w:b w:val="0"/>
                <w:sz w:val="14"/>
              </w:rPr>
              <w:t>Excellent risk-management umbrella; intentionally not a MAS protocol or delegated-authority object model</w:t>
            </w:r>
          </w:p>
        </w:tc>
      </w:tr>
      <w:tr>
        <w:trPr>
          <w:cantSplit/>
        </w:trPr>
        <w:tc>
          <w:tcPr>
            <w:tcW w:type="dxa" w:w="2556"/>
            <w:vAlign w:val="top"/>
          </w:tcPr>
          <w:p>
            <w:pPr>
              <w:spacing w:after="0"/>
              <w:jc w:val="left"/>
            </w:pPr>
            <w:r>
              <w:rPr>
                <w:rFonts w:ascii="Arial" w:hAnsi="Arial"/>
                <w:b w:val="0"/>
                <w:sz w:val="14"/>
              </w:rPr>
              <w:t>ISO/IEC 42001</w:t>
            </w:r>
          </w:p>
        </w:tc>
        <w:tc>
          <w:tcPr>
            <w:tcW w:type="dxa" w:w="2556"/>
            <w:vAlign w:val="top"/>
          </w:tcPr>
          <w:p>
            <w:pPr>
              <w:spacing w:after="0"/>
              <w:jc w:val="left"/>
            </w:pPr>
            <w:r>
              <w:rPr>
                <w:rFonts w:ascii="Arial" w:hAnsi="Arial"/>
                <w:b w:val="0"/>
                <w:sz w:val="14"/>
              </w:rPr>
              <w:t>Management system standard</w:t>
            </w:r>
          </w:p>
        </w:tc>
        <w:tc>
          <w:tcPr>
            <w:tcW w:type="dxa" w:w="2556"/>
            <w:vAlign w:val="top"/>
          </w:tcPr>
          <w:p>
            <w:pPr>
              <w:spacing w:after="0"/>
              <w:jc w:val="left"/>
            </w:pPr>
            <w:r>
              <w:rPr>
                <w:rFonts w:ascii="Arial" w:hAnsi="Arial"/>
                <w:b w:val="0"/>
                <w:sz w:val="14"/>
              </w:rPr>
              <w:t>AIMS requirements for establishing, implementing, maintaining, and improving AI management systems</w:t>
            </w:r>
          </w:p>
        </w:tc>
        <w:tc>
          <w:tcPr>
            <w:tcW w:type="dxa" w:w="2556"/>
            <w:vAlign w:val="top"/>
          </w:tcPr>
          <w:p>
            <w:pPr>
              <w:spacing w:after="0"/>
              <w:jc w:val="left"/>
            </w:pPr>
            <w:r>
              <w:rPr>
                <w:rFonts w:ascii="Arial" w:hAnsi="Arial"/>
                <w:b w:val="0"/>
                <w:sz w:val="14"/>
              </w:rPr>
              <w:t>Supports organizational governance; needs technical lifecycle evidence objects for agentic execution</w:t>
            </w:r>
          </w:p>
        </w:tc>
      </w:tr>
      <w:tr>
        <w:trPr>
          <w:cantSplit/>
        </w:trPr>
        <w:tc>
          <w:tcPr>
            <w:tcW w:type="dxa" w:w="2556"/>
            <w:vAlign w:val="top"/>
          </w:tcPr>
          <w:p>
            <w:pPr>
              <w:spacing w:after="0"/>
              <w:jc w:val="left"/>
            </w:pPr>
            <w:r>
              <w:rPr>
                <w:rFonts w:ascii="Arial" w:hAnsi="Arial"/>
                <w:b w:val="0"/>
                <w:sz w:val="14"/>
              </w:rPr>
              <w:t>Singapore IMDA Model AI Governance Framework for Agentic AI</w:t>
            </w:r>
          </w:p>
        </w:tc>
        <w:tc>
          <w:tcPr>
            <w:tcW w:type="dxa" w:w="2556"/>
            <w:vAlign w:val="top"/>
          </w:tcPr>
          <w:p>
            <w:pPr>
              <w:spacing w:after="0"/>
              <w:jc w:val="left"/>
            </w:pPr>
            <w:r>
              <w:rPr>
                <w:rFonts w:ascii="Arial" w:hAnsi="Arial"/>
                <w:b w:val="0"/>
                <w:sz w:val="14"/>
              </w:rPr>
              <w:t>Voluntary governance framework</w:t>
            </w:r>
          </w:p>
        </w:tc>
        <w:tc>
          <w:tcPr>
            <w:tcW w:type="dxa" w:w="2556"/>
            <w:vAlign w:val="top"/>
          </w:tcPr>
          <w:p>
            <w:pPr>
              <w:spacing w:after="0"/>
              <w:jc w:val="left"/>
            </w:pPr>
            <w:r>
              <w:rPr>
                <w:rFonts w:ascii="Arial" w:hAnsi="Arial"/>
                <w:b w:val="0"/>
                <w:sz w:val="14"/>
              </w:rPr>
              <w:t>Assessing and bounding risks upfront; making humans meaningfully accountable; implementing technical controls and processes; enabling end-user responsibility</w:t>
            </w:r>
          </w:p>
        </w:tc>
        <w:tc>
          <w:tcPr>
            <w:tcW w:type="dxa" w:w="2556"/>
            <w:vAlign w:val="top"/>
          </w:tcPr>
          <w:p>
            <w:pPr>
              <w:spacing w:after="0"/>
              <w:jc w:val="left"/>
            </w:pPr>
            <w:r>
              <w:rPr>
                <w:rFonts w:ascii="Arial" w:hAnsi="Arial"/>
                <w:b w:val="0"/>
                <w:sz w:val="14"/>
              </w:rPr>
              <w:t>Strong agentic governance signal; voluntary framework rather than protocol schema, certification, or binding law</w:t>
            </w:r>
          </w:p>
        </w:tc>
      </w:tr>
      <w:tr>
        <w:trPr>
          <w:cantSplit/>
        </w:trPr>
        <w:tc>
          <w:tcPr>
            <w:tcW w:type="dxa" w:w="2556"/>
            <w:vAlign w:val="top"/>
          </w:tcPr>
          <w:p>
            <w:pPr>
              <w:spacing w:after="0"/>
              <w:jc w:val="left"/>
            </w:pPr>
            <w:r>
              <w:rPr>
                <w:rFonts w:ascii="Arial" w:hAnsi="Arial"/>
                <w:b w:val="0"/>
                <w:sz w:val="14"/>
              </w:rPr>
              <w:t>W3C PROV / Verifiable Credentials</w:t>
            </w:r>
          </w:p>
        </w:tc>
        <w:tc>
          <w:tcPr>
            <w:tcW w:type="dxa" w:w="2556"/>
            <w:vAlign w:val="top"/>
          </w:tcPr>
          <w:p>
            <w:pPr>
              <w:spacing w:after="0"/>
              <w:jc w:val="left"/>
            </w:pPr>
            <w:r>
              <w:rPr>
                <w:rFonts w:ascii="Arial" w:hAnsi="Arial"/>
                <w:b w:val="0"/>
                <w:sz w:val="14"/>
              </w:rPr>
              <w:t>Web provenance and credential standards</w:t>
            </w:r>
          </w:p>
        </w:tc>
        <w:tc>
          <w:tcPr>
            <w:tcW w:type="dxa" w:w="2556"/>
            <w:vAlign w:val="top"/>
          </w:tcPr>
          <w:p>
            <w:pPr>
              <w:spacing w:after="0"/>
              <w:jc w:val="left"/>
            </w:pPr>
            <w:r>
              <w:rPr>
                <w:rFonts w:ascii="Arial" w:hAnsi="Arial"/>
                <w:b w:val="0"/>
                <w:sz w:val="14"/>
              </w:rPr>
              <w:t>Provenance of entities, activities, agents; tamper-evident machine-verifiable claims</w:t>
            </w:r>
          </w:p>
        </w:tc>
        <w:tc>
          <w:tcPr>
            <w:tcW w:type="dxa" w:w="2556"/>
            <w:vAlign w:val="top"/>
          </w:tcPr>
          <w:p>
            <w:pPr>
              <w:spacing w:after="0"/>
              <w:jc w:val="left"/>
            </w:pPr>
            <w:r>
              <w:rPr>
                <w:rFonts w:ascii="Arial" w:hAnsi="Arial"/>
                <w:b w:val="0"/>
                <w:sz w:val="14"/>
              </w:rPr>
              <w:t>Useful foundation for evidence chain, selective disclosure, and third-party validation; not agent governance by itself</w:t>
            </w:r>
          </w:p>
        </w:tc>
      </w:tr>
      <w:tr>
        <w:trPr>
          <w:cantSplit/>
        </w:trPr>
        <w:tc>
          <w:tcPr>
            <w:tcW w:type="dxa" w:w="2556"/>
            <w:vAlign w:val="top"/>
          </w:tcPr>
          <w:p>
            <w:pPr>
              <w:spacing w:after="0"/>
              <w:jc w:val="left"/>
            </w:pPr>
            <w:r>
              <w:rPr>
                <w:rFonts w:ascii="Arial" w:hAnsi="Arial"/>
                <w:b w:val="0"/>
                <w:sz w:val="14"/>
              </w:rPr>
              <w:t>Colorado AI Act (SB24-205 / SB25B-004)</w:t>
            </w:r>
          </w:p>
        </w:tc>
        <w:tc>
          <w:tcPr>
            <w:tcW w:type="dxa" w:w="2556"/>
            <w:vAlign w:val="top"/>
          </w:tcPr>
          <w:p>
            <w:pPr>
              <w:spacing w:after="0"/>
              <w:jc w:val="left"/>
            </w:pPr>
            <w:r>
              <w:rPr>
                <w:rFonts w:ascii="Arial" w:hAnsi="Arial"/>
                <w:b w:val="0"/>
                <w:sz w:val="14"/>
              </w:rPr>
              <w:t>U.S. state law sample; not yet effective at 2026-05-07 snapshot</w:t>
            </w:r>
          </w:p>
        </w:tc>
        <w:tc>
          <w:tcPr>
            <w:tcW w:type="dxa" w:w="2556"/>
            <w:vAlign w:val="top"/>
          </w:tcPr>
          <w:p>
            <w:pPr>
              <w:spacing w:after="0"/>
              <w:jc w:val="left"/>
            </w:pPr>
            <w:r>
              <w:rPr>
                <w:rFonts w:ascii="Arial" w:hAnsi="Arial"/>
                <w:b w:val="0"/>
                <w:sz w:val="14"/>
              </w:rPr>
              <w:t>Consumer protections for high-risk AI systems; effective date extended to 2026-06-30 by SB25B-004</w:t>
            </w:r>
          </w:p>
        </w:tc>
        <w:tc>
          <w:tcPr>
            <w:tcW w:type="dxa" w:w="2556"/>
            <w:vAlign w:val="top"/>
          </w:tcPr>
          <w:p>
            <w:pPr>
              <w:spacing w:after="0"/>
              <w:jc w:val="left"/>
            </w:pPr>
            <w:r>
              <w:rPr>
                <w:rFonts w:ascii="Arial" w:hAnsi="Arial"/>
                <w:b w:val="0"/>
                <w:sz w:val="14"/>
              </w:rPr>
              <w:t>Useful state-level signal for algorithmic accountability; should be treated as forward-looking in this paper, not as an active effective-law baseline at the snapshot date</w:t>
            </w:r>
          </w:p>
        </w:tc>
      </w:tr>
    </w:tbl>
    <w:p>
      <w:pPr>
        <w:sectPr>
          <w:pgSz w:w="12240" w:h="15840"/>
          <w:pgMar w:top="792" w:right="648" w:bottom="792" w:left="648" w:header="720" w:footer="720" w:gutter="0"/>
          <w:cols w:space="720"/>
          <w:docGrid w:linePitch="360"/>
        </w:sectPr>
      </w:pPr>
    </w:p>
    <w:p/>
    <w:p>
      <w:pPr>
        <w:pStyle w:val="Heading2"/>
      </w:pPr>
      <w:r>
        <w:t>4.3 EU AI Act</w:t>
      </w:r>
    </w:p>
    <w:p/>
    <w:p>
      <w:r>
        <w:t>[EU-AI-ACT-ART-11] [EU-AI-ACT-ART-12] [EU-AI-ACT-ART-14] [EU-AI-ACT-ART-15] [EU-AI-ACT-ART-72]</w:t>
      </w:r>
    </w:p>
    <w:p/>
    <w:p>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
      <w:r>
        <w:t>What it contributes: Strong legal baseline for high-risk systems; binding direction around technical documentation, record-keeping, human oversight, and post-market monitoring.</w:t>
      </w:r>
    </w:p>
    <w:p/>
    <w:p>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
      <w:r>
        <w:t>What it does not define (the agentic gap): The framework does not itself define MAS responsibility-transfer object models.</w:t>
      </w:r>
    </w:p>
    <w:p/>
    <w:p>
      <w:r>
        <w:t>How it connects to lifecycle objects: The EU AI Act establishes binding direction around technical documentation, record-keeping, human oversight, and post-market monitoring.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4.4 GDPR</w:t>
      </w:r>
    </w:p>
    <w:p/>
    <w:p>
      <w:r>
        <w:t>[GDPR-ART-5]</w:t>
      </w:r>
    </w:p>
    <w:p/>
    <w:p>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
      <w:r>
        <w:t>What it contributes: Binding privacy regulation with strong requirements for lawfulness, fairness, transparency, purpose limitation, minimization, storage limitation, integrity, confidentiality, and accountability.</w:t>
      </w:r>
    </w:p>
    <w:p/>
    <w:p>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
      <w:r>
        <w:t>What it does not define (the agentic gap): Lifecycle mapping remains an engineering task.</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4.5 NIST AI RMF 1.0</w:t>
      </w:r>
    </w:p>
    <w:p/>
    <w:p>
      <w:r>
        <w:t>[NIST-AI-RMF-1.0]</w:t>
      </w:r>
    </w:p>
    <w:p/>
    <w:p>
      <w:r>
        <w:t>NIST AI RMF 1.0 functions in this paper as voluntary risk framework. Its relevance to agentic lifecycle conformance comes from the following requirement cluster: Govern, Map, Measure, Manage functions across the AI lifecycle.</w:t>
      </w:r>
    </w:p>
    <w:p/>
    <w:p>
      <w:r>
        <w:t>What it contributes: Excellent risk-management umbrella covering Govern, Map, Measure, and Manage functions across the AI lifecycle.</w:t>
      </w:r>
    </w:p>
    <w:p/>
    <w:p>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
      <w:r>
        <w:t>What it does not define (the agentic gap): Intentionally not a MAS protocol or delegated-authority object model.</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4.6 ISO/IEC 42001</w:t>
      </w:r>
    </w:p>
    <w:p/>
    <w:p>
      <w:r>
        <w:t>[ISO-IEC-42001]</w:t>
      </w:r>
    </w:p>
    <w:p/>
    <w:p>
      <w:r>
        <w:t>ISO/IEC 42001 functions in this paper as management system standard. Its relevance to agentic lifecycle conformance comes from the following requirement cluster: AIMS requirements for establishing, implementing, maintaining, and improving AI management systems.</w:t>
      </w:r>
    </w:p>
    <w:p/>
    <w:p>
      <w:r>
        <w:t>What it contributes: Management system standard for AI governance; provides organizational structure for AI governance programs.</w:t>
      </w:r>
    </w:p>
    <w:p/>
    <w:p>
      <w:r>
        <w:t>Why it matters for agentic AI: Establishes organizational governance requirements that apply to agentic systems. Organizational governance must be supported by technical lifecycle objects that prove governance was enforced at execution boundaries.</w:t>
      </w:r>
    </w:p>
    <w:p/>
    <w:p>
      <w:r>
        <w:t>What it does not define (the agentic gap): Needs technical lifecycle evidence objects for agentic execution.</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4.7 Singapore IMDA Model AI Governance Framework for Agentic AI</w:t>
      </w:r>
    </w:p>
    <w:p/>
    <w:p>
      <w:r>
        <w:t>[SINGAPORE-MGF-AGENTIC-AI]</w:t>
      </w:r>
    </w:p>
    <w:p/>
    <w:p>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
      <w:r>
        <w:t>What it contributes: Most directly aligned with agentic-specific risk language; provides clear guidance on human accountability, technical controls, and end-user responsibility in agentic contexts.</w:t>
      </w:r>
    </w:p>
    <w:p/>
    <w:p>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
      <w:r>
        <w:t>What it does not define (the agentic gap): Still a governance framework rather than a protocol schema. It should not be overstated as a protocol, law, or certification regime; it is a voluntary framework that helps name the agentic lifecycle control problem.</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4.8 W3C PROV / Verifiable Credentials</w:t>
      </w:r>
    </w:p>
    <w:p/>
    <w:p>
      <w:r>
        <w:t>[W3C-PROV] [W3C-VC-DM-2.0]</w:t>
      </w:r>
    </w:p>
    <w:p/>
    <w:p>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
      <w:r>
        <w:t>What it contributes: Useful foundation for evidence chain, selective disclosure, and third-party validation.</w:t>
      </w:r>
    </w:p>
    <w:p/>
    <w:p>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
      <w:r>
        <w:t>What it does not define (the agentic gap): Not agent governance by itself.</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4.9 Colorado AI Act (SB24-205 / SB25B-004)</w:t>
      </w:r>
    </w:p>
    <w:p/>
    <w:p>
      <w:r>
        <w:t>[COLORADO-SB25B-004]</w:t>
      </w:r>
    </w:p>
    <w:p/>
    <w:p>
      <w:r>
        <w:t>Colorado AI Act (SB24-205 / SB25B-004) functions in this paper as U.S. state law sample; not yet effective at 2026-05-07 snapshot. Consumer protections for high-risk AI systems; effective date extended to 2026-06-30 by SB25B-004.</w:t>
      </w:r>
    </w:p>
    <w:p/>
    <w:p>
      <w:r>
        <w:t>What it contributes: Useful state-level signal for algorithmic accountability.</w:t>
      </w:r>
    </w:p>
    <w:p/>
    <w:p>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
      <w:r>
        <w:t>What it does not define (the agentic gap): Should be treated as forward-looking in this paper, not as an active effective-law baseline at the snapshot date.</w:t>
      </w:r>
    </w:p>
    <w:p/>
    <w:p>
      <w:r>
        <w:t>How it connects to lifecycle objects: State-level accountability requirements will eventually require lifecycle objects to prove compliance.</w:t>
      </w:r>
    </w:p>
    <w:p/>
    <w:p/>
    <w:p>
      <w:r>
        <w:t>End of Chapter 4</w:t>
      </w:r>
    </w:p>
    <w:p>
      <w:pPr>
        <w:pStyle w:val="Heading1"/>
      </w:pPr>
      <w:r>
        <w:t>Chapter 5: From Regulatory Language to Engineering Objects</w:t>
      </w:r>
    </w:p>
    <w:p/>
    <w:p>
      <w:r>
        <w:t>Version: v0.3.2-FRC-R3</w:t>
      </w:r>
    </w:p>
    <w:p>
      <w:r>
        <w:t>Status: Reconstructed from v0.3.1 semantic base</w:t>
      </w:r>
    </w:p>
    <w:p>
      <w:r>
        <w:t>Phase: 1A-2.5</w:t>
      </w:r>
    </w:p>
    <w:p/>
    <w:p/>
    <w:p>
      <w:pPr>
        <w:pStyle w:val="Heading2"/>
      </w:pPr>
      <w:r>
        <w:t>5.1 The Gap Between Regulation and Engineering</w:t>
      </w:r>
    </w:p>
    <w:p/>
    <w:p>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
      <w:r>
        <w:t>A standard may mandate accountability, but a multi-agent workflow must determine who owns a tool action, how liability transfers across agents, how responsibility is recorded, and how ownership is proven when disputes arise.</w:t>
      </w:r>
    </w:p>
    <w:p/>
    <w:p>
      <w:r>
        <w:t>Familiar regulatory words establish direction. Engineering objects make that direction testable, auditable, and enforceable in distributed agentic execution.</w:t>
      </w:r>
    </w:p>
    <w:p/>
    <w:p>
      <w:r>
        <w:t>This chapter provides the bridge from regulatory language to the Missing Regulatory Objects that will be defined in Chapter 6.</w:t>
      </w:r>
    </w:p>
    <w:p/>
    <w:p>
      <w:pPr>
        <w:pStyle w:val="Heading2"/>
      </w:pPr>
      <w:r>
        <w:t>5.2 Regulatory Language to Engineering Objects Mapping</w:t>
      </w:r>
    </w:p>
    <w:p/>
    <w:p>
      <w:r>
        <w:t>The table below maps recurring regulatory language to the agentic engineering questions that must be answered, and the required lifecycle objects that make those answers testable.</w:t>
      </w:r>
    </w:p>
    <w:p/>
    <w:p>
      <w:pPr>
        <w:keepNext/>
      </w:pPr>
      <w:r>
        <w:rPr>
          <w:b/>
          <w:sz w:val="17"/>
        </w:rPr>
        <w:t>Table T-05-01: Regulatory Language to Engineering Objects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Regulatory Language</w:t>
            </w:r>
          </w:p>
        </w:tc>
        <w:tc>
          <w:tcPr>
            <w:tcW w:type="dxa" w:w="3408"/>
            <w:vAlign w:val="top"/>
            <w:shd w:fill="D9EAF7"/>
          </w:tcPr>
          <w:p>
            <w:pPr>
              <w:spacing w:after="0"/>
              <w:jc w:val="left"/>
            </w:pPr>
            <w:r>
              <w:rPr>
                <w:rFonts w:ascii="Arial" w:hAnsi="Arial"/>
                <w:b/>
                <w:sz w:val="16"/>
              </w:rPr>
              <w:t>Agentic Engineering Question</w:t>
            </w:r>
          </w:p>
        </w:tc>
        <w:tc>
          <w:tcPr>
            <w:tcW w:type="dxa" w:w="3408"/>
            <w:vAlign w:val="top"/>
            <w:shd w:fill="D9EAF7"/>
          </w:tcPr>
          <w:p>
            <w:pPr>
              <w:spacing w:after="0"/>
              <w:jc w:val="left"/>
            </w:pPr>
            <w:r>
              <w:rPr>
                <w:rFonts w:ascii="Arial" w:hAnsi="Arial"/>
                <w:b/>
                <w:sz w:val="16"/>
              </w:rPr>
              <w:t>Required Lifecycle Object</w:t>
            </w:r>
          </w:p>
        </w:tc>
      </w:tr>
      <w:tr>
        <w:trPr>
          <w:cantSplit/>
        </w:trPr>
        <w:tc>
          <w:tcPr>
            <w:tcW w:type="dxa" w:w="3408"/>
            <w:vAlign w:val="top"/>
          </w:tcPr>
          <w:p>
            <w:pPr>
              <w:spacing w:after="0"/>
              <w:jc w:val="left"/>
            </w:pPr>
            <w:r>
              <w:rPr>
                <w:rFonts w:ascii="Arial" w:hAnsi="Arial"/>
                <w:b w:val="0"/>
                <w:sz w:val="16"/>
              </w:rPr>
              <w:t>Risk management</w:t>
            </w:r>
          </w:p>
        </w:tc>
        <w:tc>
          <w:tcPr>
            <w:tcW w:type="dxa" w:w="3408"/>
            <w:vAlign w:val="top"/>
          </w:tcPr>
          <w:p>
            <w:pPr>
              <w:spacing w:after="0"/>
              <w:jc w:val="left"/>
            </w:pPr>
            <w:r>
              <w:rPr>
                <w:rFonts w:ascii="Arial" w:hAnsi="Arial"/>
                <w:b w:val="0"/>
                <w:sz w:val="16"/>
              </w:rPr>
              <w:t>What can go wrong as agents plan, delegate, call tools, and modify state?</w:t>
            </w:r>
          </w:p>
        </w:tc>
        <w:tc>
          <w:tcPr>
            <w:tcW w:type="dxa" w:w="3408"/>
            <w:vAlign w:val="top"/>
          </w:tcPr>
          <w:p>
            <w:pPr>
              <w:spacing w:after="0"/>
              <w:jc w:val="left"/>
            </w:pPr>
            <w:r>
              <w:rPr>
                <w:rFonts w:ascii="Arial" w:hAnsi="Arial"/>
                <w:b w:val="0"/>
                <w:sz w:val="16"/>
              </w:rPr>
              <w:t>Risk register linked to lifecycle phases and action classes</w:t>
            </w:r>
          </w:p>
        </w:tc>
      </w:tr>
      <w:tr>
        <w:trPr>
          <w:cantSplit/>
        </w:trPr>
        <w:tc>
          <w:tcPr>
            <w:tcW w:type="dxa" w:w="3408"/>
            <w:vAlign w:val="top"/>
          </w:tcPr>
          <w:p>
            <w:pPr>
              <w:spacing w:after="0"/>
              <w:jc w:val="left"/>
            </w:pPr>
            <w:r>
              <w:rPr>
                <w:rFonts w:ascii="Arial" w:hAnsi="Arial"/>
                <w:b w:val="0"/>
                <w:sz w:val="16"/>
              </w:rPr>
              <w:t>Technical documentation</w:t>
            </w:r>
          </w:p>
        </w:tc>
        <w:tc>
          <w:tcPr>
            <w:tcW w:type="dxa" w:w="3408"/>
            <w:vAlign w:val="top"/>
          </w:tcPr>
          <w:p>
            <w:pPr>
              <w:spacing w:after="0"/>
              <w:jc w:val="left"/>
            </w:pPr>
            <w:r>
              <w:rPr>
                <w:rFonts w:ascii="Arial" w:hAnsi="Arial"/>
                <w:b w:val="0"/>
                <w:sz w:val="16"/>
              </w:rPr>
              <w:t>Can the system describe its agent roles, authority boundaries, evidence schema, and limitations?</w:t>
            </w:r>
          </w:p>
        </w:tc>
        <w:tc>
          <w:tcPr>
            <w:tcW w:type="dxa" w:w="3408"/>
            <w:vAlign w:val="top"/>
          </w:tcPr>
          <w:p>
            <w:pPr>
              <w:spacing w:after="0"/>
              <w:jc w:val="left"/>
            </w:pPr>
            <w:r>
              <w:rPr>
                <w:rFonts w:ascii="Arial" w:hAnsi="Arial"/>
                <w:b w:val="0"/>
                <w:sz w:val="16"/>
              </w:rPr>
              <w:t>Versioned architecture and lifecycle object documentation</w:t>
            </w:r>
          </w:p>
        </w:tc>
      </w:tr>
      <w:tr>
        <w:trPr>
          <w:cantSplit/>
        </w:trPr>
        <w:tc>
          <w:tcPr>
            <w:tcW w:type="dxa" w:w="3408"/>
            <w:vAlign w:val="top"/>
          </w:tcPr>
          <w:p>
            <w:pPr>
              <w:spacing w:after="0"/>
              <w:jc w:val="left"/>
            </w:pPr>
            <w:r>
              <w:rPr>
                <w:rFonts w:ascii="Arial" w:hAnsi="Arial"/>
                <w:b w:val="0"/>
                <w:sz w:val="16"/>
              </w:rPr>
              <w:t>Record-keeping</w:t>
            </w:r>
          </w:p>
        </w:tc>
        <w:tc>
          <w:tcPr>
            <w:tcW w:type="dxa" w:w="3408"/>
            <w:vAlign w:val="top"/>
          </w:tcPr>
          <w:p>
            <w:pPr>
              <w:spacing w:after="0"/>
              <w:jc w:val="left"/>
            </w:pPr>
            <w:r>
              <w:rPr>
                <w:rFonts w:ascii="Arial" w:hAnsi="Arial"/>
                <w:b w:val="0"/>
                <w:sz w:val="16"/>
              </w:rPr>
              <w:t>Can the organization reconstruct what happened across agents and tools?</w:t>
            </w:r>
          </w:p>
        </w:tc>
        <w:tc>
          <w:tcPr>
            <w:tcW w:type="dxa" w:w="3408"/>
            <w:vAlign w:val="top"/>
          </w:tcPr>
          <w:p>
            <w:pPr>
              <w:spacing w:after="0"/>
              <w:jc w:val="left"/>
            </w:pPr>
            <w:r>
              <w:rPr>
                <w:rFonts w:ascii="Arial" w:hAnsi="Arial"/>
                <w:b w:val="0"/>
                <w:sz w:val="16"/>
              </w:rPr>
              <w:t>Partitioned evidence chain with plan, role, tool, and outcome links</w:t>
            </w:r>
          </w:p>
        </w:tc>
      </w:tr>
      <w:tr>
        <w:trPr>
          <w:cantSplit/>
        </w:trPr>
        <w:tc>
          <w:tcPr>
            <w:tcW w:type="dxa" w:w="3408"/>
            <w:vAlign w:val="top"/>
          </w:tcPr>
          <w:p>
            <w:pPr>
              <w:spacing w:after="0"/>
              <w:jc w:val="left"/>
            </w:pPr>
            <w:r>
              <w:rPr>
                <w:rFonts w:ascii="Arial" w:hAnsi="Arial"/>
                <w:b w:val="0"/>
                <w:sz w:val="16"/>
              </w:rPr>
              <w:t>Transparency</w:t>
            </w:r>
          </w:p>
        </w:tc>
        <w:tc>
          <w:tcPr>
            <w:tcW w:type="dxa" w:w="3408"/>
            <w:vAlign w:val="top"/>
          </w:tcPr>
          <w:p>
            <w:pPr>
              <w:spacing w:after="0"/>
              <w:jc w:val="left"/>
            </w:pPr>
            <w:r>
              <w:rPr>
                <w:rFonts w:ascii="Arial" w:hAnsi="Arial"/>
                <w:b w:val="0"/>
                <w:sz w:val="16"/>
              </w:rPr>
              <w:t>Can reviewers understand the evidence behind an outcome?</w:t>
            </w:r>
          </w:p>
        </w:tc>
        <w:tc>
          <w:tcPr>
            <w:tcW w:type="dxa" w:w="3408"/>
            <w:vAlign w:val="top"/>
          </w:tcPr>
          <w:p>
            <w:pPr>
              <w:spacing w:after="0"/>
              <w:jc w:val="left"/>
            </w:pPr>
            <w:r>
              <w:rPr>
                <w:rFonts w:ascii="Arial" w:hAnsi="Arial"/>
                <w:b w:val="0"/>
                <w:sz w:val="16"/>
              </w:rPr>
              <w:t>Evidence pointer graph and explanation packet</w:t>
            </w:r>
          </w:p>
        </w:tc>
      </w:tr>
      <w:tr>
        <w:trPr>
          <w:cantSplit/>
        </w:trPr>
        <w:tc>
          <w:tcPr>
            <w:tcW w:type="dxa" w:w="3408"/>
            <w:vAlign w:val="top"/>
          </w:tcPr>
          <w:p>
            <w:pPr>
              <w:spacing w:after="0"/>
              <w:jc w:val="left"/>
            </w:pPr>
            <w:r>
              <w:rPr>
                <w:rFonts w:ascii="Arial" w:hAnsi="Arial"/>
                <w:b w:val="0"/>
                <w:sz w:val="16"/>
              </w:rPr>
              <w:t>Human oversight</w:t>
            </w:r>
          </w:p>
        </w:tc>
        <w:tc>
          <w:tcPr>
            <w:tcW w:type="dxa" w:w="3408"/>
            <w:vAlign w:val="top"/>
          </w:tcPr>
          <w:p>
            <w:pPr>
              <w:spacing w:after="0"/>
              <w:jc w:val="left"/>
            </w:pPr>
            <w:r>
              <w:rPr>
                <w:rFonts w:ascii="Arial" w:hAnsi="Arial"/>
                <w:b w:val="0"/>
                <w:sz w:val="16"/>
              </w:rPr>
              <w:t>Which human can approve, reject, override, or accept which action?</w:t>
            </w:r>
          </w:p>
        </w:tc>
        <w:tc>
          <w:tcPr>
            <w:tcW w:type="dxa" w:w="3408"/>
            <w:vAlign w:val="top"/>
          </w:tcPr>
          <w:p>
            <w:pPr>
              <w:spacing w:after="0"/>
              <w:jc w:val="left"/>
            </w:pPr>
            <w:r>
              <w:rPr>
                <w:rFonts w:ascii="Arial" w:hAnsi="Arial"/>
                <w:b w:val="0"/>
                <w:sz w:val="16"/>
              </w:rPr>
              <w:t>Human-role-to-MAS responsibility map and confirmation boundary</w:t>
            </w:r>
          </w:p>
        </w:tc>
      </w:tr>
      <w:tr>
        <w:trPr>
          <w:cantSplit/>
        </w:trPr>
        <w:tc>
          <w:tcPr>
            <w:tcW w:type="dxa" w:w="3408"/>
            <w:vAlign w:val="top"/>
          </w:tcPr>
          <w:p>
            <w:pPr>
              <w:spacing w:after="0"/>
              <w:jc w:val="left"/>
            </w:pPr>
            <w:r>
              <w:rPr>
                <w:rFonts w:ascii="Arial" w:hAnsi="Arial"/>
                <w:b w:val="0"/>
                <w:sz w:val="16"/>
              </w:rPr>
              <w:t>Accountability</w:t>
            </w:r>
          </w:p>
        </w:tc>
        <w:tc>
          <w:tcPr>
            <w:tcW w:type="dxa" w:w="3408"/>
            <w:vAlign w:val="top"/>
          </w:tcPr>
          <w:p>
            <w:pPr>
              <w:spacing w:after="0"/>
              <w:jc w:val="left"/>
            </w:pPr>
            <w:r>
              <w:rPr>
                <w:rFonts w:ascii="Arial" w:hAnsi="Arial"/>
                <w:b w:val="0"/>
                <w:sz w:val="16"/>
              </w:rPr>
              <w:t>Who owns a decision, tool action, or outcome?</w:t>
            </w:r>
          </w:p>
        </w:tc>
        <w:tc>
          <w:tcPr>
            <w:tcW w:type="dxa" w:w="3408"/>
            <w:vAlign w:val="top"/>
          </w:tcPr>
          <w:p>
            <w:pPr>
              <w:spacing w:after="0"/>
              <w:jc w:val="left"/>
            </w:pPr>
            <w:r>
              <w:rPr>
                <w:rFonts w:ascii="Arial" w:hAnsi="Arial"/>
                <w:b w:val="0"/>
                <w:sz w:val="16"/>
              </w:rPr>
              <w:t>Responsibility boundary, transfer record, and accepted outcome owner</w:t>
            </w:r>
          </w:p>
        </w:tc>
      </w:tr>
      <w:tr>
        <w:trPr>
          <w:cantSplit/>
        </w:trPr>
        <w:tc>
          <w:tcPr>
            <w:tcW w:type="dxa" w:w="3408"/>
            <w:vAlign w:val="top"/>
          </w:tcPr>
          <w:p>
            <w:pPr>
              <w:spacing w:after="0"/>
              <w:jc w:val="left"/>
            </w:pPr>
            <w:r>
              <w:rPr>
                <w:rFonts w:ascii="Arial" w:hAnsi="Arial"/>
                <w:b w:val="0"/>
                <w:sz w:val="16"/>
              </w:rPr>
              <w:t>Contestability</w:t>
            </w:r>
          </w:p>
        </w:tc>
        <w:tc>
          <w:tcPr>
            <w:tcW w:type="dxa" w:w="3408"/>
            <w:vAlign w:val="top"/>
          </w:tcPr>
          <w:p>
            <w:pPr>
              <w:spacing w:after="0"/>
              <w:jc w:val="left"/>
            </w:pPr>
            <w:r>
              <w:rPr>
                <w:rFonts w:ascii="Arial" w:hAnsi="Arial"/>
                <w:b w:val="0"/>
                <w:sz w:val="16"/>
              </w:rPr>
              <w:t>Can an affected party challenge the result and trigger review?</w:t>
            </w:r>
          </w:p>
        </w:tc>
        <w:tc>
          <w:tcPr>
            <w:tcW w:type="dxa" w:w="3408"/>
            <w:vAlign w:val="top"/>
          </w:tcPr>
          <w:p>
            <w:pPr>
              <w:spacing w:after="0"/>
              <w:jc w:val="left"/>
            </w:pPr>
            <w:r>
              <w:rPr>
                <w:rFonts w:ascii="Arial" w:hAnsi="Arial"/>
                <w:b w:val="0"/>
                <w:sz w:val="16"/>
              </w:rPr>
              <w:t>Dispute-ready replay and remediation closure object</w:t>
            </w:r>
          </w:p>
        </w:tc>
      </w:tr>
      <w:tr>
        <w:trPr>
          <w:cantSplit/>
        </w:trPr>
        <w:tc>
          <w:tcPr>
            <w:tcW w:type="dxa" w:w="3408"/>
            <w:vAlign w:val="top"/>
          </w:tcPr>
          <w:p>
            <w:pPr>
              <w:spacing w:after="0"/>
              <w:jc w:val="left"/>
            </w:pPr>
            <w:r>
              <w:rPr>
                <w:rFonts w:ascii="Arial" w:hAnsi="Arial"/>
                <w:b w:val="0"/>
                <w:sz w:val="16"/>
              </w:rPr>
              <w:t>Privacy</w:t>
            </w:r>
          </w:p>
        </w:tc>
        <w:tc>
          <w:tcPr>
            <w:tcW w:type="dxa" w:w="3408"/>
            <w:vAlign w:val="top"/>
          </w:tcPr>
          <w:p>
            <w:pPr>
              <w:spacing w:after="0"/>
              <w:jc w:val="left"/>
            </w:pPr>
            <w:r>
              <w:rPr>
                <w:rFonts w:ascii="Arial" w:hAnsi="Arial"/>
                <w:b w:val="0"/>
                <w:sz w:val="16"/>
              </w:rPr>
              <w:t>How is personal data constrained across memory, tools, traces, and evidence?</w:t>
            </w:r>
          </w:p>
        </w:tc>
        <w:tc>
          <w:tcPr>
            <w:tcW w:type="dxa" w:w="3408"/>
            <w:vAlign w:val="top"/>
          </w:tcPr>
          <w:p>
            <w:pPr>
              <w:spacing w:after="0"/>
              <w:jc w:val="left"/>
            </w:pPr>
            <w:r>
              <w:rPr>
                <w:rFonts w:ascii="Arial" w:hAnsi="Arial"/>
                <w:b w:val="0"/>
                <w:sz w:val="16"/>
              </w:rPr>
              <w:t>Privacy lifecycle map and selective disclosure policy</w:t>
            </w:r>
          </w:p>
        </w:tc>
      </w:tr>
      <w:tr>
        <w:trPr>
          <w:cantSplit/>
        </w:trPr>
        <w:tc>
          <w:tcPr>
            <w:tcW w:type="dxa" w:w="3408"/>
            <w:vAlign w:val="top"/>
          </w:tcPr>
          <w:p>
            <w:pPr>
              <w:spacing w:after="0"/>
              <w:jc w:val="left"/>
            </w:pPr>
            <w:r>
              <w:rPr>
                <w:rFonts w:ascii="Arial" w:hAnsi="Arial"/>
                <w:b w:val="0"/>
                <w:sz w:val="16"/>
              </w:rPr>
              <w:t>Monitoring</w:t>
            </w:r>
          </w:p>
        </w:tc>
        <w:tc>
          <w:tcPr>
            <w:tcW w:type="dxa" w:w="3408"/>
            <w:vAlign w:val="top"/>
          </w:tcPr>
          <w:p>
            <w:pPr>
              <w:spacing w:after="0"/>
              <w:jc w:val="left"/>
            </w:pPr>
            <w:r>
              <w:rPr>
                <w:rFonts w:ascii="Arial" w:hAnsi="Arial"/>
                <w:b w:val="0"/>
                <w:sz w:val="16"/>
              </w:rPr>
              <w:t>How are drift, incident, and lifecycle failures detected?</w:t>
            </w:r>
          </w:p>
        </w:tc>
        <w:tc>
          <w:tcPr>
            <w:tcW w:type="dxa" w:w="3408"/>
            <w:vAlign w:val="top"/>
          </w:tcPr>
          <w:p>
            <w:pPr>
              <w:spacing w:after="0"/>
              <w:jc w:val="left"/>
            </w:pPr>
            <w:r>
              <w:rPr>
                <w:rFonts w:ascii="Arial" w:hAnsi="Arial"/>
                <w:b w:val="0"/>
                <w:sz w:val="16"/>
              </w:rPr>
              <w:t>Continuous monitoring and incident closure records</w:t>
            </w:r>
          </w:p>
        </w:tc>
      </w:tr>
    </w:tbl>
    <w:p>
      <w:pPr>
        <w:sectPr>
          <w:pgSz w:w="12240" w:h="15840"/>
          <w:pgMar w:top="792" w:right="648" w:bottom="792" w:left="648" w:header="720" w:footer="720" w:gutter="0"/>
          <w:cols w:space="720"/>
          <w:docGrid w:linePitch="360"/>
        </w:sectPr>
      </w:pPr>
    </w:p>
    <w:p/>
    <w:p>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
      <w:pPr>
        <w:pStyle w:val="Heading2"/>
      </w:pPr>
      <w:r>
        <w:t>5.3 Why Explicit Objects Are Necessary</w:t>
      </w:r>
    </w:p>
    <w:p/>
    <w:p>
      <w:r>
        <w:t>Without explicit lifecycle objects, regulatory language remains aspirational rather than enforceable:</w:t>
      </w:r>
    </w:p>
    <w:p/>
    <w:p>
      <w:pPr>
        <w:pStyle w:val="ListBullet"/>
      </w:pPr>
      <w:r>
        <w:t>Risk management becomes a policy document that cannot be tied to actual agent actions. A risk register must link to lifecycle phases, action classes, and delegated authority boundaries.</w:t>
      </w:r>
    </w:p>
    <w:p/>
    <w:p>
      <w:pPr>
        <w:pStyle w:val="ListBullet"/>
      </w:pPr>
      <w:r>
        <w:t>Technical documentation describes intent but not how authority, evidence, and privacy are enforced. Versioned architecture documentation must specify agent roles, authority boundaries, evidence schema, and limitations.</w:t>
      </w:r>
    </w:p>
    <w:p/>
    <w:p>
      <w:pPr>
        <w:pStyle w:val="ListBullet"/>
      </w:pPr>
      <w:r>
        <w:t>Record-keeping produces flat logs that cannot reconstruct cross-agent responsibility. Evidence must be partitioned by agent, tool, human confirmation, plan version, authority boundary, privacy boundary, and accepted outcome.</w:t>
      </w:r>
    </w:p>
    <w:p/>
    <w:p>
      <w:pPr>
        <w:pStyle w:val="ListBullet"/>
      </w:pPr>
      <w:r>
        <w:t>Transparency provides dashboards that show execution but not accepted outcome governance. Evidence pointer graphs must link outcomes to the authority, evidence, and review that made them accepted.</w:t>
      </w:r>
    </w:p>
    <w:p/>
    <w:p>
      <w:pPr>
        <w:pStyle w:val="ListBullet"/>
      </w:pPr>
      <w:r>
        <w:t>Human oversight becomes a button click without role-to-responsibility mapping. The system must map which human role can approve, reject, override, or accept which action, under which risk class, with what evidence, and with what escalation path.</w:t>
      </w:r>
    </w:p>
    <w:p/>
    <w:p>
      <w:pPr>
        <w:pStyle w:val="ListBullet"/>
      </w:pPr>
      <w:r>
        <w:t>Accountability becomes a narrative claim without evidence-backed ownership. Responsibility boundaries must record who owns a decision, tool action, or outcome, how liability transfers across agents, and how ownership is proven in disputes.</w:t>
      </w:r>
    </w:p>
    <w:p/>
    <w:p>
      <w:pPr>
        <w:pStyle w:val="ListBullet"/>
      </w:pPr>
      <w:r>
        <w:t>Contestability becomes impossible because evidence cannot be replayed under privacy constraints. Dispute-ready replay requires partitioned evidence, selective disclosure, and remediation closure objects.</w:t>
      </w:r>
    </w:p>
    <w:p/>
    <w:p>
      <w:pPr>
        <w:pStyle w:val="ListBullet"/>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
      <w:pPr>
        <w:pStyle w:val="ListBullet"/>
      </w:pPr>
      <w:r>
        <w:t>Monitoring detects failures but cannot close incidents through evidence, responsibility, correction, and acceptance. Continuous monitoring must link drift detection, incident triggers, evidence packs, responsible roles, corrective actions, and closure states.</w:t>
      </w:r>
    </w:p>
    <w:p/>
    <w:p>
      <w:pPr>
        <w:pStyle w:val="Heading2"/>
      </w:pPr>
      <w:r>
        <w:t>5.4 The Engineering Object Requirement</w:t>
      </w:r>
    </w:p>
    <w:p/>
    <w:p>
      <w:r>
        <w:t>The paper argues that AI Agent / MAS compliance is not only model compliance. It is lifecycle responsibility compliance. That thesis has practical consequences.</w:t>
      </w:r>
    </w:p>
    <w:p/>
    <w:p>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
      <w:r>
        <w:t>Existing regulation establishes the direction of travel. Agentic systems require additional engineering object models to implement that direction faithfully.</w:t>
      </w:r>
    </w:p>
    <w:p/>
    <w:p>
      <w:pPr>
        <w:pStyle w:val="Heading2"/>
      </w:pPr>
      <w:r>
        <w:t>5.5 Bridge to Chapter 6</w:t>
      </w:r>
    </w:p>
    <w:p/>
    <w:p>
      <w:r>
        <w:t>The following chapter defines sixteen Missing Regulatory Objects. These are not proposed legal mandates. They are engineering objects that appear necessary if existing regulatory ideals are to become auditable in multi-agent execution.</w:t>
      </w:r>
    </w:p>
    <w:p/>
    <w:p>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
      <w:pPr>
        <w:pStyle w:val="ListBullet"/>
      </w:pPr>
      <w:r>
        <w:t>Human-to-agent responsibility mapping</w:t>
      </w:r>
    </w:p>
    <w:p>
      <w:pPr>
        <w:pStyle w:val="ListBullet"/>
      </w:pPr>
      <w:r>
        <w:t>Delegated authority boundaries</w:t>
      </w:r>
    </w:p>
    <w:p>
      <w:pPr>
        <w:pStyle w:val="ListBullet"/>
      </w:pPr>
      <w:r>
        <w:t>Agent role definitions</w:t>
      </w:r>
    </w:p>
    <w:p>
      <w:pPr>
        <w:pStyle w:val="ListBullet"/>
      </w:pPr>
      <w:r>
        <w:t>Accepted outcome compliance</w:t>
      </w:r>
    </w:p>
    <w:p>
      <w:pPr>
        <w:pStyle w:val="ListBullet"/>
      </w:pPr>
      <w:r>
        <w:t>Tool-action liability boundaries</w:t>
      </w:r>
    </w:p>
    <w:p>
      <w:pPr>
        <w:pStyle w:val="ListBullet"/>
      </w:pPr>
      <w:r>
        <w:t>Responsibility transfer across agents</w:t>
      </w:r>
    </w:p>
    <w:p>
      <w:pPr>
        <w:pStyle w:val="ListBullet"/>
      </w:pPr>
      <w:r>
        <w:t>Authority drift detection</w:t>
      </w:r>
    </w:p>
    <w:p>
      <w:pPr>
        <w:pStyle w:val="ListBullet"/>
      </w:pPr>
      <w:r>
        <w:t>Evidence partitioning</w:t>
      </w:r>
    </w:p>
    <w:p>
      <w:pPr>
        <w:pStyle w:val="ListBullet"/>
      </w:pPr>
      <w:r>
        <w:t>Cross-project reuse compliance</w:t>
      </w:r>
    </w:p>
    <w:p>
      <w:pPr>
        <w:pStyle w:val="ListBullet"/>
      </w:pPr>
      <w:r>
        <w:t>Privacy lifecycle mapping</w:t>
      </w:r>
    </w:p>
    <w:p>
      <w:pPr>
        <w:pStyle w:val="ListBullet"/>
      </w:pPr>
      <w:r>
        <w:t>Privacy-preserving third-party validation</w:t>
      </w:r>
    </w:p>
    <w:p>
      <w:pPr>
        <w:pStyle w:val="ListBullet"/>
      </w:pPr>
      <w:r>
        <w:t>Evidence minimization and selective disclosure</w:t>
      </w:r>
    </w:p>
    <w:p>
      <w:pPr>
        <w:pStyle w:val="ListBullet"/>
      </w:pPr>
      <w:r>
        <w:t>Data subject rights vs evidence retention</w:t>
      </w:r>
    </w:p>
    <w:p>
      <w:pPr>
        <w:pStyle w:val="ListBullet"/>
      </w:pPr>
      <w:r>
        <w:t>Third-party processor / subprocessor chains</w:t>
      </w:r>
    </w:p>
    <w:p>
      <w:pPr>
        <w:pStyle w:val="ListBullet"/>
      </w:pPr>
      <w:r>
        <w:t>Vendor / model / runtime substitution conformance</w:t>
      </w:r>
    </w:p>
    <w:p>
      <w:pPr>
        <w:pStyle w:val="ListBullet"/>
      </w:pPr>
      <w:r>
        <w:t>Incident, dispute, and remediation closure</w:t>
      </w:r>
    </w:p>
    <w:p/>
    <w:p>
      <w:r>
        <w:t>The bridge from this chapter to Chapter 6 is direct: regulatory language establishes what must be proven; Missing Regulatory Objects define how to prove it in agentic workflows.</w:t>
      </w:r>
    </w:p>
    <w:p/>
    <w:p/>
    <w:p>
      <w:r>
        <w:t>End of Chapter 5</w:t>
      </w:r>
    </w:p>
    <w:p>
      <w:pPr>
        <w:pStyle w:val="Heading1"/>
      </w:pPr>
      <w:r>
        <w:t>6. Missing Regulatory Objects for Agentic and MAS Compliance</w:t>
      </w:r>
    </w:p>
    <w:p/>
    <w:p>
      <w:pPr>
        <w:pStyle w:val="Heading2"/>
      </w:pPr>
      <w:r>
        <w:t>6.0 Why Missing Regulatory Objects Matter</w:t>
      </w:r>
    </w:p>
    <w:p/>
    <w:p>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Pr>
        <w:pStyle w:val="Heading2"/>
      </w:pPr>
      <w:r>
        <w:t>6.1 Summary of the Sixteen Missing Regulatory Objects</w:t>
      </w:r>
    </w:p>
    <w:p/>
    <w:p>
      <w:r>
        <w:t>The following table summarizes all sixteen MROs. Full detail for MRO-01 through MRO-16 is provided in this chapter.</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ID</w:t>
            </w:r>
          </w:p>
        </w:tc>
        <w:tc>
          <w:tcPr>
            <w:tcW w:type="dxa" w:w="2556"/>
            <w:vAlign w:val="top"/>
            <w:shd w:fill="D9EAF7"/>
          </w:tcPr>
          <w:p>
            <w:pPr>
              <w:spacing w:after="0"/>
              <w:jc w:val="left"/>
            </w:pPr>
            <w:r>
              <w:rPr>
                <w:rFonts w:ascii="Arial" w:hAnsi="Arial"/>
                <w:b/>
                <w:sz w:val="14"/>
              </w:rPr>
              <w:t>Object</w:t>
            </w:r>
          </w:p>
        </w:tc>
        <w:tc>
          <w:tcPr>
            <w:tcW w:type="dxa" w:w="2556"/>
            <w:vAlign w:val="top"/>
            <w:shd w:fill="D9EAF7"/>
          </w:tcPr>
          <w:p>
            <w:pPr>
              <w:spacing w:after="0"/>
              <w:jc w:val="left"/>
            </w:pPr>
            <w:r>
              <w:rPr>
                <w:rFonts w:ascii="Arial" w:hAnsi="Arial"/>
                <w:b/>
                <w:sz w:val="14"/>
              </w:rPr>
              <w:t>Core Judgment</w:t>
            </w:r>
          </w:p>
        </w:tc>
        <w:tc>
          <w:tcPr>
            <w:tcW w:type="dxa" w:w="2556"/>
            <w:vAlign w:val="top"/>
            <w:shd w:fill="D9EAF7"/>
          </w:tcPr>
          <w:p>
            <w:pPr>
              <w:spacing w:after="0"/>
              <w:jc w:val="left"/>
            </w:pPr>
            <w:r>
              <w:rPr>
                <w:rFonts w:ascii="Arial" w:hAnsi="Arial"/>
                <w:b/>
                <w:sz w:val="14"/>
              </w:rPr>
              <w:t>Primary Lifecycle Concern</w:t>
            </w:r>
          </w:p>
        </w:tc>
      </w:tr>
      <w:tr>
        <w:trPr>
          <w:cantSplit/>
        </w:trPr>
        <w:tc>
          <w:tcPr>
            <w:tcW w:type="dxa" w:w="2556"/>
            <w:vAlign w:val="top"/>
          </w:tcPr>
          <w:p>
            <w:pPr>
              <w:spacing w:after="0"/>
              <w:jc w:val="left"/>
            </w:pPr>
            <w:r>
              <w:rPr>
                <w:rFonts w:ascii="Arial" w:hAnsi="Arial"/>
                <w:b w:val="0"/>
                <w:sz w:val="14"/>
              </w:rPr>
              <w:t>MRO-01</w:t>
            </w:r>
          </w:p>
        </w:tc>
        <w:tc>
          <w:tcPr>
            <w:tcW w:type="dxa" w:w="2556"/>
            <w:vAlign w:val="top"/>
          </w:tcPr>
          <w:p>
            <w:pPr>
              <w:spacing w:after="0"/>
              <w:jc w:val="left"/>
            </w:pPr>
            <w:r>
              <w:rPr>
                <w:rFonts w:ascii="Arial" w:hAnsi="Arial"/>
                <w:b w:val="0"/>
                <w:sz w:val="14"/>
              </w:rPr>
              <w:t>Human Role to MAS Responsibility Mapping</w:t>
            </w:r>
          </w:p>
        </w:tc>
        <w:tc>
          <w:tcPr>
            <w:tcW w:type="dxa" w:w="2556"/>
            <w:vAlign w:val="top"/>
          </w:tcPr>
          <w:p>
            <w:pPr>
              <w:spacing w:after="0"/>
              <w:jc w:val="left"/>
            </w:pPr>
            <w:r>
              <w:rPr>
                <w:rFonts w:ascii="Arial" w:hAnsi="Arial"/>
                <w:b w:val="0"/>
                <w:sz w:val="14"/>
              </w:rPr>
              <w:t>Human oversight without human-to-agent responsibility mapping is supervision theater.</w:t>
            </w:r>
          </w:p>
        </w:tc>
        <w:tc>
          <w:tcPr>
            <w:tcW w:type="dxa" w:w="2556"/>
            <w:vAlign w:val="top"/>
          </w:tcPr>
          <w:p>
            <w:pPr>
              <w:spacing w:after="0"/>
              <w:jc w:val="left"/>
            </w:pPr>
            <w:r>
              <w:rPr>
                <w:rFonts w:ascii="Arial" w:hAnsi="Arial"/>
                <w:b w:val="0"/>
                <w:sz w:val="14"/>
              </w:rPr>
              <w:t>Accountability, human oversight, role mapping</w:t>
            </w:r>
          </w:p>
        </w:tc>
      </w:tr>
      <w:tr>
        <w:trPr>
          <w:cantSplit/>
        </w:trPr>
        <w:tc>
          <w:tcPr>
            <w:tcW w:type="dxa" w:w="2556"/>
            <w:vAlign w:val="top"/>
          </w:tcPr>
          <w:p>
            <w:pPr>
              <w:spacing w:after="0"/>
              <w:jc w:val="left"/>
            </w:pPr>
            <w:r>
              <w:rPr>
                <w:rFonts w:ascii="Arial" w:hAnsi="Arial"/>
                <w:b w:val="0"/>
                <w:sz w:val="14"/>
              </w:rPr>
              <w:t>MRO-02</w:t>
            </w:r>
          </w:p>
        </w:tc>
        <w:tc>
          <w:tcPr>
            <w:tcW w:type="dxa" w:w="2556"/>
            <w:vAlign w:val="top"/>
          </w:tcPr>
          <w:p>
            <w:pPr>
              <w:spacing w:after="0"/>
              <w:jc w:val="left"/>
            </w:pPr>
            <w:r>
              <w:rPr>
                <w:rFonts w:ascii="Arial" w:hAnsi="Arial"/>
                <w:b w:val="0"/>
                <w:sz w:val="14"/>
              </w:rPr>
              <w:t>Delegated Authority Boundary</w:t>
            </w:r>
          </w:p>
        </w:tc>
        <w:tc>
          <w:tcPr>
            <w:tcW w:type="dxa" w:w="2556"/>
            <w:vAlign w:val="top"/>
          </w:tcPr>
          <w:p>
            <w:pPr>
              <w:spacing w:after="0"/>
              <w:jc w:val="left"/>
            </w:pPr>
            <w:r>
              <w:rPr>
                <w:rFonts w:ascii="Arial" w:hAnsi="Arial"/>
                <w:b w:val="0"/>
                <w:sz w:val="14"/>
              </w:rPr>
              <w:t>IAM permission decides access. Delegated authority decides responsibility.</w:t>
            </w:r>
          </w:p>
        </w:tc>
        <w:tc>
          <w:tcPr>
            <w:tcW w:type="dxa" w:w="2556"/>
            <w:vAlign w:val="top"/>
          </w:tcPr>
          <w:p>
            <w:pPr>
              <w:spacing w:after="0"/>
              <w:jc w:val="left"/>
            </w:pPr>
            <w:r>
              <w:rPr>
                <w:rFonts w:ascii="Arial" w:hAnsi="Arial"/>
                <w:b w:val="0"/>
                <w:sz w:val="14"/>
              </w:rPr>
              <w:t>Authority, delegation, scope control</w:t>
            </w:r>
          </w:p>
        </w:tc>
      </w:tr>
      <w:tr>
        <w:trPr>
          <w:cantSplit/>
        </w:trPr>
        <w:tc>
          <w:tcPr>
            <w:tcW w:type="dxa" w:w="2556"/>
            <w:vAlign w:val="top"/>
          </w:tcPr>
          <w:p>
            <w:pPr>
              <w:spacing w:after="0"/>
              <w:jc w:val="left"/>
            </w:pPr>
            <w:r>
              <w:rPr>
                <w:rFonts w:ascii="Arial" w:hAnsi="Arial"/>
                <w:b w:val="0"/>
                <w:sz w:val="14"/>
              </w:rPr>
              <w:t>MRO-03</w:t>
            </w:r>
          </w:p>
        </w:tc>
        <w:tc>
          <w:tcPr>
            <w:tcW w:type="dxa" w:w="2556"/>
            <w:vAlign w:val="top"/>
          </w:tcPr>
          <w:p>
            <w:pPr>
              <w:spacing w:after="0"/>
              <w:jc w:val="left"/>
            </w:pPr>
            <w:r>
              <w:rPr>
                <w:rFonts w:ascii="Arial" w:hAnsi="Arial"/>
                <w:b w:val="0"/>
                <w:sz w:val="14"/>
              </w:rPr>
              <w:t>Agent Role is not Human Role</w:t>
            </w:r>
          </w:p>
        </w:tc>
        <w:tc>
          <w:tcPr>
            <w:tcW w:type="dxa" w:w="2556"/>
            <w:vAlign w:val="top"/>
          </w:tcPr>
          <w:p>
            <w:pPr>
              <w:spacing w:after="0"/>
              <w:jc w:val="left"/>
            </w:pPr>
            <w:r>
              <w:rPr>
                <w:rFonts w:ascii="Arial" w:hAnsi="Arial"/>
                <w:b w:val="0"/>
                <w:sz w:val="14"/>
              </w:rPr>
              <w:t>An agent role is a bounded responsibility surface, not a human job title.</w:t>
            </w:r>
          </w:p>
        </w:tc>
        <w:tc>
          <w:tcPr>
            <w:tcW w:type="dxa" w:w="2556"/>
            <w:vAlign w:val="top"/>
          </w:tcPr>
          <w:p>
            <w:pPr>
              <w:spacing w:after="0"/>
              <w:jc w:val="left"/>
            </w:pPr>
            <w:r>
              <w:rPr>
                <w:rFonts w:ascii="Arial" w:hAnsi="Arial"/>
                <w:b w:val="0"/>
                <w:sz w:val="14"/>
              </w:rPr>
              <w:t>Role semantics, capability boundaries</w:t>
            </w:r>
          </w:p>
        </w:tc>
      </w:tr>
      <w:tr>
        <w:trPr>
          <w:cantSplit/>
        </w:trPr>
        <w:tc>
          <w:tcPr>
            <w:tcW w:type="dxa" w:w="2556"/>
            <w:vAlign w:val="top"/>
          </w:tcPr>
          <w:p>
            <w:pPr>
              <w:spacing w:after="0"/>
              <w:jc w:val="left"/>
            </w:pPr>
            <w:r>
              <w:rPr>
                <w:rFonts w:ascii="Arial" w:hAnsi="Arial"/>
                <w:b w:val="0"/>
                <w:sz w:val="14"/>
              </w:rPr>
              <w:t>MRO-04</w:t>
            </w:r>
          </w:p>
        </w:tc>
        <w:tc>
          <w:tcPr>
            <w:tcW w:type="dxa" w:w="2556"/>
            <w:vAlign w:val="top"/>
          </w:tcPr>
          <w:p>
            <w:pPr>
              <w:spacing w:after="0"/>
              <w:jc w:val="left"/>
            </w:pPr>
            <w:r>
              <w:rPr>
                <w:rFonts w:ascii="Arial" w:hAnsi="Arial"/>
                <w:b w:val="0"/>
                <w:sz w:val="14"/>
              </w:rPr>
              <w:t>Accepted Outcome Compliance</w:t>
            </w:r>
          </w:p>
        </w:tc>
        <w:tc>
          <w:tcPr>
            <w:tcW w:type="dxa" w:w="2556"/>
            <w:vAlign w:val="top"/>
          </w:tcPr>
          <w:p>
            <w:pPr>
              <w:spacing w:after="0"/>
              <w:jc w:val="left"/>
            </w:pPr>
            <w:r>
              <w:rPr>
                <w:rFonts w:ascii="Arial" w:hAnsi="Arial"/>
                <w:b w:val="0"/>
                <w:sz w:val="14"/>
              </w:rPr>
              <w:t>Output is a system event. Accepted outcome is a governance state.</w:t>
            </w:r>
          </w:p>
        </w:tc>
        <w:tc>
          <w:tcPr>
            <w:tcW w:type="dxa" w:w="2556"/>
            <w:vAlign w:val="top"/>
          </w:tcPr>
          <w:p>
            <w:pPr>
              <w:spacing w:after="0"/>
              <w:jc w:val="left"/>
            </w:pPr>
            <w:r>
              <w:rPr>
                <w:rFonts w:ascii="Arial" w:hAnsi="Arial"/>
                <w:b w:val="0"/>
                <w:sz w:val="14"/>
              </w:rPr>
              <w:t>Outcome acceptance, review, evidence</w:t>
            </w:r>
          </w:p>
        </w:tc>
      </w:tr>
      <w:tr>
        <w:trPr>
          <w:cantSplit/>
        </w:trPr>
        <w:tc>
          <w:tcPr>
            <w:tcW w:type="dxa" w:w="2556"/>
            <w:vAlign w:val="top"/>
          </w:tcPr>
          <w:p>
            <w:pPr>
              <w:spacing w:after="0"/>
              <w:jc w:val="left"/>
            </w:pPr>
            <w:r>
              <w:rPr>
                <w:rFonts w:ascii="Arial" w:hAnsi="Arial"/>
                <w:b w:val="0"/>
                <w:sz w:val="14"/>
              </w:rPr>
              <w:t>MRO-05</w:t>
            </w:r>
          </w:p>
        </w:tc>
        <w:tc>
          <w:tcPr>
            <w:tcW w:type="dxa" w:w="2556"/>
            <w:vAlign w:val="top"/>
          </w:tcPr>
          <w:p>
            <w:pPr>
              <w:spacing w:after="0"/>
              <w:jc w:val="left"/>
            </w:pPr>
            <w:r>
              <w:rPr>
                <w:rFonts w:ascii="Arial" w:hAnsi="Arial"/>
                <w:b w:val="0"/>
                <w:sz w:val="14"/>
              </w:rPr>
              <w:t>Tool-Action Liability Boundary</w:t>
            </w:r>
          </w:p>
        </w:tc>
        <w:tc>
          <w:tcPr>
            <w:tcW w:type="dxa" w:w="2556"/>
            <w:vAlign w:val="top"/>
          </w:tcPr>
          <w:p>
            <w:pPr>
              <w:spacing w:after="0"/>
              <w:jc w:val="left"/>
            </w:pPr>
            <w:r>
              <w:rPr>
                <w:rFonts w:ascii="Arial" w:hAnsi="Arial"/>
                <w:b w:val="0"/>
                <w:sz w:val="14"/>
              </w:rPr>
              <w:t>Tool use is where AI output becomes external consequence.</w:t>
            </w:r>
          </w:p>
        </w:tc>
        <w:tc>
          <w:tcPr>
            <w:tcW w:type="dxa" w:w="2556"/>
            <w:vAlign w:val="top"/>
          </w:tcPr>
          <w:p>
            <w:pPr>
              <w:spacing w:after="0"/>
              <w:jc w:val="left"/>
            </w:pPr>
            <w:r>
              <w:rPr>
                <w:rFonts w:ascii="Arial" w:hAnsi="Arial"/>
                <w:b w:val="0"/>
                <w:sz w:val="14"/>
              </w:rPr>
              <w:t>External actions, liability, reversibility</w:t>
            </w:r>
          </w:p>
        </w:tc>
      </w:tr>
      <w:tr>
        <w:trPr>
          <w:cantSplit/>
        </w:trPr>
        <w:tc>
          <w:tcPr>
            <w:tcW w:type="dxa" w:w="2556"/>
            <w:vAlign w:val="top"/>
          </w:tcPr>
          <w:p>
            <w:pPr>
              <w:spacing w:after="0"/>
              <w:jc w:val="left"/>
            </w:pPr>
            <w:r>
              <w:rPr>
                <w:rFonts w:ascii="Arial" w:hAnsi="Arial"/>
                <w:b w:val="0"/>
                <w:sz w:val="14"/>
              </w:rPr>
              <w:t>MRO-06</w:t>
            </w:r>
          </w:p>
        </w:tc>
        <w:tc>
          <w:tcPr>
            <w:tcW w:type="dxa" w:w="2556"/>
            <w:vAlign w:val="top"/>
          </w:tcPr>
          <w:p>
            <w:pPr>
              <w:spacing w:after="0"/>
              <w:jc w:val="left"/>
            </w:pPr>
            <w:r>
              <w:rPr>
                <w:rFonts w:ascii="Arial" w:hAnsi="Arial"/>
                <w:b w:val="0"/>
                <w:sz w:val="14"/>
              </w:rPr>
              <w:t>Responsibility Transfer Across Agents</w:t>
            </w:r>
          </w:p>
        </w:tc>
        <w:tc>
          <w:tcPr>
            <w:tcW w:type="dxa" w:w="2556"/>
            <w:vAlign w:val="top"/>
          </w:tcPr>
          <w:p>
            <w:pPr>
              <w:spacing w:after="0"/>
              <w:jc w:val="left"/>
            </w:pPr>
            <w:r>
              <w:rPr>
                <w:rFonts w:ascii="Arial" w:hAnsi="Arial"/>
                <w:b w:val="0"/>
                <w:sz w:val="14"/>
              </w:rPr>
              <w:t>Handoff without explicit responsibility transfer is just routing.</w:t>
            </w:r>
          </w:p>
        </w:tc>
        <w:tc>
          <w:tcPr>
            <w:tcW w:type="dxa" w:w="2556"/>
            <w:vAlign w:val="top"/>
          </w:tcPr>
          <w:p>
            <w:pPr>
              <w:spacing w:after="0"/>
              <w:jc w:val="left"/>
            </w:pPr>
            <w:r>
              <w:rPr>
                <w:rFonts w:ascii="Arial" w:hAnsi="Arial"/>
                <w:b w:val="0"/>
                <w:sz w:val="14"/>
              </w:rPr>
              <w:t>Multi-agent handoff, constraint inheritance</w:t>
            </w:r>
          </w:p>
        </w:tc>
      </w:tr>
      <w:tr>
        <w:trPr>
          <w:cantSplit/>
        </w:trPr>
        <w:tc>
          <w:tcPr>
            <w:tcW w:type="dxa" w:w="2556"/>
            <w:vAlign w:val="top"/>
          </w:tcPr>
          <w:p>
            <w:pPr>
              <w:spacing w:after="0"/>
              <w:jc w:val="left"/>
            </w:pPr>
            <w:r>
              <w:rPr>
                <w:rFonts w:ascii="Arial" w:hAnsi="Arial"/>
                <w:b w:val="0"/>
                <w:sz w:val="14"/>
              </w:rPr>
              <w:t>MRO-07</w:t>
            </w:r>
          </w:p>
        </w:tc>
        <w:tc>
          <w:tcPr>
            <w:tcW w:type="dxa" w:w="2556"/>
            <w:vAlign w:val="top"/>
          </w:tcPr>
          <w:p>
            <w:pPr>
              <w:spacing w:after="0"/>
              <w:jc w:val="left"/>
            </w:pPr>
            <w:r>
              <w:rPr>
                <w:rFonts w:ascii="Arial" w:hAnsi="Arial"/>
                <w:b w:val="0"/>
                <w:sz w:val="14"/>
              </w:rPr>
              <w:t>Authority Drift</w:t>
            </w:r>
          </w:p>
        </w:tc>
        <w:tc>
          <w:tcPr>
            <w:tcW w:type="dxa" w:w="2556"/>
            <w:vAlign w:val="top"/>
          </w:tcPr>
          <w:p>
            <w:pPr>
              <w:spacing w:after="0"/>
              <w:jc w:val="left"/>
            </w:pPr>
            <w:r>
              <w:rPr>
                <w:rFonts w:ascii="Arial" w:hAnsi="Arial"/>
                <w:b w:val="0"/>
                <w:sz w:val="14"/>
              </w:rPr>
              <w:t>The most dangerous agent failures are often unauthorized authority transitions.</w:t>
            </w:r>
          </w:p>
        </w:tc>
        <w:tc>
          <w:tcPr>
            <w:tcW w:type="dxa" w:w="2556"/>
            <w:vAlign w:val="top"/>
          </w:tcPr>
          <w:p>
            <w:pPr>
              <w:spacing w:after="0"/>
              <w:jc w:val="left"/>
            </w:pPr>
            <w:r>
              <w:rPr>
                <w:rFonts w:ascii="Arial" w:hAnsi="Arial"/>
                <w:b w:val="0"/>
                <w:sz w:val="14"/>
              </w:rPr>
              <w:t>Authority monitoring, drift detection</w:t>
            </w:r>
          </w:p>
        </w:tc>
      </w:tr>
      <w:tr>
        <w:trPr>
          <w:cantSplit/>
        </w:trPr>
        <w:tc>
          <w:tcPr>
            <w:tcW w:type="dxa" w:w="2556"/>
            <w:vAlign w:val="top"/>
          </w:tcPr>
          <w:p>
            <w:pPr>
              <w:spacing w:after="0"/>
              <w:jc w:val="left"/>
            </w:pPr>
            <w:r>
              <w:rPr>
                <w:rFonts w:ascii="Arial" w:hAnsi="Arial"/>
                <w:b w:val="0"/>
                <w:sz w:val="14"/>
              </w:rPr>
              <w:t>MRO-08</w:t>
            </w:r>
          </w:p>
        </w:tc>
        <w:tc>
          <w:tcPr>
            <w:tcW w:type="dxa" w:w="2556"/>
            <w:vAlign w:val="top"/>
          </w:tcPr>
          <w:p>
            <w:pPr>
              <w:spacing w:after="0"/>
              <w:jc w:val="left"/>
            </w:pPr>
            <w:r>
              <w:rPr>
                <w:rFonts w:ascii="Arial" w:hAnsi="Arial"/>
                <w:b w:val="0"/>
                <w:sz w:val="14"/>
              </w:rPr>
              <w:t>MAS Evidence Partitioning</w:t>
            </w:r>
          </w:p>
        </w:tc>
        <w:tc>
          <w:tcPr>
            <w:tcW w:type="dxa" w:w="2556"/>
            <w:vAlign w:val="top"/>
          </w:tcPr>
          <w:p>
            <w:pPr>
              <w:spacing w:after="0"/>
              <w:jc w:val="left"/>
            </w:pPr>
            <w:r>
              <w:rPr>
                <w:rFonts w:ascii="Arial" w:hAnsi="Arial"/>
                <w:b w:val="0"/>
                <w:sz w:val="14"/>
              </w:rPr>
              <w:t>In MAS, evidence must be partitioned, linked, and reconstructable.</w:t>
            </w:r>
          </w:p>
        </w:tc>
        <w:tc>
          <w:tcPr>
            <w:tcW w:type="dxa" w:w="2556"/>
            <w:vAlign w:val="top"/>
          </w:tcPr>
          <w:p>
            <w:pPr>
              <w:spacing w:after="0"/>
              <w:jc w:val="left"/>
            </w:pPr>
            <w:r>
              <w:rPr>
                <w:rFonts w:ascii="Arial" w:hAnsi="Arial"/>
                <w:b w:val="0"/>
                <w:sz w:val="14"/>
              </w:rPr>
              <w:t>Evidence chain, multi-agent traceability</w:t>
            </w:r>
          </w:p>
        </w:tc>
      </w:tr>
      <w:tr>
        <w:trPr>
          <w:cantSplit/>
        </w:trPr>
        <w:tc>
          <w:tcPr>
            <w:tcW w:type="dxa" w:w="2556"/>
            <w:vAlign w:val="top"/>
          </w:tcPr>
          <w:p>
            <w:pPr>
              <w:spacing w:after="0"/>
              <w:jc w:val="left"/>
            </w:pPr>
            <w:r>
              <w:rPr>
                <w:rFonts w:ascii="Arial" w:hAnsi="Arial"/>
                <w:b w:val="0"/>
                <w:sz w:val="14"/>
              </w:rPr>
              <w:t>MRO-09</w:t>
            </w:r>
          </w:p>
        </w:tc>
        <w:tc>
          <w:tcPr>
            <w:tcW w:type="dxa" w:w="2556"/>
            <w:vAlign w:val="top"/>
          </w:tcPr>
          <w:p>
            <w:pPr>
              <w:spacing w:after="0"/>
              <w:jc w:val="left"/>
            </w:pPr>
            <w:r>
              <w:rPr>
                <w:rFonts w:ascii="Arial" w:hAnsi="Arial"/>
                <w:b w:val="0"/>
                <w:sz w:val="14"/>
              </w:rPr>
              <w:t>Cross-Project Reuse Compliance</w:t>
            </w:r>
          </w:p>
        </w:tc>
        <w:tc>
          <w:tcPr>
            <w:tcW w:type="dxa" w:w="2556"/>
            <w:vAlign w:val="top"/>
          </w:tcPr>
          <w:p>
            <w:pPr>
              <w:spacing w:after="0"/>
              <w:jc w:val="left"/>
            </w:pPr>
            <w:r>
              <w:rPr>
                <w:rFonts w:ascii="Arial" w:hAnsi="Arial"/>
                <w:b w:val="0"/>
                <w:sz w:val="14"/>
              </w:rPr>
              <w:t>Cross-project reuse is not just efficiency. It is a compliance boundary.</w:t>
            </w:r>
          </w:p>
        </w:tc>
        <w:tc>
          <w:tcPr>
            <w:tcW w:type="dxa" w:w="2556"/>
            <w:vAlign w:val="top"/>
          </w:tcPr>
          <w:p>
            <w:pPr>
              <w:spacing w:after="0"/>
              <w:jc w:val="left"/>
            </w:pPr>
            <w:r>
              <w:rPr>
                <w:rFonts w:ascii="Arial" w:hAnsi="Arial"/>
                <w:b w:val="0"/>
                <w:sz w:val="14"/>
              </w:rPr>
              <w:t>Reuse, context reset, privacy review</w:t>
            </w:r>
          </w:p>
        </w:tc>
      </w:tr>
      <w:tr>
        <w:trPr>
          <w:cantSplit/>
        </w:trPr>
        <w:tc>
          <w:tcPr>
            <w:tcW w:type="dxa" w:w="2556"/>
            <w:vAlign w:val="top"/>
          </w:tcPr>
          <w:p>
            <w:pPr>
              <w:spacing w:after="0"/>
              <w:jc w:val="left"/>
            </w:pPr>
            <w:r>
              <w:rPr>
                <w:rFonts w:ascii="Arial" w:hAnsi="Arial"/>
                <w:b w:val="0"/>
                <w:sz w:val="14"/>
              </w:rPr>
              <w:t>MRO-10</w:t>
            </w:r>
          </w:p>
        </w:tc>
        <w:tc>
          <w:tcPr>
            <w:tcW w:type="dxa" w:w="2556"/>
            <w:vAlign w:val="top"/>
          </w:tcPr>
          <w:p>
            <w:pPr>
              <w:spacing w:after="0"/>
              <w:jc w:val="left"/>
            </w:pPr>
            <w:r>
              <w:rPr>
                <w:rFonts w:ascii="Arial" w:hAnsi="Arial"/>
                <w:b w:val="0"/>
                <w:sz w:val="14"/>
              </w:rPr>
              <w:t>Privacy / GDPR Lifecycle Mapping</w:t>
            </w:r>
          </w:p>
        </w:tc>
        <w:tc>
          <w:tcPr>
            <w:tcW w:type="dxa" w:w="2556"/>
            <w:vAlign w:val="top"/>
          </w:tcPr>
          <w:p>
            <w:pPr>
              <w:spacing w:after="0"/>
              <w:jc w:val="left"/>
            </w:pPr>
            <w:r>
              <w:rPr>
                <w:rFonts w:ascii="Arial" w:hAnsi="Arial"/>
                <w:b w:val="0"/>
                <w:sz w:val="14"/>
              </w:rPr>
              <w:t>Privacy compliance in agentic systems must be mapped across the agent lifecycle.</w:t>
            </w:r>
          </w:p>
        </w:tc>
        <w:tc>
          <w:tcPr>
            <w:tcW w:type="dxa" w:w="2556"/>
            <w:vAlign w:val="top"/>
          </w:tcPr>
          <w:p>
            <w:pPr>
              <w:spacing w:after="0"/>
              <w:jc w:val="left"/>
            </w:pPr>
            <w:r>
              <w:rPr>
                <w:rFonts w:ascii="Arial" w:hAnsi="Arial"/>
                <w:b w:val="0"/>
                <w:sz w:val="14"/>
              </w:rPr>
              <w:t>Privacy, data flow, lifecycle stages</w:t>
            </w:r>
          </w:p>
        </w:tc>
      </w:tr>
      <w:tr>
        <w:trPr>
          <w:cantSplit/>
        </w:trPr>
        <w:tc>
          <w:tcPr>
            <w:tcW w:type="dxa" w:w="2556"/>
            <w:vAlign w:val="top"/>
          </w:tcPr>
          <w:p>
            <w:pPr>
              <w:spacing w:after="0"/>
              <w:jc w:val="left"/>
            </w:pPr>
            <w:r>
              <w:rPr>
                <w:rFonts w:ascii="Arial" w:hAnsi="Arial"/>
                <w:b w:val="0"/>
                <w:sz w:val="14"/>
              </w:rPr>
              <w:t>MRO-11</w:t>
            </w:r>
          </w:p>
        </w:tc>
        <w:tc>
          <w:tcPr>
            <w:tcW w:type="dxa" w:w="2556"/>
            <w:vAlign w:val="top"/>
          </w:tcPr>
          <w:p>
            <w:pPr>
              <w:spacing w:after="0"/>
              <w:jc w:val="left"/>
            </w:pPr>
            <w:r>
              <w:rPr>
                <w:rFonts w:ascii="Arial" w:hAnsi="Arial"/>
                <w:b w:val="0"/>
                <w:sz w:val="14"/>
              </w:rPr>
              <w:t>Privacy-Preserving Third-Party Validation</w:t>
            </w:r>
          </w:p>
        </w:tc>
        <w:tc>
          <w:tcPr>
            <w:tcW w:type="dxa" w:w="2556"/>
            <w:vAlign w:val="top"/>
          </w:tcPr>
          <w:p>
            <w:pPr>
              <w:spacing w:after="0"/>
              <w:jc w:val="left"/>
            </w:pPr>
            <w:r>
              <w:rPr>
                <w:rFonts w:ascii="Arial" w:hAnsi="Arial"/>
                <w:b w:val="0"/>
                <w:sz w:val="14"/>
              </w:rPr>
              <w:t>External validation without raw sensitive data is a prerequisite for enterprise audit-readiness.</w:t>
            </w:r>
          </w:p>
        </w:tc>
        <w:tc>
          <w:tcPr>
            <w:tcW w:type="dxa" w:w="2556"/>
            <w:vAlign w:val="top"/>
          </w:tcPr>
          <w:p>
            <w:pPr>
              <w:spacing w:after="0"/>
              <w:jc w:val="left"/>
            </w:pPr>
            <w:r>
              <w:rPr>
                <w:rFonts w:ascii="Arial" w:hAnsi="Arial"/>
                <w:b w:val="0"/>
                <w:sz w:val="14"/>
              </w:rPr>
              <w:t>External validation, privacy preservation</w:t>
            </w:r>
          </w:p>
        </w:tc>
      </w:tr>
      <w:tr>
        <w:trPr>
          <w:cantSplit/>
        </w:trPr>
        <w:tc>
          <w:tcPr>
            <w:tcW w:type="dxa" w:w="2556"/>
            <w:vAlign w:val="top"/>
          </w:tcPr>
          <w:p>
            <w:pPr>
              <w:spacing w:after="0"/>
              <w:jc w:val="left"/>
            </w:pPr>
            <w:r>
              <w:rPr>
                <w:rFonts w:ascii="Arial" w:hAnsi="Arial"/>
                <w:b w:val="0"/>
                <w:sz w:val="14"/>
              </w:rPr>
              <w:t>MRO-12</w:t>
            </w:r>
          </w:p>
        </w:tc>
        <w:tc>
          <w:tcPr>
            <w:tcW w:type="dxa" w:w="2556"/>
            <w:vAlign w:val="top"/>
          </w:tcPr>
          <w:p>
            <w:pPr>
              <w:spacing w:after="0"/>
              <w:jc w:val="left"/>
            </w:pPr>
            <w:r>
              <w:rPr>
                <w:rFonts w:ascii="Arial" w:hAnsi="Arial"/>
                <w:b w:val="0"/>
                <w:sz w:val="14"/>
              </w:rPr>
              <w:t>Evidence Minimization and Selective Disclosure</w:t>
            </w:r>
          </w:p>
        </w:tc>
        <w:tc>
          <w:tcPr>
            <w:tcW w:type="dxa" w:w="2556"/>
            <w:vAlign w:val="top"/>
          </w:tcPr>
          <w:p>
            <w:pPr>
              <w:spacing w:after="0"/>
              <w:jc w:val="left"/>
            </w:pPr>
            <w:r>
              <w:rPr>
                <w:rFonts w:ascii="Arial" w:hAnsi="Arial"/>
                <w:b w:val="0"/>
                <w:sz w:val="14"/>
              </w:rPr>
              <w:t>Evidence without minimization becomes a privacy risk. Privacy without evidence becomes an accountability gap.</w:t>
            </w:r>
          </w:p>
        </w:tc>
        <w:tc>
          <w:tcPr>
            <w:tcW w:type="dxa" w:w="2556"/>
            <w:vAlign w:val="top"/>
          </w:tcPr>
          <w:p>
            <w:pPr>
              <w:spacing w:after="0"/>
              <w:jc w:val="left"/>
            </w:pPr>
            <w:r>
              <w:rPr>
                <w:rFonts w:ascii="Arial" w:hAnsi="Arial"/>
                <w:b w:val="0"/>
                <w:sz w:val="14"/>
              </w:rPr>
              <w:t>Evidence minimization, selective disclosure</w:t>
            </w:r>
          </w:p>
        </w:tc>
      </w:tr>
      <w:tr>
        <w:trPr>
          <w:cantSplit/>
        </w:trPr>
        <w:tc>
          <w:tcPr>
            <w:tcW w:type="dxa" w:w="2556"/>
            <w:vAlign w:val="top"/>
          </w:tcPr>
          <w:p>
            <w:pPr>
              <w:spacing w:after="0"/>
              <w:jc w:val="left"/>
            </w:pPr>
            <w:r>
              <w:rPr>
                <w:rFonts w:ascii="Arial" w:hAnsi="Arial"/>
                <w:b w:val="0"/>
                <w:sz w:val="14"/>
              </w:rPr>
              <w:t>MRO-13</w:t>
            </w:r>
          </w:p>
        </w:tc>
        <w:tc>
          <w:tcPr>
            <w:tcW w:type="dxa" w:w="2556"/>
            <w:vAlign w:val="top"/>
          </w:tcPr>
          <w:p>
            <w:pPr>
              <w:spacing w:after="0"/>
              <w:jc w:val="left"/>
            </w:pPr>
            <w:r>
              <w:rPr>
                <w:rFonts w:ascii="Arial" w:hAnsi="Arial"/>
                <w:b w:val="0"/>
                <w:sz w:val="14"/>
              </w:rPr>
              <w:t>Data Subject Rights vs Evidence Retention</w:t>
            </w:r>
          </w:p>
        </w:tc>
        <w:tc>
          <w:tcPr>
            <w:tcW w:type="dxa" w:w="2556"/>
            <w:vAlign w:val="top"/>
          </w:tcPr>
          <w:p>
            <w:pPr>
              <w:spacing w:after="0"/>
              <w:jc w:val="left"/>
            </w:pPr>
            <w:r>
              <w:rPr>
                <w:rFonts w:ascii="Arial" w:hAnsi="Arial"/>
                <w:b w:val="0"/>
                <w:sz w:val="14"/>
              </w:rPr>
              <w:t>Agentic audit systems must preserve accountability without hoarding personal data.</w:t>
            </w:r>
          </w:p>
        </w:tc>
        <w:tc>
          <w:tcPr>
            <w:tcW w:type="dxa" w:w="2556"/>
            <w:vAlign w:val="top"/>
          </w:tcPr>
          <w:p>
            <w:pPr>
              <w:spacing w:after="0"/>
              <w:jc w:val="left"/>
            </w:pPr>
            <w:r>
              <w:rPr>
                <w:rFonts w:ascii="Arial" w:hAnsi="Arial"/>
                <w:b w:val="0"/>
                <w:sz w:val="14"/>
              </w:rPr>
              <w:t>Data subject rights, retention, accountability</w:t>
            </w:r>
          </w:p>
        </w:tc>
      </w:tr>
      <w:tr>
        <w:trPr>
          <w:cantSplit/>
        </w:trPr>
        <w:tc>
          <w:tcPr>
            <w:tcW w:type="dxa" w:w="2556"/>
            <w:vAlign w:val="top"/>
          </w:tcPr>
          <w:p>
            <w:pPr>
              <w:spacing w:after="0"/>
              <w:jc w:val="left"/>
            </w:pPr>
            <w:r>
              <w:rPr>
                <w:rFonts w:ascii="Arial" w:hAnsi="Arial"/>
                <w:b w:val="0"/>
                <w:sz w:val="14"/>
              </w:rPr>
              <w:t>MRO-14</w:t>
            </w:r>
          </w:p>
        </w:tc>
        <w:tc>
          <w:tcPr>
            <w:tcW w:type="dxa" w:w="2556"/>
            <w:vAlign w:val="top"/>
          </w:tcPr>
          <w:p>
            <w:pPr>
              <w:spacing w:after="0"/>
              <w:jc w:val="left"/>
            </w:pPr>
            <w:r>
              <w:rPr>
                <w:rFonts w:ascii="Arial" w:hAnsi="Arial"/>
                <w:b w:val="0"/>
                <w:sz w:val="14"/>
              </w:rPr>
              <w:t>Third-Party Processor / Subprocessor Chain</w:t>
            </w:r>
          </w:p>
        </w:tc>
        <w:tc>
          <w:tcPr>
            <w:tcW w:type="dxa" w:w="2556"/>
            <w:vAlign w:val="top"/>
          </w:tcPr>
          <w:p>
            <w:pPr>
              <w:spacing w:after="0"/>
              <w:jc w:val="left"/>
            </w:pPr>
            <w:r>
              <w:rPr>
                <w:rFonts w:ascii="Arial" w:hAnsi="Arial"/>
                <w:b w:val="0"/>
                <w:sz w:val="14"/>
              </w:rPr>
              <w:t>A multi-agent system is also a multi-party responsibility chain.</w:t>
            </w:r>
          </w:p>
        </w:tc>
        <w:tc>
          <w:tcPr>
            <w:tcW w:type="dxa" w:w="2556"/>
            <w:vAlign w:val="top"/>
          </w:tcPr>
          <w:p>
            <w:pPr>
              <w:spacing w:after="0"/>
              <w:jc w:val="left"/>
            </w:pPr>
            <w:r>
              <w:rPr>
                <w:rFonts w:ascii="Arial" w:hAnsi="Arial"/>
                <w:b w:val="0"/>
                <w:sz w:val="14"/>
              </w:rPr>
              <w:t>Processor chain, vendor responsibility</w:t>
            </w:r>
          </w:p>
        </w:tc>
      </w:tr>
      <w:tr>
        <w:trPr>
          <w:cantSplit/>
        </w:trPr>
        <w:tc>
          <w:tcPr>
            <w:tcW w:type="dxa" w:w="2556"/>
            <w:vAlign w:val="top"/>
          </w:tcPr>
          <w:p>
            <w:pPr>
              <w:spacing w:after="0"/>
              <w:jc w:val="left"/>
            </w:pPr>
            <w:r>
              <w:rPr>
                <w:rFonts w:ascii="Arial" w:hAnsi="Arial"/>
                <w:b w:val="0"/>
                <w:sz w:val="14"/>
              </w:rPr>
              <w:t>MRO-15</w:t>
            </w:r>
          </w:p>
        </w:tc>
        <w:tc>
          <w:tcPr>
            <w:tcW w:type="dxa" w:w="2556"/>
            <w:vAlign w:val="top"/>
          </w:tcPr>
          <w:p>
            <w:pPr>
              <w:spacing w:after="0"/>
              <w:jc w:val="left"/>
            </w:pPr>
            <w:r>
              <w:rPr>
                <w:rFonts w:ascii="Arial" w:hAnsi="Arial"/>
                <w:b w:val="0"/>
                <w:sz w:val="14"/>
              </w:rPr>
              <w:t>Vendor / Model / Runtime Substitution Conformance</w:t>
            </w:r>
          </w:p>
        </w:tc>
        <w:tc>
          <w:tcPr>
            <w:tcW w:type="dxa" w:w="2556"/>
            <w:vAlign w:val="top"/>
          </w:tcPr>
          <w:p>
            <w:pPr>
              <w:spacing w:after="0"/>
              <w:jc w:val="left"/>
            </w:pPr>
            <w:r>
              <w:rPr>
                <w:rFonts w:ascii="Arial" w:hAnsi="Arial"/>
                <w:b w:val="0"/>
                <w:sz w:val="14"/>
              </w:rPr>
              <w:t>Vendor neutrality is not real unless compliance survives substitution.</w:t>
            </w:r>
          </w:p>
        </w:tc>
        <w:tc>
          <w:tcPr>
            <w:tcW w:type="dxa" w:w="2556"/>
            <w:vAlign w:val="top"/>
          </w:tcPr>
          <w:p>
            <w:pPr>
              <w:spacing w:after="0"/>
              <w:jc w:val="left"/>
            </w:pPr>
            <w:r>
              <w:rPr>
                <w:rFonts w:ascii="Arial" w:hAnsi="Arial"/>
                <w:b w:val="0"/>
                <w:sz w:val="14"/>
              </w:rPr>
              <w:t>Substitution, vendor changes, conformance continuity</w:t>
            </w:r>
          </w:p>
        </w:tc>
      </w:tr>
      <w:tr>
        <w:trPr>
          <w:cantSplit/>
        </w:trPr>
        <w:tc>
          <w:tcPr>
            <w:tcW w:type="dxa" w:w="2556"/>
            <w:vAlign w:val="top"/>
          </w:tcPr>
          <w:p>
            <w:pPr>
              <w:spacing w:after="0"/>
              <w:jc w:val="left"/>
            </w:pPr>
            <w:r>
              <w:rPr>
                <w:rFonts w:ascii="Arial" w:hAnsi="Arial"/>
                <w:b w:val="0"/>
                <w:sz w:val="14"/>
              </w:rPr>
              <w:t>MRO-16</w:t>
            </w:r>
          </w:p>
        </w:tc>
        <w:tc>
          <w:tcPr>
            <w:tcW w:type="dxa" w:w="2556"/>
            <w:vAlign w:val="top"/>
          </w:tcPr>
          <w:p>
            <w:pPr>
              <w:spacing w:after="0"/>
              <w:jc w:val="left"/>
            </w:pPr>
            <w:r>
              <w:rPr>
                <w:rFonts w:ascii="Arial" w:hAnsi="Arial"/>
                <w:b w:val="0"/>
                <w:sz w:val="14"/>
              </w:rPr>
              <w:t>Incident, Dispute, and Remediation Closure</w:t>
            </w:r>
          </w:p>
        </w:tc>
        <w:tc>
          <w:tcPr>
            <w:tcW w:type="dxa" w:w="2556"/>
            <w:vAlign w:val="top"/>
          </w:tcPr>
          <w:p>
            <w:pPr>
              <w:spacing w:after="0"/>
              <w:jc w:val="left"/>
            </w:pPr>
            <w:r>
              <w:rPr>
                <w:rFonts w:ascii="Arial" w:hAnsi="Arial"/>
                <w:b w:val="0"/>
                <w:sz w:val="14"/>
              </w:rPr>
              <w:t>A compliance incident closes when evidence, responsibility, correction, and acceptance are resolved.</w:t>
            </w:r>
          </w:p>
        </w:tc>
        <w:tc>
          <w:tcPr>
            <w:tcW w:type="dxa" w:w="2556"/>
            <w:vAlign w:val="top"/>
          </w:tcPr>
          <w:p>
            <w:pPr>
              <w:spacing w:after="0"/>
              <w:jc w:val="left"/>
            </w:pPr>
            <w:r>
              <w:rPr>
                <w:rFonts w:ascii="Arial" w:hAnsi="Arial"/>
                <w:b w:val="0"/>
                <w:sz w:val="14"/>
              </w:rPr>
              <w:t>Incident closure, dispute resolution, remediation</w:t>
            </w:r>
          </w:p>
        </w:tc>
      </w:tr>
    </w:tbl>
    <w:p>
      <w:pPr>
        <w:sectPr>
          <w:pgSz w:w="12240" w:h="15840"/>
          <w:pgMar w:top="792" w:right="648" w:bottom="792" w:left="648" w:header="720" w:footer="720" w:gutter="0"/>
          <w:cols w:space="720"/>
          <w:docGrid w:linePitch="360"/>
        </w:sectPr>
      </w:pPr>
    </w:p>
    <w:p/>
    <w:p>
      <w:r>
        <w:t>Table 6-01: Summary of the Sixteen Missing Regulatory Objects</w:t>
      </w:r>
    </w:p>
    <w:p/>
    <w:p/>
    <w:p>
      <w:pPr>
        <w:pStyle w:val="Heading2"/>
      </w:pPr>
      <w:r>
        <w:t>6.1.1 Common MRO Field Model</w:t>
      </w:r>
    </w:p>
    <w:p/>
    <w:p>
      <w:r>
        <w:t>All sixteen MRO object cards share a common set of identity and evidence fields. This common field model avoids repeating generic fields across every object card and establishes a consistent structure for lifecycle governance objects.</w:t>
      </w:r>
    </w:p>
    <w:p/>
    <w:p>
      <w:r>
        <w:t>The following table defines the common fields that apply to all MROs:</w:t>
      </w:r>
    </w:p>
    <w:p/>
    <w:p>
      <w:r>
        <w:t>Table 6-01A: Common MRO Field Model</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Common Field</w:t>
            </w:r>
          </w:p>
        </w:tc>
        <w:tc>
          <w:tcPr>
            <w:tcW w:type="dxa" w:w="5112"/>
            <w:vAlign w:val="top"/>
            <w:shd w:fill="D9EAF7"/>
          </w:tcPr>
          <w:p>
            <w:pPr>
              <w:spacing w:after="0"/>
              <w:jc w:val="left"/>
            </w:pPr>
            <w:r>
              <w:rPr>
                <w:rFonts w:ascii="Arial" w:hAnsi="Arial"/>
                <w:b/>
                <w:sz w:val="16"/>
              </w:rPr>
              <w:t>Purpose</w:t>
            </w:r>
          </w:p>
        </w:tc>
      </w:tr>
      <w:tr>
        <w:trPr>
          <w:cantSplit/>
        </w:trPr>
        <w:tc>
          <w:tcPr>
            <w:tcW w:type="dxa" w:w="5112"/>
            <w:vAlign w:val="top"/>
          </w:tcPr>
          <w:p>
            <w:pPr>
              <w:spacing w:after="0"/>
              <w:jc w:val="left"/>
            </w:pPr>
            <w:r>
              <w:rPr>
                <w:rFonts w:ascii="Arial" w:hAnsi="Arial"/>
                <w:b w:val="0"/>
                <w:sz w:val="16"/>
              </w:rPr>
              <w:t>object_id</w:t>
            </w:r>
          </w:p>
        </w:tc>
        <w:tc>
          <w:tcPr>
            <w:tcW w:type="dxa" w:w="5112"/>
            <w:vAlign w:val="top"/>
          </w:tcPr>
          <w:p>
            <w:pPr>
              <w:spacing w:after="0"/>
              <w:jc w:val="left"/>
            </w:pPr>
            <w:r>
              <w:rPr>
                <w:rFonts w:ascii="Arial" w:hAnsi="Arial"/>
                <w:b w:val="0"/>
                <w:sz w:val="16"/>
              </w:rPr>
              <w:t>Unique identifier for the object instance</w:t>
            </w:r>
          </w:p>
        </w:tc>
      </w:tr>
      <w:tr>
        <w:trPr>
          <w:cantSplit/>
        </w:trPr>
        <w:tc>
          <w:tcPr>
            <w:tcW w:type="dxa" w:w="5112"/>
            <w:vAlign w:val="top"/>
          </w:tcPr>
          <w:p>
            <w:pPr>
              <w:spacing w:after="0"/>
              <w:jc w:val="left"/>
            </w:pPr>
            <w:r>
              <w:rPr>
                <w:rFonts w:ascii="Arial" w:hAnsi="Arial"/>
                <w:b w:val="0"/>
                <w:sz w:val="16"/>
              </w:rPr>
              <w:t>lifecycle_id</w:t>
            </w:r>
          </w:p>
        </w:tc>
        <w:tc>
          <w:tcPr>
            <w:tcW w:type="dxa" w:w="5112"/>
            <w:vAlign w:val="top"/>
          </w:tcPr>
          <w:p>
            <w:pPr>
              <w:spacing w:after="0"/>
              <w:jc w:val="left"/>
            </w:pPr>
            <w:r>
              <w:rPr>
                <w:rFonts w:ascii="Arial" w:hAnsi="Arial"/>
                <w:b w:val="0"/>
                <w:sz w:val="16"/>
              </w:rPr>
              <w:t>Identifier linking the object to a specific lifecycle execution</w:t>
            </w:r>
          </w:p>
        </w:tc>
      </w:tr>
      <w:tr>
        <w:trPr>
          <w:cantSplit/>
        </w:trPr>
        <w:tc>
          <w:tcPr>
            <w:tcW w:type="dxa" w:w="5112"/>
            <w:vAlign w:val="top"/>
          </w:tcPr>
          <w:p>
            <w:pPr>
              <w:spacing w:after="0"/>
              <w:jc w:val="left"/>
            </w:pPr>
            <w:r>
              <w:rPr>
                <w:rFonts w:ascii="Arial" w:hAnsi="Arial"/>
                <w:b w:val="0"/>
                <w:sz w:val="16"/>
              </w:rPr>
              <w:t>project_id / scope_id</w:t>
            </w:r>
          </w:p>
        </w:tc>
        <w:tc>
          <w:tcPr>
            <w:tcW w:type="dxa" w:w="5112"/>
            <w:vAlign w:val="top"/>
          </w:tcPr>
          <w:p>
            <w:pPr>
              <w:spacing w:after="0"/>
              <w:jc w:val="left"/>
            </w:pPr>
            <w:r>
              <w:rPr>
                <w:rFonts w:ascii="Arial" w:hAnsi="Arial"/>
                <w:b w:val="0"/>
                <w:sz w:val="16"/>
              </w:rPr>
              <w:t>Project or scope context in which the object applies</w:t>
            </w:r>
          </w:p>
        </w:tc>
      </w:tr>
      <w:tr>
        <w:trPr>
          <w:cantSplit/>
        </w:trPr>
        <w:tc>
          <w:tcPr>
            <w:tcW w:type="dxa" w:w="5112"/>
            <w:vAlign w:val="top"/>
          </w:tcPr>
          <w:p>
            <w:pPr>
              <w:spacing w:after="0"/>
              <w:jc w:val="left"/>
            </w:pPr>
            <w:r>
              <w:rPr>
                <w:rFonts w:ascii="Arial" w:hAnsi="Arial"/>
                <w:b w:val="0"/>
                <w:sz w:val="16"/>
              </w:rPr>
              <w:t>actor_role_id</w:t>
            </w:r>
          </w:p>
        </w:tc>
        <w:tc>
          <w:tcPr>
            <w:tcW w:type="dxa" w:w="5112"/>
            <w:vAlign w:val="top"/>
          </w:tcPr>
          <w:p>
            <w:pPr>
              <w:spacing w:after="0"/>
              <w:jc w:val="left"/>
            </w:pPr>
            <w:r>
              <w:rPr>
                <w:rFonts w:ascii="Arial" w:hAnsi="Arial"/>
                <w:b w:val="0"/>
                <w:sz w:val="16"/>
              </w:rPr>
              <w:t>Human role identifier associated with the object</w:t>
            </w:r>
          </w:p>
        </w:tc>
      </w:tr>
      <w:tr>
        <w:trPr>
          <w:cantSplit/>
        </w:trPr>
        <w:tc>
          <w:tcPr>
            <w:tcW w:type="dxa" w:w="5112"/>
            <w:vAlign w:val="top"/>
          </w:tcPr>
          <w:p>
            <w:pPr>
              <w:spacing w:after="0"/>
              <w:jc w:val="left"/>
            </w:pPr>
            <w:r>
              <w:rPr>
                <w:rFonts w:ascii="Arial" w:hAnsi="Arial"/>
                <w:b w:val="0"/>
                <w:sz w:val="16"/>
              </w:rPr>
              <w:t>agent_role_id</w:t>
            </w:r>
          </w:p>
        </w:tc>
        <w:tc>
          <w:tcPr>
            <w:tcW w:type="dxa" w:w="5112"/>
            <w:vAlign w:val="top"/>
          </w:tcPr>
          <w:p>
            <w:pPr>
              <w:spacing w:after="0"/>
              <w:jc w:val="left"/>
            </w:pPr>
            <w:r>
              <w:rPr>
                <w:rFonts w:ascii="Arial" w:hAnsi="Arial"/>
                <w:b w:val="0"/>
                <w:sz w:val="16"/>
              </w:rPr>
              <w:t>Agent role identifier associated with the object (where applicable)</w:t>
            </w:r>
          </w:p>
        </w:tc>
      </w:tr>
      <w:tr>
        <w:trPr>
          <w:cantSplit/>
        </w:trPr>
        <w:tc>
          <w:tcPr>
            <w:tcW w:type="dxa" w:w="5112"/>
            <w:vAlign w:val="top"/>
          </w:tcPr>
          <w:p>
            <w:pPr>
              <w:spacing w:after="0"/>
              <w:jc w:val="left"/>
            </w:pPr>
            <w:r>
              <w:rPr>
                <w:rFonts w:ascii="Arial" w:hAnsi="Arial"/>
                <w:b w:val="0"/>
                <w:sz w:val="16"/>
              </w:rPr>
              <w:t>timestamp</w:t>
            </w:r>
          </w:p>
        </w:tc>
        <w:tc>
          <w:tcPr>
            <w:tcW w:type="dxa" w:w="5112"/>
            <w:vAlign w:val="top"/>
          </w:tcPr>
          <w:p>
            <w:pPr>
              <w:spacing w:after="0"/>
              <w:jc w:val="left"/>
            </w:pPr>
            <w:r>
              <w:rPr>
                <w:rFonts w:ascii="Arial" w:hAnsi="Arial"/>
                <w:b w:val="0"/>
                <w:sz w:val="16"/>
              </w:rPr>
              <w:t>Creation or last modification timestamp</w:t>
            </w:r>
          </w:p>
        </w:tc>
      </w:tr>
      <w:tr>
        <w:trPr>
          <w:cantSplit/>
        </w:trPr>
        <w:tc>
          <w:tcPr>
            <w:tcW w:type="dxa" w:w="5112"/>
            <w:vAlign w:val="top"/>
          </w:tcPr>
          <w:p>
            <w:pPr>
              <w:spacing w:after="0"/>
              <w:jc w:val="left"/>
            </w:pPr>
            <w:r>
              <w:rPr>
                <w:rFonts w:ascii="Arial" w:hAnsi="Arial"/>
                <w:b w:val="0"/>
                <w:sz w:val="16"/>
              </w:rPr>
              <w:t>version</w:t>
            </w:r>
          </w:p>
        </w:tc>
        <w:tc>
          <w:tcPr>
            <w:tcW w:type="dxa" w:w="5112"/>
            <w:vAlign w:val="top"/>
          </w:tcPr>
          <w:p>
            <w:pPr>
              <w:spacing w:after="0"/>
              <w:jc w:val="left"/>
            </w:pPr>
            <w:r>
              <w:rPr>
                <w:rFonts w:ascii="Arial" w:hAnsi="Arial"/>
                <w:b w:val="0"/>
                <w:sz w:val="16"/>
              </w:rPr>
              <w:t>Version identifier for the object schema or instance</w:t>
            </w:r>
          </w:p>
        </w:tc>
      </w:tr>
      <w:tr>
        <w:trPr>
          <w:cantSplit/>
        </w:trPr>
        <w:tc>
          <w:tcPr>
            <w:tcW w:type="dxa" w:w="5112"/>
            <w:vAlign w:val="top"/>
          </w:tcPr>
          <w:p>
            <w:pPr>
              <w:spacing w:after="0"/>
              <w:jc w:val="left"/>
            </w:pPr>
            <w:r>
              <w:rPr>
                <w:rFonts w:ascii="Arial" w:hAnsi="Arial"/>
                <w:b w:val="0"/>
                <w:sz w:val="16"/>
              </w:rPr>
              <w:t>evidence_pointer</w:t>
            </w:r>
          </w:p>
        </w:tc>
        <w:tc>
          <w:tcPr>
            <w:tcW w:type="dxa" w:w="5112"/>
            <w:vAlign w:val="top"/>
          </w:tcPr>
          <w:p>
            <w:pPr>
              <w:spacing w:after="0"/>
              <w:jc w:val="left"/>
            </w:pPr>
            <w:r>
              <w:rPr>
                <w:rFonts w:ascii="Arial" w:hAnsi="Arial"/>
                <w:b w:val="0"/>
                <w:sz w:val="16"/>
              </w:rPr>
              <w:t>Reference to evidence supporting the object's validity</w:t>
            </w:r>
          </w:p>
        </w:tc>
      </w:tr>
      <w:tr>
        <w:trPr>
          <w:cantSplit/>
        </w:trPr>
        <w:tc>
          <w:tcPr>
            <w:tcW w:type="dxa" w:w="5112"/>
            <w:vAlign w:val="top"/>
          </w:tcPr>
          <w:p>
            <w:pPr>
              <w:spacing w:after="0"/>
              <w:jc w:val="left"/>
            </w:pPr>
            <w:r>
              <w:rPr>
                <w:rFonts w:ascii="Arial" w:hAnsi="Arial"/>
                <w:b w:val="0"/>
                <w:sz w:val="16"/>
              </w:rPr>
              <w:t>status</w:t>
            </w:r>
          </w:p>
        </w:tc>
        <w:tc>
          <w:tcPr>
            <w:tcW w:type="dxa" w:w="5112"/>
            <w:vAlign w:val="top"/>
          </w:tcPr>
          <w:p>
            <w:pPr>
              <w:spacing w:after="0"/>
              <w:jc w:val="left"/>
            </w:pPr>
            <w:r>
              <w:rPr>
                <w:rFonts w:ascii="Arial" w:hAnsi="Arial"/>
                <w:b w:val="0"/>
                <w:sz w:val="16"/>
              </w:rPr>
              <w:t>Current lifecycle status of the object (active, closed, revoked, etc.)</w:t>
            </w:r>
          </w:p>
        </w:tc>
      </w:tr>
    </w:tbl>
    <w:p>
      <w:pPr>
        <w:sectPr>
          <w:pgSz w:w="12240" w:h="15840"/>
          <w:pgMar w:top="792" w:right="648" w:bottom="792" w:left="648" w:header="720" w:footer="720" w:gutter="0"/>
          <w:cols w:space="720"/>
          <w:docGrid w:linePitch="360"/>
        </w:sectPr>
      </w:pPr>
    </w:p>
    <w:p/>
    <w:p>
      <w:r>
        <w:t>Individual MRO object cards below therefore emphasize MRO-specific purpose, controls, failure mode, and audit question rather than repeating the full common field model.</w:t>
      </w:r>
    </w:p>
    <w:p/>
    <w:p/>
    <w:p>
      <w:pPr>
        <w:pStyle w:val="Heading2"/>
      </w:pPr>
      <w:r>
        <w:t>6.2 MRO-01 — Human Role to MAS Responsibility Mapping</w:t>
      </w:r>
    </w:p>
    <w:p/>
    <w:p>
      <w:pPr>
        <w:pStyle w:val="Heading3"/>
      </w:pPr>
      <w:r>
        <w:t>Problem</w:t>
      </w:r>
    </w:p>
    <w:p/>
    <w:p>
      <w:r>
        <w:t>Regulation can require oversight, but agentic execution needs a precise map from human accountable roles to agent roles, tasks, tools, evidence, and accepted outcomes.</w:t>
      </w:r>
    </w:p>
    <w:p/>
    <w:p>
      <w:pPr>
        <w:pStyle w:val="Heading3"/>
      </w:pPr>
      <w:r>
        <w:t>Required Object</w:t>
      </w:r>
    </w:p>
    <w:p/>
    <w:p>
      <w:r>
        <w:t>A role-responsibility map binding human role IDs, agent role IDs, permitted delegated scopes, reserved human decisions, review duties, and evidence obligations.</w:t>
      </w:r>
    </w:p>
    <w:p/>
    <w:p>
      <w:pPr>
        <w:pStyle w:val="Heading3"/>
      </w:pPr>
      <w:r>
        <w:t>Judgment</w:t>
      </w:r>
    </w:p>
    <w:p/>
    <w:p>
      <w:r>
        <w:t>Human oversight without human-to-agent responsibility mapping is supervision theater.</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purpose</w:t>
            </w:r>
          </w:p>
        </w:tc>
        <w:tc>
          <w:tcPr>
            <w:tcW w:type="dxa" w:w="5112"/>
            <w:vAlign w:val="top"/>
          </w:tcPr>
          <w:p>
            <w:pPr>
              <w:spacing w:after="0"/>
              <w:jc w:val="left"/>
            </w:pPr>
            <w:r>
              <w:rPr>
                <w:rFonts w:ascii="Arial" w:hAnsi="Arial"/>
                <w:b w:val="0"/>
                <w:sz w:val="16"/>
              </w:rPr>
              <w:t>To make human role to MAS responsibility mapping explicit, inspectable, and replayable within an agentic lifecycle.</w:t>
            </w:r>
          </w:p>
        </w:tc>
      </w:tr>
      <w:tr>
        <w:trPr>
          <w:cantSplit/>
        </w:trPr>
        <w:tc>
          <w:tcPr>
            <w:tcW w:type="dxa" w:w="5112"/>
            <w:vAlign w:val="top"/>
          </w:tcPr>
          <w:p>
            <w:pPr>
              <w:spacing w:after="0"/>
              <w:jc w:val="left"/>
            </w:pPr>
            <w:r>
              <w:rPr>
                <w:rFonts w:ascii="Arial" w:hAnsi="Arial"/>
                <w:b w:val="0"/>
                <w:sz w:val="16"/>
              </w:rPr>
              <w:t>Minimum identity fields</w:t>
            </w:r>
          </w:p>
        </w:tc>
        <w:tc>
          <w:tcPr>
            <w:tcW w:type="dxa" w:w="5112"/>
            <w:vAlign w:val="top"/>
          </w:tcPr>
          <w:p>
            <w:pPr>
              <w:spacing w:after="0"/>
              <w:jc w:val="left"/>
            </w:pPr>
            <w:r>
              <w:rPr>
                <w:rFonts w:ascii="Arial" w:hAnsi="Arial"/>
                <w:b w:val="0"/>
                <w:sz w:val="16"/>
              </w:rPr>
              <w:t>object_id, lifecycle_id, project_id, actor_role_id, agent_role_id where applicable, timestamp, version, evidence_pointer</w:t>
            </w:r>
          </w:p>
        </w:tc>
      </w:tr>
      <w:tr>
        <w:trPr>
          <w:cantSplit/>
        </w:trPr>
        <w:tc>
          <w:tcPr>
            <w:tcW w:type="dxa" w:w="5112"/>
            <w:vAlign w:val="top"/>
          </w:tcPr>
          <w:p>
            <w:pPr>
              <w:spacing w:after="0"/>
              <w:jc w:val="left"/>
            </w:pPr>
            <w:r>
              <w:rPr>
                <w:rFonts w:ascii="Arial" w:hAnsi="Arial"/>
                <w:b w:val="0"/>
                <w:sz w:val="16"/>
              </w:rPr>
              <w:t>Required controls</w:t>
            </w:r>
          </w:p>
        </w:tc>
        <w:tc>
          <w:tcPr>
            <w:tcW w:type="dxa" w:w="5112"/>
            <w:vAlign w:val="top"/>
          </w:tcPr>
          <w:p>
            <w:pPr>
              <w:spacing w:after="0"/>
              <w:jc w:val="left"/>
            </w:pPr>
            <w:r>
              <w:rPr>
                <w:rFonts w:ascii="Arial" w:hAnsi="Arial"/>
                <w:b w:val="0"/>
                <w:sz w:val="16"/>
              </w:rPr>
              <w:t>scope boundary, risk class, evidence requirement, privacy treatment, review/approval rule, revocation or closure rule</w:t>
            </w:r>
          </w:p>
        </w:tc>
      </w:tr>
      <w:tr>
        <w:trPr>
          <w:cantSplit/>
        </w:trPr>
        <w:tc>
          <w:tcPr>
            <w:tcW w:type="dxa" w:w="5112"/>
            <w:vAlign w:val="top"/>
          </w:tcPr>
          <w:p>
            <w:pPr>
              <w:spacing w:after="0"/>
              <w:jc w:val="left"/>
            </w:pPr>
            <w:r>
              <w:rPr>
                <w:rFonts w:ascii="Arial" w:hAnsi="Arial"/>
                <w:b w:val="0"/>
                <w:sz w:val="16"/>
              </w:rPr>
              <w:t>Failure if missing</w:t>
            </w:r>
          </w:p>
        </w:tc>
        <w:tc>
          <w:tcPr>
            <w:tcW w:type="dxa" w:w="5112"/>
            <w:vAlign w:val="top"/>
          </w:tcPr>
          <w:p>
            <w:pPr>
              <w:spacing w:after="0"/>
              <w:jc w:val="left"/>
            </w:pPr>
            <w:r>
              <w:rPr>
                <w:rFonts w:ascii="Arial" w:hAnsi="Arial"/>
                <w:b w:val="0"/>
                <w:sz w:val="16"/>
              </w:rPr>
              <w:t>The system may appear governed at UI or workflow level while lacking enforceable human role to MAS responsibility mapping semantics.</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determine whether human role to MAS responsibility mapping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6-02: MRO-01 Object Card — Human Role to MAS Responsibility Mapping</w:t>
      </w:r>
    </w:p>
    <w:p/>
    <w:p>
      <w:pPr>
        <w:pStyle w:val="Heading3"/>
      </w:pPr>
      <w:r>
        <w:t>Detailed Discussion</w:t>
      </w:r>
    </w:p>
    <w:p/>
    <w:p>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
      <w:r>
        <w:t>The difficulty is that a human may own business acceptance while an agent owns evidence collection, and another agent owns execution. A governance object must preserve those differences instead of flattening them into a single owner field.</w:t>
      </w:r>
    </w:p>
    <w:p/>
    <w:p>
      <w:pPr>
        <w:pStyle w:val="Heading3"/>
      </w:pPr>
      <w:r>
        <w:t>Enterprise Implication</w:t>
      </w:r>
    </w:p>
    <w:p/>
    <w:p>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
      <w:r>
        <w:t>Platforms with identity, approval, or workflow controls may partially support this object, but buyers should ask whether the mapping survives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
      <w:pPr>
        <w:pStyle w:val="Heading3"/>
      </w:pPr>
      <w:r>
        <w:t>Design Implication</w:t>
      </w:r>
    </w:p>
    <w:p/>
    <w:p>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
      <w:r>
        <w:t>Multi-agent frameworks often score well on collaboration metaphors but lower on accountability semantics unless role objects include responsibility, evidence, and escalation duties. The design should separate persona labels from capability boundaries, evidence duties, and human accountability.</w:t>
      </w:r>
    </w:p>
    <w:p/>
    <w:p>
      <w:pPr>
        <w:pStyle w:val="Heading3"/>
      </w:pPr>
      <w:r>
        <w:t>Audit Question</w:t>
      </w:r>
    </w:p>
    <w:p/>
    <w:p>
      <w:r>
        <w:t>For any completed agentic workflow, can the system reconstruct which human role held which responsibility at each lifecycle phase, backed by evidence pointers and acceptance records?</w:t>
      </w:r>
    </w:p>
    <w:p/>
    <w:p/>
    <w:p>
      <w:pPr>
        <w:pStyle w:val="Heading2"/>
      </w:pPr>
      <w:r>
        <w:t>6.3 MRO-02 — Delegated Authority Boundary</w:t>
      </w:r>
    </w:p>
    <w:p/>
    <w:p>
      <w:pPr>
        <w:pStyle w:val="Heading3"/>
      </w:pPr>
      <w:r>
        <w:t>Problem</w:t>
      </w:r>
    </w:p>
    <w:p/>
    <w:p>
      <w:r>
        <w:t>API access and tool permission do not prove that a particular business action was authorized under the correct scope, condition, risk level, and escalation path.</w:t>
      </w:r>
    </w:p>
    <w:p/>
    <w:p>
      <w:pPr>
        <w:pStyle w:val="Heading3"/>
      </w:pPr>
      <w:r>
        <w:t>Required Object</w:t>
      </w:r>
    </w:p>
    <w:p/>
    <w:p>
      <w:r>
        <w:t>A delegated-authority object binding role, action, scope, condition, risk class, evidence requirement, expiry, revocation, and escalation path.</w:t>
      </w:r>
    </w:p>
    <w:p/>
    <w:p>
      <w:pPr>
        <w:pStyle w:val="Heading3"/>
      </w:pPr>
      <w:r>
        <w:t>Judgment</w:t>
      </w:r>
    </w:p>
    <w:p/>
    <w:p>
      <w:r>
        <w:t>IAM permission decides access. Delegated authority decides responsibility.</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purpose</w:t>
            </w:r>
          </w:p>
        </w:tc>
        <w:tc>
          <w:tcPr>
            <w:tcW w:type="dxa" w:w="5112"/>
            <w:vAlign w:val="top"/>
          </w:tcPr>
          <w:p>
            <w:pPr>
              <w:spacing w:after="0"/>
              <w:jc w:val="left"/>
            </w:pPr>
            <w:r>
              <w:rPr>
                <w:rFonts w:ascii="Arial" w:hAnsi="Arial"/>
                <w:b w:val="0"/>
                <w:sz w:val="16"/>
              </w:rPr>
              <w:t>To make delegated authority boundary explicit, inspectable, and replayable within an agentic lifecycle.</w:t>
            </w:r>
          </w:p>
        </w:tc>
      </w:tr>
      <w:tr>
        <w:trPr>
          <w:cantSplit/>
        </w:trPr>
        <w:tc>
          <w:tcPr>
            <w:tcW w:type="dxa" w:w="5112"/>
            <w:vAlign w:val="top"/>
          </w:tcPr>
          <w:p>
            <w:pPr>
              <w:spacing w:after="0"/>
              <w:jc w:val="left"/>
            </w:pPr>
            <w:r>
              <w:rPr>
                <w:rFonts w:ascii="Arial" w:hAnsi="Arial"/>
                <w:b w:val="0"/>
                <w:sz w:val="16"/>
              </w:rPr>
              <w:t>Minimum identity fields</w:t>
            </w:r>
          </w:p>
        </w:tc>
        <w:tc>
          <w:tcPr>
            <w:tcW w:type="dxa" w:w="5112"/>
            <w:vAlign w:val="top"/>
          </w:tcPr>
          <w:p>
            <w:pPr>
              <w:spacing w:after="0"/>
              <w:jc w:val="left"/>
            </w:pPr>
            <w:r>
              <w:rPr>
                <w:rFonts w:ascii="Arial" w:hAnsi="Arial"/>
                <w:b w:val="0"/>
                <w:sz w:val="16"/>
              </w:rPr>
              <w:t>object_id, lifecycle_id, project_id, actor_role_id, agent_role_id where applicable, timestamp, version, evidence_pointer</w:t>
            </w:r>
          </w:p>
        </w:tc>
      </w:tr>
      <w:tr>
        <w:trPr>
          <w:cantSplit/>
        </w:trPr>
        <w:tc>
          <w:tcPr>
            <w:tcW w:type="dxa" w:w="5112"/>
            <w:vAlign w:val="top"/>
          </w:tcPr>
          <w:p>
            <w:pPr>
              <w:spacing w:after="0"/>
              <w:jc w:val="left"/>
            </w:pPr>
            <w:r>
              <w:rPr>
                <w:rFonts w:ascii="Arial" w:hAnsi="Arial"/>
                <w:b w:val="0"/>
                <w:sz w:val="16"/>
              </w:rPr>
              <w:t>Required controls</w:t>
            </w:r>
          </w:p>
        </w:tc>
        <w:tc>
          <w:tcPr>
            <w:tcW w:type="dxa" w:w="5112"/>
            <w:vAlign w:val="top"/>
          </w:tcPr>
          <w:p>
            <w:pPr>
              <w:spacing w:after="0"/>
              <w:jc w:val="left"/>
            </w:pPr>
            <w:r>
              <w:rPr>
                <w:rFonts w:ascii="Arial" w:hAnsi="Arial"/>
                <w:b w:val="0"/>
                <w:sz w:val="16"/>
              </w:rPr>
              <w:t>scope boundary, risk class, evidence requirement, privacy treatment, review/approval rule, revocation or closure rule</w:t>
            </w:r>
          </w:p>
        </w:tc>
      </w:tr>
      <w:tr>
        <w:trPr>
          <w:cantSplit/>
        </w:trPr>
        <w:tc>
          <w:tcPr>
            <w:tcW w:type="dxa" w:w="5112"/>
            <w:vAlign w:val="top"/>
          </w:tcPr>
          <w:p>
            <w:pPr>
              <w:spacing w:after="0"/>
              <w:jc w:val="left"/>
            </w:pPr>
            <w:r>
              <w:rPr>
                <w:rFonts w:ascii="Arial" w:hAnsi="Arial"/>
                <w:b w:val="0"/>
                <w:sz w:val="16"/>
              </w:rPr>
              <w:t>Failure if missing</w:t>
            </w:r>
          </w:p>
        </w:tc>
        <w:tc>
          <w:tcPr>
            <w:tcW w:type="dxa" w:w="5112"/>
            <w:vAlign w:val="top"/>
          </w:tcPr>
          <w:p>
            <w:pPr>
              <w:spacing w:after="0"/>
              <w:jc w:val="left"/>
            </w:pPr>
            <w:r>
              <w:rPr>
                <w:rFonts w:ascii="Arial" w:hAnsi="Arial"/>
                <w:b w:val="0"/>
                <w:sz w:val="16"/>
              </w:rPr>
              <w:t>The system may appear governed at UI or workflow level while lacking enforceable delegated authority boundary semantics.</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determine whether delegated authority boundary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6-03: MRO-02 Object Card — Delegated Authority Boundary</w:t>
      </w:r>
    </w:p>
    <w:p/>
    <w:p>
      <w:pPr>
        <w:pStyle w:val="Heading3"/>
      </w:pPr>
      <w:r>
        <w:t>Detailed Discussion</w:t>
      </w:r>
    </w:p>
    <w:p/>
    <w:p>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
      <w:r>
        <w:t>The difficulty is that the same tool call can be harmless in one context and impermissible in another. Authority must therefore be evaluated against intent and plan state, not only against static credentials.</w:t>
      </w:r>
    </w:p>
    <w:p/>
    <w:p>
      <w:pPr>
        <w:pStyle w:val="Heading3"/>
      </w:pPr>
      <w:r>
        <w:t>Enterprise Implication</w:t>
      </w:r>
    </w:p>
    <w:p/>
    <w:p>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
      <w:r>
        <w:t>Cloud IAM, guardrails, and workflow approvals are valuable adjacent controls, but they become lifecycle conformance only when they bind the specific action to a delegated authority object. The market implication is that buyers should ask whether the system can show the exact authority basis and escalation rule for a high-impact tool call before it executes.</w:t>
      </w:r>
    </w:p>
    <w:p/>
    <w:p>
      <w:pPr>
        <w:pStyle w:val="Heading3"/>
      </w:pPr>
      <w:r>
        <w:t>Design Implication</w:t>
      </w:r>
    </w:p>
    <w:p/>
    <w:p>
      <w:r>
        <w:t>The boundary should be checked before high-impact tool calls and should include action class, permitted scope, expiration, revocation, escalation path, evidence pointer, and human override requirements. It should fail closed when authority cannot be reconstructed.</w:t>
      </w:r>
    </w:p>
    <w:p/>
    <w:p>
      <w:r>
        <w:t>Microsoft Azure AI Foundry and AWS Bedrock provide strong feature/workflow mapping for authorization, escalation, action scope, and revocation. These capabilities can support lifecycle governance but do not automatically define accepted outcome, human-role-to-MAS mapping, or cross-project responsibility continuity.</w:t>
      </w:r>
    </w:p>
    <w:p/>
    <w:p>
      <w:pPr>
        <w:pStyle w:val="Heading3"/>
      </w:pPr>
      <w:r>
        <w:t>Audit Question</w:t>
      </w:r>
    </w:p>
    <w:p/>
    <w:p>
      <w:r>
        <w:t>Before a high-impact tool call, can the system show the exact authority basis and escalation rule for that action? If not, permission is being mistaken for authority.</w:t>
      </w:r>
    </w:p>
    <w:p/>
    <w:p/>
    <w:p>
      <w:pPr>
        <w:pStyle w:val="Heading2"/>
      </w:pPr>
      <w:r>
        <w:t>6.4 MRO-03 — Agent Role is not Human Role</w:t>
      </w:r>
    </w:p>
    <w:p/>
    <w:p>
      <w:pPr>
        <w:pStyle w:val="Heading3"/>
      </w:pPr>
      <w:r>
        <w:t>Problem</w:t>
      </w:r>
    </w:p>
    <w:p/>
    <w:p>
      <w:r>
        <w:t>Agent names such as researcher, writer, reviewer, or manager are useful UI metaphors but are not adequate compliance identities.</w:t>
      </w:r>
    </w:p>
    <w:p/>
    <w:p>
      <w:pPr>
        <w:pStyle w:val="Heading3"/>
      </w:pPr>
      <w:r>
        <w:t>Required Object</w:t>
      </w:r>
    </w:p>
    <w:p/>
    <w:p>
      <w:r>
        <w:t>An agent responsibility boundary declaring duties, non-duties, allowed tools, inherited constraints, verification expectations, and human accountability linkage.</w:t>
      </w:r>
    </w:p>
    <w:p/>
    <w:p>
      <w:pPr>
        <w:pStyle w:val="Heading3"/>
      </w:pPr>
      <w:r>
        <w:t>Judgment</w:t>
      </w:r>
    </w:p>
    <w:p/>
    <w:p>
      <w:r>
        <w:t>An agent role is a bounded responsibility surface, not a human job title.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purpose</w:t>
            </w:r>
          </w:p>
        </w:tc>
        <w:tc>
          <w:tcPr>
            <w:tcW w:type="dxa" w:w="5112"/>
            <w:vAlign w:val="top"/>
          </w:tcPr>
          <w:p>
            <w:pPr>
              <w:spacing w:after="0"/>
              <w:jc w:val="left"/>
            </w:pPr>
            <w:r>
              <w:rPr>
                <w:rFonts w:ascii="Arial" w:hAnsi="Arial"/>
                <w:b w:val="0"/>
                <w:sz w:val="16"/>
              </w:rPr>
              <w:t>To make agent role boundaries explicit, inspectable, and replayable within an agentic lifecycle, separating persona labels from responsibility semantics.</w:t>
            </w:r>
          </w:p>
        </w:tc>
      </w:tr>
      <w:tr>
        <w:trPr>
          <w:cantSplit/>
        </w:trPr>
        <w:tc>
          <w:tcPr>
            <w:tcW w:type="dxa" w:w="5112"/>
            <w:vAlign w:val="top"/>
          </w:tcPr>
          <w:p>
            <w:pPr>
              <w:spacing w:after="0"/>
              <w:jc w:val="left"/>
            </w:pPr>
            <w:r>
              <w:rPr>
                <w:rFonts w:ascii="Arial" w:hAnsi="Arial"/>
                <w:b w:val="0"/>
                <w:sz w:val="16"/>
              </w:rPr>
              <w:t>Minimum identity fields</w:t>
            </w:r>
          </w:p>
        </w:tc>
        <w:tc>
          <w:tcPr>
            <w:tcW w:type="dxa" w:w="5112"/>
            <w:vAlign w:val="top"/>
          </w:tcPr>
          <w:p>
            <w:pPr>
              <w:spacing w:after="0"/>
              <w:jc w:val="left"/>
            </w:pPr>
            <w:r>
              <w:rPr>
                <w:rFonts w:ascii="Arial" w:hAnsi="Arial"/>
                <w:b w:val="0"/>
                <w:sz w:val="16"/>
              </w:rPr>
              <w:t>object_id, lifecycle_id, project_id, actor_role_id, agent_role_id where applicable, timestamp, version, evidence_pointer</w:t>
            </w:r>
          </w:p>
        </w:tc>
      </w:tr>
      <w:tr>
        <w:trPr>
          <w:cantSplit/>
        </w:trPr>
        <w:tc>
          <w:tcPr>
            <w:tcW w:type="dxa" w:w="5112"/>
            <w:vAlign w:val="top"/>
          </w:tcPr>
          <w:p>
            <w:pPr>
              <w:spacing w:after="0"/>
              <w:jc w:val="left"/>
            </w:pPr>
            <w:r>
              <w:rPr>
                <w:rFonts w:ascii="Arial" w:hAnsi="Arial"/>
                <w:b w:val="0"/>
                <w:sz w:val="16"/>
              </w:rPr>
              <w:t>Required controls</w:t>
            </w:r>
          </w:p>
        </w:tc>
        <w:tc>
          <w:tcPr>
            <w:tcW w:type="dxa" w:w="5112"/>
            <w:vAlign w:val="top"/>
          </w:tcPr>
          <w:p>
            <w:pPr>
              <w:spacing w:after="0"/>
              <w:jc w:val="left"/>
            </w:pPr>
            <w:r>
              <w:rPr>
                <w:rFonts w:ascii="Arial" w:hAnsi="Arial"/>
                <w:b w:val="0"/>
                <w:sz w:val="16"/>
              </w:rPr>
              <w:t>scope boundary, risk class, evidence requirement, privacy treatment, review/approval rule, revocation or closure rule</w:t>
            </w:r>
          </w:p>
        </w:tc>
      </w:tr>
      <w:tr>
        <w:trPr>
          <w:cantSplit/>
        </w:trPr>
        <w:tc>
          <w:tcPr>
            <w:tcW w:type="dxa" w:w="5112"/>
            <w:vAlign w:val="top"/>
          </w:tcPr>
          <w:p>
            <w:pPr>
              <w:spacing w:after="0"/>
              <w:jc w:val="left"/>
            </w:pPr>
            <w:r>
              <w:rPr>
                <w:rFonts w:ascii="Arial" w:hAnsi="Arial"/>
                <w:b w:val="0"/>
                <w:sz w:val="16"/>
              </w:rPr>
              <w:t>Failure if missing</w:t>
            </w:r>
          </w:p>
        </w:tc>
        <w:tc>
          <w:tcPr>
            <w:tcW w:type="dxa" w:w="5112"/>
            <w:vAlign w:val="top"/>
          </w:tcPr>
          <w:p>
            <w:pPr>
              <w:spacing w:after="0"/>
              <w:jc w:val="left"/>
            </w:pPr>
            <w:r>
              <w:rPr>
                <w:rFonts w:ascii="Arial" w:hAnsi="Arial"/>
                <w:b w:val="0"/>
                <w:sz w:val="16"/>
              </w:rPr>
              <w:t>The system may appear governed at UI or workflow level while lacking enforceable agent role responsibility semantics.</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determine whether agent role boundaries were properly established and preserved for the relevant lifecycle phase?</w:t>
            </w:r>
          </w:p>
        </w:tc>
      </w:tr>
    </w:tbl>
    <w:p>
      <w:pPr>
        <w:sectPr>
          <w:pgSz w:w="12240" w:h="15840"/>
          <w:pgMar w:top="792" w:right="648" w:bottom="792" w:left="648" w:header="720" w:footer="720" w:gutter="0"/>
          <w:cols w:space="720"/>
          <w:docGrid w:linePitch="360"/>
        </w:sectPr>
      </w:pPr>
    </w:p>
    <w:p/>
    <w:p>
      <w:r>
        <w:t>Table 6-04: MRO-03 Object Card — Agent Role is not Human Role</w:t>
      </w:r>
    </w:p>
    <w:p/>
    <w:p>
      <w:pPr>
        <w:pStyle w:val="Heading3"/>
      </w:pPr>
      <w:r>
        <w:t>Detailed Discussion</w:t>
      </w:r>
    </w:p>
    <w:p/>
    <w:p>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
      <w:r>
        <w:t>The difficulty is that human-like role labels are persuasive in UI and documentation, but they can obscure the fact that legal and business accountability remains with humans and organizations.</w:t>
      </w:r>
    </w:p>
    <w:p/>
    <w:p>
      <w:pPr>
        <w:pStyle w:val="Heading3"/>
      </w:pPr>
      <w:r>
        <w:t>Enterprise Implication</w:t>
      </w:r>
    </w:p>
    <w:p/>
    <w:p>
      <w:r>
        <w:t>Treating an agent persona as a human job role creates false accountability. The company may believe that a reviewer agent has performed review while no accountable human or approved review boundary exists.</w:t>
      </w:r>
    </w:p>
    <w:p/>
    <w:p>
      <w:r>
        <w:t>Multi-agent frameworks often score well on collaboration metaphors but lower on accountability semantics unless role objects include responsibility, evidence, and escalation duties. The market implication is that buyers should ask whether the system can prove that an agent role carried responsibility semantics, not merely a persuasive label.</w:t>
      </w:r>
    </w:p>
    <w:p/>
    <w:p>
      <w:pPr>
        <w:pStyle w:val="Heading3"/>
      </w:pPr>
      <w:r>
        <w:t>Design Implication</w:t>
      </w:r>
    </w:p>
    <w:p/>
    <w:p>
      <w:r>
        <w:t>Separate UX persona, runtime capability, and governance role. The role object should identify what the agent can do, what it must prove, what it must escalate, and which human role remains accountable for acceptance or rejection.</w:t>
      </w:r>
    </w:p>
    <w:p/>
    <w:p>
      <w:r>
        <w:t>The implementation test is to replace the agent name with a neutral identifier. If the governance meaning disappears, the system is relying on persona language rather than responsibility structure.</w:t>
      </w:r>
    </w:p>
    <w:p/>
    <w:p>
      <w:pPr>
        <w:pStyle w:val="Heading3"/>
      </w:pPr>
      <w:r>
        <w:t>Audit Question</w:t>
      </w:r>
    </w:p>
    <w:p/>
    <w:p>
      <w:r>
        <w:t>If the agent name is replaced with a neutral identifier, does the governance meaning remain intact, or was the system relying on persona language rather than responsibility structure?</w:t>
      </w:r>
    </w:p>
    <w:p/>
    <w:p/>
    <w:p>
      <w:pPr>
        <w:pStyle w:val="Heading2"/>
      </w:pPr>
      <w:r>
        <w:t>6.5 MRO-04 — Accepted Outcome Compliance</w:t>
      </w:r>
    </w:p>
    <w:p/>
    <w:p>
      <w:pPr>
        <w:pStyle w:val="Heading3"/>
      </w:pPr>
      <w:r>
        <w:t>Problem</w:t>
      </w:r>
    </w:p>
    <w:p/>
    <w:p>
      <w:r>
        <w:t>A model output or orchestrator completion event does not become enterprise work until the right role has reviewed, accepted, or rejected it under evidence.</w:t>
      </w:r>
    </w:p>
    <w:p/>
    <w:p>
      <w:pPr>
        <w:pStyle w:val="Heading3"/>
      </w:pPr>
      <w:r>
        <w:t>Required Object</w:t>
      </w:r>
    </w:p>
    <w:p/>
    <w:p>
      <w:r>
        <w:t>An accepted_outcome state linking source intent, plan, trace, reviewer, acceptance status, dispute window, remediation route, and evidence pointers.</w:t>
      </w:r>
    </w:p>
    <w:p/>
    <w:p>
      <w:pPr>
        <w:pStyle w:val="Heading3"/>
      </w:pPr>
      <w:r>
        <w:t>Judgment</w:t>
      </w:r>
    </w:p>
    <w:p/>
    <w:p>
      <w:r>
        <w:t>Output is a system event. Accepted outcome is a governance state.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purpose</w:t>
            </w:r>
          </w:p>
        </w:tc>
        <w:tc>
          <w:tcPr>
            <w:tcW w:type="dxa" w:w="5112"/>
            <w:vAlign w:val="top"/>
          </w:tcPr>
          <w:p>
            <w:pPr>
              <w:spacing w:after="0"/>
              <w:jc w:val="left"/>
            </w:pPr>
            <w:r>
              <w:rPr>
                <w:rFonts w:ascii="Arial" w:hAnsi="Arial"/>
                <w:b w:val="0"/>
                <w:sz w:val="16"/>
              </w:rPr>
              <w:t>To make accepted outcome compliance explicit, inspectable, and replayable within an agentic lifecycle, separating execution completion from governance acceptance.</w:t>
            </w:r>
          </w:p>
        </w:tc>
      </w:tr>
      <w:tr>
        <w:trPr>
          <w:cantSplit/>
        </w:trPr>
        <w:tc>
          <w:tcPr>
            <w:tcW w:type="dxa" w:w="5112"/>
            <w:vAlign w:val="top"/>
          </w:tcPr>
          <w:p>
            <w:pPr>
              <w:spacing w:after="0"/>
              <w:jc w:val="left"/>
            </w:pPr>
            <w:r>
              <w:rPr>
                <w:rFonts w:ascii="Arial" w:hAnsi="Arial"/>
                <w:b w:val="0"/>
                <w:sz w:val="16"/>
              </w:rPr>
              <w:t>Minimum identity fields</w:t>
            </w:r>
          </w:p>
        </w:tc>
        <w:tc>
          <w:tcPr>
            <w:tcW w:type="dxa" w:w="5112"/>
            <w:vAlign w:val="top"/>
          </w:tcPr>
          <w:p>
            <w:pPr>
              <w:spacing w:after="0"/>
              <w:jc w:val="left"/>
            </w:pPr>
            <w:r>
              <w:rPr>
                <w:rFonts w:ascii="Arial" w:hAnsi="Arial"/>
                <w:b w:val="0"/>
                <w:sz w:val="16"/>
              </w:rPr>
              <w:t>object_id, lifecycle_id, project_id, actor_role_id, agent_role_id where applicable, timestamp, version, evidence_pointer</w:t>
            </w:r>
          </w:p>
        </w:tc>
      </w:tr>
      <w:tr>
        <w:trPr>
          <w:cantSplit/>
        </w:trPr>
        <w:tc>
          <w:tcPr>
            <w:tcW w:type="dxa" w:w="5112"/>
            <w:vAlign w:val="top"/>
          </w:tcPr>
          <w:p>
            <w:pPr>
              <w:spacing w:after="0"/>
              <w:jc w:val="left"/>
            </w:pPr>
            <w:r>
              <w:rPr>
                <w:rFonts w:ascii="Arial" w:hAnsi="Arial"/>
                <w:b w:val="0"/>
                <w:sz w:val="16"/>
              </w:rPr>
              <w:t>Required controls</w:t>
            </w:r>
          </w:p>
        </w:tc>
        <w:tc>
          <w:tcPr>
            <w:tcW w:type="dxa" w:w="5112"/>
            <w:vAlign w:val="top"/>
          </w:tcPr>
          <w:p>
            <w:pPr>
              <w:spacing w:after="0"/>
              <w:jc w:val="left"/>
            </w:pPr>
            <w:r>
              <w:rPr>
                <w:rFonts w:ascii="Arial" w:hAnsi="Arial"/>
                <w:b w:val="0"/>
                <w:sz w:val="16"/>
              </w:rPr>
              <w:t>scope boundary, risk class, evidence requirement, privacy treatment, review/approval rule, revocation or closure rule</w:t>
            </w:r>
          </w:p>
        </w:tc>
      </w:tr>
      <w:tr>
        <w:trPr>
          <w:cantSplit/>
        </w:trPr>
        <w:tc>
          <w:tcPr>
            <w:tcW w:type="dxa" w:w="5112"/>
            <w:vAlign w:val="top"/>
          </w:tcPr>
          <w:p>
            <w:pPr>
              <w:spacing w:after="0"/>
              <w:jc w:val="left"/>
            </w:pPr>
            <w:r>
              <w:rPr>
                <w:rFonts w:ascii="Arial" w:hAnsi="Arial"/>
                <w:b w:val="0"/>
                <w:sz w:val="16"/>
              </w:rPr>
              <w:t>Failure if missing</w:t>
            </w:r>
          </w:p>
        </w:tc>
        <w:tc>
          <w:tcPr>
            <w:tcW w:type="dxa" w:w="5112"/>
            <w:vAlign w:val="top"/>
          </w:tcPr>
          <w:p>
            <w:pPr>
              <w:spacing w:after="0"/>
              <w:jc w:val="left"/>
            </w:pPr>
            <w:r>
              <w:rPr>
                <w:rFonts w:ascii="Arial" w:hAnsi="Arial"/>
                <w:b w:val="0"/>
                <w:sz w:val="16"/>
              </w:rPr>
              <w:t>The system may appear governed at UI or workflow level while lacking enforceable accepted outcome compliance semantics.</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determine whether accepted outcome compliance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6-05: MRO-04 Object Card — Accepted Outcome Compliance</w:t>
      </w:r>
    </w:p>
    <w:p/>
    <w:p>
      <w:pPr>
        <w:pStyle w:val="Heading3"/>
      </w:pPr>
      <w:r>
        <w:t>Detailed Discussion</w:t>
      </w:r>
    </w:p>
    <w:p/>
    <w:p>
      <w:r>
        <w:t>Agentic systems often mark work as complete when execution reaches a terminal state. Compliance requires a stronger state: the output must be reviewed against intent, evidence, risk, and acceptance criteria before it becomes an accepted outcome.</w:t>
      </w:r>
    </w:p>
    <w:p/>
    <w:p>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
      <w:r>
        <w:t>The difficulty is that execution engines naturally optimize for terminal states, while governance requires a second state transition from completed output to accepted outcome.</w:t>
      </w:r>
    </w:p>
    <w:p/>
    <w:p>
      <w:pPr>
        <w:pStyle w:val="Heading3"/>
      </w:pPr>
      <w:r>
        <w:t>Enterprise Implication</w:t>
      </w:r>
    </w:p>
    <w:p/>
    <w:p>
      <w:r>
        <w:t>Without accepted-outcome semantics, completed tasks may enter business processes without accountable review. This creates disputes when customers, regulators, or internal stakeholders ask who accepted the work and on what evidence.</w:t>
      </w:r>
    </w:p>
    <w:p/>
    <w:p>
      <w:r>
        <w:t>Orchestrators and SDKs may complete work reliably, but enterprise buyers should ask whether the system can prove accepted delivery rather than executed task closure. Downstream business teams may rely on unaccepted output. In a dispute, the enterprise cannot distinguish whether the problem was execution quality, review failure, or missing acceptance policy.</w:t>
      </w:r>
    </w:p>
    <w:p/>
    <w:p>
      <w:pPr>
        <w:pStyle w:val="Heading3"/>
      </w:pPr>
      <w:r>
        <w:t>Design Implication</w:t>
      </w:r>
    </w:p>
    <w:p/>
    <w:p>
      <w:r>
        <w:t>The accepted_outcome object should bind deliverable ID, plan version, trace reference, reviewer role, acceptance criteria, acceptance decision, dispute window, and remediation path. Completion and acceptance should remain separate states.</w:t>
      </w:r>
    </w:p>
    <w:p/>
    <w:p>
      <w:r>
        <w:t>The implementation test is to identify a completed task and ask: who accepted it, against what criteria, with what evidence, and what is the dispute window? If the answer is that completion equals acceptance, the system has collapsed execution into governance.</w:t>
      </w:r>
    </w:p>
    <w:p/>
    <w:p>
      <w:pPr>
        <w:pStyle w:val="Heading3"/>
      </w:pPr>
      <w:r>
        <w:t>Audit Question</w:t>
      </w:r>
    </w:p>
    <w:p/>
    <w:p>
      <w:r>
        <w:t>For any completed task, can the system identify the acceptance criteria, evidence reviewed, reviewer role, decision timestamp, and dispute window?</w:t>
      </w:r>
    </w:p>
    <w:p/>
    <w:p/>
    <w:p>
      <w:pPr>
        <w:pStyle w:val="Heading2"/>
      </w:pPr>
      <w:r>
        <w:t>6.6 MRO-05 — Tool-Action Liability Boundary</w:t>
      </w:r>
    </w:p>
    <w:p/>
    <w:p>
      <w:pPr>
        <w:pStyle w:val="Heading3"/>
      </w:pPr>
      <w:r>
        <w:t>Problem</w:t>
      </w:r>
    </w:p>
    <w:p/>
    <w:p>
      <w:r>
        <w:t>Agentic AI becomes operationally consequential when it sends, modifies, deploys, purchases, transfers, deletes, or triggers external actions.</w:t>
      </w:r>
    </w:p>
    <w:p/>
    <w:p>
      <w:pPr>
        <w:pStyle w:val="Heading3"/>
      </w:pPr>
      <w:r>
        <w:t>Required Object</w:t>
      </w:r>
    </w:p>
    <w:p/>
    <w:p>
      <w:r>
        <w:t>A tool-action liability object recording initiator, tool identity, external system, authority credential, reversibility, rollback plan, affected data, and owner.</w:t>
      </w:r>
    </w:p>
    <w:p/>
    <w:p>
      <w:pPr>
        <w:pStyle w:val="Heading3"/>
      </w:pPr>
      <w:r>
        <w:t>Judgment</w:t>
      </w:r>
    </w:p>
    <w:p/>
    <w:p>
      <w:r>
        <w:t>Tool use is where AI output becomes external consequence.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purpose</w:t>
            </w:r>
          </w:p>
        </w:tc>
        <w:tc>
          <w:tcPr>
            <w:tcW w:type="dxa" w:w="5112"/>
            <w:vAlign w:val="top"/>
          </w:tcPr>
          <w:p>
            <w:pPr>
              <w:spacing w:after="0"/>
              <w:jc w:val="left"/>
            </w:pPr>
            <w:r>
              <w:rPr>
                <w:rFonts w:ascii="Arial" w:hAnsi="Arial"/>
                <w:b w:val="0"/>
                <w:sz w:val="16"/>
              </w:rPr>
              <w:t>To make tool-action liability boundary explicit, inspectable, and replayable within an agentic lifecycle.</w:t>
            </w:r>
          </w:p>
        </w:tc>
      </w:tr>
      <w:tr>
        <w:trPr>
          <w:cantSplit/>
        </w:trPr>
        <w:tc>
          <w:tcPr>
            <w:tcW w:type="dxa" w:w="5112"/>
            <w:vAlign w:val="top"/>
          </w:tcPr>
          <w:p>
            <w:pPr>
              <w:spacing w:after="0"/>
              <w:jc w:val="left"/>
            </w:pPr>
            <w:r>
              <w:rPr>
                <w:rFonts w:ascii="Arial" w:hAnsi="Arial"/>
                <w:b w:val="0"/>
                <w:sz w:val="16"/>
              </w:rPr>
              <w:t>Minimum identity fields</w:t>
            </w:r>
          </w:p>
        </w:tc>
        <w:tc>
          <w:tcPr>
            <w:tcW w:type="dxa" w:w="5112"/>
            <w:vAlign w:val="top"/>
          </w:tcPr>
          <w:p>
            <w:pPr>
              <w:spacing w:after="0"/>
              <w:jc w:val="left"/>
            </w:pPr>
            <w:r>
              <w:rPr>
                <w:rFonts w:ascii="Arial" w:hAnsi="Arial"/>
                <w:b w:val="0"/>
                <w:sz w:val="16"/>
              </w:rPr>
              <w:t>object_id, lifecycle_id, project_id, actor_role_id, agent_role_id where applicable, timestamp, version, evidence_pointer</w:t>
            </w:r>
          </w:p>
        </w:tc>
      </w:tr>
      <w:tr>
        <w:trPr>
          <w:cantSplit/>
        </w:trPr>
        <w:tc>
          <w:tcPr>
            <w:tcW w:type="dxa" w:w="5112"/>
            <w:vAlign w:val="top"/>
          </w:tcPr>
          <w:p>
            <w:pPr>
              <w:spacing w:after="0"/>
              <w:jc w:val="left"/>
            </w:pPr>
            <w:r>
              <w:rPr>
                <w:rFonts w:ascii="Arial" w:hAnsi="Arial"/>
                <w:b w:val="0"/>
                <w:sz w:val="16"/>
              </w:rPr>
              <w:t>Required controls</w:t>
            </w:r>
          </w:p>
        </w:tc>
        <w:tc>
          <w:tcPr>
            <w:tcW w:type="dxa" w:w="5112"/>
            <w:vAlign w:val="top"/>
          </w:tcPr>
          <w:p>
            <w:pPr>
              <w:spacing w:after="0"/>
              <w:jc w:val="left"/>
            </w:pPr>
            <w:r>
              <w:rPr>
                <w:rFonts w:ascii="Arial" w:hAnsi="Arial"/>
                <w:b w:val="0"/>
                <w:sz w:val="16"/>
              </w:rPr>
              <w:t>scope boundary, risk class, evidence requirement, privacy treatment, review/approval rule, revocation or closure rule</w:t>
            </w:r>
          </w:p>
        </w:tc>
      </w:tr>
      <w:tr>
        <w:trPr>
          <w:cantSplit/>
        </w:trPr>
        <w:tc>
          <w:tcPr>
            <w:tcW w:type="dxa" w:w="5112"/>
            <w:vAlign w:val="top"/>
          </w:tcPr>
          <w:p>
            <w:pPr>
              <w:spacing w:after="0"/>
              <w:jc w:val="left"/>
            </w:pPr>
            <w:r>
              <w:rPr>
                <w:rFonts w:ascii="Arial" w:hAnsi="Arial"/>
                <w:b w:val="0"/>
                <w:sz w:val="16"/>
              </w:rPr>
              <w:t>Failure if missing</w:t>
            </w:r>
          </w:p>
        </w:tc>
        <w:tc>
          <w:tcPr>
            <w:tcW w:type="dxa" w:w="5112"/>
            <w:vAlign w:val="top"/>
          </w:tcPr>
          <w:p>
            <w:pPr>
              <w:spacing w:after="0"/>
              <w:jc w:val="left"/>
            </w:pPr>
            <w:r>
              <w:rPr>
                <w:rFonts w:ascii="Arial" w:hAnsi="Arial"/>
                <w:b w:val="0"/>
                <w:sz w:val="16"/>
              </w:rPr>
              <w:t>The system may appear governed at UI or workflow level while lacking enforceable tool-action liability boundary semantics.</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determine whether tool-action liability boundary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6-06: MRO-05 Object Card — Tool-Action Liability Boundary</w:t>
      </w:r>
    </w:p>
    <w:p/>
    <w:p>
      <w:pPr>
        <w:pStyle w:val="Heading3"/>
      </w:pPr>
      <w:r>
        <w:t>Detailed Discussion</w:t>
      </w:r>
    </w:p>
    <w:p/>
    <w:p>
      <w:r>
        <w:t>Tool use is the moment where AI output becomes external consequence. Sending email, changing records, deploying code, querying regulated data, or triggering payment workflows each carries different liability and reversibility properties.</w:t>
      </w:r>
    </w:p>
    <w:p/>
    <w:p>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
      <w:r>
        <w:t>The difficulty is that a tool log alone may show that an action happened, but not whether the agent had authority, whether the action was reversible, which system was affected, or who owns the resulting consequence.</w:t>
      </w:r>
    </w:p>
    <w:p/>
    <w:p>
      <w:pPr>
        <w:pStyle w:val="Heading3"/>
      </w:pPr>
      <w:r>
        <w:t>Enterprise Implication</w:t>
      </w:r>
    </w:p>
    <w:p/>
    <w:p>
      <w:r>
        <w:t>A tool log alone may show that an action happened, but not whether the agent had authority, whether the action was reversible, which system was affected, or who owns the resulting consequence.</w:t>
      </w:r>
    </w:p>
    <w:p/>
    <w:p>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
      <w:r>
        <w:t>Cloud IAM and API permission controls are valuable adjacent capabilities, but they become lifecycle conformance only when they bind the specific tool action to authority, reversibility, affected systems, and accountable ownership. The market implication is that buyers should ask whether the system can reconstruct the full liability context for any consequential tool action.</w:t>
      </w:r>
    </w:p>
    <w:p/>
    <w:p>
      <w:pPr>
        <w:pStyle w:val="Heading3"/>
      </w:pPr>
      <w:r>
        <w:t>Design Implication</w:t>
      </w:r>
    </w:p>
    <w:p/>
    <w:p>
      <w:r>
        <w:t>Every consequential tool action should produce a liability boundary record: initiator, authority source, target system, action type, reversibility, rollback path, data sensitivity, evidence pointer, and accountable owner.</w:t>
      </w:r>
    </w:p>
    <w:p/>
    <w:p>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
      <w:pPr>
        <w:pStyle w:val="Heading3"/>
      </w:pPr>
      <w:r>
        <w:t>Audit Question</w:t>
      </w:r>
    </w:p>
    <w:p/>
    <w:p>
      <w:r>
        <w:t>For any consequential tool action, can the system reconstruct the initiator, authority source, affected system, reversibility status, rollback path, and accountable owner?</w:t>
      </w:r>
    </w:p>
    <w:p/>
    <w:p/>
    <w:p>
      <w:pPr>
        <w:pStyle w:val="Heading2"/>
      </w:pPr>
      <w:r>
        <w:t>6.7 MRO-06 — Responsibility Transfer Across Agents</w:t>
      </w:r>
    </w:p>
    <w:p/>
    <w:p>
      <w:pPr>
        <w:pStyle w:val="Heading3"/>
      </w:pPr>
      <w:r>
        <w:t>Problem</w:t>
      </w:r>
    </w:p>
    <w:p/>
    <w:p>
      <w:r>
        <w:t>Handoff in a workflow engine does not automatically transfer responsibility, inherited constraints, retained obligations, or evidence duties.</w:t>
      </w:r>
    </w:p>
    <w:p/>
    <w:p>
      <w:pPr>
        <w:pStyle w:val="Heading3"/>
      </w:pPr>
      <w:r>
        <w:t>Required Object</w:t>
      </w:r>
    </w:p>
    <w:p/>
    <w:p>
      <w:r>
        <w:t>A transfer object declaring transferred scope, source role, receiving role, retained responsibilities, inherited constraints, and receiving-role acceptance.</w:t>
      </w:r>
    </w:p>
    <w:p/>
    <w:p>
      <w:pPr>
        <w:pStyle w:val="Heading3"/>
      </w:pPr>
      <w:r>
        <w:t>Judgment</w:t>
      </w:r>
    </w:p>
    <w:p/>
    <w:p>
      <w:r>
        <w:t>Handoff without explicit responsibility transfer is just routing.</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purpose</w:t>
            </w:r>
          </w:p>
        </w:tc>
        <w:tc>
          <w:tcPr>
            <w:tcW w:type="dxa" w:w="5112"/>
            <w:vAlign w:val="top"/>
          </w:tcPr>
          <w:p>
            <w:pPr>
              <w:spacing w:after="0"/>
              <w:jc w:val="left"/>
            </w:pPr>
            <w:r>
              <w:rPr>
                <w:rFonts w:ascii="Arial" w:hAnsi="Arial"/>
                <w:b w:val="0"/>
                <w:sz w:val="16"/>
              </w:rPr>
              <w:t>To make responsibility transfer across agents explicit, inspectable, and replayable within an agentic lifecycle.</w:t>
            </w:r>
          </w:p>
        </w:tc>
      </w:tr>
      <w:tr>
        <w:trPr>
          <w:cantSplit/>
        </w:trPr>
        <w:tc>
          <w:tcPr>
            <w:tcW w:type="dxa" w:w="5112"/>
            <w:vAlign w:val="top"/>
          </w:tcPr>
          <w:p>
            <w:pPr>
              <w:spacing w:after="0"/>
              <w:jc w:val="left"/>
            </w:pPr>
            <w:r>
              <w:rPr>
                <w:rFonts w:ascii="Arial" w:hAnsi="Arial"/>
                <w:b w:val="0"/>
                <w:sz w:val="16"/>
              </w:rPr>
              <w:t>Minimum identity fields</w:t>
            </w:r>
          </w:p>
        </w:tc>
        <w:tc>
          <w:tcPr>
            <w:tcW w:type="dxa" w:w="5112"/>
            <w:vAlign w:val="top"/>
          </w:tcPr>
          <w:p>
            <w:pPr>
              <w:spacing w:after="0"/>
              <w:jc w:val="left"/>
            </w:pPr>
            <w:r>
              <w:rPr>
                <w:rFonts w:ascii="Arial" w:hAnsi="Arial"/>
                <w:b w:val="0"/>
                <w:sz w:val="16"/>
              </w:rPr>
              <w:t>object_id, lifecycle_id, project_id, actor_role_id, agent_role_id where applicable, timestamp, version, evidence_pointer</w:t>
            </w:r>
          </w:p>
        </w:tc>
      </w:tr>
      <w:tr>
        <w:trPr>
          <w:cantSplit/>
        </w:trPr>
        <w:tc>
          <w:tcPr>
            <w:tcW w:type="dxa" w:w="5112"/>
            <w:vAlign w:val="top"/>
          </w:tcPr>
          <w:p>
            <w:pPr>
              <w:spacing w:after="0"/>
              <w:jc w:val="left"/>
            </w:pPr>
            <w:r>
              <w:rPr>
                <w:rFonts w:ascii="Arial" w:hAnsi="Arial"/>
                <w:b w:val="0"/>
                <w:sz w:val="16"/>
              </w:rPr>
              <w:t>Required controls</w:t>
            </w:r>
          </w:p>
        </w:tc>
        <w:tc>
          <w:tcPr>
            <w:tcW w:type="dxa" w:w="5112"/>
            <w:vAlign w:val="top"/>
          </w:tcPr>
          <w:p>
            <w:pPr>
              <w:spacing w:after="0"/>
              <w:jc w:val="left"/>
            </w:pPr>
            <w:r>
              <w:rPr>
                <w:rFonts w:ascii="Arial" w:hAnsi="Arial"/>
                <w:b w:val="0"/>
                <w:sz w:val="16"/>
              </w:rPr>
              <w:t>scope boundary, risk class, evidence requirement, privacy treatment, review/approval rule, revocation or closure rule</w:t>
            </w:r>
          </w:p>
        </w:tc>
      </w:tr>
      <w:tr>
        <w:trPr>
          <w:cantSplit/>
        </w:trPr>
        <w:tc>
          <w:tcPr>
            <w:tcW w:type="dxa" w:w="5112"/>
            <w:vAlign w:val="top"/>
          </w:tcPr>
          <w:p>
            <w:pPr>
              <w:spacing w:after="0"/>
              <w:jc w:val="left"/>
            </w:pPr>
            <w:r>
              <w:rPr>
                <w:rFonts w:ascii="Arial" w:hAnsi="Arial"/>
                <w:b w:val="0"/>
                <w:sz w:val="16"/>
              </w:rPr>
              <w:t>Failure if missing</w:t>
            </w:r>
          </w:p>
        </w:tc>
        <w:tc>
          <w:tcPr>
            <w:tcW w:type="dxa" w:w="5112"/>
            <w:vAlign w:val="top"/>
          </w:tcPr>
          <w:p>
            <w:pPr>
              <w:spacing w:after="0"/>
              <w:jc w:val="left"/>
            </w:pPr>
            <w:r>
              <w:rPr>
                <w:rFonts w:ascii="Arial" w:hAnsi="Arial"/>
                <w:b w:val="0"/>
                <w:sz w:val="16"/>
              </w:rPr>
              <w:t>The system may appear governed at UI or workflow level while lacking enforceable responsibility transfer across agents semantics.</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determine whether responsibility transfer across agents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6-07: MRO-06 Object Card — Responsibility Transfer Across Agents</w:t>
      </w:r>
    </w:p>
    <w:p/>
    <w:p>
      <w:pPr>
        <w:pStyle w:val="Heading3"/>
      </w:pPr>
      <w:r>
        <w:t>Detailed Discussion</w:t>
      </w:r>
    </w:p>
    <w:p/>
    <w:p>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
      <w:r>
        <w:t>Agent handoff is not automatically responsibility transfer. A receiving agent must inherit constraints, evidence duties, privacy limitations, escalation rules, and acceptance conditions. Upstream and downstream responsibility must remain reconstructable.</w:t>
      </w:r>
    </w:p>
    <w:p/>
    <w:p>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
      <w:pPr>
        <w:pStyle w:val="Heading3"/>
      </w:pPr>
      <w:r>
        <w:t>Enterprise Implication</w:t>
      </w:r>
    </w:p>
    <w:p/>
    <w:p>
      <w:r>
        <w:t>If transfer is implicit, responsibility fragments. A downstream agent can claim it only followed instructions while the upstream agent no longer controls execution, leaving a gap in audit and remediation.</w:t>
      </w:r>
    </w:p>
    <w:p/>
    <w:p>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
      <w:r>
        <w:t>Multi-agent frameworks often score well on collaboration metaphors but lower on accountability semantics unless transfer objects include responsibility, evidence, and escalation duties. The market implication is that buyers should ask whether the system can reconstruct responsibility continuity across agent handoffs.</w:t>
      </w:r>
    </w:p>
    <w:p/>
    <w:p>
      <w:pPr>
        <w:pStyle w:val="Heading3"/>
      </w:pPr>
      <w:r>
        <w:t>Design Implication</w:t>
      </w:r>
    </w:p>
    <w:p/>
    <w:p>
      <w:r>
        <w:t>Responsibility transfer should be explicit: transferred scope, retained scope, inherited constraints, evidence obligations, receiving-role acceptance, and rejection/escalation behavior must be recorded.</w:t>
      </w:r>
    </w:p>
    <w:p/>
    <w:p>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
      <w:pPr>
        <w:pStyle w:val="Heading3"/>
      </w:pPr>
      <w:r>
        <w:t>Audit Question</w:t>
      </w:r>
    </w:p>
    <w:p/>
    <w:p>
      <w:r>
        <w:t>For any multi-agent workflow, can the system reconstruct which agent held which responsibility at each handoff, including transferred scope, retained scope, and inherited constraints?</w:t>
      </w:r>
    </w:p>
    <w:p/>
    <w:p/>
    <w:p>
      <w:pPr>
        <w:pStyle w:val="Heading2"/>
      </w:pPr>
      <w:r>
        <w:t>6.8 MRO-07 — Authority Drift</w:t>
      </w:r>
    </w:p>
    <w:p/>
    <w:p>
      <w:pPr>
        <w:pStyle w:val="Heading3"/>
      </w:pPr>
      <w:r>
        <w:t>Problem</w:t>
      </w:r>
    </w:p>
    <w:p/>
    <w:p>
      <w:r>
        <w:t>Agents can drift from advising to executing, drafting to sending, reading to modifying, or summarizing to committing changes.</w:t>
      </w:r>
    </w:p>
    <w:p/>
    <w:p>
      <w:pPr>
        <w:pStyle w:val="Heading3"/>
      </w:pPr>
      <w:r>
        <w:t>Required Object</w:t>
      </w:r>
    </w:p>
    <w:p/>
    <w:p>
      <w:r>
        <w:t>A drift event model comparing observed behavior against original delegated authority, risk class, tool scope, and required confirmation boundary.</w:t>
      </w:r>
    </w:p>
    <w:p/>
    <w:p>
      <w:pPr>
        <w:pStyle w:val="Heading3"/>
      </w:pPr>
      <w:r>
        <w:t>Judgment</w:t>
      </w:r>
    </w:p>
    <w:p/>
    <w:p>
      <w:r>
        <w:t>The most dangerous agent failures are often unauthorized authority transitions.</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purpose</w:t>
            </w:r>
          </w:p>
        </w:tc>
        <w:tc>
          <w:tcPr>
            <w:tcW w:type="dxa" w:w="5112"/>
            <w:vAlign w:val="top"/>
          </w:tcPr>
          <w:p>
            <w:pPr>
              <w:spacing w:after="0"/>
              <w:jc w:val="left"/>
            </w:pPr>
            <w:r>
              <w:rPr>
                <w:rFonts w:ascii="Arial" w:hAnsi="Arial"/>
                <w:b w:val="0"/>
                <w:sz w:val="16"/>
              </w:rPr>
              <w:t>To make authority drift explicit, inspectable, and replayable within an agentic lifecycle.</w:t>
            </w:r>
          </w:p>
        </w:tc>
      </w:tr>
      <w:tr>
        <w:trPr>
          <w:cantSplit/>
        </w:trPr>
        <w:tc>
          <w:tcPr>
            <w:tcW w:type="dxa" w:w="5112"/>
            <w:vAlign w:val="top"/>
          </w:tcPr>
          <w:p>
            <w:pPr>
              <w:spacing w:after="0"/>
              <w:jc w:val="left"/>
            </w:pPr>
            <w:r>
              <w:rPr>
                <w:rFonts w:ascii="Arial" w:hAnsi="Arial"/>
                <w:b w:val="0"/>
                <w:sz w:val="16"/>
              </w:rPr>
              <w:t>Minimum identity fields</w:t>
            </w:r>
          </w:p>
        </w:tc>
        <w:tc>
          <w:tcPr>
            <w:tcW w:type="dxa" w:w="5112"/>
            <w:vAlign w:val="top"/>
          </w:tcPr>
          <w:p>
            <w:pPr>
              <w:spacing w:after="0"/>
              <w:jc w:val="left"/>
            </w:pPr>
            <w:r>
              <w:rPr>
                <w:rFonts w:ascii="Arial" w:hAnsi="Arial"/>
                <w:b w:val="0"/>
                <w:sz w:val="16"/>
              </w:rPr>
              <w:t>object_id, lifecycle_id, project_id, actor_role_id, agent_role_id where applicable, timestamp, version, evidence_pointer</w:t>
            </w:r>
          </w:p>
        </w:tc>
      </w:tr>
      <w:tr>
        <w:trPr>
          <w:cantSplit/>
        </w:trPr>
        <w:tc>
          <w:tcPr>
            <w:tcW w:type="dxa" w:w="5112"/>
            <w:vAlign w:val="top"/>
          </w:tcPr>
          <w:p>
            <w:pPr>
              <w:spacing w:after="0"/>
              <w:jc w:val="left"/>
            </w:pPr>
            <w:r>
              <w:rPr>
                <w:rFonts w:ascii="Arial" w:hAnsi="Arial"/>
                <w:b w:val="0"/>
                <w:sz w:val="16"/>
              </w:rPr>
              <w:t>Required controls</w:t>
            </w:r>
          </w:p>
        </w:tc>
        <w:tc>
          <w:tcPr>
            <w:tcW w:type="dxa" w:w="5112"/>
            <w:vAlign w:val="top"/>
          </w:tcPr>
          <w:p>
            <w:pPr>
              <w:spacing w:after="0"/>
              <w:jc w:val="left"/>
            </w:pPr>
            <w:r>
              <w:rPr>
                <w:rFonts w:ascii="Arial" w:hAnsi="Arial"/>
                <w:b w:val="0"/>
                <w:sz w:val="16"/>
              </w:rPr>
              <w:t>scope boundary, risk class, evidence requirement, privacy treatment, review/approval rule, revocation or closure rule</w:t>
            </w:r>
          </w:p>
        </w:tc>
      </w:tr>
      <w:tr>
        <w:trPr>
          <w:cantSplit/>
        </w:trPr>
        <w:tc>
          <w:tcPr>
            <w:tcW w:type="dxa" w:w="5112"/>
            <w:vAlign w:val="top"/>
          </w:tcPr>
          <w:p>
            <w:pPr>
              <w:spacing w:after="0"/>
              <w:jc w:val="left"/>
            </w:pPr>
            <w:r>
              <w:rPr>
                <w:rFonts w:ascii="Arial" w:hAnsi="Arial"/>
                <w:b w:val="0"/>
                <w:sz w:val="16"/>
              </w:rPr>
              <w:t>Failure if missing</w:t>
            </w:r>
          </w:p>
        </w:tc>
        <w:tc>
          <w:tcPr>
            <w:tcW w:type="dxa" w:w="5112"/>
            <w:vAlign w:val="top"/>
          </w:tcPr>
          <w:p>
            <w:pPr>
              <w:spacing w:after="0"/>
              <w:jc w:val="left"/>
            </w:pPr>
            <w:r>
              <w:rPr>
                <w:rFonts w:ascii="Arial" w:hAnsi="Arial"/>
                <w:b w:val="0"/>
                <w:sz w:val="16"/>
              </w:rPr>
              <w:t>The system may appear governed at UI or workflow level while lacking enforceable authority drift semantics.</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determine whether authority drift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6-08: MRO-07 Object Card — Authority Drift</w:t>
      </w:r>
    </w:p>
    <w:p/>
    <w:p>
      <w:pPr>
        <w:pStyle w:val="Heading3"/>
      </w:pPr>
      <w:r>
        <w:t>Detailed Discussion</w:t>
      </w:r>
    </w:p>
    <w:p/>
    <w:p>
      <w:r>
        <w:t>Authority drift occurs when an agent gradually moves from advice to execution, from draft to send, from read-only to write, or from internal recommendation to external commitment. It is often a transition problem rather than a single bad output.</w:t>
      </w:r>
    </w:p>
    <w:p/>
    <w:p>
      <w:r>
        <w:t>Authority drift happens when an agent moves from advice to execution, draft to send, read to write, or internal recommendation to external commitment without a new authority boundary or confirmation event.</w:t>
      </w:r>
    </w:p>
    <w:p/>
    <w:p>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
      <w:r>
        <w:t>The difficulty is that drift is dangerous because each local step may appear reasonable while the cumulative lifecycle state exceeds the original delegation. This is especially acute in long-running workflows, autonomous retries, or agent loops.</w:t>
      </w:r>
    </w:p>
    <w:p/>
    <w:p>
      <w:pPr>
        <w:pStyle w:val="Heading3"/>
      </w:pPr>
      <w:r>
        <w:t>Enterprise Implication</w:t>
      </w:r>
    </w:p>
    <w:p/>
    <w:p>
      <w:r>
        <w:t>Drift is dangerous because each local step may appear reasonable while the cumulative lifecycle state exceeds the original delegation. This is especially acute in long-running workflows, autonomous retries, or agent loops.</w:t>
      </w:r>
    </w:p>
    <w:p/>
    <w:p>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
      <w:r>
        <w:t>Guardrails and content filters are valuable adjacent controls, but they become lifecycle conformance only when they monitor authority boundaries across the full execution timeline. The market implication is that buyers should ask whether the system can detect and halt unauthorized authority transitions before they cause external consequence.</w:t>
      </w:r>
    </w:p>
    <w:p/>
    <w:p>
      <w:pPr>
        <w:pStyle w:val="Heading3"/>
      </w:pPr>
      <w:r>
        <w:t>Design Implication</w:t>
      </w:r>
    </w:p>
    <w:p/>
    <w:p>
      <w:r>
        <w:t>The system should compare observed behavior against original authority boundaries and plan state. Unauthorized transitions should trigger stop, downgrade, or human confirmation rather than being treated as ordinary execution variance.</w:t>
      </w:r>
    </w:p>
    <w:p/>
    <w:p>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
      <w:pPr>
        <w:pStyle w:val="Heading3"/>
      </w:pPr>
      <w:r>
        <w:t>Audit Question</w:t>
      </w:r>
    </w:p>
    <w:p/>
    <w:p>
      <w:r>
        <w:t>For any long-running workflow, can the system detect when an agent's observed behavior exceeds its original authority boundary, and does it halt or escalate before external consequence?</w:t>
      </w:r>
    </w:p>
    <w:p/>
    <w:p/>
    <w:p>
      <w:pPr>
        <w:pStyle w:val="Heading2"/>
      </w:pPr>
      <w:r>
        <w:t>6.9 MRO-08 — MAS Evidence Partitioning</w:t>
      </w:r>
    </w:p>
    <w:p/>
    <w:p>
      <w:pPr>
        <w:pStyle w:val="Heading3"/>
      </w:pPr>
      <w:r>
        <w:t>Problem</w:t>
      </w:r>
    </w:p>
    <w:p/>
    <w:p>
      <w:r>
        <w:t>A flat chronological log cannot show how different agents, tools, humans, plans, privacy constraints, and evidence fragments relate.</w:t>
      </w:r>
    </w:p>
    <w:p/>
    <w:p>
      <w:pPr>
        <w:pStyle w:val="Heading3"/>
      </w:pPr>
      <w:r>
        <w:t>Required Object</w:t>
      </w:r>
    </w:p>
    <w:p/>
    <w:p>
      <w:r>
        <w:t>Partitioned evidence by agent, tool, human confirmation, plan version, authority boundary, privacy boundary, and accepted outcome.</w:t>
      </w:r>
    </w:p>
    <w:p/>
    <w:p>
      <w:pPr>
        <w:pStyle w:val="Heading3"/>
      </w:pPr>
      <w:r>
        <w:t>Judgment</w:t>
      </w:r>
    </w:p>
    <w:p/>
    <w:p>
      <w:r>
        <w:t>In MAS, evidence must be partitioned, linked, and reconstructable.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purpose</w:t>
            </w:r>
          </w:p>
        </w:tc>
        <w:tc>
          <w:tcPr>
            <w:tcW w:type="dxa" w:w="5112"/>
            <w:vAlign w:val="top"/>
          </w:tcPr>
          <w:p>
            <w:pPr>
              <w:spacing w:after="0"/>
              <w:jc w:val="left"/>
            </w:pPr>
            <w:r>
              <w:rPr>
                <w:rFonts w:ascii="Arial" w:hAnsi="Arial"/>
                <w:b w:val="0"/>
                <w:sz w:val="16"/>
              </w:rPr>
              <w:t>To make MAS evidence partitioning explicit, inspectable, and replayable within an agentic lifecycle.</w:t>
            </w:r>
          </w:p>
        </w:tc>
      </w:tr>
      <w:tr>
        <w:trPr>
          <w:cantSplit/>
        </w:trPr>
        <w:tc>
          <w:tcPr>
            <w:tcW w:type="dxa" w:w="5112"/>
            <w:vAlign w:val="top"/>
          </w:tcPr>
          <w:p>
            <w:pPr>
              <w:spacing w:after="0"/>
              <w:jc w:val="left"/>
            </w:pPr>
            <w:r>
              <w:rPr>
                <w:rFonts w:ascii="Arial" w:hAnsi="Arial"/>
                <w:b w:val="0"/>
                <w:sz w:val="16"/>
              </w:rPr>
              <w:t>Minimum identity fields</w:t>
            </w:r>
          </w:p>
        </w:tc>
        <w:tc>
          <w:tcPr>
            <w:tcW w:type="dxa" w:w="5112"/>
            <w:vAlign w:val="top"/>
          </w:tcPr>
          <w:p>
            <w:pPr>
              <w:spacing w:after="0"/>
              <w:jc w:val="left"/>
            </w:pPr>
            <w:r>
              <w:rPr>
                <w:rFonts w:ascii="Arial" w:hAnsi="Arial"/>
                <w:b w:val="0"/>
                <w:sz w:val="16"/>
              </w:rPr>
              <w:t>object_id, lifecycle_id, project_id, actor_role_id, agent_role_id where applicable, timestamp, version, evidence_pointer</w:t>
            </w:r>
          </w:p>
        </w:tc>
      </w:tr>
      <w:tr>
        <w:trPr>
          <w:cantSplit/>
        </w:trPr>
        <w:tc>
          <w:tcPr>
            <w:tcW w:type="dxa" w:w="5112"/>
            <w:vAlign w:val="top"/>
          </w:tcPr>
          <w:p>
            <w:pPr>
              <w:spacing w:after="0"/>
              <w:jc w:val="left"/>
            </w:pPr>
            <w:r>
              <w:rPr>
                <w:rFonts w:ascii="Arial" w:hAnsi="Arial"/>
                <w:b w:val="0"/>
                <w:sz w:val="16"/>
              </w:rPr>
              <w:t>Required controls</w:t>
            </w:r>
          </w:p>
        </w:tc>
        <w:tc>
          <w:tcPr>
            <w:tcW w:type="dxa" w:w="5112"/>
            <w:vAlign w:val="top"/>
          </w:tcPr>
          <w:p>
            <w:pPr>
              <w:spacing w:after="0"/>
              <w:jc w:val="left"/>
            </w:pPr>
            <w:r>
              <w:rPr>
                <w:rFonts w:ascii="Arial" w:hAnsi="Arial"/>
                <w:b w:val="0"/>
                <w:sz w:val="16"/>
              </w:rPr>
              <w:t>scope boundary, risk class, evidence requirement, privacy treatment, review/approval rule, revocation or closure rule</w:t>
            </w:r>
          </w:p>
        </w:tc>
      </w:tr>
      <w:tr>
        <w:trPr>
          <w:cantSplit/>
        </w:trPr>
        <w:tc>
          <w:tcPr>
            <w:tcW w:type="dxa" w:w="5112"/>
            <w:vAlign w:val="top"/>
          </w:tcPr>
          <w:p>
            <w:pPr>
              <w:spacing w:after="0"/>
              <w:jc w:val="left"/>
            </w:pPr>
            <w:r>
              <w:rPr>
                <w:rFonts w:ascii="Arial" w:hAnsi="Arial"/>
                <w:b w:val="0"/>
                <w:sz w:val="16"/>
              </w:rPr>
              <w:t>Failure if missing</w:t>
            </w:r>
          </w:p>
        </w:tc>
        <w:tc>
          <w:tcPr>
            <w:tcW w:type="dxa" w:w="5112"/>
            <w:vAlign w:val="top"/>
          </w:tcPr>
          <w:p>
            <w:pPr>
              <w:spacing w:after="0"/>
              <w:jc w:val="left"/>
            </w:pPr>
            <w:r>
              <w:rPr>
                <w:rFonts w:ascii="Arial" w:hAnsi="Arial"/>
                <w:b w:val="0"/>
                <w:sz w:val="16"/>
              </w:rPr>
              <w:t>The system may appear governed at UI or workflow level while lacking enforceable MAS evidence partitioning semantics.</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determine whether MAS evidence partitioning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6-09: MRO-08 Object Card — MAS Evidence Partitioning</w:t>
      </w:r>
    </w:p>
    <w:p/>
    <w:p>
      <w:pPr>
        <w:pStyle w:val="Heading3"/>
      </w:pPr>
      <w:r>
        <w:t>Detailed Discussion</w:t>
      </w:r>
    </w:p>
    <w:p/>
    <w:p>
      <w:r>
        <w:t>Multi-agent evidence is not a single log stream. It includes plan versions, agent messages, tool calls, human confirmations, data accesses, privacy decisions, model outputs, evidence hashes, and outcome states. Different auditors may need different partitions.</w:t>
      </w:r>
    </w:p>
    <w:p/>
    <w:p>
      <w:r>
        <w:t>A flat log is not enough for MAS governance. Evidence must be partitioned by agent, role, tool, plan version, authority boundary, privacy class, human confirmation, and accepted outcome so that disputes, audits, selective disclosure, and remediation can be reconstructed.</w:t>
      </w:r>
    </w:p>
    <w:p/>
    <w:p>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
      <w:pPr>
        <w:pStyle w:val="Heading3"/>
      </w:pPr>
      <w:r>
        <w:t>Enterprise Implication</w:t>
      </w:r>
    </w:p>
    <w:p/>
    <w:p>
      <w:r>
        <w:t>Flat logs are difficult to use in disputes because they mix irrelevant telemetry with critical proof. They also make selective disclosure and privacy minimization harder because sensitive payloads and governance metadata are not separated.</w:t>
      </w:r>
    </w:p>
    <w:p/>
    <w:p>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
      <w:r>
        <w:t>Observability platforms and trace systems are valuable adjacent capabilities, but they become lifecycle conformance only when they partition evidence by governance boundaries rather than only by execution timeline. The market implication is that buyers should ask whether the system can reconstruct evidence for specific agents, tools, privacy classes, and accepted outcomes without exposing the full raw log.</w:t>
      </w:r>
    </w:p>
    <w:p/>
    <w:p>
      <w:pPr>
        <w:pStyle w:val="Heading3"/>
      </w:pPr>
      <w:r>
        <w:t>Design Implication</w:t>
      </w:r>
    </w:p>
    <w:p/>
    <w:p>
      <w:r>
        <w:t>Evidence should be partitioned by agent, tool, authority boundary, privacy class, confirmation event, plan version, and accepted outcome. Partitions should be linked by stable identifiers and integrity hashes.</w:t>
      </w:r>
    </w:p>
    <w:p/>
    <w:p>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
      <w:pPr>
        <w:pStyle w:val="Heading3"/>
      </w:pPr>
      <w:r>
        <w:t>Audit Question</w:t>
      </w:r>
    </w:p>
    <w:p/>
    <w:p>
      <w:r>
        <w:t>For any completed multi-agent workflow, can the system reconstruct evidence partitions for specific agents, tools, privacy classes, and accepted outcomes without exposing unnecessary raw data?</w:t>
      </w:r>
    </w:p>
    <w:p/>
    <w:p/>
    <w:p>
      <w:pPr>
        <w:pStyle w:val="Heading2"/>
      </w:pPr>
      <w:r>
        <w:t>6.10 MRO-09 — Cross-Project Reuse Compliance</w:t>
      </w:r>
    </w:p>
    <w:p/>
    <w:p>
      <w:pPr>
        <w:pStyle w:val="Heading3"/>
      </w:pPr>
      <w:r>
        <w:t>Problem</w:t>
      </w:r>
    </w:p>
    <w:p/>
    <w:p>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
      <w:pPr>
        <w:pStyle w:val="Heading3"/>
      </w:pPr>
      <w:r>
        <w:t>Required Object</w:t>
      </w:r>
    </w:p>
    <w:p/>
    <w:p>
      <w:r>
        <w:t>A cross-project reuse compliance record linking original validation context to new deployment context, including authority reset, privacy review, evidence revalidation, and acceptance criteria adjustment.</w:t>
      </w:r>
    </w:p>
    <w:p/>
    <w:p>
      <w:pPr>
        <w:pStyle w:val="Heading3"/>
      </w:pPr>
      <w:r>
        <w:t>Judgment</w:t>
      </w:r>
    </w:p>
    <w:p/>
    <w:p>
      <w:r>
        <w:t>Judgment: Reuse without revalidation is the most common lifecycle governance failure.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Name</w:t>
            </w:r>
          </w:p>
        </w:tc>
        <w:tc>
          <w:tcPr>
            <w:tcW w:type="dxa" w:w="5112"/>
            <w:vAlign w:val="top"/>
          </w:tcPr>
          <w:p>
            <w:pPr>
              <w:spacing w:after="0"/>
              <w:jc w:val="left"/>
            </w:pPr>
            <w:r>
              <w:rPr>
                <w:rFonts w:ascii="Arial" w:hAnsi="Arial"/>
                <w:b w:val="0"/>
                <w:sz w:val="16"/>
              </w:rPr>
              <w:t>Cross-Project Reuse Compliance Record</w:t>
            </w:r>
          </w:p>
        </w:tc>
      </w:tr>
      <w:tr>
        <w:trPr>
          <w:cantSplit/>
        </w:trPr>
        <w:tc>
          <w:tcPr>
            <w:tcW w:type="dxa" w:w="5112"/>
            <w:vAlign w:val="top"/>
          </w:tcPr>
          <w:p>
            <w:pPr>
              <w:spacing w:after="0"/>
              <w:jc w:val="left"/>
            </w:pPr>
            <w:r>
              <w:rPr>
                <w:rFonts w:ascii="Arial" w:hAnsi="Arial"/>
                <w:b w:val="0"/>
                <w:sz w:val="16"/>
              </w:rPr>
              <w:t>Lifecycle Phase</w:t>
            </w:r>
          </w:p>
        </w:tc>
        <w:tc>
          <w:tcPr>
            <w:tcW w:type="dxa" w:w="5112"/>
            <w:vAlign w:val="top"/>
          </w:tcPr>
          <w:p>
            <w:pPr>
              <w:spacing w:after="0"/>
              <w:jc w:val="left"/>
            </w:pPr>
            <w:r>
              <w:rPr>
                <w:rFonts w:ascii="Arial" w:hAnsi="Arial"/>
                <w:b w:val="0"/>
                <w:sz w:val="16"/>
              </w:rPr>
              <w:t>Reuse, deployment, cross-project transfer</w:t>
            </w:r>
          </w:p>
        </w:tc>
      </w:tr>
      <w:tr>
        <w:trPr>
          <w:cantSplit/>
        </w:trPr>
        <w:tc>
          <w:tcPr>
            <w:tcW w:type="dxa" w:w="5112"/>
            <w:vAlign w:val="top"/>
          </w:tcPr>
          <w:p>
            <w:pPr>
              <w:spacing w:after="0"/>
              <w:jc w:val="left"/>
            </w:pPr>
            <w:r>
              <w:rPr>
                <w:rFonts w:ascii="Arial" w:hAnsi="Arial"/>
                <w:b w:val="0"/>
                <w:sz w:val="16"/>
              </w:rPr>
              <w:t>Responsibility Boundary</w:t>
            </w:r>
          </w:p>
        </w:tc>
        <w:tc>
          <w:tcPr>
            <w:tcW w:type="dxa" w:w="5112"/>
            <w:vAlign w:val="top"/>
          </w:tcPr>
          <w:p>
            <w:pPr>
              <w:spacing w:after="0"/>
              <w:jc w:val="left"/>
            </w:pPr>
            <w:r>
              <w:rPr>
                <w:rFonts w:ascii="Arial" w:hAnsi="Arial"/>
                <w:b w:val="0"/>
                <w:sz w:val="16"/>
              </w:rPr>
              <w:t>Original validator, receiving project owner, reuse approver</w:t>
            </w:r>
          </w:p>
        </w:tc>
      </w:tr>
      <w:tr>
        <w:trPr>
          <w:cantSplit/>
        </w:trPr>
        <w:tc>
          <w:tcPr>
            <w:tcW w:type="dxa" w:w="5112"/>
            <w:vAlign w:val="top"/>
          </w:tcPr>
          <w:p>
            <w:pPr>
              <w:spacing w:after="0"/>
              <w:jc w:val="left"/>
            </w:pPr>
            <w:r>
              <w:rPr>
                <w:rFonts w:ascii="Arial" w:hAnsi="Arial"/>
                <w:b w:val="0"/>
                <w:sz w:val="16"/>
              </w:rPr>
              <w:t>Evidence Requirement</w:t>
            </w:r>
          </w:p>
        </w:tc>
        <w:tc>
          <w:tcPr>
            <w:tcW w:type="dxa" w:w="5112"/>
            <w:vAlign w:val="top"/>
          </w:tcPr>
          <w:p>
            <w:pPr>
              <w:spacing w:after="0"/>
              <w:jc w:val="left"/>
            </w:pPr>
            <w:r>
              <w:rPr>
                <w:rFonts w:ascii="Arial" w:hAnsi="Arial"/>
                <w:b w:val="0"/>
                <w:sz w:val="16"/>
              </w:rPr>
              <w:t>Original validation record, reuse authorization, context delta, privacy review, evidence revalidation</w:t>
            </w:r>
          </w:p>
        </w:tc>
      </w:tr>
      <w:tr>
        <w:trPr>
          <w:cantSplit/>
        </w:trPr>
        <w:tc>
          <w:tcPr>
            <w:tcW w:type="dxa" w:w="5112"/>
            <w:vAlign w:val="top"/>
          </w:tcPr>
          <w:p>
            <w:pPr>
              <w:spacing w:after="0"/>
              <w:jc w:val="left"/>
            </w:pPr>
            <w:r>
              <w:rPr>
                <w:rFonts w:ascii="Arial" w:hAnsi="Arial"/>
                <w:b w:val="0"/>
                <w:sz w:val="16"/>
              </w:rPr>
              <w:t>Privacy Constraint</w:t>
            </w:r>
          </w:p>
        </w:tc>
        <w:tc>
          <w:tcPr>
            <w:tcW w:type="dxa" w:w="5112"/>
            <w:vAlign w:val="top"/>
          </w:tcPr>
          <w:p>
            <w:pPr>
              <w:spacing w:after="0"/>
              <w:jc w:val="left"/>
            </w:pPr>
            <w:r>
              <w:rPr>
                <w:rFonts w:ascii="Arial" w:hAnsi="Arial"/>
                <w:b w:val="0"/>
                <w:sz w:val="16"/>
              </w:rPr>
              <w:t>Privacy boundary must be reassessed for new context; original consent scope may not transfer</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determine whether cross-project reuse was authorized, revalidated, and privacy-reviewed for the new deployment context?</w:t>
            </w:r>
          </w:p>
        </w:tc>
      </w:tr>
    </w:tbl>
    <w:p>
      <w:pPr>
        <w:sectPr>
          <w:pgSz w:w="12240" w:h="15840"/>
          <w:pgMar w:top="792" w:right="648" w:bottom="792" w:left="648" w:header="720" w:footer="720" w:gutter="0"/>
          <w:cols w:space="720"/>
          <w:docGrid w:linePitch="360"/>
        </w:sectPr>
      </w:pPr>
    </w:p>
    <w:p/>
    <w:p>
      <w:r>
        <w:t>Table 6-10: MRO-09 Object Card — Cross-Project Reuse Compliance</w:t>
      </w:r>
    </w:p>
    <w:p/>
    <w:p>
      <w:pPr>
        <w:pStyle w:val="Heading3"/>
      </w:pPr>
      <w:r>
        <w:t>Detailed Discussion</w:t>
      </w:r>
    </w:p>
    <w:p/>
    <w:p>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
      <w:pPr>
        <w:pStyle w:val="Heading3"/>
      </w:pPr>
      <w:r>
        <w:t>Enterprise Implication</w:t>
      </w:r>
    </w:p>
    <w:p/>
    <w:p>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
      <w:r>
        <w:t>The market implication is that buyers should ask whether the system tracks workflow reuse and enforces revalidation when the deployment context changes. Template libraries and shared agent definitions are valuable productivity features, but they become lifecycle conformance only when they enforce context reset and revalidation.</w:t>
      </w:r>
    </w:p>
    <w:p/>
    <w:p>
      <w:pPr>
        <w:pStyle w:val="Heading3"/>
      </w:pPr>
      <w:r>
        <w:t>Design Implication</w:t>
      </w:r>
    </w:p>
    <w:p/>
    <w:p>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
      <w:pPr>
        <w:pStyle w:val="Heading3"/>
      </w:pPr>
      <w:r>
        <w:t>Audit Question</w:t>
      </w:r>
    </w:p>
    <w:p/>
    <w:p>
      <w:r>
        <w:t>For any reused workflow, can the system prove that it was revalidated for the new deployment context, including authority reset, privacy review, and evidence revalidation?</w:t>
      </w:r>
    </w:p>
    <w:p/>
    <w:p/>
    <w:p>
      <w:pPr>
        <w:pStyle w:val="Heading2"/>
      </w:pPr>
      <w:r>
        <w:t>6.11 MRO-10 — Privacy / GDPR Lifecycle Mapping</w:t>
      </w:r>
    </w:p>
    <w:p/>
    <w:p>
      <w:pPr>
        <w:pStyle w:val="Heading3"/>
      </w:pPr>
      <w:r>
        <w:t>Problem</w:t>
      </w:r>
    </w:p>
    <w:p/>
    <w:p>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
      <w:pPr>
        <w:pStyle w:val="Heading3"/>
      </w:pPr>
      <w:r>
        <w:t>Required Object</w:t>
      </w:r>
    </w:p>
    <w:p/>
    <w:p>
      <w:r>
        <w:t>A lifecycle data-flow map showing what personal data enters, flows through, and exits each agent, tool, memory, and handoff, including legal basis, purpose limitation, retention period, and data subject rights.</w:t>
      </w:r>
    </w:p>
    <w:p/>
    <w:p>
      <w:pPr>
        <w:pStyle w:val="Heading3"/>
      </w:pPr>
      <w:r>
        <w:t>Judgment</w:t>
      </w:r>
    </w:p>
    <w:p/>
    <w:p>
      <w:r>
        <w:t>Judgment: Privacy compliance in MAS requires lifecycle data-flow mapping, not only model-level controls.</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Name</w:t>
            </w:r>
          </w:p>
        </w:tc>
        <w:tc>
          <w:tcPr>
            <w:tcW w:type="dxa" w:w="5112"/>
            <w:vAlign w:val="top"/>
          </w:tcPr>
          <w:p>
            <w:pPr>
              <w:spacing w:after="0"/>
              <w:jc w:val="left"/>
            </w:pPr>
            <w:r>
              <w:rPr>
                <w:rFonts w:ascii="Arial" w:hAnsi="Arial"/>
                <w:b w:val="0"/>
                <w:sz w:val="16"/>
              </w:rPr>
              <w:t>Privacy / GDPR Lifecycle Data-Flow Map</w:t>
            </w:r>
          </w:p>
        </w:tc>
      </w:tr>
      <w:tr>
        <w:trPr>
          <w:cantSplit/>
        </w:trPr>
        <w:tc>
          <w:tcPr>
            <w:tcW w:type="dxa" w:w="5112"/>
            <w:vAlign w:val="top"/>
          </w:tcPr>
          <w:p>
            <w:pPr>
              <w:spacing w:after="0"/>
              <w:jc w:val="left"/>
            </w:pPr>
            <w:r>
              <w:rPr>
                <w:rFonts w:ascii="Arial" w:hAnsi="Arial"/>
                <w:b w:val="0"/>
                <w:sz w:val="16"/>
              </w:rPr>
              <w:t>Lifecycle Phase</w:t>
            </w:r>
          </w:p>
        </w:tc>
        <w:tc>
          <w:tcPr>
            <w:tcW w:type="dxa" w:w="5112"/>
            <w:vAlign w:val="top"/>
          </w:tcPr>
          <w:p>
            <w:pPr>
              <w:spacing w:after="0"/>
              <w:jc w:val="left"/>
            </w:pPr>
            <w:r>
              <w:rPr>
                <w:rFonts w:ascii="Arial" w:hAnsi="Arial"/>
                <w:b w:val="0"/>
                <w:sz w:val="16"/>
              </w:rPr>
              <w:t>All phases where personal data is accessed, processed, stored, shared, or deleted</w:t>
            </w:r>
          </w:p>
        </w:tc>
      </w:tr>
      <w:tr>
        <w:trPr>
          <w:cantSplit/>
        </w:trPr>
        <w:tc>
          <w:tcPr>
            <w:tcW w:type="dxa" w:w="5112"/>
            <w:vAlign w:val="top"/>
          </w:tcPr>
          <w:p>
            <w:pPr>
              <w:spacing w:after="0"/>
              <w:jc w:val="left"/>
            </w:pPr>
            <w:r>
              <w:rPr>
                <w:rFonts w:ascii="Arial" w:hAnsi="Arial"/>
                <w:b w:val="0"/>
                <w:sz w:val="16"/>
              </w:rPr>
              <w:t>Responsibility Boundary</w:t>
            </w:r>
          </w:p>
        </w:tc>
        <w:tc>
          <w:tcPr>
            <w:tcW w:type="dxa" w:w="5112"/>
            <w:vAlign w:val="top"/>
          </w:tcPr>
          <w:p>
            <w:pPr>
              <w:spacing w:after="0"/>
              <w:jc w:val="left"/>
            </w:pPr>
            <w:r>
              <w:rPr>
                <w:rFonts w:ascii="Arial" w:hAnsi="Arial"/>
                <w:b w:val="0"/>
                <w:sz w:val="16"/>
              </w:rPr>
              <w:t>Data controller, data protection officer, agent owner, tool owner</w:t>
            </w:r>
          </w:p>
        </w:tc>
      </w:tr>
      <w:tr>
        <w:trPr>
          <w:cantSplit/>
        </w:trPr>
        <w:tc>
          <w:tcPr>
            <w:tcW w:type="dxa" w:w="5112"/>
            <w:vAlign w:val="top"/>
          </w:tcPr>
          <w:p>
            <w:pPr>
              <w:spacing w:after="0"/>
              <w:jc w:val="left"/>
            </w:pPr>
            <w:r>
              <w:rPr>
                <w:rFonts w:ascii="Arial" w:hAnsi="Arial"/>
                <w:b w:val="0"/>
                <w:sz w:val="16"/>
              </w:rPr>
              <w:t>Evidence Requirement</w:t>
            </w:r>
          </w:p>
        </w:tc>
        <w:tc>
          <w:tcPr>
            <w:tcW w:type="dxa" w:w="5112"/>
            <w:vAlign w:val="top"/>
          </w:tcPr>
          <w:p>
            <w:pPr>
              <w:spacing w:after="0"/>
              <w:jc w:val="left"/>
            </w:pPr>
            <w:r>
              <w:rPr>
                <w:rFonts w:ascii="Arial" w:hAnsi="Arial"/>
                <w:b w:val="0"/>
                <w:sz w:val="16"/>
              </w:rPr>
              <w:t>Data-flow map, legal basis, purpose limitation, retention policy, data subject rights implementation</w:t>
            </w:r>
          </w:p>
        </w:tc>
      </w:tr>
      <w:tr>
        <w:trPr>
          <w:cantSplit/>
        </w:trPr>
        <w:tc>
          <w:tcPr>
            <w:tcW w:type="dxa" w:w="5112"/>
            <w:vAlign w:val="top"/>
          </w:tcPr>
          <w:p>
            <w:pPr>
              <w:spacing w:after="0"/>
              <w:jc w:val="left"/>
            </w:pPr>
            <w:r>
              <w:rPr>
                <w:rFonts w:ascii="Arial" w:hAnsi="Arial"/>
                <w:b w:val="0"/>
                <w:sz w:val="16"/>
              </w:rPr>
              <w:t>Privacy Constraint</w:t>
            </w:r>
          </w:p>
        </w:tc>
        <w:tc>
          <w:tcPr>
            <w:tcW w:type="dxa" w:w="5112"/>
            <w:vAlign w:val="top"/>
          </w:tcPr>
          <w:p>
            <w:pPr>
              <w:spacing w:after="0"/>
              <w:jc w:val="left"/>
            </w:pPr>
            <w:r>
              <w:rPr>
                <w:rFonts w:ascii="Arial" w:hAnsi="Arial"/>
                <w:b w:val="0"/>
                <w:sz w:val="16"/>
              </w:rPr>
              <w:t>Must cover full lifecycle, not only model training; must support data subject rights (access, rectification, erasure, portability)</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reconstruct what personal data entered, flowed through, and exited each agent, tool, and memory system, and verify that legal basis, purpose limitation, and retention policies were enforced?</w:t>
            </w:r>
          </w:p>
        </w:tc>
      </w:tr>
    </w:tbl>
    <w:p>
      <w:pPr>
        <w:sectPr>
          <w:pgSz w:w="12240" w:h="15840"/>
          <w:pgMar w:top="792" w:right="648" w:bottom="792" w:left="648" w:header="720" w:footer="720" w:gutter="0"/>
          <w:cols w:space="720"/>
          <w:docGrid w:linePitch="360"/>
        </w:sectPr>
      </w:pPr>
    </w:p>
    <w:p/>
    <w:p>
      <w:r>
        <w:t>Table 6-11: MRO-10 Object Card — Privacy / GDPR Lifecycle Mapping</w:t>
      </w:r>
    </w:p>
    <w:p/>
    <w:p>
      <w:pPr>
        <w:pStyle w:val="Heading3"/>
      </w:pPr>
      <w:r>
        <w:t>Detailed Discussion</w:t>
      </w:r>
    </w:p>
    <w:p/>
    <w:p>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
      <w:pPr>
        <w:pStyle w:val="Heading3"/>
      </w:pPr>
      <w:r>
        <w:t>Enterprise Implication</w:t>
      </w:r>
    </w:p>
    <w:p/>
    <w:p>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
      <w:r>
        <w:t>The market implication is that buyers should ask whether the system can reconstruct lifecycle data flows for personal data, not only model training data. Privacy dashboards and data governance platforms are valuable adjacent capabilities, but they become lifecycle conformance only when they track personal data through the full agent lifecycle.</w:t>
      </w:r>
    </w:p>
    <w:p/>
    <w:p>
      <w:pPr>
        <w:pStyle w:val="Heading3"/>
      </w:pPr>
      <w:r>
        <w:t>Design Implication</w:t>
      </w:r>
    </w:p>
    <w:p/>
    <w:p>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
      <w:pPr>
        <w:pStyle w:val="Heading3"/>
      </w:pPr>
      <w:r>
        <w:t>Audit Question</w:t>
      </w:r>
    </w:p>
    <w:p/>
    <w:p>
      <w:r>
        <w:t>For any completed workflow involving personal data, can the system reconstruct what personal data entered, flowed through, and exited each agent, tool, and memory system, and verify that legal basis, purpose limitation, and retention policies were enforced?</w:t>
      </w:r>
    </w:p>
    <w:p/>
    <w:p/>
    <w:p>
      <w:pPr>
        <w:pStyle w:val="Heading2"/>
      </w:pPr>
      <w:r>
        <w:t>6.12 MRO-11 — Privacy-Preserving Third-Party Validation</w:t>
      </w:r>
    </w:p>
    <w:p/>
    <w:p>
      <w:pPr>
        <w:pStyle w:val="Heading3"/>
      </w:pPr>
      <w:r>
        <w:t>Problem</w:t>
      </w:r>
    </w:p>
    <w:p/>
    <w:p>
      <w:r>
        <w:t>Enterprise buyers want independent validation, but full evidence disclosure violates privacy and trade secrets. Third-party validators need to verify compliance without accessing raw sensitive data, model weights, or proprietary workflows.</w:t>
      </w:r>
    </w:p>
    <w:p/>
    <w:p>
      <w:pPr>
        <w:pStyle w:val="Heading3"/>
      </w:pPr>
      <w:r>
        <w:t>Required Object</w:t>
      </w:r>
    </w:p>
    <w:p/>
    <w:p>
      <w:r>
        <w:t>A privacy-preserving validation protocol allowing selective disclosure and zero-knowledge proofs, enabling validators to verify compliance properties without accessing raw evidence.</w:t>
      </w:r>
    </w:p>
    <w:p/>
    <w:p>
      <w:pPr>
        <w:pStyle w:val="Heading3"/>
      </w:pPr>
      <w:r>
        <w:t>Judgment</w:t>
      </w:r>
    </w:p>
    <w:p/>
    <w:p>
      <w:r>
        <w:t>Judgment: Third-party validation must not require full evidence disclosure.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Name</w:t>
            </w:r>
          </w:p>
        </w:tc>
        <w:tc>
          <w:tcPr>
            <w:tcW w:type="dxa" w:w="5112"/>
            <w:vAlign w:val="top"/>
          </w:tcPr>
          <w:p>
            <w:pPr>
              <w:spacing w:after="0"/>
              <w:jc w:val="left"/>
            </w:pPr>
            <w:r>
              <w:rPr>
                <w:rFonts w:ascii="Arial" w:hAnsi="Arial"/>
                <w:b w:val="0"/>
                <w:sz w:val="16"/>
              </w:rPr>
              <w:t>Privacy-Preserving Validation Protocol</w:t>
            </w:r>
          </w:p>
        </w:tc>
      </w:tr>
      <w:tr>
        <w:trPr>
          <w:cantSplit/>
        </w:trPr>
        <w:tc>
          <w:tcPr>
            <w:tcW w:type="dxa" w:w="5112"/>
            <w:vAlign w:val="top"/>
          </w:tcPr>
          <w:p>
            <w:pPr>
              <w:spacing w:after="0"/>
              <w:jc w:val="left"/>
            </w:pPr>
            <w:r>
              <w:rPr>
                <w:rFonts w:ascii="Arial" w:hAnsi="Arial"/>
                <w:b w:val="0"/>
                <w:sz w:val="16"/>
              </w:rPr>
              <w:t>Lifecycle Phase</w:t>
            </w:r>
          </w:p>
        </w:tc>
        <w:tc>
          <w:tcPr>
            <w:tcW w:type="dxa" w:w="5112"/>
            <w:vAlign w:val="top"/>
          </w:tcPr>
          <w:p>
            <w:pPr>
              <w:spacing w:after="0"/>
              <w:jc w:val="left"/>
            </w:pPr>
            <w:r>
              <w:rPr>
                <w:rFonts w:ascii="Arial" w:hAnsi="Arial"/>
                <w:b w:val="0"/>
                <w:sz w:val="16"/>
              </w:rPr>
              <w:t>External validation, audit, assurance, certification</w:t>
            </w:r>
          </w:p>
        </w:tc>
      </w:tr>
      <w:tr>
        <w:trPr>
          <w:cantSplit/>
        </w:trPr>
        <w:tc>
          <w:tcPr>
            <w:tcW w:type="dxa" w:w="5112"/>
            <w:vAlign w:val="top"/>
          </w:tcPr>
          <w:p>
            <w:pPr>
              <w:spacing w:after="0"/>
              <w:jc w:val="left"/>
            </w:pPr>
            <w:r>
              <w:rPr>
                <w:rFonts w:ascii="Arial" w:hAnsi="Arial"/>
                <w:b w:val="0"/>
                <w:sz w:val="16"/>
              </w:rPr>
              <w:t>Responsibility Boundary</w:t>
            </w:r>
          </w:p>
        </w:tc>
        <w:tc>
          <w:tcPr>
            <w:tcW w:type="dxa" w:w="5112"/>
            <w:vAlign w:val="top"/>
          </w:tcPr>
          <w:p>
            <w:pPr>
              <w:spacing w:after="0"/>
              <w:jc w:val="left"/>
            </w:pPr>
            <w:r>
              <w:rPr>
                <w:rFonts w:ascii="Arial" w:hAnsi="Arial"/>
                <w:b w:val="0"/>
                <w:sz w:val="16"/>
              </w:rPr>
              <w:t>Evidence owner, validator, validation protocol designer</w:t>
            </w:r>
          </w:p>
        </w:tc>
      </w:tr>
      <w:tr>
        <w:trPr>
          <w:cantSplit/>
        </w:trPr>
        <w:tc>
          <w:tcPr>
            <w:tcW w:type="dxa" w:w="5112"/>
            <w:vAlign w:val="top"/>
          </w:tcPr>
          <w:p>
            <w:pPr>
              <w:spacing w:after="0"/>
              <w:jc w:val="left"/>
            </w:pPr>
            <w:r>
              <w:rPr>
                <w:rFonts w:ascii="Arial" w:hAnsi="Arial"/>
                <w:b w:val="0"/>
                <w:sz w:val="16"/>
              </w:rPr>
              <w:t>Evidence Requirement</w:t>
            </w:r>
          </w:p>
        </w:tc>
        <w:tc>
          <w:tcPr>
            <w:tcW w:type="dxa" w:w="5112"/>
            <w:vAlign w:val="top"/>
          </w:tcPr>
          <w:p>
            <w:pPr>
              <w:spacing w:after="0"/>
              <w:jc w:val="left"/>
            </w:pPr>
            <w:r>
              <w:rPr>
                <w:rFonts w:ascii="Arial" w:hAnsi="Arial"/>
                <w:b w:val="0"/>
                <w:sz w:val="16"/>
              </w:rPr>
              <w:t>Selective disclosure policy, zero-knowledge proof capability, integrity verification, validation scope definition</w:t>
            </w:r>
          </w:p>
        </w:tc>
      </w:tr>
      <w:tr>
        <w:trPr>
          <w:cantSplit/>
        </w:trPr>
        <w:tc>
          <w:tcPr>
            <w:tcW w:type="dxa" w:w="5112"/>
            <w:vAlign w:val="top"/>
          </w:tcPr>
          <w:p>
            <w:pPr>
              <w:spacing w:after="0"/>
              <w:jc w:val="left"/>
            </w:pPr>
            <w:r>
              <w:rPr>
                <w:rFonts w:ascii="Arial" w:hAnsi="Arial"/>
                <w:b w:val="0"/>
                <w:sz w:val="16"/>
              </w:rPr>
              <w:t>Privacy Constraint</w:t>
            </w:r>
          </w:p>
        </w:tc>
        <w:tc>
          <w:tcPr>
            <w:tcW w:type="dxa" w:w="5112"/>
            <w:vAlign w:val="top"/>
          </w:tcPr>
          <w:p>
            <w:pPr>
              <w:spacing w:after="0"/>
              <w:jc w:val="left"/>
            </w:pPr>
            <w:r>
              <w:rPr>
                <w:rFonts w:ascii="Arial" w:hAnsi="Arial"/>
                <w:b w:val="0"/>
                <w:sz w:val="16"/>
              </w:rPr>
              <w:t>Validator must not access raw sensitive data, model weights, or proprietary workflows unless explicitly authorized</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validator verify compliance properties without accessing raw sensitive data, and can the evidence owner prove that only authorized evidence was disclosed?</w:t>
            </w:r>
          </w:p>
        </w:tc>
      </w:tr>
    </w:tbl>
    <w:p>
      <w:pPr>
        <w:sectPr>
          <w:pgSz w:w="12240" w:h="15840"/>
          <w:pgMar w:top="792" w:right="648" w:bottom="792" w:left="648" w:header="720" w:footer="720" w:gutter="0"/>
          <w:cols w:space="720"/>
          <w:docGrid w:linePitch="360"/>
        </w:sectPr>
      </w:pPr>
    </w:p>
    <w:p/>
    <w:p>
      <w:r>
        <w:t>Table 6-12: MRO-11 Object Card — Privacy-Preserving Third-Party Validation</w:t>
      </w:r>
    </w:p>
    <w:p/>
    <w:p>
      <w:pPr>
        <w:pStyle w:val="Heading3"/>
      </w:pPr>
      <w:r>
        <w:t>Detailed Discussion</w:t>
      </w:r>
    </w:p>
    <w:p/>
    <w:p>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
      <w:pPr>
        <w:pStyle w:val="Heading3"/>
      </w:pPr>
      <w:r>
        <w:t>Enterprise Implication</w:t>
      </w:r>
    </w:p>
    <w:p/>
    <w:p>
      <w:r>
        <w:t>Without privacy-preserving validation, enterprises face a dilemma: accept unvalidated systems or disclose sensitive data to validators. This slows adoption, increases risk, and creates vendor lock-in because switching vendors requires re-disclosing evidence.</w:t>
      </w:r>
    </w:p>
    <w:p/>
    <w:p>
      <w:r>
        <w:t>The market implication is that buyers should ask whether the system supports privacy-preserving validation. Validation programs that require full evidence disclosure are not enterprise-ready for agentic systems. The industry needs validation protocols that allow independent verification without raw data access.</w:t>
      </w:r>
    </w:p>
    <w:p/>
    <w:p>
      <w:pPr>
        <w:pStyle w:val="Heading3"/>
      </w:pPr>
      <w:r>
        <w:t>Design Implication</w:t>
      </w:r>
    </w:p>
    <w:p/>
    <w:p>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
      <w:pPr>
        <w:pStyle w:val="Heading3"/>
      </w:pPr>
      <w:r>
        <w:t>Audit Question</w:t>
      </w:r>
    </w:p>
    <w:p/>
    <w:p>
      <w:r>
        <w:t>Can an independent validator verify compliance properties without accessing raw sensitive data, and can the evidence owner prove that only authorized evidence was disclosed?</w:t>
      </w:r>
    </w:p>
    <w:p/>
    <w:p/>
    <w:p>
      <w:pPr>
        <w:pStyle w:val="Heading2"/>
      </w:pPr>
      <w:r>
        <w:t>6.13 MRO-12 — Evidence Minimization and Selective Disclosure</w:t>
      </w:r>
    </w:p>
    <w:p/>
    <w:p>
      <w:pPr>
        <w:pStyle w:val="Heading3"/>
      </w:pPr>
      <w:r>
        <w:t>Problem</w:t>
      </w:r>
    </w:p>
    <w:p/>
    <w:p>
      <w:r>
        <w:t>Lifecycle governance requires evidence retention, but GDPR requires data minimization. Retaining full execution logs, conversation history, and tool payloads creates privacy risk. Deleting evidence creates accountability gaps.</w:t>
      </w:r>
    </w:p>
    <w:p/>
    <w:p>
      <w:pPr>
        <w:pStyle w:val="Heading3"/>
      </w:pPr>
      <w:r>
        <w:t>Required Object</w:t>
      </w:r>
    </w:p>
    <w:p/>
    <w:p>
      <w:r>
        <w:t>An evidence minimization and selective disclosure policy defining retention periods, redaction rules, and disclosure boundaries for different evidence classes.</w:t>
      </w:r>
    </w:p>
    <w:p/>
    <w:p>
      <w:pPr>
        <w:pStyle w:val="Heading3"/>
      </w:pPr>
      <w:r>
        <w:t>Judgment</w:t>
      </w:r>
    </w:p>
    <w:p/>
    <w:p>
      <w:r>
        <w:t>Judgment: Evidence retention must balance auditability with privacy minimization.</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Name</w:t>
            </w:r>
          </w:p>
        </w:tc>
        <w:tc>
          <w:tcPr>
            <w:tcW w:type="dxa" w:w="5112"/>
            <w:vAlign w:val="top"/>
          </w:tcPr>
          <w:p>
            <w:pPr>
              <w:spacing w:after="0"/>
              <w:jc w:val="left"/>
            </w:pPr>
            <w:r>
              <w:rPr>
                <w:rFonts w:ascii="Arial" w:hAnsi="Arial"/>
                <w:b w:val="0"/>
                <w:sz w:val="16"/>
              </w:rPr>
              <w:t>Evidence Minimization and Selective Disclosure Policy</w:t>
            </w:r>
          </w:p>
        </w:tc>
      </w:tr>
      <w:tr>
        <w:trPr>
          <w:cantSplit/>
        </w:trPr>
        <w:tc>
          <w:tcPr>
            <w:tcW w:type="dxa" w:w="5112"/>
            <w:vAlign w:val="top"/>
          </w:tcPr>
          <w:p>
            <w:pPr>
              <w:spacing w:after="0"/>
              <w:jc w:val="left"/>
            </w:pPr>
            <w:r>
              <w:rPr>
                <w:rFonts w:ascii="Arial" w:hAnsi="Arial"/>
                <w:b w:val="0"/>
                <w:sz w:val="16"/>
              </w:rPr>
              <w:t>Lifecycle Phase</w:t>
            </w:r>
          </w:p>
        </w:tc>
        <w:tc>
          <w:tcPr>
            <w:tcW w:type="dxa" w:w="5112"/>
            <w:vAlign w:val="top"/>
          </w:tcPr>
          <w:p>
            <w:pPr>
              <w:spacing w:after="0"/>
              <w:jc w:val="left"/>
            </w:pPr>
            <w:r>
              <w:rPr>
                <w:rFonts w:ascii="Arial" w:hAnsi="Arial"/>
                <w:b w:val="0"/>
                <w:sz w:val="16"/>
              </w:rPr>
              <w:t>Evidence collection, retention, disclosure, deletion</w:t>
            </w:r>
          </w:p>
        </w:tc>
      </w:tr>
      <w:tr>
        <w:trPr>
          <w:cantSplit/>
        </w:trPr>
        <w:tc>
          <w:tcPr>
            <w:tcW w:type="dxa" w:w="5112"/>
            <w:vAlign w:val="top"/>
          </w:tcPr>
          <w:p>
            <w:pPr>
              <w:spacing w:after="0"/>
              <w:jc w:val="left"/>
            </w:pPr>
            <w:r>
              <w:rPr>
                <w:rFonts w:ascii="Arial" w:hAnsi="Arial"/>
                <w:b w:val="0"/>
                <w:sz w:val="16"/>
              </w:rPr>
              <w:t>Responsibility Boundary</w:t>
            </w:r>
          </w:p>
        </w:tc>
        <w:tc>
          <w:tcPr>
            <w:tcW w:type="dxa" w:w="5112"/>
            <w:vAlign w:val="top"/>
          </w:tcPr>
          <w:p>
            <w:pPr>
              <w:spacing w:after="0"/>
              <w:jc w:val="left"/>
            </w:pPr>
            <w:r>
              <w:rPr>
                <w:rFonts w:ascii="Arial" w:hAnsi="Arial"/>
                <w:b w:val="0"/>
                <w:sz w:val="16"/>
              </w:rPr>
              <w:t>Evidence owner, data protection officer, auditor, validator</w:t>
            </w:r>
          </w:p>
        </w:tc>
      </w:tr>
      <w:tr>
        <w:trPr>
          <w:cantSplit/>
        </w:trPr>
        <w:tc>
          <w:tcPr>
            <w:tcW w:type="dxa" w:w="5112"/>
            <w:vAlign w:val="top"/>
          </w:tcPr>
          <w:p>
            <w:pPr>
              <w:spacing w:after="0"/>
              <w:jc w:val="left"/>
            </w:pPr>
            <w:r>
              <w:rPr>
                <w:rFonts w:ascii="Arial" w:hAnsi="Arial"/>
                <w:b w:val="0"/>
                <w:sz w:val="16"/>
              </w:rPr>
              <w:t>Evidence Requirement</w:t>
            </w:r>
          </w:p>
        </w:tc>
        <w:tc>
          <w:tcPr>
            <w:tcW w:type="dxa" w:w="5112"/>
            <w:vAlign w:val="top"/>
          </w:tcPr>
          <w:p>
            <w:pPr>
              <w:spacing w:after="0"/>
              <w:jc w:val="left"/>
            </w:pPr>
            <w:r>
              <w:rPr>
                <w:rFonts w:ascii="Arial" w:hAnsi="Arial"/>
                <w:b w:val="0"/>
                <w:sz w:val="16"/>
              </w:rPr>
              <w:t>Retention policy, redaction rules, disclosure boundaries, deletion schedule, audit trail</w:t>
            </w:r>
          </w:p>
        </w:tc>
      </w:tr>
      <w:tr>
        <w:trPr>
          <w:cantSplit/>
        </w:trPr>
        <w:tc>
          <w:tcPr>
            <w:tcW w:type="dxa" w:w="5112"/>
            <w:vAlign w:val="top"/>
          </w:tcPr>
          <w:p>
            <w:pPr>
              <w:spacing w:after="0"/>
              <w:jc w:val="left"/>
            </w:pPr>
            <w:r>
              <w:rPr>
                <w:rFonts w:ascii="Arial" w:hAnsi="Arial"/>
                <w:b w:val="0"/>
                <w:sz w:val="16"/>
              </w:rPr>
              <w:t>Privacy Constraint</w:t>
            </w:r>
          </w:p>
        </w:tc>
        <w:tc>
          <w:tcPr>
            <w:tcW w:type="dxa" w:w="5112"/>
            <w:vAlign w:val="top"/>
          </w:tcPr>
          <w:p>
            <w:pPr>
              <w:spacing w:after="0"/>
              <w:jc w:val="left"/>
            </w:pPr>
            <w:r>
              <w:rPr>
                <w:rFonts w:ascii="Arial" w:hAnsi="Arial"/>
                <w:b w:val="0"/>
                <w:sz w:val="16"/>
              </w:rPr>
              <w:t>Must minimize personal data retention while preserving accountability; must support data subject rights</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verify that evidence retention was minimized to what is necessary for accountability, and that disclosure was limited to authorized parties and purposes?</w:t>
            </w:r>
          </w:p>
        </w:tc>
      </w:tr>
    </w:tbl>
    <w:p>
      <w:pPr>
        <w:sectPr>
          <w:pgSz w:w="12240" w:h="15840"/>
          <w:pgMar w:top="792" w:right="648" w:bottom="792" w:left="648" w:header="720" w:footer="720" w:gutter="0"/>
          <w:cols w:space="720"/>
          <w:docGrid w:linePitch="360"/>
        </w:sectPr>
      </w:pPr>
    </w:p>
    <w:p/>
    <w:p>
      <w:r>
        <w:t>Table 6-13: MRO-12 Object Card — Evidence Minimization and Selective Disclosure</w:t>
      </w:r>
    </w:p>
    <w:p/>
    <w:p>
      <w:pPr>
        <w:pStyle w:val="Heading3"/>
      </w:pPr>
      <w:r>
        <w:t>Detailed Discussion</w:t>
      </w:r>
    </w:p>
    <w:p/>
    <w:p>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
      <w:pPr>
        <w:pStyle w:val="Heading3"/>
      </w:pPr>
      <w:r>
        <w:t>Enterprise Implication</w:t>
      </w:r>
    </w:p>
    <w:p/>
    <w:p>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
      <w:r>
        <w:t>The market implication is that buyers should ask whether the system supports evidence minimization and selective disclosure. Observability platforms that retain full logs indefinitely are not privacy-compliant for agentic systems. The industry needs evidence management systems that balance auditability with privacy minimization.</w:t>
      </w:r>
    </w:p>
    <w:p/>
    <w:p>
      <w:pPr>
        <w:pStyle w:val="Heading3"/>
      </w:pPr>
      <w:r>
        <w:t>Design Implication</w:t>
      </w:r>
    </w:p>
    <w:p/>
    <w:p>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
      <w:pPr>
        <w:pStyle w:val="Heading3"/>
      </w:pPr>
      <w:r>
        <w:t>Audit Question</w:t>
      </w:r>
    </w:p>
    <w:p/>
    <w:p>
      <w:r>
        <w:t>For any evidence retention decision, can the system prove that evidence was minimized to what is necessary for accountability, and that disclosure was limited to authorized parties and purposes?</w:t>
      </w:r>
    </w:p>
    <w:p/>
    <w:p/>
    <w:p>
      <w:pPr>
        <w:pStyle w:val="Heading2"/>
      </w:pPr>
      <w:r>
        <w:t>6.14 MRO-13 — Data Subject Rights vs Evidence Retention</w:t>
      </w:r>
    </w:p>
    <w:p/>
    <w:p>
      <w:pPr>
        <w:pStyle w:val="Heading3"/>
      </w:pPr>
      <w:r>
        <w:t>Problem</w:t>
      </w:r>
    </w:p>
    <w:p/>
    <w:p>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
      <w:pPr>
        <w:pStyle w:val="Heading3"/>
      </w:pPr>
      <w:r>
        <w:t>Required Object</w:t>
      </w:r>
    </w:p>
    <w:p/>
    <w:p>
      <w:r>
        <w:t>A data subject rights vs evidence retention policy defining retention periods, anonymization rules, legal basis for retention, and reconciliation procedures when erasure requests conflict with evidence obligations.</w:t>
      </w:r>
    </w:p>
    <w:p/>
    <w:p>
      <w:pPr>
        <w:pStyle w:val="Heading3"/>
      </w:pPr>
      <w:r>
        <w:t>Judgment</w:t>
      </w:r>
    </w:p>
    <w:p/>
    <w:p>
      <w:r>
        <w:t>Judgment: Data subject rights and evidence retention are in structural tension in agentic systems.</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Name</w:t>
            </w:r>
          </w:p>
        </w:tc>
        <w:tc>
          <w:tcPr>
            <w:tcW w:type="dxa" w:w="5112"/>
            <w:vAlign w:val="top"/>
          </w:tcPr>
          <w:p>
            <w:pPr>
              <w:spacing w:after="0"/>
              <w:jc w:val="left"/>
            </w:pPr>
            <w:r>
              <w:rPr>
                <w:rFonts w:ascii="Arial" w:hAnsi="Arial"/>
                <w:b w:val="0"/>
                <w:sz w:val="16"/>
              </w:rPr>
              <w:t>Data Subject Rights vs Evidence Retention Policy</w:t>
            </w:r>
          </w:p>
        </w:tc>
      </w:tr>
      <w:tr>
        <w:trPr>
          <w:cantSplit/>
        </w:trPr>
        <w:tc>
          <w:tcPr>
            <w:tcW w:type="dxa" w:w="5112"/>
            <w:vAlign w:val="top"/>
          </w:tcPr>
          <w:p>
            <w:pPr>
              <w:spacing w:after="0"/>
              <w:jc w:val="left"/>
            </w:pPr>
            <w:r>
              <w:rPr>
                <w:rFonts w:ascii="Arial" w:hAnsi="Arial"/>
                <w:b w:val="0"/>
                <w:sz w:val="16"/>
              </w:rPr>
              <w:t>Lifecycle Phase</w:t>
            </w:r>
          </w:p>
        </w:tc>
        <w:tc>
          <w:tcPr>
            <w:tcW w:type="dxa" w:w="5112"/>
            <w:vAlign w:val="top"/>
          </w:tcPr>
          <w:p>
            <w:pPr>
              <w:spacing w:after="0"/>
              <w:jc w:val="left"/>
            </w:pPr>
            <w:r>
              <w:rPr>
                <w:rFonts w:ascii="Arial" w:hAnsi="Arial"/>
                <w:b w:val="0"/>
                <w:sz w:val="16"/>
              </w:rPr>
              <w:t>Evidence retention, data subject request handling, dispute resolution</w:t>
            </w:r>
          </w:p>
        </w:tc>
      </w:tr>
      <w:tr>
        <w:trPr>
          <w:cantSplit/>
        </w:trPr>
        <w:tc>
          <w:tcPr>
            <w:tcW w:type="dxa" w:w="5112"/>
            <w:vAlign w:val="top"/>
          </w:tcPr>
          <w:p>
            <w:pPr>
              <w:spacing w:after="0"/>
              <w:jc w:val="left"/>
            </w:pPr>
            <w:r>
              <w:rPr>
                <w:rFonts w:ascii="Arial" w:hAnsi="Arial"/>
                <w:b w:val="0"/>
                <w:sz w:val="16"/>
              </w:rPr>
              <w:t>Responsibility Boundary</w:t>
            </w:r>
          </w:p>
        </w:tc>
        <w:tc>
          <w:tcPr>
            <w:tcW w:type="dxa" w:w="5112"/>
            <w:vAlign w:val="top"/>
          </w:tcPr>
          <w:p>
            <w:pPr>
              <w:spacing w:after="0"/>
              <w:jc w:val="left"/>
            </w:pPr>
            <w:r>
              <w:rPr>
                <w:rFonts w:ascii="Arial" w:hAnsi="Arial"/>
                <w:b w:val="0"/>
                <w:sz w:val="16"/>
              </w:rPr>
              <w:t>Data protection officer, evidence owner, legal counsel, auditor</w:t>
            </w:r>
          </w:p>
        </w:tc>
      </w:tr>
      <w:tr>
        <w:trPr>
          <w:cantSplit/>
        </w:trPr>
        <w:tc>
          <w:tcPr>
            <w:tcW w:type="dxa" w:w="5112"/>
            <w:vAlign w:val="top"/>
          </w:tcPr>
          <w:p>
            <w:pPr>
              <w:spacing w:after="0"/>
              <w:jc w:val="left"/>
            </w:pPr>
            <w:r>
              <w:rPr>
                <w:rFonts w:ascii="Arial" w:hAnsi="Arial"/>
                <w:b w:val="0"/>
                <w:sz w:val="16"/>
              </w:rPr>
              <w:t>Evidence Requirement</w:t>
            </w:r>
          </w:p>
        </w:tc>
        <w:tc>
          <w:tcPr>
            <w:tcW w:type="dxa" w:w="5112"/>
            <w:vAlign w:val="top"/>
          </w:tcPr>
          <w:p>
            <w:pPr>
              <w:spacing w:after="0"/>
              <w:jc w:val="left"/>
            </w:pPr>
            <w:r>
              <w:rPr>
                <w:rFonts w:ascii="Arial" w:hAnsi="Arial"/>
                <w:b w:val="0"/>
                <w:sz w:val="16"/>
              </w:rPr>
              <w:t>Retention policy, legal basis documentation, anonymization procedures, erasure request log, retention override justification</w:t>
            </w:r>
          </w:p>
        </w:tc>
      </w:tr>
      <w:tr>
        <w:trPr>
          <w:cantSplit/>
        </w:trPr>
        <w:tc>
          <w:tcPr>
            <w:tcW w:type="dxa" w:w="5112"/>
            <w:vAlign w:val="top"/>
          </w:tcPr>
          <w:p>
            <w:pPr>
              <w:spacing w:after="0"/>
              <w:jc w:val="left"/>
            </w:pPr>
            <w:r>
              <w:rPr>
                <w:rFonts w:ascii="Arial" w:hAnsi="Arial"/>
                <w:b w:val="0"/>
                <w:sz w:val="16"/>
              </w:rPr>
              <w:t>Privacy Constraint</w:t>
            </w:r>
          </w:p>
        </w:tc>
        <w:tc>
          <w:tcPr>
            <w:tcW w:type="dxa" w:w="5112"/>
            <w:vAlign w:val="top"/>
          </w:tcPr>
          <w:p>
            <w:pPr>
              <w:spacing w:after="0"/>
              <w:jc w:val="left"/>
            </w:pPr>
            <w:r>
              <w:rPr>
                <w:rFonts w:ascii="Arial" w:hAnsi="Arial"/>
                <w:b w:val="0"/>
                <w:sz w:val="16"/>
              </w:rPr>
              <w:t>Must honor data subject rights while preserving minimum necessary evidence for accountability; must document legal basis for retention override</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verify that evidence retention was limited to what is legally necessary for accountability, and that data subject rights were honored except where legal retention obligations apply?</w:t>
            </w:r>
          </w:p>
        </w:tc>
      </w:tr>
    </w:tbl>
    <w:p>
      <w:pPr>
        <w:sectPr>
          <w:pgSz w:w="12240" w:h="15840"/>
          <w:pgMar w:top="792" w:right="648" w:bottom="792" w:left="648" w:header="720" w:footer="720" w:gutter="0"/>
          <w:cols w:space="720"/>
          <w:docGrid w:linePitch="360"/>
        </w:sectPr>
      </w:pPr>
    </w:p>
    <w:p/>
    <w:p>
      <w:r>
        <w:t>Table 6-14: MRO-13 Object Card — Data Subject Rights vs Evidence Retention</w:t>
      </w:r>
    </w:p>
    <w:p/>
    <w:p>
      <w:pPr>
        <w:pStyle w:val="Heading3"/>
      </w:pPr>
      <w:r>
        <w:t>Detailed Discussion</w:t>
      </w:r>
    </w:p>
    <w:p/>
    <w:p>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
      <w:pPr>
        <w:pStyle w:val="Heading3"/>
      </w:pPr>
      <w:r>
        <w:t>Enterprise Implication</w:t>
      </w:r>
    </w:p>
    <w:p/>
    <w:p>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
      <w:r>
        <w:t>The market implication is that buyers should ask whether the system supports evidence retention policies that distinguish governance metadata from raw payloads, and whether it can handle data subject erasure requests without breaking accountability chains. Systems that treat all evidence as equally sensitive or equally permanent cannot balance these competing obligations.</w:t>
      </w:r>
    </w:p>
    <w:p/>
    <w:p>
      <w:pPr>
        <w:pStyle w:val="Heading3"/>
      </w:pPr>
      <w:r>
        <w:t>Design Implication</w:t>
      </w:r>
    </w:p>
    <w:p/>
    <w:p>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
      <w:pPr>
        <w:pStyle w:val="Heading3"/>
      </w:pPr>
      <w:r>
        <w:t>Audit Question</w:t>
      </w:r>
    </w:p>
    <w:p/>
    <w:p>
      <w:r>
        <w:t>For any data subject erasure request, can the system prove that personal data was deleted except where legal retention obligations apply, and that retained evidence was minimized and anonymized where possible?</w:t>
      </w:r>
    </w:p>
    <w:p/>
    <w:p/>
    <w:p>
      <w:pPr>
        <w:pStyle w:val="Heading2"/>
      </w:pPr>
      <w:r>
        <w:t>6.15 MRO-14 — Third-Party Processor / Subprocessor Chain</w:t>
      </w:r>
    </w:p>
    <w:p/>
    <w:p>
      <w:pPr>
        <w:pStyle w:val="Heading3"/>
      </w:pPr>
      <w:r>
        <w:t>Problem</w:t>
      </w:r>
    </w:p>
    <w:p/>
    <w:p>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
      <w:pPr>
        <w:pStyle w:val="Heading3"/>
      </w:pPr>
      <w:r>
        <w:t>Required Object</w:t>
      </w:r>
    </w:p>
    <w:p/>
    <w:p>
      <w:r>
        <w:t>A dynamic processor chain record tracking which processors and subprocessors handled which personal data at which lifecycle phase, including processor identity, data categories, processing purpose, legal basis, and data flow timestamps.</w:t>
      </w:r>
    </w:p>
    <w:p/>
    <w:p>
      <w:pPr>
        <w:pStyle w:val="Heading3"/>
      </w:pPr>
      <w:r>
        <w:t>Judgment</w:t>
      </w:r>
    </w:p>
    <w:p/>
    <w:p>
      <w:r>
        <w:t>Judgment: In MAS, the processor chain is dynamic and must be tracked at lifecycle granularity.</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Name</w:t>
            </w:r>
          </w:p>
        </w:tc>
        <w:tc>
          <w:tcPr>
            <w:tcW w:type="dxa" w:w="5112"/>
            <w:vAlign w:val="top"/>
          </w:tcPr>
          <w:p>
            <w:pPr>
              <w:spacing w:after="0"/>
              <w:jc w:val="left"/>
            </w:pPr>
            <w:r>
              <w:rPr>
                <w:rFonts w:ascii="Arial" w:hAnsi="Arial"/>
                <w:b w:val="0"/>
                <w:sz w:val="16"/>
              </w:rPr>
              <w:t>Dynamic Processor Chain Record</w:t>
            </w:r>
          </w:p>
        </w:tc>
      </w:tr>
      <w:tr>
        <w:trPr>
          <w:cantSplit/>
        </w:trPr>
        <w:tc>
          <w:tcPr>
            <w:tcW w:type="dxa" w:w="5112"/>
            <w:vAlign w:val="top"/>
          </w:tcPr>
          <w:p>
            <w:pPr>
              <w:spacing w:after="0"/>
              <w:jc w:val="left"/>
            </w:pPr>
            <w:r>
              <w:rPr>
                <w:rFonts w:ascii="Arial" w:hAnsi="Arial"/>
                <w:b w:val="0"/>
                <w:sz w:val="16"/>
              </w:rPr>
              <w:t>Lifecycle Phase</w:t>
            </w:r>
          </w:p>
        </w:tc>
        <w:tc>
          <w:tcPr>
            <w:tcW w:type="dxa" w:w="5112"/>
            <w:vAlign w:val="top"/>
          </w:tcPr>
          <w:p>
            <w:pPr>
              <w:spacing w:after="0"/>
              <w:jc w:val="left"/>
            </w:pPr>
            <w:r>
              <w:rPr>
                <w:rFonts w:ascii="Arial" w:hAnsi="Arial"/>
                <w:b w:val="0"/>
                <w:sz w:val="16"/>
              </w:rPr>
              <w:t>All phases where personal data is processed by third-party processors or subprocessors</w:t>
            </w:r>
          </w:p>
        </w:tc>
      </w:tr>
      <w:tr>
        <w:trPr>
          <w:cantSplit/>
        </w:trPr>
        <w:tc>
          <w:tcPr>
            <w:tcW w:type="dxa" w:w="5112"/>
            <w:vAlign w:val="top"/>
          </w:tcPr>
          <w:p>
            <w:pPr>
              <w:spacing w:after="0"/>
              <w:jc w:val="left"/>
            </w:pPr>
            <w:r>
              <w:rPr>
                <w:rFonts w:ascii="Arial" w:hAnsi="Arial"/>
                <w:b w:val="0"/>
                <w:sz w:val="16"/>
              </w:rPr>
              <w:t>Responsibility Boundary</w:t>
            </w:r>
          </w:p>
        </w:tc>
        <w:tc>
          <w:tcPr>
            <w:tcW w:type="dxa" w:w="5112"/>
            <w:vAlign w:val="top"/>
          </w:tcPr>
          <w:p>
            <w:pPr>
              <w:spacing w:after="0"/>
              <w:jc w:val="left"/>
            </w:pPr>
            <w:r>
              <w:rPr>
                <w:rFonts w:ascii="Arial" w:hAnsi="Arial"/>
                <w:b w:val="0"/>
                <w:sz w:val="16"/>
              </w:rPr>
              <w:t>Data controller, data protection officer, agent owner, tool owner, vendor manager</w:t>
            </w:r>
          </w:p>
        </w:tc>
      </w:tr>
      <w:tr>
        <w:trPr>
          <w:cantSplit/>
        </w:trPr>
        <w:tc>
          <w:tcPr>
            <w:tcW w:type="dxa" w:w="5112"/>
            <w:vAlign w:val="top"/>
          </w:tcPr>
          <w:p>
            <w:pPr>
              <w:spacing w:after="0"/>
              <w:jc w:val="left"/>
            </w:pPr>
            <w:r>
              <w:rPr>
                <w:rFonts w:ascii="Arial" w:hAnsi="Arial"/>
                <w:b w:val="0"/>
                <w:sz w:val="16"/>
              </w:rPr>
              <w:t>Evidence Requirement</w:t>
            </w:r>
          </w:p>
        </w:tc>
        <w:tc>
          <w:tcPr>
            <w:tcW w:type="dxa" w:w="5112"/>
            <w:vAlign w:val="top"/>
          </w:tcPr>
          <w:p>
            <w:pPr>
              <w:spacing w:after="0"/>
              <w:jc w:val="left"/>
            </w:pPr>
            <w:r>
              <w:rPr>
                <w:rFonts w:ascii="Arial" w:hAnsi="Arial"/>
                <w:b w:val="0"/>
                <w:sz w:val="16"/>
              </w:rPr>
              <w:t>Processor identity, subprocessor identity, data categories processed, processing purpose, legal basis, processor agreement reference, data flow timestamps</w:t>
            </w:r>
          </w:p>
        </w:tc>
      </w:tr>
      <w:tr>
        <w:trPr>
          <w:cantSplit/>
        </w:trPr>
        <w:tc>
          <w:tcPr>
            <w:tcW w:type="dxa" w:w="5112"/>
            <w:vAlign w:val="top"/>
          </w:tcPr>
          <w:p>
            <w:pPr>
              <w:spacing w:after="0"/>
              <w:jc w:val="left"/>
            </w:pPr>
            <w:r>
              <w:rPr>
                <w:rFonts w:ascii="Arial" w:hAnsi="Arial"/>
                <w:b w:val="0"/>
                <w:sz w:val="16"/>
              </w:rPr>
              <w:t>Privacy Constraint</w:t>
            </w:r>
          </w:p>
        </w:tc>
        <w:tc>
          <w:tcPr>
            <w:tcW w:type="dxa" w:w="5112"/>
            <w:vAlign w:val="top"/>
          </w:tcPr>
          <w:p>
            <w:pPr>
              <w:spacing w:after="0"/>
              <w:jc w:val="left"/>
            </w:pPr>
            <w:r>
              <w:rPr>
                <w:rFonts w:ascii="Arial" w:hAnsi="Arial"/>
                <w:b w:val="0"/>
                <w:sz w:val="16"/>
              </w:rPr>
              <w:t>Must track all processors and subprocessors that handle personal data; must support data subject access requests and processor chain disclosure</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reconstruct which processors and subprocessors handled which personal data at which lifecycle phase, and verify that processor agreements and legal basis were in place?</w:t>
            </w:r>
          </w:p>
        </w:tc>
      </w:tr>
    </w:tbl>
    <w:p>
      <w:pPr>
        <w:sectPr>
          <w:pgSz w:w="12240" w:h="15840"/>
          <w:pgMar w:top="792" w:right="648" w:bottom="792" w:left="648" w:header="720" w:footer="720" w:gutter="0"/>
          <w:cols w:space="720"/>
          <w:docGrid w:linePitch="360"/>
        </w:sectPr>
      </w:pPr>
    </w:p>
    <w:p/>
    <w:p>
      <w:r>
        <w:t>Table 6-15: MRO-14 Object Card — Third-Party Processor / Subprocessor Chain</w:t>
      </w:r>
    </w:p>
    <w:p/>
    <w:p>
      <w:pPr>
        <w:pStyle w:val="Heading3"/>
      </w:pPr>
      <w:r>
        <w:t>Detailed Discussion</w:t>
      </w:r>
    </w:p>
    <w:p/>
    <w:p>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
      <w:pPr>
        <w:pStyle w:val="Heading3"/>
      </w:pPr>
      <w:r>
        <w:t>Enterprise Implication</w:t>
      </w:r>
    </w:p>
    <w:p/>
    <w:p>
      <w:r>
        <w:t>Without dynamic processor chain tracking, organizations cannot answer data subject access requests, cannot verify processor compliance, and cannot detect unauthorized subprocessor usage. This creates GDPR violation risk and weakens vendor management.</w:t>
      </w:r>
    </w:p>
    <w:p/>
    <w:p>
      <w:r>
        <w:t>The market implication is that buyers should ask whether the system tracks processor and subprocessor usage at lifecycle granularity, not only at configuration time. Vendor management systems that maintain static processor lists are insufficient for dynamic multi-agent systems. The industry needs lifecycle-aware processor chain tracking.</w:t>
      </w:r>
    </w:p>
    <w:p/>
    <w:p>
      <w:pPr>
        <w:pStyle w:val="Heading3"/>
      </w:pPr>
      <w:r>
        <w:t>Design Implication</w:t>
      </w:r>
    </w:p>
    <w:p/>
    <w:p>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
      <w:pPr>
        <w:pStyle w:val="Heading3"/>
      </w:pPr>
      <w:r>
        <w:t>Audit Question</w:t>
      </w:r>
    </w:p>
    <w:p/>
    <w:p>
      <w:r>
        <w:t>For any completed workflow involving personal data, can the system reconstruct which processors and subprocessors handled which data categories at which lifecycle phase, and verify that processor agreements and legal basis were in place?</w:t>
      </w:r>
    </w:p>
    <w:p/>
    <w:p/>
    <w:p>
      <w:pPr>
        <w:pStyle w:val="Heading2"/>
      </w:pPr>
      <w:r>
        <w:t>6.16 MRO-15 — Vendor / Model / Runtime Substitution Conformance</w:t>
      </w:r>
    </w:p>
    <w:p/>
    <w:p>
      <w:pPr>
        <w:pStyle w:val="Heading3"/>
      </w:pPr>
      <w:r>
        <w:t>Problem</w:t>
      </w:r>
    </w:p>
    <w:p/>
    <w:p>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
      <w:pPr>
        <w:pStyle w:val="Heading3"/>
      </w:pPr>
      <w:r>
        <w:t>Required Object</w:t>
      </w:r>
    </w:p>
    <w:p/>
    <w:p>
      <w:r>
        <w:t>A vendor substitution conformance record proving that substitution preserved lifecycle responsibility properties, including authority boundaries, evidence requirements, privacy constraints, and acceptance criteria.</w:t>
      </w:r>
    </w:p>
    <w:p/>
    <w:p>
      <w:pPr>
        <w:pStyle w:val="Heading3"/>
      </w:pPr>
      <w:r>
        <w:t>Judgment</w:t>
      </w:r>
    </w:p>
    <w:p/>
    <w:p>
      <w:r>
        <w:t>Judgment: Vendor substitution without revalidation breaks lifecycle conformance.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Name</w:t>
            </w:r>
          </w:p>
        </w:tc>
        <w:tc>
          <w:tcPr>
            <w:tcW w:type="dxa" w:w="5112"/>
            <w:vAlign w:val="top"/>
          </w:tcPr>
          <w:p>
            <w:pPr>
              <w:spacing w:after="0"/>
              <w:jc w:val="left"/>
            </w:pPr>
            <w:r>
              <w:rPr>
                <w:rFonts w:ascii="Arial" w:hAnsi="Arial"/>
                <w:b w:val="0"/>
                <w:sz w:val="16"/>
              </w:rPr>
              <w:t>Vendor Substitution Conformance Record</w:t>
            </w:r>
          </w:p>
        </w:tc>
      </w:tr>
      <w:tr>
        <w:trPr>
          <w:cantSplit/>
        </w:trPr>
        <w:tc>
          <w:tcPr>
            <w:tcW w:type="dxa" w:w="5112"/>
            <w:vAlign w:val="top"/>
          </w:tcPr>
          <w:p>
            <w:pPr>
              <w:spacing w:after="0"/>
              <w:jc w:val="left"/>
            </w:pPr>
            <w:r>
              <w:rPr>
                <w:rFonts w:ascii="Arial" w:hAnsi="Arial"/>
                <w:b w:val="0"/>
                <w:sz w:val="16"/>
              </w:rPr>
              <w:t>Lifecycle Phase</w:t>
            </w:r>
          </w:p>
        </w:tc>
        <w:tc>
          <w:tcPr>
            <w:tcW w:type="dxa" w:w="5112"/>
            <w:vAlign w:val="top"/>
          </w:tcPr>
          <w:p>
            <w:pPr>
              <w:spacing w:after="0"/>
              <w:jc w:val="left"/>
            </w:pPr>
            <w:r>
              <w:rPr>
                <w:rFonts w:ascii="Arial" w:hAnsi="Arial"/>
                <w:b w:val="0"/>
                <w:sz w:val="16"/>
              </w:rPr>
              <w:t>Vendor substitution, model substitution, runtime substitution, revalidation</w:t>
            </w:r>
          </w:p>
        </w:tc>
      </w:tr>
      <w:tr>
        <w:trPr>
          <w:cantSplit/>
        </w:trPr>
        <w:tc>
          <w:tcPr>
            <w:tcW w:type="dxa" w:w="5112"/>
            <w:vAlign w:val="top"/>
          </w:tcPr>
          <w:p>
            <w:pPr>
              <w:spacing w:after="0"/>
              <w:jc w:val="left"/>
            </w:pPr>
            <w:r>
              <w:rPr>
                <w:rFonts w:ascii="Arial" w:hAnsi="Arial"/>
                <w:b w:val="0"/>
                <w:sz w:val="16"/>
              </w:rPr>
              <w:t>Responsibility Boundary</w:t>
            </w:r>
          </w:p>
        </w:tc>
        <w:tc>
          <w:tcPr>
            <w:tcW w:type="dxa" w:w="5112"/>
            <w:vAlign w:val="top"/>
          </w:tcPr>
          <w:p>
            <w:pPr>
              <w:spacing w:after="0"/>
              <w:jc w:val="left"/>
            </w:pPr>
            <w:r>
              <w:rPr>
                <w:rFonts w:ascii="Arial" w:hAnsi="Arial"/>
                <w:b w:val="0"/>
                <w:sz w:val="16"/>
              </w:rPr>
              <w:t>Original validator, substitution approver, revalidation owner, vendor manager</w:t>
            </w:r>
          </w:p>
        </w:tc>
      </w:tr>
      <w:tr>
        <w:trPr>
          <w:cantSplit/>
        </w:trPr>
        <w:tc>
          <w:tcPr>
            <w:tcW w:type="dxa" w:w="5112"/>
            <w:vAlign w:val="top"/>
          </w:tcPr>
          <w:p>
            <w:pPr>
              <w:spacing w:after="0"/>
              <w:jc w:val="left"/>
            </w:pPr>
            <w:r>
              <w:rPr>
                <w:rFonts w:ascii="Arial" w:hAnsi="Arial"/>
                <w:b w:val="0"/>
                <w:sz w:val="16"/>
              </w:rPr>
              <w:t>Evidence Requirement</w:t>
            </w:r>
          </w:p>
        </w:tc>
        <w:tc>
          <w:tcPr>
            <w:tcW w:type="dxa" w:w="5112"/>
            <w:vAlign w:val="top"/>
          </w:tcPr>
          <w:p>
            <w:pPr>
              <w:spacing w:after="0"/>
              <w:jc w:val="left"/>
            </w:pPr>
            <w:r>
              <w:rPr>
                <w:rFonts w:ascii="Arial" w:hAnsi="Arial"/>
                <w:b w:val="0"/>
                <w:sz w:val="16"/>
              </w:rPr>
              <w:t>Original validation record, substitution authorization, conformance test results, delta analysis, revalidation decision</w:t>
            </w:r>
          </w:p>
        </w:tc>
      </w:tr>
      <w:tr>
        <w:trPr>
          <w:cantSplit/>
        </w:trPr>
        <w:tc>
          <w:tcPr>
            <w:tcW w:type="dxa" w:w="5112"/>
            <w:vAlign w:val="top"/>
          </w:tcPr>
          <w:p>
            <w:pPr>
              <w:spacing w:after="0"/>
              <w:jc w:val="left"/>
            </w:pPr>
            <w:r>
              <w:rPr>
                <w:rFonts w:ascii="Arial" w:hAnsi="Arial"/>
                <w:b w:val="0"/>
                <w:sz w:val="16"/>
              </w:rPr>
              <w:t>Privacy Constraint</w:t>
            </w:r>
          </w:p>
        </w:tc>
        <w:tc>
          <w:tcPr>
            <w:tcW w:type="dxa" w:w="5112"/>
            <w:vAlign w:val="top"/>
          </w:tcPr>
          <w:p>
            <w:pPr>
              <w:spacing w:after="0"/>
              <w:jc w:val="left"/>
            </w:pPr>
            <w:r>
              <w:rPr>
                <w:rFonts w:ascii="Arial" w:hAnsi="Arial"/>
                <w:b w:val="0"/>
                <w:sz w:val="16"/>
              </w:rPr>
              <w:t>Substitution must preserve privacy boundaries; new vendor must meet same privacy obligations as original vendor</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verify that vendor substitution preserved lifecycle responsibility properties, and that conformance was revalidated before deployment?</w:t>
            </w:r>
          </w:p>
        </w:tc>
      </w:tr>
    </w:tbl>
    <w:p>
      <w:pPr>
        <w:sectPr>
          <w:pgSz w:w="12240" w:h="15840"/>
          <w:pgMar w:top="792" w:right="648" w:bottom="792" w:left="648" w:header="720" w:footer="720" w:gutter="0"/>
          <w:cols w:space="720"/>
          <w:docGrid w:linePitch="360"/>
        </w:sectPr>
      </w:pPr>
    </w:p>
    <w:p/>
    <w:p>
      <w:r>
        <w:t>Table 6-16: MRO-15 Object Card — Vendor / Model / Runtime Substitution Conformance</w:t>
      </w:r>
    </w:p>
    <w:p/>
    <w:p>
      <w:pPr>
        <w:pStyle w:val="Heading3"/>
      </w:pPr>
      <w:r>
        <w:t>Detailed Discussion</w:t>
      </w:r>
    </w:p>
    <w:p/>
    <w:p>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
      <w:pPr>
        <w:spacing w:before="160" w:after="80"/>
        <w:jc w:val="center"/>
      </w:pPr>
      <w:r>
        <w:rPr>
          <w:b/>
          <w:color w:val="1F4E79"/>
          <w:sz w:val="18"/>
        </w:rP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
      <w:pPr>
        <w:pStyle w:val="Heading3"/>
      </w:pPr>
      <w:r>
        <w:t>Enterprise Implication</w:t>
      </w:r>
    </w:p>
    <w:p/>
    <w:p>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
      <w:r>
        <w:t>The market implication is that buyers should ask whether the system tracks vendor substitutions and enforces conformance revalidation. Vendor-neutral architectures are valuable, but they become lifecycle conformance only when they prove that substitution preserved responsibility properties. The industry needs substitution conformance protocols, not merely substitution capability.</w:t>
      </w:r>
    </w:p>
    <w:p/>
    <w:p>
      <w:pPr>
        <w:pStyle w:val="Heading3"/>
      </w:pPr>
      <w:r>
        <w:t>Design Implication</w:t>
      </w:r>
    </w:p>
    <w:p/>
    <w:p>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
      <w:pPr>
        <w:pStyle w:val="Heading3"/>
      </w:pPr>
      <w:r>
        <w:t>Audit Question</w:t>
      </w:r>
    </w:p>
    <w:p/>
    <w:p>
      <w:r>
        <w:t>For any vendor substitution, can the system prove that lifecycle responsibility properties were preserved, and that conformance was revalidated before deployment?</w:t>
      </w:r>
    </w:p>
    <w:p/>
    <w:p/>
    <w:p>
      <w:pPr>
        <w:pStyle w:val="Heading2"/>
      </w:pPr>
      <w:r>
        <w:t>6.17 MRO-16 — Incident, Dispute, and Remediation Closure</w:t>
      </w:r>
    </w:p>
    <w:p/>
    <w:p>
      <w:pPr>
        <w:pStyle w:val="Heading3"/>
      </w:pPr>
      <w:r>
        <w:t>Problem</w:t>
      </w:r>
    </w:p>
    <w:p/>
    <w:p>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
      <w:pPr>
        <w:pStyle w:val="Heading3"/>
      </w:pPr>
      <w:r>
        <w:t>Required Object</w:t>
      </w:r>
    </w:p>
    <w:p/>
    <w:p>
      <w:r>
        <w:t>An incident, dispute, and remediation closure record linking incident detection to root cause analysis, remediation action, dispute resolution, acceptance of closure, and continuous improvement measures.</w:t>
      </w:r>
    </w:p>
    <w:p/>
    <w:p>
      <w:pPr>
        <w:pStyle w:val="Heading3"/>
      </w:pPr>
      <w:r>
        <w:t>Judgment</w:t>
      </w:r>
    </w:p>
    <w:p/>
    <w:p>
      <w:r>
        <w:t>Judgment: Lifecycle governance is incomplete without incident closure and continuous improvement.</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shd w:fill="D9EAF7"/>
          </w:tcPr>
          <w:p>
            <w:pPr>
              <w:spacing w:after="0"/>
              <w:jc w:val="left"/>
            </w:pPr>
            <w:r>
              <w:rPr>
                <w:rFonts w:ascii="Arial" w:hAnsi="Arial"/>
                <w:b/>
                <w:sz w:val="16"/>
              </w:rPr>
              <w:t>Field</w:t>
            </w:r>
          </w:p>
        </w:tc>
        <w:tc>
          <w:tcPr>
            <w:tcW w:type="dxa" w:w="5112"/>
            <w:vAlign w:val="top"/>
            <w:shd w:fill="D9EAF7"/>
          </w:tcPr>
          <w:p>
            <w:pPr>
              <w:spacing w:after="0"/>
              <w:jc w:val="left"/>
            </w:pPr>
            <w:r>
              <w:rPr>
                <w:rFonts w:ascii="Arial" w:hAnsi="Arial"/>
                <w:b/>
                <w:sz w:val="16"/>
              </w:rPr>
              <w:t>Description</w:t>
            </w:r>
          </w:p>
        </w:tc>
      </w:tr>
      <w:tr>
        <w:trPr>
          <w:cantSplit/>
        </w:trPr>
        <w:tc>
          <w:tcPr>
            <w:tcW w:type="dxa" w:w="5112"/>
            <w:vAlign w:val="top"/>
          </w:tcPr>
          <w:p>
            <w:pPr>
              <w:spacing w:after="0"/>
              <w:jc w:val="left"/>
            </w:pPr>
            <w:r>
              <w:rPr>
                <w:rFonts w:ascii="Arial" w:hAnsi="Arial"/>
                <w:b w:val="0"/>
                <w:sz w:val="16"/>
              </w:rPr>
              <w:t>Object Name</w:t>
            </w:r>
          </w:p>
        </w:tc>
        <w:tc>
          <w:tcPr>
            <w:tcW w:type="dxa" w:w="5112"/>
            <w:vAlign w:val="top"/>
          </w:tcPr>
          <w:p>
            <w:pPr>
              <w:spacing w:after="0"/>
              <w:jc w:val="left"/>
            </w:pPr>
            <w:r>
              <w:rPr>
                <w:rFonts w:ascii="Arial" w:hAnsi="Arial"/>
                <w:b w:val="0"/>
                <w:sz w:val="16"/>
              </w:rPr>
              <w:t>Incident, Dispute, and Remediation Closure Record</w:t>
            </w:r>
          </w:p>
        </w:tc>
      </w:tr>
      <w:tr>
        <w:trPr>
          <w:cantSplit/>
        </w:trPr>
        <w:tc>
          <w:tcPr>
            <w:tcW w:type="dxa" w:w="5112"/>
            <w:vAlign w:val="top"/>
          </w:tcPr>
          <w:p>
            <w:pPr>
              <w:spacing w:after="0"/>
              <w:jc w:val="left"/>
            </w:pPr>
            <w:r>
              <w:rPr>
                <w:rFonts w:ascii="Arial" w:hAnsi="Arial"/>
                <w:b w:val="0"/>
                <w:sz w:val="16"/>
              </w:rPr>
              <w:t>Lifecycle Phase</w:t>
            </w:r>
          </w:p>
        </w:tc>
        <w:tc>
          <w:tcPr>
            <w:tcW w:type="dxa" w:w="5112"/>
            <w:vAlign w:val="top"/>
          </w:tcPr>
          <w:p>
            <w:pPr>
              <w:spacing w:after="0"/>
              <w:jc w:val="left"/>
            </w:pPr>
            <w:r>
              <w:rPr>
                <w:rFonts w:ascii="Arial" w:hAnsi="Arial"/>
                <w:b w:val="0"/>
                <w:sz w:val="16"/>
              </w:rPr>
              <w:t>Incident detection, investigation, remediation, dispute resolution, closure, continuous improvement</w:t>
            </w:r>
          </w:p>
        </w:tc>
      </w:tr>
      <w:tr>
        <w:trPr>
          <w:cantSplit/>
        </w:trPr>
        <w:tc>
          <w:tcPr>
            <w:tcW w:type="dxa" w:w="5112"/>
            <w:vAlign w:val="top"/>
          </w:tcPr>
          <w:p>
            <w:pPr>
              <w:spacing w:after="0"/>
              <w:jc w:val="left"/>
            </w:pPr>
            <w:r>
              <w:rPr>
                <w:rFonts w:ascii="Arial" w:hAnsi="Arial"/>
                <w:b w:val="0"/>
                <w:sz w:val="16"/>
              </w:rPr>
              <w:t>Responsibility Boundary</w:t>
            </w:r>
          </w:p>
        </w:tc>
        <w:tc>
          <w:tcPr>
            <w:tcW w:type="dxa" w:w="5112"/>
            <w:vAlign w:val="top"/>
          </w:tcPr>
          <w:p>
            <w:pPr>
              <w:spacing w:after="0"/>
              <w:jc w:val="left"/>
            </w:pPr>
            <w:r>
              <w:rPr>
                <w:rFonts w:ascii="Arial" w:hAnsi="Arial"/>
                <w:b w:val="0"/>
                <w:sz w:val="16"/>
              </w:rPr>
              <w:t>Incident owner, investigator, remediator, dispute resolver, continuous improvement owner</w:t>
            </w:r>
          </w:p>
        </w:tc>
      </w:tr>
      <w:tr>
        <w:trPr>
          <w:cantSplit/>
        </w:trPr>
        <w:tc>
          <w:tcPr>
            <w:tcW w:type="dxa" w:w="5112"/>
            <w:vAlign w:val="top"/>
          </w:tcPr>
          <w:p>
            <w:pPr>
              <w:spacing w:after="0"/>
              <w:jc w:val="left"/>
            </w:pPr>
            <w:r>
              <w:rPr>
                <w:rFonts w:ascii="Arial" w:hAnsi="Arial"/>
                <w:b w:val="0"/>
                <w:sz w:val="16"/>
              </w:rPr>
              <w:t>Evidence Requirement</w:t>
            </w:r>
          </w:p>
        </w:tc>
        <w:tc>
          <w:tcPr>
            <w:tcW w:type="dxa" w:w="5112"/>
            <w:vAlign w:val="top"/>
          </w:tcPr>
          <w:p>
            <w:pPr>
              <w:spacing w:after="0"/>
              <w:jc w:val="left"/>
            </w:pPr>
            <w:r>
              <w:rPr>
                <w:rFonts w:ascii="Arial" w:hAnsi="Arial"/>
                <w:b w:val="0"/>
                <w:sz w:val="16"/>
              </w:rPr>
              <w:t>Incident detection record, root cause analysis, remediation action, dispute resolution decision, closure acceptance, continuous improvement plan</w:t>
            </w:r>
          </w:p>
        </w:tc>
      </w:tr>
      <w:tr>
        <w:trPr>
          <w:cantSplit/>
        </w:trPr>
        <w:tc>
          <w:tcPr>
            <w:tcW w:type="dxa" w:w="5112"/>
            <w:vAlign w:val="top"/>
          </w:tcPr>
          <w:p>
            <w:pPr>
              <w:spacing w:after="0"/>
              <w:jc w:val="left"/>
            </w:pPr>
            <w:r>
              <w:rPr>
                <w:rFonts w:ascii="Arial" w:hAnsi="Arial"/>
                <w:b w:val="0"/>
                <w:sz w:val="16"/>
              </w:rPr>
              <w:t>Privacy Constraint</w:t>
            </w:r>
          </w:p>
        </w:tc>
        <w:tc>
          <w:tcPr>
            <w:tcW w:type="dxa" w:w="5112"/>
            <w:vAlign w:val="top"/>
          </w:tcPr>
          <w:p>
            <w:pPr>
              <w:spacing w:after="0"/>
              <w:jc w:val="left"/>
            </w:pPr>
            <w:r>
              <w:rPr>
                <w:rFonts w:ascii="Arial" w:hAnsi="Arial"/>
                <w:b w:val="0"/>
                <w:sz w:val="16"/>
              </w:rPr>
              <w:t>Incident investigation must respect privacy boundaries; evidence disclosure must be limited to what is necessary for resolution</w:t>
            </w:r>
          </w:p>
        </w:tc>
      </w:tr>
      <w:tr>
        <w:trPr>
          <w:cantSplit/>
        </w:trPr>
        <w:tc>
          <w:tcPr>
            <w:tcW w:type="dxa" w:w="5112"/>
            <w:vAlign w:val="top"/>
          </w:tcPr>
          <w:p>
            <w:pPr>
              <w:spacing w:after="0"/>
              <w:jc w:val="left"/>
            </w:pPr>
            <w:r>
              <w:rPr>
                <w:rFonts w:ascii="Arial" w:hAnsi="Arial"/>
                <w:b w:val="0"/>
                <w:sz w:val="16"/>
              </w:rPr>
              <w:t>Audit Question</w:t>
            </w:r>
          </w:p>
        </w:tc>
        <w:tc>
          <w:tcPr>
            <w:tcW w:type="dxa" w:w="5112"/>
            <w:vAlign w:val="top"/>
          </w:tcPr>
          <w:p>
            <w:pPr>
              <w:spacing w:after="0"/>
              <w:jc w:val="left"/>
            </w:pPr>
            <w:r>
              <w:rPr>
                <w:rFonts w:ascii="Arial" w:hAnsi="Arial"/>
                <w:b w:val="0"/>
                <w:sz w:val="16"/>
              </w:rPr>
              <w:t>Can an independent reviewer verify that incidents were detected, investigated, remediated, and closed with documented root cause and continuous improvement measures?</w:t>
            </w:r>
          </w:p>
        </w:tc>
      </w:tr>
    </w:tbl>
    <w:p>
      <w:pPr>
        <w:sectPr>
          <w:pgSz w:w="12240" w:h="15840"/>
          <w:pgMar w:top="792" w:right="648" w:bottom="792" w:left="648" w:header="720" w:footer="720" w:gutter="0"/>
          <w:cols w:space="720"/>
          <w:docGrid w:linePitch="360"/>
        </w:sectPr>
      </w:pPr>
    </w:p>
    <w:p/>
    <w:p>
      <w:r>
        <w:t>Table 6-17: MRO-16 Object Card — Incident, Dispute, and Remediation Closure</w:t>
      </w:r>
    </w:p>
    <w:p/>
    <w:p>
      <w:pPr>
        <w:pStyle w:val="Heading3"/>
      </w:pPr>
      <w:r>
        <w:t>Detailed Discussion</w:t>
      </w:r>
    </w:p>
    <w:p/>
    <w:p>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
      <w:pPr>
        <w:pStyle w:val="Heading3"/>
      </w:pPr>
      <w:r>
        <w:t>Enterprise Implication</w:t>
      </w:r>
    </w:p>
    <w:p/>
    <w:p>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
      <w:r>
        <w:t>The market implication is that buyers should ask whether the system supports incident detection, root cause analysis, remediation tracking, dispute resolution, and closure verification. Monitoring systems that detect anomalies are valuable, but they become lifecycle conformance only when they link incidents to remediation and continuous improvement. The industry needs incident closure protocols, not merely incident detection.</w:t>
      </w:r>
    </w:p>
    <w:p/>
    <w:p>
      <w:pPr>
        <w:pStyle w:val="Heading3"/>
      </w:pPr>
      <w:r>
        <w:t>Design Implication</w:t>
      </w:r>
    </w:p>
    <w:p/>
    <w:p>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
      <w:pPr>
        <w:pStyle w:val="Heading3"/>
      </w:pPr>
      <w:r>
        <w:t>Audit Question</w:t>
      </w:r>
    </w:p>
    <w:p/>
    <w:p>
      <w:r>
        <w:t>For any incident, can the system verify that it was detected, investigated, remediated, and closed with documented root cause and continuous improvement measures?</w:t>
      </w:r>
    </w:p>
    <w:p/>
    <w:p/>
    <w:p>
      <w:pPr>
        <w:pStyle w:val="Heading2"/>
      </w:pPr>
      <w:r>
        <w:t>6.18 Chapter Summary</w:t>
      </w:r>
    </w:p>
    <w:p/>
    <w:p>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
    <w:p>
      <w:r>
        <w:t>Chapter 6 Status: COMPLETE — All sixteen MROs filled; chapter summary added.</w:t>
      </w:r>
    </w:p>
    <w:p/>
    <w:p>
      <w:pPr>
        <w:pStyle w:val="Heading1"/>
      </w:pPr>
      <w:r>
        <w:t>Chapter 7: RCCS - Regulatory Compliance Coverage Score</w:t>
      </w:r>
    </w:p>
    <w:p/>
    <w:p>
      <w:r>
        <w:t>Version: v0.3.2-FRC-R3</w:t>
      </w:r>
    </w:p>
    <w:p>
      <w:r>
        <w:t>Status: Reconstructed from v0.3.1 semantic base</w:t>
      </w:r>
    </w:p>
    <w:p>
      <w:r>
        <w:t>Phase: 1A-3.5</w:t>
      </w:r>
    </w:p>
    <w:p/>
    <w:p/>
    <w:p>
      <w:pPr>
        <w:pStyle w:val="Heading2"/>
      </w:pPr>
      <w:r>
        <w:t>7.0 Chapter Overview</w:t>
      </w:r>
    </w:p>
    <w:p/>
    <w:p>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
    <w:p>
      <w:pPr>
        <w:pStyle w:val="Heading2"/>
      </w:pPr>
      <w:r>
        <w:t>7.1 What RCCS Measures</w:t>
      </w:r>
    </w:p>
    <w:p/>
    <w:p>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
    <w:p>
      <w:pPr>
        <w:pStyle w:val="Heading2"/>
      </w:pPr>
      <w:r>
        <w:t>7.2 RCCS Dimensions Overview</w:t>
      </w:r>
    </w:p>
    <w:p/>
    <w:p>
      <w:r>
        <w:t>RCCS evaluates systems across ten dimensions. Each dimension corresponds to a recurring regulatory requirement. The dimensions are weighted to reflect their relative importance in the regulatory baseline analyzed in Chapter 4.</w:t>
      </w:r>
    </w:p>
    <w:p/>
    <w:p>
      <w:r>
        <w:t>The ten RCCS dimensions are:</w:t>
      </w:r>
    </w:p>
    <w:p/>
    <w:p>
      <w:r>
        <w:t>1. Risk Management (20%) - Does the system support risk identification, assessment, and mitigation across the AI lifecycle?</w:t>
      </w:r>
    </w:p>
    <w:p>
      <w:r>
        <w:t>2. Data Governance (10%) - Does the system track data lineage, quality, and lifecycle management?</w:t>
      </w:r>
    </w:p>
    <w:p>
      <w:r>
        <w:t>3. Documentation (10%) - Does the system produce and maintain required technical documentation?</w:t>
      </w:r>
    </w:p>
    <w:p>
      <w:r>
        <w:t>4. Record-Keeping (10%) - Does the system maintain audit trails and evidence records?</w:t>
      </w:r>
    </w:p>
    <w:p>
      <w:r>
        <w:t>5. Transparency (10%) - Does the system provide explainability and disclosure mechanisms?</w:t>
      </w:r>
    </w:p>
    <w:p>
      <w:r>
        <w:t>6. Human Oversight (15%) - Does the system support human review, approval, and intervention?</w:t>
      </w:r>
    </w:p>
    <w:p>
      <w:r>
        <w:t>7. Security (5%) - Does the system implement security controls and access management?</w:t>
      </w:r>
    </w:p>
    <w:p>
      <w:r>
        <w:t>8. Accountability (5%) - Does the system assign responsibility and track decisions?</w:t>
      </w:r>
    </w:p>
    <w:p>
      <w:r>
        <w:t>9. Contestability (5%) - Does the system support dispute and appeal mechanisms?</w:t>
      </w:r>
    </w:p>
    <w:p>
      <w:r>
        <w:t>10. Monitoring (10%) - Does the system support continuous monitoring and incident detection?</w:t>
      </w:r>
    </w:p>
    <w:p/>
    <w:p>
      <w:r>
        <w:t>The following table summarizes the ten dimensions, their regulatory sources, core questions, and weights.</w:t>
      </w:r>
    </w:p>
    <w:p/>
    <w:p>
      <w:pPr>
        <w:keepNext/>
      </w:pPr>
      <w:r>
        <w:rPr>
          <w:b/>
          <w:sz w:val="17"/>
        </w:rPr>
        <w:t>Table T-07-01: RCCS Dimensions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Dimension</w:t>
            </w:r>
          </w:p>
        </w:tc>
        <w:tc>
          <w:tcPr>
            <w:tcW w:type="dxa" w:w="2556"/>
            <w:vAlign w:val="top"/>
            <w:shd w:fill="D9EAF7"/>
          </w:tcPr>
          <w:p>
            <w:pPr>
              <w:spacing w:after="0"/>
              <w:jc w:val="left"/>
            </w:pPr>
            <w:r>
              <w:rPr>
                <w:rFonts w:ascii="Arial" w:hAnsi="Arial"/>
                <w:b/>
                <w:sz w:val="14"/>
              </w:rPr>
              <w:t>Regulatory Source</w:t>
            </w:r>
          </w:p>
        </w:tc>
        <w:tc>
          <w:tcPr>
            <w:tcW w:type="dxa" w:w="2556"/>
            <w:vAlign w:val="top"/>
            <w:shd w:fill="D9EAF7"/>
          </w:tcPr>
          <w:p>
            <w:pPr>
              <w:spacing w:after="0"/>
              <w:jc w:val="left"/>
            </w:pPr>
            <w:r>
              <w:rPr>
                <w:rFonts w:ascii="Arial" w:hAnsi="Arial"/>
                <w:b/>
                <w:sz w:val="14"/>
              </w:rPr>
              <w:t>Core Question</w:t>
            </w:r>
          </w:p>
        </w:tc>
        <w:tc>
          <w:tcPr>
            <w:tcW w:type="dxa" w:w="2556"/>
            <w:vAlign w:val="top"/>
            <w:shd w:fill="D9EAF7"/>
          </w:tcPr>
          <w:p>
            <w:pPr>
              <w:spacing w:after="0"/>
              <w:jc w:val="left"/>
            </w:pPr>
            <w:r>
              <w:rPr>
                <w:rFonts w:ascii="Arial" w:hAnsi="Arial"/>
                <w:b/>
                <w:sz w:val="14"/>
              </w:rPr>
              <w:t>Weight</w:t>
            </w:r>
          </w:p>
        </w:tc>
      </w:tr>
      <w:tr>
        <w:trPr>
          <w:cantSplit/>
        </w:trPr>
        <w:tc>
          <w:tcPr>
            <w:tcW w:type="dxa" w:w="2556"/>
            <w:vAlign w:val="top"/>
          </w:tcPr>
          <w:p>
            <w:pPr>
              <w:spacing w:after="0"/>
              <w:jc w:val="left"/>
            </w:pPr>
            <w:r>
              <w:rPr>
                <w:rFonts w:ascii="Arial" w:hAnsi="Arial"/>
                <w:b w:val="0"/>
                <w:sz w:val="14"/>
              </w:rPr>
              <w:t>Risk Management</w:t>
            </w:r>
          </w:p>
        </w:tc>
        <w:tc>
          <w:tcPr>
            <w:tcW w:type="dxa" w:w="2556"/>
            <w:vAlign w:val="top"/>
          </w:tcPr>
          <w:p>
            <w:pPr>
              <w:spacing w:after="0"/>
              <w:jc w:val="left"/>
            </w:pPr>
            <w:r>
              <w:rPr>
                <w:rFonts w:ascii="Arial" w:hAnsi="Arial"/>
                <w:b w:val="0"/>
                <w:sz w:val="14"/>
              </w:rPr>
              <w:t>EU AI Act Art. 9, NIST AI RMF Govern/Map/Measure/Manage, ISO/IEC 42001</w:t>
            </w:r>
          </w:p>
        </w:tc>
        <w:tc>
          <w:tcPr>
            <w:tcW w:type="dxa" w:w="2556"/>
            <w:vAlign w:val="top"/>
          </w:tcPr>
          <w:p>
            <w:pPr>
              <w:spacing w:after="0"/>
              <w:jc w:val="left"/>
            </w:pPr>
            <w:r>
              <w:rPr>
                <w:rFonts w:ascii="Arial" w:hAnsi="Arial"/>
                <w:b w:val="0"/>
                <w:sz w:val="14"/>
              </w:rPr>
              <w:t>Does the system support risk identification, assessment, and mitigation across the AI lifecycle?</w:t>
            </w:r>
          </w:p>
        </w:tc>
        <w:tc>
          <w:tcPr>
            <w:tcW w:type="dxa" w:w="2556"/>
            <w:vAlign w:val="top"/>
          </w:tcPr>
          <w:p>
            <w:pPr>
              <w:spacing w:after="0"/>
              <w:jc w:val="left"/>
            </w:pPr>
            <w:r>
              <w:rPr>
                <w:rFonts w:ascii="Arial" w:hAnsi="Arial"/>
                <w:b w:val="0"/>
                <w:sz w:val="14"/>
              </w:rPr>
              <w:t>20%</w:t>
            </w:r>
          </w:p>
        </w:tc>
      </w:tr>
      <w:tr>
        <w:trPr>
          <w:cantSplit/>
        </w:trPr>
        <w:tc>
          <w:tcPr>
            <w:tcW w:type="dxa" w:w="2556"/>
            <w:vAlign w:val="top"/>
          </w:tcPr>
          <w:p>
            <w:pPr>
              <w:spacing w:after="0"/>
              <w:jc w:val="left"/>
            </w:pPr>
            <w:r>
              <w:rPr>
                <w:rFonts w:ascii="Arial" w:hAnsi="Arial"/>
                <w:b w:val="0"/>
                <w:sz w:val="14"/>
              </w:rPr>
              <w:t>Data Governance</w:t>
            </w:r>
          </w:p>
        </w:tc>
        <w:tc>
          <w:tcPr>
            <w:tcW w:type="dxa" w:w="2556"/>
            <w:vAlign w:val="top"/>
          </w:tcPr>
          <w:p>
            <w:pPr>
              <w:spacing w:after="0"/>
              <w:jc w:val="left"/>
            </w:pPr>
            <w:r>
              <w:rPr>
                <w:rFonts w:ascii="Arial" w:hAnsi="Arial"/>
                <w:b w:val="0"/>
                <w:sz w:val="14"/>
              </w:rPr>
              <w:t>GDPR Art. 5, ISO/IEC 42001, NIST AI RMF Map</w:t>
            </w:r>
          </w:p>
        </w:tc>
        <w:tc>
          <w:tcPr>
            <w:tcW w:type="dxa" w:w="2556"/>
            <w:vAlign w:val="top"/>
          </w:tcPr>
          <w:p>
            <w:pPr>
              <w:spacing w:after="0"/>
              <w:jc w:val="left"/>
            </w:pPr>
            <w:r>
              <w:rPr>
                <w:rFonts w:ascii="Arial" w:hAnsi="Arial"/>
                <w:b w:val="0"/>
                <w:sz w:val="14"/>
              </w:rPr>
              <w:t>Does the system track data lineage, quality, and lifecycle management?</w:t>
            </w:r>
          </w:p>
        </w:tc>
        <w:tc>
          <w:tcPr>
            <w:tcW w:type="dxa" w:w="2556"/>
            <w:vAlign w:val="top"/>
          </w:tcPr>
          <w:p>
            <w:pPr>
              <w:spacing w:after="0"/>
              <w:jc w:val="left"/>
            </w:pPr>
            <w:r>
              <w:rPr>
                <w:rFonts w:ascii="Arial" w:hAnsi="Arial"/>
                <w:b w:val="0"/>
                <w:sz w:val="14"/>
              </w:rPr>
              <w:t>10%</w:t>
            </w:r>
          </w:p>
        </w:tc>
      </w:tr>
      <w:tr>
        <w:trPr>
          <w:cantSplit/>
        </w:trPr>
        <w:tc>
          <w:tcPr>
            <w:tcW w:type="dxa" w:w="2556"/>
            <w:vAlign w:val="top"/>
          </w:tcPr>
          <w:p>
            <w:pPr>
              <w:spacing w:after="0"/>
              <w:jc w:val="left"/>
            </w:pPr>
            <w:r>
              <w:rPr>
                <w:rFonts w:ascii="Arial" w:hAnsi="Arial"/>
                <w:b w:val="0"/>
                <w:sz w:val="14"/>
              </w:rPr>
              <w:t>Documentation</w:t>
            </w:r>
          </w:p>
        </w:tc>
        <w:tc>
          <w:tcPr>
            <w:tcW w:type="dxa" w:w="2556"/>
            <w:vAlign w:val="top"/>
          </w:tcPr>
          <w:p>
            <w:pPr>
              <w:spacing w:after="0"/>
              <w:jc w:val="left"/>
            </w:pPr>
            <w:r>
              <w:rPr>
                <w:rFonts w:ascii="Arial" w:hAnsi="Arial"/>
                <w:b w:val="0"/>
                <w:sz w:val="14"/>
              </w:rPr>
              <w:t>EU AI Act Art. 11, ISO/IEC 42001, NIST AI RMF Govern</w:t>
            </w:r>
          </w:p>
        </w:tc>
        <w:tc>
          <w:tcPr>
            <w:tcW w:type="dxa" w:w="2556"/>
            <w:vAlign w:val="top"/>
          </w:tcPr>
          <w:p>
            <w:pPr>
              <w:spacing w:after="0"/>
              <w:jc w:val="left"/>
            </w:pPr>
            <w:r>
              <w:rPr>
                <w:rFonts w:ascii="Arial" w:hAnsi="Arial"/>
                <w:b w:val="0"/>
                <w:sz w:val="14"/>
              </w:rPr>
              <w:t>Does the system produce and maintain required technical documentation?</w:t>
            </w:r>
          </w:p>
        </w:tc>
        <w:tc>
          <w:tcPr>
            <w:tcW w:type="dxa" w:w="2556"/>
            <w:vAlign w:val="top"/>
          </w:tcPr>
          <w:p>
            <w:pPr>
              <w:spacing w:after="0"/>
              <w:jc w:val="left"/>
            </w:pPr>
            <w:r>
              <w:rPr>
                <w:rFonts w:ascii="Arial" w:hAnsi="Arial"/>
                <w:b w:val="0"/>
                <w:sz w:val="14"/>
              </w:rPr>
              <w:t>10%</w:t>
            </w:r>
          </w:p>
        </w:tc>
      </w:tr>
      <w:tr>
        <w:trPr>
          <w:cantSplit/>
        </w:trPr>
        <w:tc>
          <w:tcPr>
            <w:tcW w:type="dxa" w:w="2556"/>
            <w:vAlign w:val="top"/>
          </w:tcPr>
          <w:p>
            <w:pPr>
              <w:spacing w:after="0"/>
              <w:jc w:val="left"/>
            </w:pPr>
            <w:r>
              <w:rPr>
                <w:rFonts w:ascii="Arial" w:hAnsi="Arial"/>
                <w:b w:val="0"/>
                <w:sz w:val="14"/>
              </w:rPr>
              <w:t>Record-Keeping</w:t>
            </w:r>
          </w:p>
        </w:tc>
        <w:tc>
          <w:tcPr>
            <w:tcW w:type="dxa" w:w="2556"/>
            <w:vAlign w:val="top"/>
          </w:tcPr>
          <w:p>
            <w:pPr>
              <w:spacing w:after="0"/>
              <w:jc w:val="left"/>
            </w:pPr>
            <w:r>
              <w:rPr>
                <w:rFonts w:ascii="Arial" w:hAnsi="Arial"/>
                <w:b w:val="0"/>
                <w:sz w:val="14"/>
              </w:rPr>
              <w:t>EU AI Act Art. 12, GDPR Art. 30, ISO/IEC 42001</w:t>
            </w:r>
          </w:p>
        </w:tc>
        <w:tc>
          <w:tcPr>
            <w:tcW w:type="dxa" w:w="2556"/>
            <w:vAlign w:val="top"/>
          </w:tcPr>
          <w:p>
            <w:pPr>
              <w:spacing w:after="0"/>
              <w:jc w:val="left"/>
            </w:pPr>
            <w:r>
              <w:rPr>
                <w:rFonts w:ascii="Arial" w:hAnsi="Arial"/>
                <w:b w:val="0"/>
                <w:sz w:val="14"/>
              </w:rPr>
              <w:t>Does the system maintain audit trails and evidence records?</w:t>
            </w:r>
          </w:p>
        </w:tc>
        <w:tc>
          <w:tcPr>
            <w:tcW w:type="dxa" w:w="2556"/>
            <w:vAlign w:val="top"/>
          </w:tcPr>
          <w:p>
            <w:pPr>
              <w:spacing w:after="0"/>
              <w:jc w:val="left"/>
            </w:pPr>
            <w:r>
              <w:rPr>
                <w:rFonts w:ascii="Arial" w:hAnsi="Arial"/>
                <w:b w:val="0"/>
                <w:sz w:val="14"/>
              </w:rPr>
              <w:t>10%</w:t>
            </w:r>
          </w:p>
        </w:tc>
      </w:tr>
      <w:tr>
        <w:trPr>
          <w:cantSplit/>
        </w:trPr>
        <w:tc>
          <w:tcPr>
            <w:tcW w:type="dxa" w:w="2556"/>
            <w:vAlign w:val="top"/>
          </w:tcPr>
          <w:p>
            <w:pPr>
              <w:spacing w:after="0"/>
              <w:jc w:val="left"/>
            </w:pPr>
            <w:r>
              <w:rPr>
                <w:rFonts w:ascii="Arial" w:hAnsi="Arial"/>
                <w:b w:val="0"/>
                <w:sz w:val="14"/>
              </w:rPr>
              <w:t>Transparency</w:t>
            </w:r>
          </w:p>
        </w:tc>
        <w:tc>
          <w:tcPr>
            <w:tcW w:type="dxa" w:w="2556"/>
            <w:vAlign w:val="top"/>
          </w:tcPr>
          <w:p>
            <w:pPr>
              <w:spacing w:after="0"/>
              <w:jc w:val="left"/>
            </w:pPr>
            <w:r>
              <w:rPr>
                <w:rFonts w:ascii="Arial" w:hAnsi="Arial"/>
                <w:b w:val="0"/>
                <w:sz w:val="14"/>
              </w:rPr>
              <w:t>EU AI Act Art. 13, GDPR Art. 5, NIST AI RMF Govern</w:t>
            </w:r>
          </w:p>
        </w:tc>
        <w:tc>
          <w:tcPr>
            <w:tcW w:type="dxa" w:w="2556"/>
            <w:vAlign w:val="top"/>
          </w:tcPr>
          <w:p>
            <w:pPr>
              <w:spacing w:after="0"/>
              <w:jc w:val="left"/>
            </w:pPr>
            <w:r>
              <w:rPr>
                <w:rFonts w:ascii="Arial" w:hAnsi="Arial"/>
                <w:b w:val="0"/>
                <w:sz w:val="14"/>
              </w:rPr>
              <w:t>Does the system provide explainability and disclosure mechanisms?</w:t>
            </w:r>
          </w:p>
        </w:tc>
        <w:tc>
          <w:tcPr>
            <w:tcW w:type="dxa" w:w="2556"/>
            <w:vAlign w:val="top"/>
          </w:tcPr>
          <w:p>
            <w:pPr>
              <w:spacing w:after="0"/>
              <w:jc w:val="left"/>
            </w:pPr>
            <w:r>
              <w:rPr>
                <w:rFonts w:ascii="Arial" w:hAnsi="Arial"/>
                <w:b w:val="0"/>
                <w:sz w:val="14"/>
              </w:rPr>
              <w:t>10%</w:t>
            </w:r>
          </w:p>
        </w:tc>
      </w:tr>
      <w:tr>
        <w:trPr>
          <w:cantSplit/>
        </w:trPr>
        <w:tc>
          <w:tcPr>
            <w:tcW w:type="dxa" w:w="2556"/>
            <w:vAlign w:val="top"/>
          </w:tcPr>
          <w:p>
            <w:pPr>
              <w:spacing w:after="0"/>
              <w:jc w:val="left"/>
            </w:pPr>
            <w:r>
              <w:rPr>
                <w:rFonts w:ascii="Arial" w:hAnsi="Arial"/>
                <w:b w:val="0"/>
                <w:sz w:val="14"/>
              </w:rPr>
              <w:t>Human Oversight</w:t>
            </w:r>
          </w:p>
        </w:tc>
        <w:tc>
          <w:tcPr>
            <w:tcW w:type="dxa" w:w="2556"/>
            <w:vAlign w:val="top"/>
          </w:tcPr>
          <w:p>
            <w:pPr>
              <w:spacing w:after="0"/>
              <w:jc w:val="left"/>
            </w:pPr>
            <w:r>
              <w:rPr>
                <w:rFonts w:ascii="Arial" w:hAnsi="Arial"/>
                <w:b w:val="0"/>
                <w:sz w:val="14"/>
              </w:rPr>
              <w:t>EU AI Act Art. 14, Singapore MGF Agentic AI, NIST AI RMF Manage</w:t>
            </w:r>
          </w:p>
        </w:tc>
        <w:tc>
          <w:tcPr>
            <w:tcW w:type="dxa" w:w="2556"/>
            <w:vAlign w:val="top"/>
          </w:tcPr>
          <w:p>
            <w:pPr>
              <w:spacing w:after="0"/>
              <w:jc w:val="left"/>
            </w:pPr>
            <w:r>
              <w:rPr>
                <w:rFonts w:ascii="Arial" w:hAnsi="Arial"/>
                <w:b w:val="0"/>
                <w:sz w:val="14"/>
              </w:rPr>
              <w:t>Does the system support human review, approval, and intervention?</w:t>
            </w:r>
          </w:p>
        </w:tc>
        <w:tc>
          <w:tcPr>
            <w:tcW w:type="dxa" w:w="2556"/>
            <w:vAlign w:val="top"/>
          </w:tcPr>
          <w:p>
            <w:pPr>
              <w:spacing w:after="0"/>
              <w:jc w:val="left"/>
            </w:pPr>
            <w:r>
              <w:rPr>
                <w:rFonts w:ascii="Arial" w:hAnsi="Arial"/>
                <w:b w:val="0"/>
                <w:sz w:val="14"/>
              </w:rPr>
              <w:t>15%</w:t>
            </w:r>
          </w:p>
        </w:tc>
      </w:tr>
      <w:tr>
        <w:trPr>
          <w:cantSplit/>
        </w:trPr>
        <w:tc>
          <w:tcPr>
            <w:tcW w:type="dxa" w:w="2556"/>
            <w:vAlign w:val="top"/>
          </w:tcPr>
          <w:p>
            <w:pPr>
              <w:spacing w:after="0"/>
              <w:jc w:val="left"/>
            </w:pPr>
            <w:r>
              <w:rPr>
                <w:rFonts w:ascii="Arial" w:hAnsi="Arial"/>
                <w:b w:val="0"/>
                <w:sz w:val="14"/>
              </w:rPr>
              <w:t>Security</w:t>
            </w:r>
          </w:p>
        </w:tc>
        <w:tc>
          <w:tcPr>
            <w:tcW w:type="dxa" w:w="2556"/>
            <w:vAlign w:val="top"/>
          </w:tcPr>
          <w:p>
            <w:pPr>
              <w:spacing w:after="0"/>
              <w:jc w:val="left"/>
            </w:pPr>
            <w:r>
              <w:rPr>
                <w:rFonts w:ascii="Arial" w:hAnsi="Arial"/>
                <w:b w:val="0"/>
                <w:sz w:val="14"/>
              </w:rPr>
              <w:t>EU AI Act Art. 15, ISO/IEC 42001, NIST AI RMF Manage</w:t>
            </w:r>
          </w:p>
        </w:tc>
        <w:tc>
          <w:tcPr>
            <w:tcW w:type="dxa" w:w="2556"/>
            <w:vAlign w:val="top"/>
          </w:tcPr>
          <w:p>
            <w:pPr>
              <w:spacing w:after="0"/>
              <w:jc w:val="left"/>
            </w:pPr>
            <w:r>
              <w:rPr>
                <w:rFonts w:ascii="Arial" w:hAnsi="Arial"/>
                <w:b w:val="0"/>
                <w:sz w:val="14"/>
              </w:rPr>
              <w:t>Does the system implement security controls and access management?</w:t>
            </w:r>
          </w:p>
        </w:tc>
        <w:tc>
          <w:tcPr>
            <w:tcW w:type="dxa" w:w="2556"/>
            <w:vAlign w:val="top"/>
          </w:tcPr>
          <w:p>
            <w:pPr>
              <w:spacing w:after="0"/>
              <w:jc w:val="left"/>
            </w:pPr>
            <w:r>
              <w:rPr>
                <w:rFonts w:ascii="Arial" w:hAnsi="Arial"/>
                <w:b w:val="0"/>
                <w:sz w:val="14"/>
              </w:rPr>
              <w:t>5%</w:t>
            </w:r>
          </w:p>
        </w:tc>
      </w:tr>
      <w:tr>
        <w:trPr>
          <w:cantSplit/>
        </w:trPr>
        <w:tc>
          <w:tcPr>
            <w:tcW w:type="dxa" w:w="2556"/>
            <w:vAlign w:val="top"/>
          </w:tcPr>
          <w:p>
            <w:pPr>
              <w:spacing w:after="0"/>
              <w:jc w:val="left"/>
            </w:pPr>
            <w:r>
              <w:rPr>
                <w:rFonts w:ascii="Arial" w:hAnsi="Arial"/>
                <w:b w:val="0"/>
                <w:sz w:val="14"/>
              </w:rPr>
              <w:t>Accountability</w:t>
            </w:r>
          </w:p>
        </w:tc>
        <w:tc>
          <w:tcPr>
            <w:tcW w:type="dxa" w:w="2556"/>
            <w:vAlign w:val="top"/>
          </w:tcPr>
          <w:p>
            <w:pPr>
              <w:spacing w:after="0"/>
              <w:jc w:val="left"/>
            </w:pPr>
            <w:r>
              <w:rPr>
                <w:rFonts w:ascii="Arial" w:hAnsi="Arial"/>
                <w:b w:val="0"/>
                <w:sz w:val="14"/>
              </w:rPr>
              <w:t>GDPR Art. 5, ISO/IEC 42001, Singapore MGF Agentic AI</w:t>
            </w:r>
          </w:p>
        </w:tc>
        <w:tc>
          <w:tcPr>
            <w:tcW w:type="dxa" w:w="2556"/>
            <w:vAlign w:val="top"/>
          </w:tcPr>
          <w:p>
            <w:pPr>
              <w:spacing w:after="0"/>
              <w:jc w:val="left"/>
            </w:pPr>
            <w:r>
              <w:rPr>
                <w:rFonts w:ascii="Arial" w:hAnsi="Arial"/>
                <w:b w:val="0"/>
                <w:sz w:val="14"/>
              </w:rPr>
              <w:t>Does the system assign responsibility and track decisions?</w:t>
            </w:r>
          </w:p>
        </w:tc>
        <w:tc>
          <w:tcPr>
            <w:tcW w:type="dxa" w:w="2556"/>
            <w:vAlign w:val="top"/>
          </w:tcPr>
          <w:p>
            <w:pPr>
              <w:spacing w:after="0"/>
              <w:jc w:val="left"/>
            </w:pPr>
            <w:r>
              <w:rPr>
                <w:rFonts w:ascii="Arial" w:hAnsi="Arial"/>
                <w:b w:val="0"/>
                <w:sz w:val="14"/>
              </w:rPr>
              <w:t>5%</w:t>
            </w:r>
          </w:p>
        </w:tc>
      </w:tr>
      <w:tr>
        <w:trPr>
          <w:cantSplit/>
        </w:trPr>
        <w:tc>
          <w:tcPr>
            <w:tcW w:type="dxa" w:w="2556"/>
            <w:vAlign w:val="top"/>
          </w:tcPr>
          <w:p>
            <w:pPr>
              <w:spacing w:after="0"/>
              <w:jc w:val="left"/>
            </w:pPr>
            <w:r>
              <w:rPr>
                <w:rFonts w:ascii="Arial" w:hAnsi="Arial"/>
                <w:b w:val="0"/>
                <w:sz w:val="14"/>
              </w:rPr>
              <w:t>Contestability</w:t>
            </w:r>
          </w:p>
        </w:tc>
        <w:tc>
          <w:tcPr>
            <w:tcW w:type="dxa" w:w="2556"/>
            <w:vAlign w:val="top"/>
          </w:tcPr>
          <w:p>
            <w:pPr>
              <w:spacing w:after="0"/>
              <w:jc w:val="left"/>
            </w:pPr>
            <w:r>
              <w:rPr>
                <w:rFonts w:ascii="Arial" w:hAnsi="Arial"/>
                <w:b w:val="0"/>
                <w:sz w:val="14"/>
              </w:rPr>
              <w:t>EU AI Act recitals, GDPR Art. 22, Singapore MGF Agentic AI</w:t>
            </w:r>
          </w:p>
        </w:tc>
        <w:tc>
          <w:tcPr>
            <w:tcW w:type="dxa" w:w="2556"/>
            <w:vAlign w:val="top"/>
          </w:tcPr>
          <w:p>
            <w:pPr>
              <w:spacing w:after="0"/>
              <w:jc w:val="left"/>
            </w:pPr>
            <w:r>
              <w:rPr>
                <w:rFonts w:ascii="Arial" w:hAnsi="Arial"/>
                <w:b w:val="0"/>
                <w:sz w:val="14"/>
              </w:rPr>
              <w:t>Does the system support dispute and appeal mechanisms?</w:t>
            </w:r>
          </w:p>
        </w:tc>
        <w:tc>
          <w:tcPr>
            <w:tcW w:type="dxa" w:w="2556"/>
            <w:vAlign w:val="top"/>
          </w:tcPr>
          <w:p>
            <w:pPr>
              <w:spacing w:after="0"/>
              <w:jc w:val="left"/>
            </w:pPr>
            <w:r>
              <w:rPr>
                <w:rFonts w:ascii="Arial" w:hAnsi="Arial"/>
                <w:b w:val="0"/>
                <w:sz w:val="14"/>
              </w:rPr>
              <w:t>5%</w:t>
            </w:r>
          </w:p>
        </w:tc>
      </w:tr>
      <w:tr>
        <w:trPr>
          <w:cantSplit/>
        </w:trPr>
        <w:tc>
          <w:tcPr>
            <w:tcW w:type="dxa" w:w="2556"/>
            <w:vAlign w:val="top"/>
          </w:tcPr>
          <w:p>
            <w:pPr>
              <w:spacing w:after="0"/>
              <w:jc w:val="left"/>
            </w:pPr>
            <w:r>
              <w:rPr>
                <w:rFonts w:ascii="Arial" w:hAnsi="Arial"/>
                <w:b w:val="0"/>
                <w:sz w:val="14"/>
              </w:rPr>
              <w:t>Monitoring</w:t>
            </w:r>
          </w:p>
        </w:tc>
        <w:tc>
          <w:tcPr>
            <w:tcW w:type="dxa" w:w="2556"/>
            <w:vAlign w:val="top"/>
          </w:tcPr>
          <w:p>
            <w:pPr>
              <w:spacing w:after="0"/>
              <w:jc w:val="left"/>
            </w:pPr>
            <w:r>
              <w:rPr>
                <w:rFonts w:ascii="Arial" w:hAnsi="Arial"/>
                <w:b w:val="0"/>
                <w:sz w:val="14"/>
              </w:rPr>
              <w:t>EU AI Act Art. 72, NIST AI RMF Manage, ISO/IEC 42001</w:t>
            </w:r>
          </w:p>
        </w:tc>
        <w:tc>
          <w:tcPr>
            <w:tcW w:type="dxa" w:w="2556"/>
            <w:vAlign w:val="top"/>
          </w:tcPr>
          <w:p>
            <w:pPr>
              <w:spacing w:after="0"/>
              <w:jc w:val="left"/>
            </w:pPr>
            <w:r>
              <w:rPr>
                <w:rFonts w:ascii="Arial" w:hAnsi="Arial"/>
                <w:b w:val="0"/>
                <w:sz w:val="14"/>
              </w:rPr>
              <w:t>Does the system support continuous monitoring and incident detection?</w:t>
            </w:r>
          </w:p>
        </w:tc>
        <w:tc>
          <w:tcPr>
            <w:tcW w:type="dxa" w:w="2556"/>
            <w:vAlign w:val="top"/>
          </w:tcPr>
          <w:p>
            <w:pPr>
              <w:spacing w:after="0"/>
              <w:jc w:val="left"/>
            </w:pPr>
            <w:r>
              <w:rPr>
                <w:rFonts w:ascii="Arial" w:hAnsi="Arial"/>
                <w:b w:val="0"/>
                <w:sz w:val="14"/>
              </w:rPr>
              <w:t>10%</w:t>
            </w:r>
          </w:p>
        </w:tc>
      </w:tr>
    </w:tbl>
    <w:p>
      <w:pPr>
        <w:sectPr>
          <w:pgSz w:w="12240" w:h="15840"/>
          <w:pgMar w:top="792" w:right="648" w:bottom="792" w:left="648" w:header="720" w:footer="720" w:gutter="0"/>
          <w:cols w:space="720"/>
          <w:docGrid w:linePitch="360"/>
        </w:sectPr>
      </w:pPr>
    </w:p>
    <w:p/>
    <w:p/>
    <w:p>
      <w:pPr>
        <w:pStyle w:val="Heading2"/>
      </w:pPr>
      <w:r>
        <w:t>7.3 Shared Scoring Procedure</w:t>
      </w:r>
    </w:p>
    <w:p/>
    <w:p>
      <w:r>
        <w:t>RCCS and ALCS use the same scoring procedure. This section defines the shared raw scoring scale, evidence confidence multiplier, dimension score formula, and cross-framework composite score calculation used throughout the white paper.</w:t>
      </w:r>
    </w:p>
    <w:p/>
    <w:p>
      <w:pPr>
        <w:pStyle w:val="Heading3"/>
      </w:pPr>
      <w:r>
        <w:t>7.3.1 Raw Scoring Scale (0-5)</w:t>
      </w:r>
    </w:p>
    <w:p/>
    <w:p>
      <w:r>
        <w:t>Each dimension is scored on a 0-5 raw scale based on the strength of system support:</w:t>
      </w:r>
    </w:p>
    <w:p/>
    <w:p>
      <w:pPr>
        <w:pStyle w:val="ListBullet"/>
      </w:pPr>
      <w:r>
        <w:t>0 = No capability; no evidence - The system does not provide the capability, or no evidence is available to evaluate it.</w:t>
      </w:r>
    </w:p>
    <w:p>
      <w:pPr>
        <w:pStyle w:val="ListBullet"/>
      </w:pPr>
      <w:r>
        <w:t>1 = Minimal capability; weak evidence - Documentation mentions the capability, but no implementation primitives are evident.</w:t>
      </w:r>
    </w:p>
    <w:p>
      <w:pPr>
        <w:pStyle w:val="ListBullet"/>
      </w:pPr>
      <w:r>
        <w:t>2 = Partial capability; some evidence - Some primitives exist, but coverage is incomplete or limited to specific contexts.</w:t>
      </w:r>
    </w:p>
    <w:p>
      <w:pPr>
        <w:pStyle w:val="ListBullet"/>
      </w:pPr>
      <w:r>
        <w:t>3 = Moderate capability; documented evidence - Most primitives exist, with some gaps or limitations in integration or coverage.</w:t>
      </w:r>
    </w:p>
    <w:p>
      <w:pPr>
        <w:pStyle w:val="ListBullet"/>
      </w:pPr>
      <w:r>
        <w:t>4 = Strong capability; validated evidence - Strong primitives exist and are mostly integrated across the system's scope.</w:t>
      </w:r>
    </w:p>
    <w:p>
      <w:pPr>
        <w:pStyle w:val="ListBullet"/>
      </w:pPr>
      <w:r>
        <w:t>5 = Complete capability demonstrated by implementation evidence, formal audit evidence, protocol-level evidence, or validated operational artifacts - Legal text may establish a regulatory baseline but does not by itself prove implementation.</w:t>
      </w:r>
    </w:p>
    <w:p/>
    <w:p>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
      <w:pPr>
        <w:pStyle w:val="Heading3"/>
      </w:pPr>
      <w:r>
        <w:t>7.3.2 Evidence Confidence Multiplier</w:t>
      </w:r>
    </w:p>
    <w:p/>
    <w:p>
      <w:r>
        <w:t>The evidence multiplier adjusts the dimension score based on the quality and verifiability of evidence used to evaluate the system. It reflects the confidence level in the scoring assessment.</w:t>
      </w:r>
    </w:p>
    <w:p/>
    <w:p>
      <w:r>
        <w:t>Evidence multiplier values:</w:t>
      </w:r>
    </w:p>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r>
        <w:t>The evidence multiplier is applied to each raw dimension score using the canonical normalized formula:</w:t>
      </w:r>
    </w:p>
    <w:p/>
    <w:p>
      <w:r>
        <w:t>Dimension Score = (Raw Score / 5) × 100 × Evidence Confidence Multiplier</w:t>
      </w:r>
    </w:p>
    <w:p/>
    <w:p>
      <w:r>
        <w:t>This ensures that scores based on weaker evidence are discounted appropriately.</w:t>
      </w:r>
    </w:p>
    <w:p/>
    <w:p>
      <w:pPr>
        <w:pStyle w:val="Heading3"/>
      </w:pPr>
      <w:r>
        <w:t>7.3.3 Dimension Weighting</w:t>
      </w:r>
    </w:p>
    <w:p/>
    <w:p>
      <w:r>
        <w:t>Each dimension has a weight that reflects its relative importance in the regulatory baseline. Weights are expressed as percentages and sum to 100% for each scoring framework.</w:t>
      </w:r>
    </w:p>
    <w:p/>
    <w:p>
      <w:r>
        <w:t>For RCCS, the weights are:</w:t>
      </w:r>
    </w:p>
    <w:p>
      <w:pPr>
        <w:pStyle w:val="ListBullet"/>
      </w:pPr>
      <w:r>
        <w:t>Risk Management: 20%</w:t>
      </w:r>
    </w:p>
    <w:p>
      <w:pPr>
        <w:pStyle w:val="ListBullet"/>
      </w:pPr>
      <w:r>
        <w:t>Human Oversight: 15%</w:t>
      </w:r>
    </w:p>
    <w:p>
      <w:pPr>
        <w:pStyle w:val="ListBullet"/>
      </w:pPr>
      <w:r>
        <w:t>Data Governance: 10%</w:t>
      </w:r>
    </w:p>
    <w:p>
      <w:pPr>
        <w:pStyle w:val="ListBullet"/>
      </w:pPr>
      <w:r>
        <w:t>Documentation: 10%</w:t>
      </w:r>
    </w:p>
    <w:p>
      <w:pPr>
        <w:pStyle w:val="ListBullet"/>
      </w:pPr>
      <w:r>
        <w:t>Record-Keeping: 10%</w:t>
      </w:r>
    </w:p>
    <w:p>
      <w:pPr>
        <w:pStyle w:val="ListBullet"/>
      </w:pPr>
      <w:r>
        <w:t>Transparency: 10%</w:t>
      </w:r>
    </w:p>
    <w:p>
      <w:pPr>
        <w:pStyle w:val="ListBullet"/>
      </w:pPr>
      <w:r>
        <w:t>Monitoring: 10%</w:t>
      </w:r>
    </w:p>
    <w:p>
      <w:pPr>
        <w:pStyle w:val="ListBullet"/>
      </w:pPr>
      <w:r>
        <w:t>Security: 5%</w:t>
      </w:r>
    </w:p>
    <w:p>
      <w:pPr>
        <w:pStyle w:val="ListBullet"/>
      </w:pPr>
      <w:r>
        <w:t>Accountability: 5%</w:t>
      </w:r>
    </w:p>
    <w:p>
      <w:pPr>
        <w:pStyle w:val="ListBullet"/>
      </w:pPr>
      <w:r>
        <w:t>Contestability: 5%</w:t>
      </w:r>
    </w:p>
    <w:p/>
    <w:p>
      <w:r>
        <w:t>Weights are fixed for this version of the white paper. Future versions may adjust weights based on regulatory evolution or stakeholder feedback.</w:t>
      </w:r>
    </w:p>
    <w:p/>
    <w:p>
      <w:pPr>
        <w:pStyle w:val="Heading3"/>
      </w:pPr>
      <w:r>
        <w:t>7.3.4 RCCS Score Calculation</w:t>
      </w:r>
    </w:p>
    <w:p/>
    <w:p>
      <w:r>
        <w:t>RCCS is calculated from adjusted RCCS dimension scores. Each dimension first receives a raw score and evidence multiplier:</w:t>
      </w:r>
    </w:p>
    <w:p/>
    <w:p>
      <w:r>
        <w:t>Dimension Score = (Raw Score / 5) × 100 × Evidence Confidence Multiplier</w:t>
      </w:r>
    </w:p>
    <w:p/>
    <w:p>
      <w:r>
        <w:t>Where:</w:t>
      </w:r>
    </w:p>
    <w:p>
      <w:pPr>
        <w:pStyle w:val="ListBullet"/>
      </w:pPr>
      <w:r>
        <w:t>Raw Score is the 0-5 capability score for each dimension</w:t>
      </w:r>
    </w:p>
    <w:p>
      <w:pPr>
        <w:pStyle w:val="ListBullet"/>
      </w:pPr>
      <w:r>
        <w:t>Evidence Confidence Multiplier is L1=1.00, L2=0.85, L3=0.75, L4=0.55, or L5=0.35</w:t>
      </w:r>
    </w:p>
    <w:p/>
    <w:p>
      <w:r>
        <w:t>The RCCS framework score is the aggregate of adjusted RCCS dimension scores. The cross-framework composite score is defined in Chapter 9 as:</w:t>
      </w:r>
    </w:p>
    <w:p/>
    <w:p>
      <w:r>
        <w:t>Composite Score = 0.40 × RCCS + 0.60 × ALCS</w:t>
      </w:r>
    </w:p>
    <w:p/>
    <w:p>
      <w:r>
        <w:t>The following table illustrates the calculation formula.</w:t>
      </w:r>
    </w:p>
    <w:p/>
    <w:p>
      <w:pPr>
        <w:keepNext/>
      </w:pPr>
      <w:r>
        <w:rPr>
          <w:b/>
          <w:sz w:val="17"/>
        </w:rPr>
        <w:t>Table T-07-02: RCCS Dimension Score Calculation Formula</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Component</w:t>
            </w:r>
          </w:p>
        </w:tc>
        <w:tc>
          <w:tcPr>
            <w:tcW w:type="dxa" w:w="3408"/>
            <w:vAlign w:val="top"/>
            <w:shd w:fill="D9EAF7"/>
          </w:tcPr>
          <w:p>
            <w:pPr>
              <w:spacing w:after="0"/>
              <w:jc w:val="left"/>
            </w:pPr>
            <w:r>
              <w:rPr>
                <w:rFonts w:ascii="Arial" w:hAnsi="Arial"/>
                <w:b/>
                <w:sz w:val="16"/>
              </w:rPr>
              <w:t>Formula</w:t>
            </w:r>
          </w:p>
        </w:tc>
        <w:tc>
          <w:tcPr>
            <w:tcW w:type="dxa" w:w="3408"/>
            <w:vAlign w:val="top"/>
            <w:shd w:fill="D9EAF7"/>
          </w:tcPr>
          <w:p>
            <w:pPr>
              <w:spacing w:after="0"/>
              <w:jc w:val="left"/>
            </w:pPr>
            <w:r>
              <w:rPr>
                <w:rFonts w:ascii="Arial" w:hAnsi="Arial"/>
                <w:b/>
                <w:sz w:val="16"/>
              </w:rPr>
              <w:t>Example</w:t>
            </w:r>
          </w:p>
        </w:tc>
      </w:tr>
      <w:tr>
        <w:trPr>
          <w:cantSplit/>
        </w:trPr>
        <w:tc>
          <w:tcPr>
            <w:tcW w:type="dxa" w:w="3408"/>
            <w:vAlign w:val="top"/>
          </w:tcPr>
          <w:p>
            <w:pPr>
              <w:spacing w:after="0"/>
              <w:jc w:val="left"/>
            </w:pPr>
            <w:r>
              <w:rPr>
                <w:rFonts w:ascii="Arial" w:hAnsi="Arial"/>
                <w:b w:val="0"/>
                <w:sz w:val="16"/>
              </w:rPr>
              <w:t>Raw Score</w:t>
            </w:r>
          </w:p>
        </w:tc>
        <w:tc>
          <w:tcPr>
            <w:tcW w:type="dxa" w:w="3408"/>
            <w:vAlign w:val="top"/>
          </w:tcPr>
          <w:p>
            <w:pPr>
              <w:spacing w:after="0"/>
              <w:jc w:val="left"/>
            </w:pPr>
            <w:r>
              <w:rPr>
                <w:rFonts w:ascii="Arial" w:hAnsi="Arial"/>
                <w:b w:val="0"/>
                <w:sz w:val="16"/>
              </w:rPr>
              <w:t>0-5 scale based on capability strength</w:t>
            </w:r>
          </w:p>
        </w:tc>
        <w:tc>
          <w:tcPr>
            <w:tcW w:type="dxa" w:w="3408"/>
            <w:vAlign w:val="top"/>
          </w:tcPr>
          <w:p>
            <w:pPr>
              <w:spacing w:after="0"/>
              <w:jc w:val="left"/>
            </w:pPr>
            <w:r>
              <w:rPr>
                <w:rFonts w:ascii="Arial" w:hAnsi="Arial"/>
                <w:b w:val="0"/>
                <w:sz w:val="16"/>
              </w:rPr>
              <w:t>Risk Management = 4</w:t>
            </w:r>
          </w:p>
        </w:tc>
      </w:tr>
      <w:tr>
        <w:trPr>
          <w:cantSplit/>
        </w:trPr>
        <w:tc>
          <w:tcPr>
            <w:tcW w:type="dxa" w:w="3408"/>
            <w:vAlign w:val="top"/>
          </w:tcPr>
          <w:p>
            <w:pPr>
              <w:spacing w:after="0"/>
              <w:jc w:val="left"/>
            </w:pPr>
            <w:r>
              <w:rPr>
                <w:rFonts w:ascii="Arial" w:hAnsi="Arial"/>
                <w:b w:val="0"/>
                <w:sz w:val="16"/>
              </w:rPr>
              <w:t>Evidence Multiplier</w:t>
            </w:r>
          </w:p>
        </w:tc>
        <w:tc>
          <w:tcPr>
            <w:tcW w:type="dxa" w:w="3408"/>
            <w:vAlign w:val="top"/>
          </w:tcPr>
          <w:p>
            <w:pPr>
              <w:spacing w:after="0"/>
              <w:jc w:val="left"/>
            </w:pPr>
            <w:r>
              <w:rPr>
                <w:rFonts w:ascii="Arial" w:hAnsi="Arial"/>
                <w:b w:val="0"/>
                <w:sz w:val="16"/>
              </w:rPr>
              <w:t>L1-L5 multiplier</w:t>
            </w:r>
          </w:p>
        </w:tc>
        <w:tc>
          <w:tcPr>
            <w:tcW w:type="dxa" w:w="3408"/>
            <w:vAlign w:val="top"/>
          </w:tcPr>
          <w:p>
            <w:pPr>
              <w:spacing w:after="0"/>
              <w:jc w:val="left"/>
            </w:pPr>
            <w:r>
              <w:rPr>
                <w:rFonts w:ascii="Arial" w:hAnsi="Arial"/>
                <w:b w:val="0"/>
                <w:sz w:val="16"/>
              </w:rPr>
              <w:t>L2 evidence = 0.85</w:t>
            </w:r>
          </w:p>
        </w:tc>
      </w:tr>
      <w:tr>
        <w:trPr>
          <w:cantSplit/>
        </w:trPr>
        <w:tc>
          <w:tcPr>
            <w:tcW w:type="dxa" w:w="3408"/>
            <w:vAlign w:val="top"/>
          </w:tcPr>
          <w:p>
            <w:pPr>
              <w:spacing w:after="0"/>
              <w:jc w:val="left"/>
            </w:pPr>
            <w:r>
              <w:rPr>
                <w:rFonts w:ascii="Arial" w:hAnsi="Arial"/>
                <w:b w:val="0"/>
                <w:sz w:val="16"/>
              </w:rPr>
              <w:t>Dimension Score</w:t>
            </w:r>
          </w:p>
        </w:tc>
        <w:tc>
          <w:tcPr>
            <w:tcW w:type="dxa" w:w="3408"/>
            <w:vAlign w:val="top"/>
          </w:tcPr>
          <w:p>
            <w:pPr>
              <w:spacing w:after="0"/>
              <w:jc w:val="left"/>
            </w:pPr>
            <w:r>
              <w:rPr>
                <w:rFonts w:ascii="Arial" w:hAnsi="Arial"/>
                <w:b w:val="0"/>
                <w:sz w:val="16"/>
              </w:rPr>
              <w:t>(Raw Score / 5) × 100 × Evidence Multiplier</w:t>
            </w:r>
          </w:p>
        </w:tc>
        <w:tc>
          <w:tcPr>
            <w:tcW w:type="dxa" w:w="3408"/>
            <w:vAlign w:val="top"/>
          </w:tcPr>
          <w:p>
            <w:pPr>
              <w:spacing w:after="0"/>
              <w:jc w:val="left"/>
            </w:pPr>
            <w:r>
              <w:rPr>
                <w:rFonts w:ascii="Arial" w:hAnsi="Arial"/>
                <w:b w:val="0"/>
                <w:sz w:val="16"/>
              </w:rPr>
              <w:t>(4 / 5) × 100 × 0.85 = 68.0</w:t>
            </w:r>
          </w:p>
        </w:tc>
      </w:tr>
      <w:tr>
        <w:trPr>
          <w:cantSplit/>
        </w:trPr>
        <w:tc>
          <w:tcPr>
            <w:tcW w:type="dxa" w:w="3408"/>
            <w:vAlign w:val="top"/>
          </w:tcPr>
          <w:p>
            <w:pPr>
              <w:spacing w:after="0"/>
              <w:jc w:val="left"/>
            </w:pPr>
            <w:r>
              <w:rPr>
                <w:rFonts w:ascii="Arial" w:hAnsi="Arial"/>
                <w:b w:val="0"/>
                <w:sz w:val="16"/>
              </w:rPr>
              <w:t>Framework Score</w:t>
            </w:r>
          </w:p>
        </w:tc>
        <w:tc>
          <w:tcPr>
            <w:tcW w:type="dxa" w:w="3408"/>
            <w:vAlign w:val="top"/>
          </w:tcPr>
          <w:p>
            <w:pPr>
              <w:spacing w:after="0"/>
              <w:jc w:val="left"/>
            </w:pPr>
            <w:r>
              <w:rPr>
                <w:rFonts w:ascii="Arial" w:hAnsi="Arial"/>
                <w:b w:val="0"/>
                <w:sz w:val="16"/>
              </w:rPr>
              <w:t>Aggregate of adjusted RCCS dimension scores</w:t>
            </w:r>
          </w:p>
        </w:tc>
        <w:tc>
          <w:tcPr>
            <w:tcW w:type="dxa" w:w="3408"/>
            <w:vAlign w:val="top"/>
          </w:tcPr>
          <w:p>
            <w:pPr>
              <w:spacing w:after="0"/>
              <w:jc w:val="left"/>
            </w:pPr>
            <w:r>
              <w:rPr>
                <w:rFonts w:ascii="Arial" w:hAnsi="Arial"/>
                <w:b w:val="0"/>
                <w:sz w:val="16"/>
              </w:rPr>
              <w:t>RCCS = aggregate RCCS score</w:t>
            </w:r>
          </w:p>
        </w:tc>
      </w:tr>
      <w:tr>
        <w:trPr>
          <w:cantSplit/>
        </w:trPr>
        <w:tc>
          <w:tcPr>
            <w:tcW w:type="dxa" w:w="3408"/>
            <w:vAlign w:val="top"/>
          </w:tcPr>
          <w:p>
            <w:pPr>
              <w:spacing w:after="0"/>
              <w:jc w:val="left"/>
            </w:pPr>
            <w:r>
              <w:rPr>
                <w:rFonts w:ascii="Arial" w:hAnsi="Arial"/>
                <w:b w:val="0"/>
                <w:sz w:val="16"/>
              </w:rPr>
              <w:t>Cross-Framework Composite</w:t>
            </w:r>
          </w:p>
        </w:tc>
        <w:tc>
          <w:tcPr>
            <w:tcW w:type="dxa" w:w="3408"/>
            <w:vAlign w:val="top"/>
          </w:tcPr>
          <w:p>
            <w:pPr>
              <w:spacing w:after="0"/>
              <w:jc w:val="left"/>
            </w:pPr>
            <w:r>
              <w:rPr>
                <w:rFonts w:ascii="Arial" w:hAnsi="Arial"/>
                <w:b w:val="0"/>
                <w:sz w:val="16"/>
              </w:rPr>
              <w:t>0.40 × RCCS + 0.60 × ALCS</w:t>
            </w:r>
          </w:p>
        </w:tc>
        <w:tc>
          <w:tcPr>
            <w:tcW w:type="dxa" w:w="3408"/>
            <w:vAlign w:val="top"/>
          </w:tcPr>
          <w:p>
            <w:pPr>
              <w:spacing w:after="0"/>
              <w:jc w:val="left"/>
            </w:pPr>
            <w:r>
              <w:rPr>
                <w:rFonts w:ascii="Arial" w:hAnsi="Arial"/>
                <w:b w:val="0"/>
                <w:sz w:val="16"/>
              </w:rPr>
              <w:t>See Chapter 9</w:t>
            </w:r>
          </w:p>
        </w:tc>
      </w:tr>
    </w:tbl>
    <w:p>
      <w:pPr>
        <w:sectPr>
          <w:pgSz w:w="12240" w:h="15840"/>
          <w:pgMar w:top="792" w:right="648" w:bottom="792" w:left="648" w:header="720" w:footer="720" w:gutter="0"/>
          <w:cols w:space="720"/>
          <w:docGrid w:linePitch="360"/>
        </w:sectPr>
      </w:pPr>
    </w:p>
    <w:p/>
    <w:p>
      <w:r>
        <w:t>This calculation method is used for both RCCS and ALCS. The only difference is the set of dimensions and their weights.</w:t>
      </w:r>
    </w:p>
    <w:p/>
    <w:p/>
    <w:p>
      <w:pPr>
        <w:pStyle w:val="Heading2"/>
      </w:pPr>
      <w:r>
        <w:t>7.4 RCCS Boundary Statement</w:t>
      </w:r>
    </w:p>
    <w:p/>
    <w:p>
      <w:r>
        <w:t>RCCS is an analytical scoring framework, not a legal compliance score. This boundary must be understood clearly to avoid misinterpretation.</w:t>
      </w:r>
    </w:p>
    <w:p/>
    <w:p>
      <w:r>
        <w:t>What RCCS is:</w:t>
      </w:r>
    </w:p>
    <w:p>
      <w:pPr>
        <w:pStyle w:val="ListBullet"/>
      </w:pPr>
      <w:r>
        <w:t>An analytical framework for comparing system capabilities against regulatory ideals</w:t>
      </w:r>
    </w:p>
    <w:p>
      <w:pPr>
        <w:pStyle w:val="ListBullet"/>
      </w:pPr>
      <w:r>
        <w:t>A structured method for evaluating whether a system provides governance primitives</w:t>
      </w:r>
    </w:p>
    <w:p>
      <w:pPr>
        <w:pStyle w:val="ListBullet"/>
      </w:pPr>
      <w:r>
        <w:t>A tool for buyers, auditors, and governance teams to assess system readiness</w:t>
      </w:r>
    </w:p>
    <w:p>
      <w:pPr>
        <w:pStyle w:val="ListBullet"/>
      </w:pPr>
      <w:r>
        <w:t>A bridge between regulatory language and engineering implementation</w:t>
      </w:r>
    </w:p>
    <w:p/>
    <w:p>
      <w:r>
        <w:t>What RCCS is not:</w:t>
      </w:r>
    </w:p>
    <w:p>
      <w:pPr>
        <w:pStyle w:val="ListBullet"/>
      </w:pPr>
      <w:r>
        <w:t>A legal compliance certification or conformity assessment</w:t>
      </w:r>
    </w:p>
    <w:p>
      <w:pPr>
        <w:pStyle w:val="ListBullet"/>
      </w:pPr>
      <w:r>
        <w:t>A regulatory approval or endorsement</w:t>
      </w:r>
    </w:p>
    <w:p>
      <w:pPr>
        <w:pStyle w:val="ListBullet"/>
      </w:pPr>
      <w:r>
        <w:t>A guarantee that a system meets all legal obligations</w:t>
      </w:r>
    </w:p>
    <w:p>
      <w:pPr>
        <w:pStyle w:val="ListBullet"/>
      </w:pPr>
      <w:r>
        <w:t>A substitute for legal counsel, compliance review, or risk assessment</w:t>
      </w:r>
    </w:p>
    <w:p/>
    <w:p>
      <w:r>
        <w:t>Key boundary principles:</w:t>
      </w:r>
    </w:p>
    <w:p/>
    <w:p>
      <w:r>
        <w:t>1. High RCCS score does NOT mean legal compliance. A system may score well on RCCS while the organization using it fails to comply with legal obligations due to deployment gaps, policy weaknesses, incomplete adoption, or jurisdictional differences.</w:t>
      </w:r>
    </w:p>
    <w:p/>
    <w:p>
      <w:r>
        <w:t>2. Low RCCS score does NOT mean non-compliance. A system may score lower on RCCS while the organization achieves compliance through compensating controls, manual processes, or alternative governance mechanisms.</w:t>
      </w:r>
    </w:p>
    <w:p/>
    <w:p>
      <w:r>
        <w:t>3. 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
      <w:r>
        <w:t>4. RCCS is context-independent, but compliance is context-dependent. RCCS evaluates system capabilities without regard to deployment context, risk class, jurisdiction, or use case. Legal compliance depends on all of these factors.</w:t>
      </w:r>
    </w:p>
    <w:p/>
    <w:p>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
    <w:p>
      <w:pPr>
        <w:pStyle w:val="Heading2"/>
      </w:pPr>
      <w:r>
        <w:t>7.5 Bridge to Dimension Sections</w:t>
      </w:r>
    </w:p>
    <w:p/>
    <w:p>
      <w:r>
        <w:t>The following sections (7.6 through 7.15) detail each RCCS dimension. Each dimension section includes:</w:t>
      </w:r>
    </w:p>
    <w:p/>
    <w:p>
      <w:pPr>
        <w:pStyle w:val="ListBullet"/>
      </w:pPr>
      <w:r>
        <w:t>Regulatory basis - Which frameworks and requirements inform the dimension</w:t>
      </w:r>
    </w:p>
    <w:p>
      <w:pPr>
        <w:pStyle w:val="ListBullet"/>
      </w:pPr>
      <w:r>
        <w:t>Core question - What the dimension evaluates</w:t>
      </w:r>
    </w:p>
    <w:p>
      <w:pPr>
        <w:pStyle w:val="ListBullet"/>
      </w:pPr>
      <w:r>
        <w:t>Scoring criteria - How to apply the 0-5 raw scale to system capabilities</w:t>
      </w:r>
    </w:p>
    <w:p>
      <w:pPr>
        <w:pStyle w:val="ListBullet"/>
      </w:pPr>
      <w:r>
        <w:t>System mapping guidance - How to evaluate whether a system supports the dimension</w:t>
      </w:r>
    </w:p>
    <w:p/>
    <w:p>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
    <w:p>
      <w:pPr>
        <w:pStyle w:val="Heading2"/>
      </w:pPr>
      <w:r>
        <w:t>7.6 RCCS-01: Risk Management</w:t>
      </w:r>
    </w:p>
    <w:p/>
    <w:p>
      <w:pPr>
        <w:pStyle w:val="Heading3"/>
      </w:pPr>
      <w:r>
        <w:t>Regulatory Basis</w:t>
      </w:r>
    </w:p>
    <w:p/>
    <w:p>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
      <w:pPr>
        <w:pStyle w:val="Heading3"/>
      </w:pPr>
      <w:r>
        <w:t>Core Question</w:t>
      </w:r>
    </w:p>
    <w:p/>
    <w:p>
      <w:r>
        <w:t>Does the system support risk identification, assessment, mitigation, and continuous monitoring across the AI lifecycle?</w:t>
      </w:r>
    </w:p>
    <w:p/>
    <w:p>
      <w:pPr>
        <w:pStyle w:val="Heading3"/>
      </w:pPr>
      <w:r>
        <w:t>Scoring Rubric</w:t>
      </w:r>
    </w:p>
    <w:p/>
    <w:p>
      <w:pPr>
        <w:keepNext/>
      </w:pPr>
      <w:r>
        <w:rPr>
          <w:b/>
          <w:sz w:val="17"/>
        </w:rPr>
        <w:t>Table T-07-03: RCCS-01 Risk Management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risk management capability</w:t>
            </w:r>
          </w:p>
        </w:tc>
        <w:tc>
          <w:tcPr>
            <w:tcW w:type="dxa" w:w="3408"/>
            <w:vAlign w:val="top"/>
          </w:tcPr>
          <w:p>
            <w:pPr>
              <w:spacing w:after="0"/>
              <w:jc w:val="left"/>
            </w:pPr>
            <w:r>
              <w:rPr>
                <w:rFonts w:ascii="Arial" w:hAnsi="Arial"/>
                <w:b w:val="0"/>
                <w:sz w:val="16"/>
              </w:rPr>
              <w:t>No risk management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risk management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Risk assessment tools exist but are limited to specific phases (e.g., model development only) or lack integration with execution controls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Risk registers, assessment workflows, and mitigation tracking exist; some gaps in continuous monitoring or cross-lifecycle integration</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risk lifecycle support including identification, assessment, mitigation tracking, continuous monitoring, and risk-based controls integrated across all system phases</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When evaluating a system for risk management capability, look for evidence of four core functions: risk identification, risk assessment, risk mitigation, and continuous monitoring.</w:t>
      </w:r>
    </w:p>
    <w:p/>
    <w:p>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
      <w:pPr>
        <w:pStyle w:val="Heading3"/>
      </w:pPr>
      <w:r>
        <w:t>Common Gaps</w:t>
      </w:r>
    </w:p>
    <w:p/>
    <w:p>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
    <w:p>
      <w:pPr>
        <w:pStyle w:val="Heading2"/>
      </w:pPr>
      <w:r>
        <w:t>7.7 RCCS-02: Data Governance</w:t>
      </w:r>
    </w:p>
    <w:p/>
    <w:p>
      <w:pPr>
        <w:pStyle w:val="Heading3"/>
      </w:pPr>
      <w:r>
        <w:t>Regulatory Basis</w:t>
      </w:r>
    </w:p>
    <w:p/>
    <w:p>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
      <w:pPr>
        <w:pStyle w:val="Heading3"/>
      </w:pPr>
      <w:r>
        <w:t>Core Question</w:t>
      </w:r>
    </w:p>
    <w:p/>
    <w:p>
      <w:r>
        <w:t>Does the system track data lineage, quality, lifecycle, and provenance across agent execution?</w:t>
      </w:r>
    </w:p>
    <w:p/>
    <w:p>
      <w:pPr>
        <w:pStyle w:val="Heading3"/>
      </w:pPr>
      <w:r>
        <w:t>Scoring Rubric</w:t>
      </w:r>
    </w:p>
    <w:p/>
    <w:p>
      <w:pPr>
        <w:keepNext/>
      </w:pPr>
      <w:r>
        <w:rPr>
          <w:b/>
          <w:sz w:val="17"/>
        </w:rPr>
        <w:t>Table T-07-04: RCCS-02 Data Governance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data governance capability</w:t>
            </w:r>
          </w:p>
        </w:tc>
        <w:tc>
          <w:tcPr>
            <w:tcW w:type="dxa" w:w="3408"/>
            <w:vAlign w:val="top"/>
          </w:tcPr>
          <w:p>
            <w:pPr>
              <w:spacing w:after="0"/>
              <w:jc w:val="left"/>
            </w:pPr>
            <w:r>
              <w:rPr>
                <w:rFonts w:ascii="Arial" w:hAnsi="Arial"/>
                <w:b w:val="0"/>
                <w:sz w:val="16"/>
              </w:rPr>
              <w:t>No data tracking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data governance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Data catalogs or lineage tracking exist but are limited to training data or specific data sources; runtime data flows are not tracked</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Data lineage, quality metrics, and lifecycle management exist for most data flows; some gaps in agent-to-agent data tracking or memory system governance</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data governance covering training data, runtime retrieval, tool payloads, memory contents, agent handoffs, and evidence records with full lineage, quality metrics, and lifecycle management</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Data governance evaluation requires examining four capabilities: data cataloging, lineage tracking, quality management, and lifecycle controls.</w:t>
      </w:r>
    </w:p>
    <w:p/>
    <w:p>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
      <w:pPr>
        <w:pStyle w:val="Heading3"/>
      </w:pPr>
      <w:r>
        <w:t>Common Gaps</w:t>
      </w:r>
    </w:p>
    <w:p/>
    <w:p>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
    <w:p>
      <w:pPr>
        <w:pStyle w:val="Heading2"/>
      </w:pPr>
      <w:r>
        <w:t>7.8 RCCS-03: Documentation</w:t>
      </w:r>
    </w:p>
    <w:p/>
    <w:p>
      <w:pPr>
        <w:pStyle w:val="Heading3"/>
      </w:pPr>
      <w:r>
        <w:t>Regulatory Basis</w:t>
      </w:r>
    </w:p>
    <w:p/>
    <w:p>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
      <w:pPr>
        <w:pStyle w:val="Heading3"/>
      </w:pPr>
      <w:r>
        <w:t>Core Question</w:t>
      </w:r>
    </w:p>
    <w:p/>
    <w:p>
      <w:r>
        <w:t>Does the system produce and maintain required technical documentation across the system lifecycle?</w:t>
      </w:r>
    </w:p>
    <w:p/>
    <w:p>
      <w:pPr>
        <w:pStyle w:val="Heading3"/>
      </w:pPr>
      <w:r>
        <w:t>Scoring Rubric</w:t>
      </w:r>
    </w:p>
    <w:p/>
    <w:p>
      <w:pPr>
        <w:keepNext/>
      </w:pPr>
      <w:r>
        <w:rPr>
          <w:b/>
          <w:sz w:val="17"/>
        </w:rPr>
        <w:t>Table T-07-05: RCCS-03 Documentation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documentation capability</w:t>
            </w:r>
          </w:p>
        </w:tc>
        <w:tc>
          <w:tcPr>
            <w:tcW w:type="dxa" w:w="3408"/>
            <w:vAlign w:val="top"/>
          </w:tcPr>
          <w:p>
            <w:pPr>
              <w:spacing w:after="0"/>
              <w:jc w:val="left"/>
            </w:pPr>
            <w:r>
              <w:rPr>
                <w:rFonts w:ascii="Arial" w:hAnsi="Arial"/>
                <w:b w:val="0"/>
                <w:sz w:val="16"/>
              </w:rPr>
              <w:t>No documentation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documentation requirements but provides no automated generation or maintenance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Model cards or system documentation exist but are manually maintained and not version-controlled or linked to deployments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Automated documentation generation exists for models and some system components; some gaps in agent role documentation, tool documentation, or deployment linkage</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automated documentation covering models, agents, tools, authority boundaries, deployment configurations, and change history with version control and deployment linkage</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Documentation evaluation requires examining four capabilities: documentation generation, version control, deployment linkage, and coverage completeness.</w:t>
      </w:r>
    </w:p>
    <w:p/>
    <w:p>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
      <w:pPr>
        <w:pStyle w:val="Heading3"/>
      </w:pPr>
      <w:r>
        <w:t>Common Gaps</w:t>
      </w:r>
    </w:p>
    <w:p/>
    <w:p>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
    <w:p>
      <w:pPr>
        <w:pStyle w:val="Heading2"/>
      </w:pPr>
      <w:r>
        <w:t>7.9 RCCS-04: Record-Keeping</w:t>
      </w:r>
    </w:p>
    <w:p/>
    <w:p>
      <w:pPr>
        <w:pStyle w:val="Heading3"/>
      </w:pPr>
      <w:r>
        <w:t>Regulatory Basis</w:t>
      </w:r>
    </w:p>
    <w:p/>
    <w:p>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
      <w:pPr>
        <w:pStyle w:val="Heading3"/>
      </w:pPr>
      <w:r>
        <w:t>Core Question</w:t>
      </w:r>
    </w:p>
    <w:p/>
    <w:p>
      <w:r>
        <w:t>Does the system maintain audit trails and evidence records across agent execution?</w:t>
      </w:r>
    </w:p>
    <w:p/>
    <w:p>
      <w:pPr>
        <w:pStyle w:val="Heading3"/>
      </w:pPr>
      <w:r>
        <w:t>Scoring Rubric</w:t>
      </w:r>
    </w:p>
    <w:p/>
    <w:p>
      <w:pPr>
        <w:keepNext/>
      </w:pPr>
      <w:r>
        <w:rPr>
          <w:b/>
          <w:sz w:val="17"/>
        </w:rPr>
        <w:t>Table T-07-06: RCCS-04 Record-Keeping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record-keeping capability</w:t>
            </w:r>
          </w:p>
        </w:tc>
        <w:tc>
          <w:tcPr>
            <w:tcW w:type="dxa" w:w="3408"/>
            <w:vAlign w:val="top"/>
          </w:tcPr>
          <w:p>
            <w:pPr>
              <w:spacing w:after="0"/>
              <w:jc w:val="left"/>
            </w:pPr>
            <w:r>
              <w:rPr>
                <w:rFonts w:ascii="Arial" w:hAnsi="Arial"/>
                <w:b w:val="0"/>
                <w:sz w:val="16"/>
              </w:rPr>
              <w:t>No logging or audit trail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logging but provides no structured record-keeping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Execution logs exist but are not structured for audit purposes; no evidence retention policy or tamper-evident storage</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Structured audit trails exist for most lifecycle events; some gaps in evidence retention policies, tamper-evident storage, or cross-agent record linkage</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tamper-evident audit trails covering all lifecycle events with structured records, evidence retention policies, integrity verification, and cross-agent record linkage</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Record-keeping evaluation requires examining four capabilities: structured logging, audit trail completeness, tamper-evident storage, and retention policies.</w:t>
      </w:r>
    </w:p>
    <w:p/>
    <w:p>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
      <w:pPr>
        <w:pStyle w:val="Heading3"/>
      </w:pPr>
      <w:r>
        <w:t>Common Gaps</w:t>
      </w:r>
    </w:p>
    <w:p/>
    <w:p>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
    <w:p>
      <w:pPr>
        <w:pStyle w:val="Heading2"/>
      </w:pPr>
      <w:r>
        <w:t>7.10 RCCS-05: Transparency</w:t>
      </w:r>
    </w:p>
    <w:p/>
    <w:p>
      <w:pPr>
        <w:pStyle w:val="Heading3"/>
      </w:pPr>
      <w:r>
        <w:t>Regulatory Basis</w:t>
      </w:r>
    </w:p>
    <w:p/>
    <w:p>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
      <w:pPr>
        <w:pStyle w:val="Heading3"/>
      </w:pPr>
      <w:r>
        <w:t>Core Question</w:t>
      </w:r>
    </w:p>
    <w:p/>
    <w:p>
      <w:r>
        <w:t>Does the system provide explainability and disclosure mechanisms for agent decisions and outcomes?</w:t>
      </w:r>
    </w:p>
    <w:p/>
    <w:p>
      <w:pPr>
        <w:pStyle w:val="Heading3"/>
      </w:pPr>
      <w:r>
        <w:t>Scoring Rubric</w:t>
      </w:r>
    </w:p>
    <w:p/>
    <w:p>
      <w:pPr>
        <w:keepNext/>
      </w:pPr>
      <w:r>
        <w:rPr>
          <w:b/>
          <w:sz w:val="17"/>
        </w:rPr>
        <w:t>Table T-07-07: RCCS-05 Transparency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transparency capability</w:t>
            </w:r>
          </w:p>
        </w:tc>
        <w:tc>
          <w:tcPr>
            <w:tcW w:type="dxa" w:w="3408"/>
            <w:vAlign w:val="top"/>
          </w:tcPr>
          <w:p>
            <w:pPr>
              <w:spacing w:after="0"/>
              <w:jc w:val="left"/>
            </w:pPr>
            <w:r>
              <w:rPr>
                <w:rFonts w:ascii="Arial" w:hAnsi="Arial"/>
                <w:b w:val="0"/>
                <w:sz w:val="16"/>
              </w:rPr>
              <w:t>No explainability or disclosure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transparency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Model explainability tools exist but do not extend to agent decisions, tool selection, or authority boundaries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Explainability mechanisms exist for models and some agent decisions; some gaps in tool selection rationale, authority boundary explanations, or user-facing disclosure</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transparency covering model outputs, agent decision rationale, tool selection justification, authority boundaries, and user-facing disclosure mechanisms</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Transparency evaluation requires examining four capabilities: model explainability, agent decision rationale, disclosure mechanisms, and user-facing transparency.</w:t>
      </w:r>
    </w:p>
    <w:p/>
    <w:p>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
      <w:pPr>
        <w:pStyle w:val="Heading3"/>
      </w:pPr>
      <w:r>
        <w:t>Common Gaps</w:t>
      </w:r>
    </w:p>
    <w:p/>
    <w:p>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
    <w:p>
      <w:pPr>
        <w:pStyle w:val="Heading2"/>
      </w:pPr>
      <w:r>
        <w:t>7.11 RCCS-06: Human Oversight</w:t>
      </w:r>
    </w:p>
    <w:p/>
    <w:p>
      <w:pPr>
        <w:pStyle w:val="Heading3"/>
      </w:pPr>
      <w:r>
        <w:t>Regulatory Basis</w:t>
      </w:r>
    </w:p>
    <w:p/>
    <w:p>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
      <w:pPr>
        <w:pStyle w:val="Heading3"/>
      </w:pPr>
      <w:r>
        <w:t>Core Question</w:t>
      </w:r>
    </w:p>
    <w:p/>
    <w:p>
      <w:r>
        <w:t>Does the system support human review, approval, intervention, and escalation across agent execution?</w:t>
      </w:r>
    </w:p>
    <w:p/>
    <w:p>
      <w:pPr>
        <w:pStyle w:val="Heading3"/>
      </w:pPr>
      <w:r>
        <w:t>Scoring Rubric</w:t>
      </w:r>
    </w:p>
    <w:p/>
    <w:p>
      <w:pPr>
        <w:keepNext/>
      </w:pPr>
      <w:r>
        <w:rPr>
          <w:b/>
          <w:sz w:val="17"/>
        </w:rPr>
        <w:t>Table T-07-08: RCCS-06 Human Oversight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human oversight capability</w:t>
            </w:r>
          </w:p>
        </w:tc>
        <w:tc>
          <w:tcPr>
            <w:tcW w:type="dxa" w:w="3408"/>
            <w:vAlign w:val="top"/>
          </w:tcPr>
          <w:p>
            <w:pPr>
              <w:spacing w:after="0"/>
              <w:jc w:val="left"/>
            </w:pPr>
            <w:r>
              <w:rPr>
                <w:rFonts w:ascii="Arial" w:hAnsi="Arial"/>
                <w:b w:val="0"/>
                <w:sz w:val="16"/>
              </w:rPr>
              <w:t>No human review or intervention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human oversight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Human approval workflows exist but are not mapped to responsibility boundaries or risk levels; no intervention or escalation mechanisms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Human review, approval, and intervention mechanisms exist for most high-risk actions; some gaps in escalation paths, responsibility mapping, or cross-agent oversight</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human-in-the-loop controls including risk-based review, approval workflows, intervention mechanisms, escalation paths, and responsibility mapping across all agent actions</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Human oversight evaluation requires examining four capabilities: review interfaces, approval workflows, intervention mechanisms, and escalation paths.</w:t>
      </w:r>
    </w:p>
    <w:p/>
    <w:p>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
      <w:pPr>
        <w:pStyle w:val="Heading3"/>
      </w:pPr>
      <w:r>
        <w:t>Common Gaps</w:t>
      </w:r>
    </w:p>
    <w:p/>
    <w:p>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
    <w:p>
      <w:pPr>
        <w:pStyle w:val="Heading2"/>
      </w:pPr>
      <w:r>
        <w:t>7.12 RCCS-07: Security</w:t>
      </w:r>
    </w:p>
    <w:p/>
    <w:p>
      <w:pPr>
        <w:pStyle w:val="Heading3"/>
      </w:pPr>
      <w:r>
        <w:t>Regulatory Basis</w:t>
      </w:r>
    </w:p>
    <w:p/>
    <w:p>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
      <w:pPr>
        <w:pStyle w:val="Heading3"/>
      </w:pPr>
      <w:r>
        <w:t>Core Question</w:t>
      </w:r>
    </w:p>
    <w:p/>
    <w:p>
      <w:r>
        <w:t>Does the system implement security controls, access management, and threat protection across agent execution?</w:t>
      </w:r>
    </w:p>
    <w:p/>
    <w:p>
      <w:pPr>
        <w:pStyle w:val="Heading3"/>
      </w:pPr>
      <w:r>
        <w:t>Scoring Rubric</w:t>
      </w:r>
    </w:p>
    <w:p/>
    <w:p>
      <w:pPr>
        <w:keepNext/>
      </w:pPr>
      <w:r>
        <w:rPr>
          <w:b/>
          <w:sz w:val="17"/>
        </w:rPr>
        <w:t>Table T-07-09: RCCS-07 Security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security capability</w:t>
            </w:r>
          </w:p>
        </w:tc>
        <w:tc>
          <w:tcPr>
            <w:tcW w:type="dxa" w:w="3408"/>
            <w:vAlign w:val="top"/>
          </w:tcPr>
          <w:p>
            <w:pPr>
              <w:spacing w:after="0"/>
              <w:jc w:val="left"/>
            </w:pPr>
            <w:r>
              <w:rPr>
                <w:rFonts w:ascii="Arial" w:hAnsi="Arial"/>
                <w:b w:val="0"/>
                <w:sz w:val="16"/>
              </w:rPr>
              <w:t>No security controls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security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Platform security exists but does not extend to agent-to-agent communication, tool access controls, or authority boundary enforcement</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Security controls exist for platform, agent communication, and tool access; some gaps in threat detection, security monitoring, or authority boundary enforcement</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security architecture covering platform security, agent-to-agent communication, tool access controls, authority boundary enforcement, threat detection, and security monitoring</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Security evaluation requires examining four capabilities: access controls, communication security, threat protection, and security monitoring.</w:t>
      </w:r>
    </w:p>
    <w:p/>
    <w:p>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
      <w:pPr>
        <w:pStyle w:val="Heading3"/>
      </w:pPr>
      <w:r>
        <w:t>Common Gaps</w:t>
      </w:r>
    </w:p>
    <w:p/>
    <w:p>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
    <w:p>
      <w:pPr>
        <w:pStyle w:val="Heading2"/>
      </w:pPr>
      <w:r>
        <w:t>7.13 RCCS-08: Accountability</w:t>
      </w:r>
    </w:p>
    <w:p/>
    <w:p>
      <w:pPr>
        <w:pStyle w:val="Heading3"/>
      </w:pPr>
      <w:r>
        <w:t>Regulatory Basis</w:t>
      </w:r>
    </w:p>
    <w:p/>
    <w:p>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
      <w:pPr>
        <w:pStyle w:val="Heading3"/>
      </w:pPr>
      <w:r>
        <w:t>Core Question</w:t>
      </w:r>
    </w:p>
    <w:p/>
    <w:p>
      <w:r>
        <w:t>Does the system assign responsibility and track accountability for agent decisions and outcomes?</w:t>
      </w:r>
    </w:p>
    <w:p/>
    <w:p>
      <w:pPr>
        <w:pStyle w:val="Heading3"/>
      </w:pPr>
      <w:r>
        <w:t>Scoring Rubric</w:t>
      </w:r>
    </w:p>
    <w:p/>
    <w:p>
      <w:pPr>
        <w:keepNext/>
      </w:pPr>
      <w:r>
        <w:rPr>
          <w:b/>
          <w:sz w:val="17"/>
        </w:rPr>
        <w:t>Table T-07-10: RCCS-08 Accountability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accountability capability</w:t>
            </w:r>
          </w:p>
        </w:tc>
        <w:tc>
          <w:tcPr>
            <w:tcW w:type="dxa" w:w="3408"/>
            <w:vAlign w:val="top"/>
          </w:tcPr>
          <w:p>
            <w:pPr>
              <w:spacing w:after="0"/>
              <w:jc w:val="left"/>
            </w:pPr>
            <w:r>
              <w:rPr>
                <w:rFonts w:ascii="Arial" w:hAnsi="Arial"/>
                <w:b w:val="0"/>
                <w:sz w:val="16"/>
              </w:rPr>
              <w:t>No responsibility assignment or accountability tracking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accountability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Responsibility assignment exists for models but does not extend to agent actions, tool use, or multi-agent handoffs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Accountability mechanisms exist for most agent actions and outcomes; some gaps in tool use accountability, cross-agent responsibility tracking, or evidence linkage</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accountability covering responsibility assignment for all agent actions, tool use, outcomes, and multi-agent handoffs with evidence linkage and accountability reports</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Accountability evaluation requires examining four capabilities: responsibility assignment, decision tracking, accountability reports, and evidence linkage.</w:t>
      </w:r>
    </w:p>
    <w:p/>
    <w:p>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
      <w:pPr>
        <w:pStyle w:val="Heading3"/>
      </w:pPr>
      <w:r>
        <w:t>Common Gaps</w:t>
      </w:r>
    </w:p>
    <w:p/>
    <w:p>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
    <w:p>
      <w:pPr>
        <w:pStyle w:val="Heading2"/>
      </w:pPr>
      <w:r>
        <w:t>7.14 RCCS-09: Contestability</w:t>
      </w:r>
    </w:p>
    <w:p/>
    <w:p>
      <w:pPr>
        <w:pStyle w:val="Heading3"/>
      </w:pPr>
      <w:r>
        <w:t>Regulatory Basis</w:t>
      </w:r>
    </w:p>
    <w:p/>
    <w:p>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
      <w:pPr>
        <w:pStyle w:val="Heading3"/>
      </w:pPr>
      <w:r>
        <w:t>Core Question</w:t>
      </w:r>
    </w:p>
    <w:p/>
    <w:p>
      <w:r>
        <w:t>Does the system support dispute, appeal, and remediation mechanisms for agent decisions and outcomes?</w:t>
      </w:r>
    </w:p>
    <w:p/>
    <w:p>
      <w:pPr>
        <w:pStyle w:val="Heading3"/>
      </w:pPr>
      <w:r>
        <w:t>Scoring Rubric</w:t>
      </w:r>
    </w:p>
    <w:p/>
    <w:p>
      <w:pPr>
        <w:keepNext/>
      </w:pPr>
      <w:r>
        <w:rPr>
          <w:b/>
          <w:sz w:val="17"/>
        </w:rPr>
        <w:t>Table T-07-11: RCCS-09 Contestability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contestability capability</w:t>
            </w:r>
          </w:p>
        </w:tc>
        <w:tc>
          <w:tcPr>
            <w:tcW w:type="dxa" w:w="3408"/>
            <w:vAlign w:val="top"/>
          </w:tcPr>
          <w:p>
            <w:pPr>
              <w:spacing w:after="0"/>
              <w:jc w:val="left"/>
            </w:pPr>
            <w:r>
              <w:rPr>
                <w:rFonts w:ascii="Arial" w:hAnsi="Arial"/>
                <w:b w:val="0"/>
                <w:sz w:val="16"/>
              </w:rPr>
              <w:t>No dispute or appeal mechanisms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contestability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Dispute mechanisms exist for final outputs but do not extend to intermediate agent decisions; no remediation tracking or evidence reconstruction</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Dispute workflows, appeal mechanisms, and remediation tracking exist for most decisions; some gaps in evidence reconstruction, cross-agent dispute handling, or remediation verification</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contestability covering dispute workflows, appeal mechanisms, evidence reconstruction, remediation tracking, and closure verification for all agent decisions and outcomes</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Contestability evaluation requires examining four capabilities: dispute workflows, evidence reconstruction, remediation tracking, and closure verification.</w:t>
      </w:r>
    </w:p>
    <w:p/>
    <w:p>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
      <w:pPr>
        <w:pStyle w:val="Heading3"/>
      </w:pPr>
      <w:r>
        <w:t>Common Gaps</w:t>
      </w:r>
    </w:p>
    <w:p/>
    <w:p>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
    <w:p>
      <w:pPr>
        <w:pStyle w:val="Heading2"/>
      </w:pPr>
      <w:r>
        <w:t>7.15 RCCS-10: Monitoring</w:t>
      </w:r>
    </w:p>
    <w:p/>
    <w:p>
      <w:pPr>
        <w:pStyle w:val="Heading3"/>
      </w:pPr>
      <w:r>
        <w:t>Regulatory Basis</w:t>
      </w:r>
    </w:p>
    <w:p/>
    <w:p>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
      <w:pPr>
        <w:pStyle w:val="Heading3"/>
      </w:pPr>
      <w:r>
        <w:t>Core Question</w:t>
      </w:r>
    </w:p>
    <w:p/>
    <w:p>
      <w:r>
        <w:t>Does the system support continuous monitoring, incident detection, and drift detection across agent execution?</w:t>
      </w:r>
    </w:p>
    <w:p/>
    <w:p>
      <w:pPr>
        <w:pStyle w:val="Heading3"/>
      </w:pPr>
      <w:r>
        <w:t>Scoring Rubric</w:t>
      </w:r>
    </w:p>
    <w:p/>
    <w:p>
      <w:pPr>
        <w:keepNext/>
      </w:pPr>
      <w:r>
        <w:rPr>
          <w:b/>
          <w:sz w:val="17"/>
        </w:rPr>
        <w:t>Table T-07-12: RCCS-10 Monitoring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monitoring capability</w:t>
            </w:r>
          </w:p>
        </w:tc>
        <w:tc>
          <w:tcPr>
            <w:tcW w:type="dxa" w:w="3408"/>
            <w:vAlign w:val="top"/>
          </w:tcPr>
          <w:p>
            <w:pPr>
              <w:spacing w:after="0"/>
              <w:jc w:val="left"/>
            </w:pPr>
            <w:r>
              <w:rPr>
                <w:rFonts w:ascii="Arial" w:hAnsi="Arial"/>
                <w:b w:val="0"/>
                <w:sz w:val="16"/>
              </w:rPr>
              <w:t>No monitoring or alerting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monitoring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Monitoring exists for model performance but does not extend to agent behavior, authority drift, or lifecycle conformance</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Monitoring dashboards, alerting, and incident detection exist for models and some agent behaviors; some gaps in authority drift detection, lifecycle conformance monitoring, or incident response</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continuous monitoring covering model performance, agent behavior, authority drift, lifecycle conformance, incident detection, and incident response with dashboards, alerting, and automated response</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Monitoring evaluation requires examining four capabilities: monitoring dashboards, alerting mechanisms, drift detection, and incident response.</w:t>
      </w:r>
    </w:p>
    <w:p/>
    <w:p>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
      <w:pPr>
        <w:pStyle w:val="Heading3"/>
      </w:pPr>
      <w:r>
        <w:t>Common Gaps</w:t>
      </w:r>
    </w:p>
    <w:p/>
    <w:p>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
    <w:p>
      <w:pPr>
        <w:pStyle w:val="Heading2"/>
      </w:pPr>
      <w:r>
        <w:t>7.16 Chapter Summary</w:t>
      </w:r>
    </w:p>
    <w:p/>
    <w:p>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
    <w:p>
      <w:r>
        <w:t>End of Chapter 7</w:t>
      </w:r>
    </w:p>
    <w:p/>
    <w:p>
      <w:r>
        <w:t>Chapter 7 Status: COMPLETE — All sections filled (7.0-7.16); all ten RCCS dimension scoring rubrics provided (T-07-03 through T-07-12).</w:t>
      </w:r>
    </w:p>
    <w:p>
      <w:pPr>
        <w:pStyle w:val="Heading1"/>
      </w:pPr>
      <w:r>
        <w:t>Chapter 8: ALCS - Agentic Lifecycle Conformance Score</w:t>
      </w:r>
    </w:p>
    <w:p/>
    <w:p>
      <w:r>
        <w:t>Version: v0.3.2-FRC-R3</w:t>
      </w:r>
    </w:p>
    <w:p>
      <w:r>
        <w:t>Status: Reconstructed from v0.3.1 semantic base</w:t>
      </w:r>
    </w:p>
    <w:p>
      <w:r>
        <w:t>Phase: 1A-3.7</w:t>
      </w:r>
    </w:p>
    <w:p/>
    <w:p/>
    <w:p>
      <w:pPr>
        <w:pStyle w:val="Heading2"/>
      </w:pPr>
      <w:r>
        <w:t>8.0 Chapter Overview</w:t>
      </w:r>
    </w:p>
    <w:p/>
    <w:p>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which will be reconstructed in Phase 1A-3.8 and 1A-3.9.</w:t>
      </w:r>
    </w:p>
    <w:p/>
    <w:p/>
    <w:p>
      <w:pPr>
        <w:pStyle w:val="Heading2"/>
      </w:pPr>
      <w:r>
        <w:t>8.1 What ALCS Measures</w:t>
      </w:r>
    </w:p>
    <w:p/>
    <w:p>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
    <w:p>
      <w:pPr>
        <w:pStyle w:val="Heading2"/>
      </w:pPr>
      <w:r>
        <w:t>8.2 ALCS Dimensions Overview</w:t>
      </w:r>
    </w:p>
    <w:p/>
    <w:p>
      <w:r>
        <w:t>ALCS evaluates systems across fifteen dimensions. Each dimension corresponds to one or more Missing Regulatory Objects. The dimensions are weighted to reflect their relative importance in lifecycle responsibility compliance.</w:t>
      </w:r>
    </w:p>
    <w:p/>
    <w:p>
      <w:r>
        <w:t>The fifteen ALCS dimensions are:</w:t>
      </w:r>
    </w:p>
    <w:p/>
    <w:p>
      <w:r>
        <w:t>1. Human-Role-to-MAS Responsibility Mapping (8%) - Does the system map human roles to agent roles, delegated scopes, and evidence obligations?</w:t>
      </w:r>
    </w:p>
    <w:p>
      <w:r>
        <w:t>2. Delegated Authority Boundary (8%) - Does the system define and enforce authority boundaries for agent actions?</w:t>
      </w:r>
    </w:p>
    <w:p>
      <w:r>
        <w:t>3. Agent Role vs Human Role Distinction (5%) - Does the system distinguish agent roles from human roles with clear responsibility semantics?</w:t>
      </w:r>
    </w:p>
    <w:p>
      <w:r>
        <w:t>4. Accepted Outcome Compliance (8%) - Does the system separate execution completion from outcome acceptance?</w:t>
      </w:r>
    </w:p>
    <w:p>
      <w:r>
        <w:t>5. Tool-Action Liability Boundary (8%) - Does the system record liability boundaries for consequential tool actions?</w:t>
      </w:r>
    </w:p>
    <w:p>
      <w:r>
        <w:t>6. Responsibility Transfer Across Agents (8%) - Does the system track responsibility transfer during agent handoffs?</w:t>
      </w:r>
    </w:p>
    <w:p>
      <w:r>
        <w:t>7. Authority Drift Detection (5%) - Does the system detect unauthorized authority transitions?</w:t>
      </w:r>
    </w:p>
    <w:p>
      <w:r>
        <w:t>8. MAS Evidence Partitioning (8%) - Does the system partition evidence by agent, tool, authority, and privacy boundaries?</w:t>
      </w:r>
    </w:p>
    <w:p>
      <w:r>
        <w:t>9. Cross-Project Reuse Compliance (5%) - Does the system enforce revalidation when workflows are reused across projects?</w:t>
      </w:r>
    </w:p>
    <w:p>
      <w:r>
        <w:t>10. Privacy/GDPR Lifecycle Mapping (8%) - Does the system map personal data flows across the agent lifecycle?</w:t>
      </w:r>
    </w:p>
    <w:p>
      <w:r>
        <w:t>11. Privacy-Preserving Third-Party Validation (5%) - Does the system support validation without raw data disclosure?</w:t>
      </w:r>
    </w:p>
    <w:p>
      <w:r>
        <w:t>12. Evidence Minimization and Selective Disclosure (5%) - Does the system minimize evidence retention and support selective disclosure?</w:t>
      </w:r>
    </w:p>
    <w:p>
      <w:r>
        <w:t>13. Data Subject Rights vs Evidence Retention (5%) - Does the system reconcile data subject rights with evidence retention obligations?</w:t>
      </w:r>
    </w:p>
    <w:p>
      <w:r>
        <w:t>14. Third-Party Processor/Subprocessor Chain (5%) - Does the system track processor and subprocessor usage at lifecycle granularity?</w:t>
      </w:r>
    </w:p>
    <w:p>
      <w:r>
        <w:t>15. Vendor/Model/Runtime Substitution Conformance (5%) - Does the system enforce conformance revalidation when vendors are substituted?</w:t>
      </w:r>
    </w:p>
    <w:p/>
    <w:p>
      <w:r>
        <w:t>The following table summarizes the fifteen dimensions, their MRO mappings, core questions, and weights.</w:t>
      </w:r>
    </w:p>
    <w:p/>
    <w:p>
      <w:pPr>
        <w:keepNext/>
      </w:pPr>
      <w:r>
        <w:rPr>
          <w:b/>
          <w:sz w:val="17"/>
        </w:rPr>
        <w:t>Table T-08-01: ALCS Dimensions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Dimension</w:t>
            </w:r>
          </w:p>
        </w:tc>
        <w:tc>
          <w:tcPr>
            <w:tcW w:type="dxa" w:w="2556"/>
            <w:vAlign w:val="top"/>
            <w:shd w:fill="D9EAF7"/>
          </w:tcPr>
          <w:p>
            <w:pPr>
              <w:spacing w:after="0"/>
              <w:jc w:val="left"/>
            </w:pPr>
            <w:r>
              <w:rPr>
                <w:rFonts w:ascii="Arial" w:hAnsi="Arial"/>
                <w:b/>
                <w:sz w:val="14"/>
              </w:rPr>
              <w:t>MRO Mapping</w:t>
            </w:r>
          </w:p>
        </w:tc>
        <w:tc>
          <w:tcPr>
            <w:tcW w:type="dxa" w:w="2556"/>
            <w:vAlign w:val="top"/>
            <w:shd w:fill="D9EAF7"/>
          </w:tcPr>
          <w:p>
            <w:pPr>
              <w:spacing w:after="0"/>
              <w:jc w:val="left"/>
            </w:pPr>
            <w:r>
              <w:rPr>
                <w:rFonts w:ascii="Arial" w:hAnsi="Arial"/>
                <w:b/>
                <w:sz w:val="14"/>
              </w:rPr>
              <w:t>Core Question</w:t>
            </w:r>
          </w:p>
        </w:tc>
        <w:tc>
          <w:tcPr>
            <w:tcW w:type="dxa" w:w="2556"/>
            <w:vAlign w:val="top"/>
            <w:shd w:fill="D9EAF7"/>
          </w:tcPr>
          <w:p>
            <w:pPr>
              <w:spacing w:after="0"/>
              <w:jc w:val="left"/>
            </w:pPr>
            <w:r>
              <w:rPr>
                <w:rFonts w:ascii="Arial" w:hAnsi="Arial"/>
                <w:b/>
                <w:sz w:val="14"/>
              </w:rPr>
              <w:t>Weight</w:t>
            </w:r>
          </w:p>
        </w:tc>
      </w:tr>
      <w:tr>
        <w:trPr>
          <w:cantSplit/>
        </w:trPr>
        <w:tc>
          <w:tcPr>
            <w:tcW w:type="dxa" w:w="2556"/>
            <w:vAlign w:val="top"/>
          </w:tcPr>
          <w:p>
            <w:pPr>
              <w:spacing w:after="0"/>
              <w:jc w:val="left"/>
            </w:pPr>
            <w:r>
              <w:rPr>
                <w:rFonts w:ascii="Arial" w:hAnsi="Arial"/>
                <w:b w:val="0"/>
                <w:sz w:val="14"/>
              </w:rPr>
              <w:t>Human-Role-to-MAS Responsibility Mapping</w:t>
            </w:r>
          </w:p>
        </w:tc>
        <w:tc>
          <w:tcPr>
            <w:tcW w:type="dxa" w:w="2556"/>
            <w:vAlign w:val="top"/>
          </w:tcPr>
          <w:p>
            <w:pPr>
              <w:spacing w:after="0"/>
              <w:jc w:val="left"/>
            </w:pPr>
            <w:r>
              <w:rPr>
                <w:rFonts w:ascii="Arial" w:hAnsi="Arial"/>
                <w:b w:val="0"/>
                <w:sz w:val="14"/>
              </w:rPr>
              <w:t>MRO-01</w:t>
            </w:r>
          </w:p>
        </w:tc>
        <w:tc>
          <w:tcPr>
            <w:tcW w:type="dxa" w:w="2556"/>
            <w:vAlign w:val="top"/>
          </w:tcPr>
          <w:p>
            <w:pPr>
              <w:spacing w:after="0"/>
              <w:jc w:val="left"/>
            </w:pPr>
            <w:r>
              <w:rPr>
                <w:rFonts w:ascii="Arial" w:hAnsi="Arial"/>
                <w:b w:val="0"/>
                <w:sz w:val="14"/>
              </w:rPr>
              <w:t>Does the system map human roles to agent roles, delegated scopes, and evidence obligations?</w:t>
            </w:r>
          </w:p>
        </w:tc>
        <w:tc>
          <w:tcPr>
            <w:tcW w:type="dxa" w:w="2556"/>
            <w:vAlign w:val="top"/>
          </w:tcPr>
          <w:p>
            <w:pPr>
              <w:spacing w:after="0"/>
              <w:jc w:val="left"/>
            </w:pPr>
            <w:r>
              <w:rPr>
                <w:rFonts w:ascii="Arial" w:hAnsi="Arial"/>
                <w:b w:val="0"/>
                <w:sz w:val="14"/>
              </w:rPr>
              <w:t>8%</w:t>
            </w:r>
          </w:p>
        </w:tc>
      </w:tr>
      <w:tr>
        <w:trPr>
          <w:cantSplit/>
        </w:trPr>
        <w:tc>
          <w:tcPr>
            <w:tcW w:type="dxa" w:w="2556"/>
            <w:vAlign w:val="top"/>
          </w:tcPr>
          <w:p>
            <w:pPr>
              <w:spacing w:after="0"/>
              <w:jc w:val="left"/>
            </w:pPr>
            <w:r>
              <w:rPr>
                <w:rFonts w:ascii="Arial" w:hAnsi="Arial"/>
                <w:b w:val="0"/>
                <w:sz w:val="14"/>
              </w:rPr>
              <w:t>Delegated Authority Boundary</w:t>
            </w:r>
          </w:p>
        </w:tc>
        <w:tc>
          <w:tcPr>
            <w:tcW w:type="dxa" w:w="2556"/>
            <w:vAlign w:val="top"/>
          </w:tcPr>
          <w:p>
            <w:pPr>
              <w:spacing w:after="0"/>
              <w:jc w:val="left"/>
            </w:pPr>
            <w:r>
              <w:rPr>
                <w:rFonts w:ascii="Arial" w:hAnsi="Arial"/>
                <w:b w:val="0"/>
                <w:sz w:val="14"/>
              </w:rPr>
              <w:t>MRO-02</w:t>
            </w:r>
          </w:p>
        </w:tc>
        <w:tc>
          <w:tcPr>
            <w:tcW w:type="dxa" w:w="2556"/>
            <w:vAlign w:val="top"/>
          </w:tcPr>
          <w:p>
            <w:pPr>
              <w:spacing w:after="0"/>
              <w:jc w:val="left"/>
            </w:pPr>
            <w:r>
              <w:rPr>
                <w:rFonts w:ascii="Arial" w:hAnsi="Arial"/>
                <w:b w:val="0"/>
                <w:sz w:val="14"/>
              </w:rPr>
              <w:t>Does the system define and enforce authority boundaries for agent actions?</w:t>
            </w:r>
          </w:p>
        </w:tc>
        <w:tc>
          <w:tcPr>
            <w:tcW w:type="dxa" w:w="2556"/>
            <w:vAlign w:val="top"/>
          </w:tcPr>
          <w:p>
            <w:pPr>
              <w:spacing w:after="0"/>
              <w:jc w:val="left"/>
            </w:pPr>
            <w:r>
              <w:rPr>
                <w:rFonts w:ascii="Arial" w:hAnsi="Arial"/>
                <w:b w:val="0"/>
                <w:sz w:val="14"/>
              </w:rPr>
              <w:t>8%</w:t>
            </w:r>
          </w:p>
        </w:tc>
      </w:tr>
      <w:tr>
        <w:trPr>
          <w:cantSplit/>
        </w:trPr>
        <w:tc>
          <w:tcPr>
            <w:tcW w:type="dxa" w:w="2556"/>
            <w:vAlign w:val="top"/>
          </w:tcPr>
          <w:p>
            <w:pPr>
              <w:spacing w:after="0"/>
              <w:jc w:val="left"/>
            </w:pPr>
            <w:r>
              <w:rPr>
                <w:rFonts w:ascii="Arial" w:hAnsi="Arial"/>
                <w:b w:val="0"/>
                <w:sz w:val="14"/>
              </w:rPr>
              <w:t>Agent Role vs Human Role Distinction</w:t>
            </w:r>
          </w:p>
        </w:tc>
        <w:tc>
          <w:tcPr>
            <w:tcW w:type="dxa" w:w="2556"/>
            <w:vAlign w:val="top"/>
          </w:tcPr>
          <w:p>
            <w:pPr>
              <w:spacing w:after="0"/>
              <w:jc w:val="left"/>
            </w:pPr>
            <w:r>
              <w:rPr>
                <w:rFonts w:ascii="Arial" w:hAnsi="Arial"/>
                <w:b w:val="0"/>
                <w:sz w:val="14"/>
              </w:rPr>
              <w:t>MRO-03</w:t>
            </w:r>
          </w:p>
        </w:tc>
        <w:tc>
          <w:tcPr>
            <w:tcW w:type="dxa" w:w="2556"/>
            <w:vAlign w:val="top"/>
          </w:tcPr>
          <w:p>
            <w:pPr>
              <w:spacing w:after="0"/>
              <w:jc w:val="left"/>
            </w:pPr>
            <w:r>
              <w:rPr>
                <w:rFonts w:ascii="Arial" w:hAnsi="Arial"/>
                <w:b w:val="0"/>
                <w:sz w:val="14"/>
              </w:rPr>
              <w:t>Does the system distinguish agent roles from human roles with clear responsibility semantics?</w:t>
            </w:r>
          </w:p>
        </w:tc>
        <w:tc>
          <w:tcPr>
            <w:tcW w:type="dxa" w:w="2556"/>
            <w:vAlign w:val="top"/>
          </w:tcPr>
          <w:p>
            <w:pPr>
              <w:spacing w:after="0"/>
              <w:jc w:val="left"/>
            </w:pPr>
            <w:r>
              <w:rPr>
                <w:rFonts w:ascii="Arial" w:hAnsi="Arial"/>
                <w:b w:val="0"/>
                <w:sz w:val="14"/>
              </w:rPr>
              <w:t>5%</w:t>
            </w:r>
          </w:p>
        </w:tc>
      </w:tr>
      <w:tr>
        <w:trPr>
          <w:cantSplit/>
        </w:trPr>
        <w:tc>
          <w:tcPr>
            <w:tcW w:type="dxa" w:w="2556"/>
            <w:vAlign w:val="top"/>
          </w:tcPr>
          <w:p>
            <w:pPr>
              <w:spacing w:after="0"/>
              <w:jc w:val="left"/>
            </w:pPr>
            <w:r>
              <w:rPr>
                <w:rFonts w:ascii="Arial" w:hAnsi="Arial"/>
                <w:b w:val="0"/>
                <w:sz w:val="14"/>
              </w:rPr>
              <w:t>Accepted Outcome Compliance</w:t>
            </w:r>
          </w:p>
        </w:tc>
        <w:tc>
          <w:tcPr>
            <w:tcW w:type="dxa" w:w="2556"/>
            <w:vAlign w:val="top"/>
          </w:tcPr>
          <w:p>
            <w:pPr>
              <w:spacing w:after="0"/>
              <w:jc w:val="left"/>
            </w:pPr>
            <w:r>
              <w:rPr>
                <w:rFonts w:ascii="Arial" w:hAnsi="Arial"/>
                <w:b w:val="0"/>
                <w:sz w:val="14"/>
              </w:rPr>
              <w:t>MRO-04</w:t>
            </w:r>
          </w:p>
        </w:tc>
        <w:tc>
          <w:tcPr>
            <w:tcW w:type="dxa" w:w="2556"/>
            <w:vAlign w:val="top"/>
          </w:tcPr>
          <w:p>
            <w:pPr>
              <w:spacing w:after="0"/>
              <w:jc w:val="left"/>
            </w:pPr>
            <w:r>
              <w:rPr>
                <w:rFonts w:ascii="Arial" w:hAnsi="Arial"/>
                <w:b w:val="0"/>
                <w:sz w:val="14"/>
              </w:rPr>
              <w:t>Does the system separate execution completion from outcome acceptance?</w:t>
            </w:r>
          </w:p>
        </w:tc>
        <w:tc>
          <w:tcPr>
            <w:tcW w:type="dxa" w:w="2556"/>
            <w:vAlign w:val="top"/>
          </w:tcPr>
          <w:p>
            <w:pPr>
              <w:spacing w:after="0"/>
              <w:jc w:val="left"/>
            </w:pPr>
            <w:r>
              <w:rPr>
                <w:rFonts w:ascii="Arial" w:hAnsi="Arial"/>
                <w:b w:val="0"/>
                <w:sz w:val="14"/>
              </w:rPr>
              <w:t>8%</w:t>
            </w:r>
          </w:p>
        </w:tc>
      </w:tr>
      <w:tr>
        <w:trPr>
          <w:cantSplit/>
        </w:trPr>
        <w:tc>
          <w:tcPr>
            <w:tcW w:type="dxa" w:w="2556"/>
            <w:vAlign w:val="top"/>
          </w:tcPr>
          <w:p>
            <w:pPr>
              <w:spacing w:after="0"/>
              <w:jc w:val="left"/>
            </w:pPr>
            <w:r>
              <w:rPr>
                <w:rFonts w:ascii="Arial" w:hAnsi="Arial"/>
                <w:b w:val="0"/>
                <w:sz w:val="14"/>
              </w:rPr>
              <w:t>Tool-Action Liability Boundary</w:t>
            </w:r>
          </w:p>
        </w:tc>
        <w:tc>
          <w:tcPr>
            <w:tcW w:type="dxa" w:w="2556"/>
            <w:vAlign w:val="top"/>
          </w:tcPr>
          <w:p>
            <w:pPr>
              <w:spacing w:after="0"/>
              <w:jc w:val="left"/>
            </w:pPr>
            <w:r>
              <w:rPr>
                <w:rFonts w:ascii="Arial" w:hAnsi="Arial"/>
                <w:b w:val="0"/>
                <w:sz w:val="14"/>
              </w:rPr>
              <w:t>MRO-05</w:t>
            </w:r>
          </w:p>
        </w:tc>
        <w:tc>
          <w:tcPr>
            <w:tcW w:type="dxa" w:w="2556"/>
            <w:vAlign w:val="top"/>
          </w:tcPr>
          <w:p>
            <w:pPr>
              <w:spacing w:after="0"/>
              <w:jc w:val="left"/>
            </w:pPr>
            <w:r>
              <w:rPr>
                <w:rFonts w:ascii="Arial" w:hAnsi="Arial"/>
                <w:b w:val="0"/>
                <w:sz w:val="14"/>
              </w:rPr>
              <w:t>Does the system record liability boundaries for consequential tool actions?</w:t>
            </w:r>
          </w:p>
        </w:tc>
        <w:tc>
          <w:tcPr>
            <w:tcW w:type="dxa" w:w="2556"/>
            <w:vAlign w:val="top"/>
          </w:tcPr>
          <w:p>
            <w:pPr>
              <w:spacing w:after="0"/>
              <w:jc w:val="left"/>
            </w:pPr>
            <w:r>
              <w:rPr>
                <w:rFonts w:ascii="Arial" w:hAnsi="Arial"/>
                <w:b w:val="0"/>
                <w:sz w:val="14"/>
              </w:rPr>
              <w:t>8%</w:t>
            </w:r>
          </w:p>
        </w:tc>
      </w:tr>
      <w:tr>
        <w:trPr>
          <w:cantSplit/>
        </w:trPr>
        <w:tc>
          <w:tcPr>
            <w:tcW w:type="dxa" w:w="2556"/>
            <w:vAlign w:val="top"/>
          </w:tcPr>
          <w:p>
            <w:pPr>
              <w:spacing w:after="0"/>
              <w:jc w:val="left"/>
            </w:pPr>
            <w:r>
              <w:rPr>
                <w:rFonts w:ascii="Arial" w:hAnsi="Arial"/>
                <w:b w:val="0"/>
                <w:sz w:val="14"/>
              </w:rPr>
              <w:t>Responsibility Transfer Across Agents</w:t>
            </w:r>
          </w:p>
        </w:tc>
        <w:tc>
          <w:tcPr>
            <w:tcW w:type="dxa" w:w="2556"/>
            <w:vAlign w:val="top"/>
          </w:tcPr>
          <w:p>
            <w:pPr>
              <w:spacing w:after="0"/>
              <w:jc w:val="left"/>
            </w:pPr>
            <w:r>
              <w:rPr>
                <w:rFonts w:ascii="Arial" w:hAnsi="Arial"/>
                <w:b w:val="0"/>
                <w:sz w:val="14"/>
              </w:rPr>
              <w:t>MRO-06</w:t>
            </w:r>
          </w:p>
        </w:tc>
        <w:tc>
          <w:tcPr>
            <w:tcW w:type="dxa" w:w="2556"/>
            <w:vAlign w:val="top"/>
          </w:tcPr>
          <w:p>
            <w:pPr>
              <w:spacing w:after="0"/>
              <w:jc w:val="left"/>
            </w:pPr>
            <w:r>
              <w:rPr>
                <w:rFonts w:ascii="Arial" w:hAnsi="Arial"/>
                <w:b w:val="0"/>
                <w:sz w:val="14"/>
              </w:rPr>
              <w:t>Does the system track responsibility transfer during agent handoffs?</w:t>
            </w:r>
          </w:p>
        </w:tc>
        <w:tc>
          <w:tcPr>
            <w:tcW w:type="dxa" w:w="2556"/>
            <w:vAlign w:val="top"/>
          </w:tcPr>
          <w:p>
            <w:pPr>
              <w:spacing w:after="0"/>
              <w:jc w:val="left"/>
            </w:pPr>
            <w:r>
              <w:rPr>
                <w:rFonts w:ascii="Arial" w:hAnsi="Arial"/>
                <w:b w:val="0"/>
                <w:sz w:val="14"/>
              </w:rPr>
              <w:t>8%</w:t>
            </w:r>
          </w:p>
        </w:tc>
      </w:tr>
      <w:tr>
        <w:trPr>
          <w:cantSplit/>
        </w:trPr>
        <w:tc>
          <w:tcPr>
            <w:tcW w:type="dxa" w:w="2556"/>
            <w:vAlign w:val="top"/>
          </w:tcPr>
          <w:p>
            <w:pPr>
              <w:spacing w:after="0"/>
              <w:jc w:val="left"/>
            </w:pPr>
            <w:r>
              <w:rPr>
                <w:rFonts w:ascii="Arial" w:hAnsi="Arial"/>
                <w:b w:val="0"/>
                <w:sz w:val="14"/>
              </w:rPr>
              <w:t>Authority Drift Detection</w:t>
            </w:r>
          </w:p>
        </w:tc>
        <w:tc>
          <w:tcPr>
            <w:tcW w:type="dxa" w:w="2556"/>
            <w:vAlign w:val="top"/>
          </w:tcPr>
          <w:p>
            <w:pPr>
              <w:spacing w:after="0"/>
              <w:jc w:val="left"/>
            </w:pPr>
            <w:r>
              <w:rPr>
                <w:rFonts w:ascii="Arial" w:hAnsi="Arial"/>
                <w:b w:val="0"/>
                <w:sz w:val="14"/>
              </w:rPr>
              <w:t>MRO-07</w:t>
            </w:r>
          </w:p>
        </w:tc>
        <w:tc>
          <w:tcPr>
            <w:tcW w:type="dxa" w:w="2556"/>
            <w:vAlign w:val="top"/>
          </w:tcPr>
          <w:p>
            <w:pPr>
              <w:spacing w:after="0"/>
              <w:jc w:val="left"/>
            </w:pPr>
            <w:r>
              <w:rPr>
                <w:rFonts w:ascii="Arial" w:hAnsi="Arial"/>
                <w:b w:val="0"/>
                <w:sz w:val="14"/>
              </w:rPr>
              <w:t>Does the system detect unauthorized authority transitions?</w:t>
            </w:r>
          </w:p>
        </w:tc>
        <w:tc>
          <w:tcPr>
            <w:tcW w:type="dxa" w:w="2556"/>
            <w:vAlign w:val="top"/>
          </w:tcPr>
          <w:p>
            <w:pPr>
              <w:spacing w:after="0"/>
              <w:jc w:val="left"/>
            </w:pPr>
            <w:r>
              <w:rPr>
                <w:rFonts w:ascii="Arial" w:hAnsi="Arial"/>
                <w:b w:val="0"/>
                <w:sz w:val="14"/>
              </w:rPr>
              <w:t>5%</w:t>
            </w:r>
          </w:p>
        </w:tc>
      </w:tr>
      <w:tr>
        <w:trPr>
          <w:cantSplit/>
        </w:trPr>
        <w:tc>
          <w:tcPr>
            <w:tcW w:type="dxa" w:w="2556"/>
            <w:vAlign w:val="top"/>
          </w:tcPr>
          <w:p>
            <w:pPr>
              <w:spacing w:after="0"/>
              <w:jc w:val="left"/>
            </w:pPr>
            <w:r>
              <w:rPr>
                <w:rFonts w:ascii="Arial" w:hAnsi="Arial"/>
                <w:b w:val="0"/>
                <w:sz w:val="14"/>
              </w:rPr>
              <w:t>MAS Evidence Partitioning</w:t>
            </w:r>
          </w:p>
        </w:tc>
        <w:tc>
          <w:tcPr>
            <w:tcW w:type="dxa" w:w="2556"/>
            <w:vAlign w:val="top"/>
          </w:tcPr>
          <w:p>
            <w:pPr>
              <w:spacing w:after="0"/>
              <w:jc w:val="left"/>
            </w:pPr>
            <w:r>
              <w:rPr>
                <w:rFonts w:ascii="Arial" w:hAnsi="Arial"/>
                <w:b w:val="0"/>
                <w:sz w:val="14"/>
              </w:rPr>
              <w:t>MRO-08</w:t>
            </w:r>
          </w:p>
        </w:tc>
        <w:tc>
          <w:tcPr>
            <w:tcW w:type="dxa" w:w="2556"/>
            <w:vAlign w:val="top"/>
          </w:tcPr>
          <w:p>
            <w:pPr>
              <w:spacing w:after="0"/>
              <w:jc w:val="left"/>
            </w:pPr>
            <w:r>
              <w:rPr>
                <w:rFonts w:ascii="Arial" w:hAnsi="Arial"/>
                <w:b w:val="0"/>
                <w:sz w:val="14"/>
              </w:rPr>
              <w:t>Does the system partition evidence by agent, tool, authority, and privacy boundaries?</w:t>
            </w:r>
          </w:p>
        </w:tc>
        <w:tc>
          <w:tcPr>
            <w:tcW w:type="dxa" w:w="2556"/>
            <w:vAlign w:val="top"/>
          </w:tcPr>
          <w:p>
            <w:pPr>
              <w:spacing w:after="0"/>
              <w:jc w:val="left"/>
            </w:pPr>
            <w:r>
              <w:rPr>
                <w:rFonts w:ascii="Arial" w:hAnsi="Arial"/>
                <w:b w:val="0"/>
                <w:sz w:val="14"/>
              </w:rPr>
              <w:t>8%</w:t>
            </w:r>
          </w:p>
        </w:tc>
      </w:tr>
      <w:tr>
        <w:trPr>
          <w:cantSplit/>
        </w:trPr>
        <w:tc>
          <w:tcPr>
            <w:tcW w:type="dxa" w:w="2556"/>
            <w:vAlign w:val="top"/>
          </w:tcPr>
          <w:p>
            <w:pPr>
              <w:spacing w:after="0"/>
              <w:jc w:val="left"/>
            </w:pPr>
            <w:r>
              <w:rPr>
                <w:rFonts w:ascii="Arial" w:hAnsi="Arial"/>
                <w:b w:val="0"/>
                <w:sz w:val="14"/>
              </w:rPr>
              <w:t>Cross-Project Reuse Compliance</w:t>
            </w:r>
          </w:p>
        </w:tc>
        <w:tc>
          <w:tcPr>
            <w:tcW w:type="dxa" w:w="2556"/>
            <w:vAlign w:val="top"/>
          </w:tcPr>
          <w:p>
            <w:pPr>
              <w:spacing w:after="0"/>
              <w:jc w:val="left"/>
            </w:pPr>
            <w:r>
              <w:rPr>
                <w:rFonts w:ascii="Arial" w:hAnsi="Arial"/>
                <w:b w:val="0"/>
                <w:sz w:val="14"/>
              </w:rPr>
              <w:t>MRO-09</w:t>
            </w:r>
          </w:p>
        </w:tc>
        <w:tc>
          <w:tcPr>
            <w:tcW w:type="dxa" w:w="2556"/>
            <w:vAlign w:val="top"/>
          </w:tcPr>
          <w:p>
            <w:pPr>
              <w:spacing w:after="0"/>
              <w:jc w:val="left"/>
            </w:pPr>
            <w:r>
              <w:rPr>
                <w:rFonts w:ascii="Arial" w:hAnsi="Arial"/>
                <w:b w:val="0"/>
                <w:sz w:val="14"/>
              </w:rPr>
              <w:t>Does the system enforce revalidation when workflows are reused across projects?</w:t>
            </w:r>
          </w:p>
        </w:tc>
        <w:tc>
          <w:tcPr>
            <w:tcW w:type="dxa" w:w="2556"/>
            <w:vAlign w:val="top"/>
          </w:tcPr>
          <w:p>
            <w:pPr>
              <w:spacing w:after="0"/>
              <w:jc w:val="left"/>
            </w:pPr>
            <w:r>
              <w:rPr>
                <w:rFonts w:ascii="Arial" w:hAnsi="Arial"/>
                <w:b w:val="0"/>
                <w:sz w:val="14"/>
              </w:rPr>
              <w:t>5%</w:t>
            </w:r>
          </w:p>
        </w:tc>
      </w:tr>
      <w:tr>
        <w:trPr>
          <w:cantSplit/>
        </w:trPr>
        <w:tc>
          <w:tcPr>
            <w:tcW w:type="dxa" w:w="2556"/>
            <w:vAlign w:val="top"/>
          </w:tcPr>
          <w:p>
            <w:pPr>
              <w:spacing w:after="0"/>
              <w:jc w:val="left"/>
            </w:pPr>
            <w:r>
              <w:rPr>
                <w:rFonts w:ascii="Arial" w:hAnsi="Arial"/>
                <w:b w:val="0"/>
                <w:sz w:val="14"/>
              </w:rPr>
              <w:t>Privacy/GDPR Lifecycle Mapping</w:t>
            </w:r>
          </w:p>
        </w:tc>
        <w:tc>
          <w:tcPr>
            <w:tcW w:type="dxa" w:w="2556"/>
            <w:vAlign w:val="top"/>
          </w:tcPr>
          <w:p>
            <w:pPr>
              <w:spacing w:after="0"/>
              <w:jc w:val="left"/>
            </w:pPr>
            <w:r>
              <w:rPr>
                <w:rFonts w:ascii="Arial" w:hAnsi="Arial"/>
                <w:b w:val="0"/>
                <w:sz w:val="14"/>
              </w:rPr>
              <w:t>MRO-10</w:t>
            </w:r>
          </w:p>
        </w:tc>
        <w:tc>
          <w:tcPr>
            <w:tcW w:type="dxa" w:w="2556"/>
            <w:vAlign w:val="top"/>
          </w:tcPr>
          <w:p>
            <w:pPr>
              <w:spacing w:after="0"/>
              <w:jc w:val="left"/>
            </w:pPr>
            <w:r>
              <w:rPr>
                <w:rFonts w:ascii="Arial" w:hAnsi="Arial"/>
                <w:b w:val="0"/>
                <w:sz w:val="14"/>
              </w:rPr>
              <w:t>Does the system map personal data flows across the agent lifecycle?</w:t>
            </w:r>
          </w:p>
        </w:tc>
        <w:tc>
          <w:tcPr>
            <w:tcW w:type="dxa" w:w="2556"/>
            <w:vAlign w:val="top"/>
          </w:tcPr>
          <w:p>
            <w:pPr>
              <w:spacing w:after="0"/>
              <w:jc w:val="left"/>
            </w:pPr>
            <w:r>
              <w:rPr>
                <w:rFonts w:ascii="Arial" w:hAnsi="Arial"/>
                <w:b w:val="0"/>
                <w:sz w:val="14"/>
              </w:rPr>
              <w:t>8%</w:t>
            </w:r>
          </w:p>
        </w:tc>
      </w:tr>
      <w:tr>
        <w:trPr>
          <w:cantSplit/>
        </w:trPr>
        <w:tc>
          <w:tcPr>
            <w:tcW w:type="dxa" w:w="2556"/>
            <w:vAlign w:val="top"/>
          </w:tcPr>
          <w:p>
            <w:pPr>
              <w:spacing w:after="0"/>
              <w:jc w:val="left"/>
            </w:pPr>
            <w:r>
              <w:rPr>
                <w:rFonts w:ascii="Arial" w:hAnsi="Arial"/>
                <w:b w:val="0"/>
                <w:sz w:val="14"/>
              </w:rPr>
              <w:t>Privacy-Preserving Third-Party Validation</w:t>
            </w:r>
          </w:p>
        </w:tc>
        <w:tc>
          <w:tcPr>
            <w:tcW w:type="dxa" w:w="2556"/>
            <w:vAlign w:val="top"/>
          </w:tcPr>
          <w:p>
            <w:pPr>
              <w:spacing w:after="0"/>
              <w:jc w:val="left"/>
            </w:pPr>
            <w:r>
              <w:rPr>
                <w:rFonts w:ascii="Arial" w:hAnsi="Arial"/>
                <w:b w:val="0"/>
                <w:sz w:val="14"/>
              </w:rPr>
              <w:t>MRO-11</w:t>
            </w:r>
          </w:p>
        </w:tc>
        <w:tc>
          <w:tcPr>
            <w:tcW w:type="dxa" w:w="2556"/>
            <w:vAlign w:val="top"/>
          </w:tcPr>
          <w:p>
            <w:pPr>
              <w:spacing w:after="0"/>
              <w:jc w:val="left"/>
            </w:pPr>
            <w:r>
              <w:rPr>
                <w:rFonts w:ascii="Arial" w:hAnsi="Arial"/>
                <w:b w:val="0"/>
                <w:sz w:val="14"/>
              </w:rPr>
              <w:t>Does the system support validation without raw data disclosure?</w:t>
            </w:r>
          </w:p>
        </w:tc>
        <w:tc>
          <w:tcPr>
            <w:tcW w:type="dxa" w:w="2556"/>
            <w:vAlign w:val="top"/>
          </w:tcPr>
          <w:p>
            <w:pPr>
              <w:spacing w:after="0"/>
              <w:jc w:val="left"/>
            </w:pPr>
            <w:r>
              <w:rPr>
                <w:rFonts w:ascii="Arial" w:hAnsi="Arial"/>
                <w:b w:val="0"/>
                <w:sz w:val="14"/>
              </w:rPr>
              <w:t>5%</w:t>
            </w:r>
          </w:p>
        </w:tc>
      </w:tr>
      <w:tr>
        <w:trPr>
          <w:cantSplit/>
        </w:trPr>
        <w:tc>
          <w:tcPr>
            <w:tcW w:type="dxa" w:w="2556"/>
            <w:vAlign w:val="top"/>
          </w:tcPr>
          <w:p>
            <w:pPr>
              <w:spacing w:after="0"/>
              <w:jc w:val="left"/>
            </w:pPr>
            <w:r>
              <w:rPr>
                <w:rFonts w:ascii="Arial" w:hAnsi="Arial"/>
                <w:b w:val="0"/>
                <w:sz w:val="14"/>
              </w:rPr>
              <w:t>Evidence Minimization and Selective Disclosure</w:t>
            </w:r>
          </w:p>
        </w:tc>
        <w:tc>
          <w:tcPr>
            <w:tcW w:type="dxa" w:w="2556"/>
            <w:vAlign w:val="top"/>
          </w:tcPr>
          <w:p>
            <w:pPr>
              <w:spacing w:after="0"/>
              <w:jc w:val="left"/>
            </w:pPr>
            <w:r>
              <w:rPr>
                <w:rFonts w:ascii="Arial" w:hAnsi="Arial"/>
                <w:b w:val="0"/>
                <w:sz w:val="14"/>
              </w:rPr>
              <w:t>MRO-12</w:t>
            </w:r>
          </w:p>
        </w:tc>
        <w:tc>
          <w:tcPr>
            <w:tcW w:type="dxa" w:w="2556"/>
            <w:vAlign w:val="top"/>
          </w:tcPr>
          <w:p>
            <w:pPr>
              <w:spacing w:after="0"/>
              <w:jc w:val="left"/>
            </w:pPr>
            <w:r>
              <w:rPr>
                <w:rFonts w:ascii="Arial" w:hAnsi="Arial"/>
                <w:b w:val="0"/>
                <w:sz w:val="14"/>
              </w:rPr>
              <w:t>Does the system minimize evidence retention and support selective disclosure?</w:t>
            </w:r>
          </w:p>
        </w:tc>
        <w:tc>
          <w:tcPr>
            <w:tcW w:type="dxa" w:w="2556"/>
            <w:vAlign w:val="top"/>
          </w:tcPr>
          <w:p>
            <w:pPr>
              <w:spacing w:after="0"/>
              <w:jc w:val="left"/>
            </w:pPr>
            <w:r>
              <w:rPr>
                <w:rFonts w:ascii="Arial" w:hAnsi="Arial"/>
                <w:b w:val="0"/>
                <w:sz w:val="14"/>
              </w:rPr>
              <w:t>5%</w:t>
            </w:r>
          </w:p>
        </w:tc>
      </w:tr>
      <w:tr>
        <w:trPr>
          <w:cantSplit/>
        </w:trPr>
        <w:tc>
          <w:tcPr>
            <w:tcW w:type="dxa" w:w="2556"/>
            <w:vAlign w:val="top"/>
          </w:tcPr>
          <w:p>
            <w:pPr>
              <w:spacing w:after="0"/>
              <w:jc w:val="left"/>
            </w:pPr>
            <w:r>
              <w:rPr>
                <w:rFonts w:ascii="Arial" w:hAnsi="Arial"/>
                <w:b w:val="0"/>
                <w:sz w:val="14"/>
              </w:rPr>
              <w:t>Data Subject Rights vs Evidence Retention</w:t>
            </w:r>
          </w:p>
        </w:tc>
        <w:tc>
          <w:tcPr>
            <w:tcW w:type="dxa" w:w="2556"/>
            <w:vAlign w:val="top"/>
          </w:tcPr>
          <w:p>
            <w:pPr>
              <w:spacing w:after="0"/>
              <w:jc w:val="left"/>
            </w:pPr>
            <w:r>
              <w:rPr>
                <w:rFonts w:ascii="Arial" w:hAnsi="Arial"/>
                <w:b w:val="0"/>
                <w:sz w:val="14"/>
              </w:rPr>
              <w:t>MRO-13</w:t>
            </w:r>
          </w:p>
        </w:tc>
        <w:tc>
          <w:tcPr>
            <w:tcW w:type="dxa" w:w="2556"/>
            <w:vAlign w:val="top"/>
          </w:tcPr>
          <w:p>
            <w:pPr>
              <w:spacing w:after="0"/>
              <w:jc w:val="left"/>
            </w:pPr>
            <w:r>
              <w:rPr>
                <w:rFonts w:ascii="Arial" w:hAnsi="Arial"/>
                <w:b w:val="0"/>
                <w:sz w:val="14"/>
              </w:rPr>
              <w:t>Does the system reconcile data subject rights with evidence retention obligations?</w:t>
            </w:r>
          </w:p>
        </w:tc>
        <w:tc>
          <w:tcPr>
            <w:tcW w:type="dxa" w:w="2556"/>
            <w:vAlign w:val="top"/>
          </w:tcPr>
          <w:p>
            <w:pPr>
              <w:spacing w:after="0"/>
              <w:jc w:val="left"/>
            </w:pPr>
            <w:r>
              <w:rPr>
                <w:rFonts w:ascii="Arial" w:hAnsi="Arial"/>
                <w:b w:val="0"/>
                <w:sz w:val="14"/>
              </w:rPr>
              <w:t>5%</w:t>
            </w:r>
          </w:p>
        </w:tc>
      </w:tr>
      <w:tr>
        <w:trPr>
          <w:cantSplit/>
        </w:trPr>
        <w:tc>
          <w:tcPr>
            <w:tcW w:type="dxa" w:w="2556"/>
            <w:vAlign w:val="top"/>
          </w:tcPr>
          <w:p>
            <w:pPr>
              <w:spacing w:after="0"/>
              <w:jc w:val="left"/>
            </w:pPr>
            <w:r>
              <w:rPr>
                <w:rFonts w:ascii="Arial" w:hAnsi="Arial"/>
                <w:b w:val="0"/>
                <w:sz w:val="14"/>
              </w:rPr>
              <w:t>Third-Party Processor/Subprocessor Chain</w:t>
            </w:r>
          </w:p>
        </w:tc>
        <w:tc>
          <w:tcPr>
            <w:tcW w:type="dxa" w:w="2556"/>
            <w:vAlign w:val="top"/>
          </w:tcPr>
          <w:p>
            <w:pPr>
              <w:spacing w:after="0"/>
              <w:jc w:val="left"/>
            </w:pPr>
            <w:r>
              <w:rPr>
                <w:rFonts w:ascii="Arial" w:hAnsi="Arial"/>
                <w:b w:val="0"/>
                <w:sz w:val="14"/>
              </w:rPr>
              <w:t>MRO-14</w:t>
            </w:r>
          </w:p>
        </w:tc>
        <w:tc>
          <w:tcPr>
            <w:tcW w:type="dxa" w:w="2556"/>
            <w:vAlign w:val="top"/>
          </w:tcPr>
          <w:p>
            <w:pPr>
              <w:spacing w:after="0"/>
              <w:jc w:val="left"/>
            </w:pPr>
            <w:r>
              <w:rPr>
                <w:rFonts w:ascii="Arial" w:hAnsi="Arial"/>
                <w:b w:val="0"/>
                <w:sz w:val="14"/>
              </w:rPr>
              <w:t>Does the system track processor and subprocessor usage at lifecycle granularity?</w:t>
            </w:r>
          </w:p>
        </w:tc>
        <w:tc>
          <w:tcPr>
            <w:tcW w:type="dxa" w:w="2556"/>
            <w:vAlign w:val="top"/>
          </w:tcPr>
          <w:p>
            <w:pPr>
              <w:spacing w:after="0"/>
              <w:jc w:val="left"/>
            </w:pPr>
            <w:r>
              <w:rPr>
                <w:rFonts w:ascii="Arial" w:hAnsi="Arial"/>
                <w:b w:val="0"/>
                <w:sz w:val="14"/>
              </w:rPr>
              <w:t>5%</w:t>
            </w:r>
          </w:p>
        </w:tc>
      </w:tr>
      <w:tr>
        <w:trPr>
          <w:cantSplit/>
        </w:trPr>
        <w:tc>
          <w:tcPr>
            <w:tcW w:type="dxa" w:w="2556"/>
            <w:vAlign w:val="top"/>
          </w:tcPr>
          <w:p>
            <w:pPr>
              <w:spacing w:after="0"/>
              <w:jc w:val="left"/>
            </w:pPr>
            <w:r>
              <w:rPr>
                <w:rFonts w:ascii="Arial" w:hAnsi="Arial"/>
                <w:b w:val="0"/>
                <w:sz w:val="14"/>
              </w:rPr>
              <w:t>Vendor/Model/Runtime Substitution Conformance</w:t>
            </w:r>
          </w:p>
        </w:tc>
        <w:tc>
          <w:tcPr>
            <w:tcW w:type="dxa" w:w="2556"/>
            <w:vAlign w:val="top"/>
          </w:tcPr>
          <w:p>
            <w:pPr>
              <w:spacing w:after="0"/>
              <w:jc w:val="left"/>
            </w:pPr>
            <w:r>
              <w:rPr>
                <w:rFonts w:ascii="Arial" w:hAnsi="Arial"/>
                <w:b w:val="0"/>
                <w:sz w:val="14"/>
              </w:rPr>
              <w:t>MRO-15</w:t>
            </w:r>
          </w:p>
        </w:tc>
        <w:tc>
          <w:tcPr>
            <w:tcW w:type="dxa" w:w="2556"/>
            <w:vAlign w:val="top"/>
          </w:tcPr>
          <w:p>
            <w:pPr>
              <w:spacing w:after="0"/>
              <w:jc w:val="left"/>
            </w:pPr>
            <w:r>
              <w:rPr>
                <w:rFonts w:ascii="Arial" w:hAnsi="Arial"/>
                <w:b w:val="0"/>
                <w:sz w:val="14"/>
              </w:rPr>
              <w:t>Does the system enforce conformance revalidation when vendors are substituted?</w:t>
            </w:r>
          </w:p>
        </w:tc>
        <w:tc>
          <w:tcPr>
            <w:tcW w:type="dxa" w:w="2556"/>
            <w:vAlign w:val="top"/>
          </w:tcPr>
          <w:p>
            <w:pPr>
              <w:spacing w:after="0"/>
              <w:jc w:val="left"/>
            </w:pPr>
            <w:r>
              <w:rPr>
                <w:rFonts w:ascii="Arial" w:hAnsi="Arial"/>
                <w:b w:val="0"/>
                <w:sz w:val="14"/>
              </w:rPr>
              <w:t>5%</w:t>
            </w:r>
          </w:p>
        </w:tc>
      </w:tr>
    </w:tbl>
    <w:p>
      <w:pPr>
        <w:sectPr>
          <w:pgSz w:w="12240" w:h="15840"/>
          <w:pgMar w:top="792" w:right="648" w:bottom="792" w:left="648" w:header="720" w:footer="720" w:gutter="0"/>
          <w:cols w:space="720"/>
          <w:docGrid w:linePitch="360"/>
        </w:sectPr>
      </w:pPr>
    </w:p>
    <w:p/>
    <w:p>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
    <w:p>
      <w:pPr>
        <w:pStyle w:val="Heading2"/>
      </w:pPr>
      <w:r>
        <w:t>8.3 ALCS-to-MRO Mapping</w:t>
      </w:r>
    </w:p>
    <w:p/>
    <w:p>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
      <w:r>
        <w:t>The following table provides detailed ALCS-to-MRO mapping, including primary MRO, secondary MROs, lifecycle phase, and core object required.</w:t>
      </w:r>
    </w:p>
    <w:p/>
    <w:p>
      <w:pPr>
        <w:keepNext/>
      </w:pPr>
      <w:r>
        <w:rPr>
          <w:b/>
          <w:sz w:val="17"/>
        </w:rPr>
        <w:t>Table T-08-02: ALCS-to-MRO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3"/>
              </w:rPr>
              <w:t>ALCS Dimension</w:t>
            </w:r>
          </w:p>
        </w:tc>
        <w:tc>
          <w:tcPr>
            <w:tcW w:type="dxa" w:w="2880"/>
            <w:vAlign w:val="top"/>
            <w:shd w:fill="D9EAF7"/>
          </w:tcPr>
          <w:p>
            <w:pPr>
              <w:spacing w:after="0"/>
              <w:jc w:val="left"/>
            </w:pPr>
            <w:r>
              <w:rPr>
                <w:rFonts w:ascii="Arial" w:hAnsi="Arial"/>
                <w:b/>
                <w:sz w:val="13"/>
              </w:rPr>
              <w:t>Primary MRO</w:t>
            </w:r>
          </w:p>
        </w:tc>
        <w:tc>
          <w:tcPr>
            <w:tcW w:type="dxa" w:w="2880"/>
            <w:vAlign w:val="top"/>
            <w:shd w:fill="D9EAF7"/>
          </w:tcPr>
          <w:p>
            <w:pPr>
              <w:spacing w:after="0"/>
              <w:jc w:val="left"/>
            </w:pPr>
            <w:r>
              <w:rPr>
                <w:rFonts w:ascii="Arial" w:hAnsi="Arial"/>
                <w:b/>
                <w:sz w:val="13"/>
              </w:rPr>
              <w:t>Secondary MROs</w:t>
            </w:r>
          </w:p>
        </w:tc>
        <w:tc>
          <w:tcPr>
            <w:tcW w:type="dxa" w:w="2880"/>
            <w:vAlign w:val="top"/>
            <w:shd w:fill="D9EAF7"/>
          </w:tcPr>
          <w:p>
            <w:pPr>
              <w:spacing w:after="0"/>
              <w:jc w:val="left"/>
            </w:pPr>
            <w:r>
              <w:rPr>
                <w:rFonts w:ascii="Arial" w:hAnsi="Arial"/>
                <w:b/>
                <w:sz w:val="13"/>
              </w:rPr>
              <w:t>Lifecycle Phase</w:t>
            </w:r>
          </w:p>
        </w:tc>
        <w:tc>
          <w:tcPr>
            <w:tcW w:type="dxa" w:w="2880"/>
            <w:vAlign w:val="top"/>
            <w:shd w:fill="D9EAF7"/>
          </w:tcPr>
          <w:p>
            <w:pPr>
              <w:spacing w:after="0"/>
              <w:jc w:val="left"/>
            </w:pPr>
            <w:r>
              <w:rPr>
                <w:rFonts w:ascii="Arial" w:hAnsi="Arial"/>
                <w:b/>
                <w:sz w:val="13"/>
              </w:rPr>
              <w:t>Core Object Required</w:t>
            </w:r>
          </w:p>
        </w:tc>
      </w:tr>
      <w:tr>
        <w:trPr>
          <w:cantSplit/>
        </w:trPr>
        <w:tc>
          <w:tcPr>
            <w:tcW w:type="dxa" w:w="2880"/>
            <w:vAlign w:val="top"/>
          </w:tcPr>
          <w:p>
            <w:pPr>
              <w:spacing w:after="0"/>
              <w:jc w:val="left"/>
            </w:pPr>
            <w:r>
              <w:rPr>
                <w:rFonts w:ascii="Arial" w:hAnsi="Arial"/>
                <w:b w:val="0"/>
                <w:sz w:val="13"/>
              </w:rPr>
              <w:t>ALCS-01: Human-Role-to-MAS Responsibility Mapping</w:t>
            </w:r>
          </w:p>
        </w:tc>
        <w:tc>
          <w:tcPr>
            <w:tcW w:type="dxa" w:w="2880"/>
            <w:vAlign w:val="top"/>
          </w:tcPr>
          <w:p>
            <w:pPr>
              <w:spacing w:after="0"/>
              <w:jc w:val="left"/>
            </w:pPr>
            <w:r>
              <w:rPr>
                <w:rFonts w:ascii="Arial" w:hAnsi="Arial"/>
                <w:b w:val="0"/>
                <w:sz w:val="13"/>
              </w:rPr>
              <w:t>MRO-01</w:t>
            </w:r>
          </w:p>
        </w:tc>
        <w:tc>
          <w:tcPr>
            <w:tcW w:type="dxa" w:w="2880"/>
            <w:vAlign w:val="top"/>
          </w:tcPr>
          <w:p>
            <w:pPr>
              <w:spacing w:after="0"/>
              <w:jc w:val="left"/>
            </w:pPr>
            <w:r>
              <w:rPr>
                <w:rFonts w:ascii="Arial" w:hAnsi="Arial"/>
                <w:b w:val="0"/>
                <w:sz w:val="13"/>
              </w:rPr>
              <w:t>MRO-03, MRO-06</w:t>
            </w:r>
          </w:p>
        </w:tc>
        <w:tc>
          <w:tcPr>
            <w:tcW w:type="dxa" w:w="2880"/>
            <w:vAlign w:val="top"/>
          </w:tcPr>
          <w:p>
            <w:pPr>
              <w:spacing w:after="0"/>
              <w:jc w:val="left"/>
            </w:pPr>
            <w:r>
              <w:rPr>
                <w:rFonts w:ascii="Arial" w:hAnsi="Arial"/>
                <w:b w:val="0"/>
                <w:sz w:val="13"/>
              </w:rPr>
              <w:t>Intent, delegation, acceptance</w:t>
            </w:r>
          </w:p>
        </w:tc>
        <w:tc>
          <w:tcPr>
            <w:tcW w:type="dxa" w:w="2880"/>
            <w:vAlign w:val="top"/>
          </w:tcPr>
          <w:p>
            <w:pPr>
              <w:spacing w:after="0"/>
              <w:jc w:val="left"/>
            </w:pPr>
            <w:r>
              <w:rPr>
                <w:rFonts w:ascii="Arial" w:hAnsi="Arial"/>
                <w:b w:val="0"/>
                <w:sz w:val="13"/>
              </w:rPr>
              <w:t>Role-responsibility map binding human role IDs, agent role IDs, delegated scopes, evidence obligations</w:t>
            </w:r>
          </w:p>
        </w:tc>
      </w:tr>
      <w:tr>
        <w:trPr>
          <w:cantSplit/>
        </w:trPr>
        <w:tc>
          <w:tcPr>
            <w:tcW w:type="dxa" w:w="2880"/>
            <w:vAlign w:val="top"/>
          </w:tcPr>
          <w:p>
            <w:pPr>
              <w:spacing w:after="0"/>
              <w:jc w:val="left"/>
            </w:pPr>
            <w:r>
              <w:rPr>
                <w:rFonts w:ascii="Arial" w:hAnsi="Arial"/>
                <w:b w:val="0"/>
                <w:sz w:val="13"/>
              </w:rPr>
              <w:t>ALCS-02: Delegated Authority Boundary</w:t>
            </w:r>
          </w:p>
        </w:tc>
        <w:tc>
          <w:tcPr>
            <w:tcW w:type="dxa" w:w="2880"/>
            <w:vAlign w:val="top"/>
          </w:tcPr>
          <w:p>
            <w:pPr>
              <w:spacing w:after="0"/>
              <w:jc w:val="left"/>
            </w:pPr>
            <w:r>
              <w:rPr>
                <w:rFonts w:ascii="Arial" w:hAnsi="Arial"/>
                <w:b w:val="0"/>
                <w:sz w:val="13"/>
              </w:rPr>
              <w:t>MRO-02</w:t>
            </w:r>
          </w:p>
        </w:tc>
        <w:tc>
          <w:tcPr>
            <w:tcW w:type="dxa" w:w="2880"/>
            <w:vAlign w:val="top"/>
          </w:tcPr>
          <w:p>
            <w:pPr>
              <w:spacing w:after="0"/>
              <w:jc w:val="left"/>
            </w:pPr>
            <w:r>
              <w:rPr>
                <w:rFonts w:ascii="Arial" w:hAnsi="Arial"/>
                <w:b w:val="0"/>
                <w:sz w:val="13"/>
              </w:rPr>
              <w:t>MRO-07</w:t>
            </w:r>
          </w:p>
        </w:tc>
        <w:tc>
          <w:tcPr>
            <w:tcW w:type="dxa" w:w="2880"/>
            <w:vAlign w:val="top"/>
          </w:tcPr>
          <w:p>
            <w:pPr>
              <w:spacing w:after="0"/>
              <w:jc w:val="left"/>
            </w:pPr>
            <w:r>
              <w:rPr>
                <w:rFonts w:ascii="Arial" w:hAnsi="Arial"/>
                <w:b w:val="0"/>
                <w:sz w:val="13"/>
              </w:rPr>
              <w:t>Delegation, execution, monitoring</w:t>
            </w:r>
          </w:p>
        </w:tc>
        <w:tc>
          <w:tcPr>
            <w:tcW w:type="dxa" w:w="2880"/>
            <w:vAlign w:val="top"/>
          </w:tcPr>
          <w:p>
            <w:pPr>
              <w:spacing w:after="0"/>
              <w:jc w:val="left"/>
            </w:pPr>
            <w:r>
              <w:rPr>
                <w:rFonts w:ascii="Arial" w:hAnsi="Arial"/>
                <w:b w:val="0"/>
                <w:sz w:val="13"/>
              </w:rPr>
              <w:t>Authority boundary object binding role, action, scope, condition, risk class, expiry, escalation path</w:t>
            </w:r>
          </w:p>
        </w:tc>
      </w:tr>
      <w:tr>
        <w:trPr>
          <w:cantSplit/>
        </w:trPr>
        <w:tc>
          <w:tcPr>
            <w:tcW w:type="dxa" w:w="2880"/>
            <w:vAlign w:val="top"/>
          </w:tcPr>
          <w:p>
            <w:pPr>
              <w:spacing w:after="0"/>
              <w:jc w:val="left"/>
            </w:pPr>
            <w:r>
              <w:rPr>
                <w:rFonts w:ascii="Arial" w:hAnsi="Arial"/>
                <w:b w:val="0"/>
                <w:sz w:val="13"/>
              </w:rPr>
              <w:t>ALCS-03: Agent Role vs Human Role Distinction</w:t>
            </w:r>
          </w:p>
        </w:tc>
        <w:tc>
          <w:tcPr>
            <w:tcW w:type="dxa" w:w="2880"/>
            <w:vAlign w:val="top"/>
          </w:tcPr>
          <w:p>
            <w:pPr>
              <w:spacing w:after="0"/>
              <w:jc w:val="left"/>
            </w:pPr>
            <w:r>
              <w:rPr>
                <w:rFonts w:ascii="Arial" w:hAnsi="Arial"/>
                <w:b w:val="0"/>
                <w:sz w:val="13"/>
              </w:rPr>
              <w:t>MRO-03</w:t>
            </w:r>
          </w:p>
        </w:tc>
        <w:tc>
          <w:tcPr>
            <w:tcW w:type="dxa" w:w="2880"/>
            <w:vAlign w:val="top"/>
          </w:tcPr>
          <w:p>
            <w:pPr>
              <w:spacing w:after="0"/>
              <w:jc w:val="left"/>
            </w:pPr>
            <w:r>
              <w:rPr>
                <w:rFonts w:ascii="Arial" w:hAnsi="Arial"/>
                <w:b w:val="0"/>
                <w:sz w:val="13"/>
              </w:rPr>
              <w:t>MRO-01</w:t>
            </w:r>
          </w:p>
        </w:tc>
        <w:tc>
          <w:tcPr>
            <w:tcW w:type="dxa" w:w="2880"/>
            <w:vAlign w:val="top"/>
          </w:tcPr>
          <w:p>
            <w:pPr>
              <w:spacing w:after="0"/>
              <w:jc w:val="left"/>
            </w:pPr>
            <w:r>
              <w:rPr>
                <w:rFonts w:ascii="Arial" w:hAnsi="Arial"/>
                <w:b w:val="0"/>
                <w:sz w:val="13"/>
              </w:rPr>
              <w:t>Role definition, delegation</w:t>
            </w:r>
          </w:p>
        </w:tc>
        <w:tc>
          <w:tcPr>
            <w:tcW w:type="dxa" w:w="2880"/>
            <w:vAlign w:val="top"/>
          </w:tcPr>
          <w:p>
            <w:pPr>
              <w:spacing w:after="0"/>
              <w:jc w:val="left"/>
            </w:pPr>
            <w:r>
              <w:rPr>
                <w:rFonts w:ascii="Arial" w:hAnsi="Arial"/>
                <w:b w:val="0"/>
                <w:sz w:val="13"/>
              </w:rPr>
              <w:t>Agent responsibility boundary declaring duties, non-duties, allowed tools, inherited constraints, human accountability linkage</w:t>
            </w:r>
          </w:p>
        </w:tc>
      </w:tr>
      <w:tr>
        <w:trPr>
          <w:cantSplit/>
        </w:trPr>
        <w:tc>
          <w:tcPr>
            <w:tcW w:type="dxa" w:w="2880"/>
            <w:vAlign w:val="top"/>
          </w:tcPr>
          <w:p>
            <w:pPr>
              <w:spacing w:after="0"/>
              <w:jc w:val="left"/>
            </w:pPr>
            <w:r>
              <w:rPr>
                <w:rFonts w:ascii="Arial" w:hAnsi="Arial"/>
                <w:b w:val="0"/>
                <w:sz w:val="13"/>
              </w:rPr>
              <w:t>ALCS-04: Accepted Outcome Compliance</w:t>
            </w:r>
          </w:p>
        </w:tc>
        <w:tc>
          <w:tcPr>
            <w:tcW w:type="dxa" w:w="2880"/>
            <w:vAlign w:val="top"/>
          </w:tcPr>
          <w:p>
            <w:pPr>
              <w:spacing w:after="0"/>
              <w:jc w:val="left"/>
            </w:pPr>
            <w:r>
              <w:rPr>
                <w:rFonts w:ascii="Arial" w:hAnsi="Arial"/>
                <w:b w:val="0"/>
                <w:sz w:val="13"/>
              </w:rPr>
              <w:t>MRO-04</w:t>
            </w:r>
          </w:p>
        </w:tc>
        <w:tc>
          <w:tcPr>
            <w:tcW w:type="dxa" w:w="2880"/>
            <w:vAlign w:val="top"/>
          </w:tcPr>
          <w:p>
            <w:pPr>
              <w:spacing w:after="0"/>
              <w:jc w:val="left"/>
            </w:pPr>
            <w:r>
              <w:rPr>
                <w:rFonts w:ascii="Arial" w:hAnsi="Arial"/>
                <w:b w:val="0"/>
                <w:sz w:val="13"/>
              </w:rPr>
              <w:t>MRO-01, MRO-08</w:t>
            </w:r>
          </w:p>
        </w:tc>
        <w:tc>
          <w:tcPr>
            <w:tcW w:type="dxa" w:w="2880"/>
            <w:vAlign w:val="top"/>
          </w:tcPr>
          <w:p>
            <w:pPr>
              <w:spacing w:after="0"/>
              <w:jc w:val="left"/>
            </w:pPr>
            <w:r>
              <w:rPr>
                <w:rFonts w:ascii="Arial" w:hAnsi="Arial"/>
                <w:b w:val="0"/>
                <w:sz w:val="13"/>
              </w:rPr>
              <w:t>Review, acceptance, dispute</w:t>
            </w:r>
          </w:p>
        </w:tc>
        <w:tc>
          <w:tcPr>
            <w:tcW w:type="dxa" w:w="2880"/>
            <w:vAlign w:val="top"/>
          </w:tcPr>
          <w:p>
            <w:pPr>
              <w:spacing w:after="0"/>
              <w:jc w:val="left"/>
            </w:pPr>
            <w:r>
              <w:rPr>
                <w:rFonts w:ascii="Arial" w:hAnsi="Arial"/>
                <w:b w:val="0"/>
                <w:sz w:val="13"/>
              </w:rPr>
              <w:t>Accepted outcome state linking intent, plan, trace, reviewer, acceptance status, dispute window, remediation route</w:t>
            </w:r>
          </w:p>
        </w:tc>
      </w:tr>
      <w:tr>
        <w:trPr>
          <w:cantSplit/>
        </w:trPr>
        <w:tc>
          <w:tcPr>
            <w:tcW w:type="dxa" w:w="2880"/>
            <w:vAlign w:val="top"/>
          </w:tcPr>
          <w:p>
            <w:pPr>
              <w:spacing w:after="0"/>
              <w:jc w:val="left"/>
            </w:pPr>
            <w:r>
              <w:rPr>
                <w:rFonts w:ascii="Arial" w:hAnsi="Arial"/>
                <w:b w:val="0"/>
                <w:sz w:val="13"/>
              </w:rPr>
              <w:t>ALCS-05: Tool-Action Liability Boundary</w:t>
            </w:r>
          </w:p>
        </w:tc>
        <w:tc>
          <w:tcPr>
            <w:tcW w:type="dxa" w:w="2880"/>
            <w:vAlign w:val="top"/>
          </w:tcPr>
          <w:p>
            <w:pPr>
              <w:spacing w:after="0"/>
              <w:jc w:val="left"/>
            </w:pPr>
            <w:r>
              <w:rPr>
                <w:rFonts w:ascii="Arial" w:hAnsi="Arial"/>
                <w:b w:val="0"/>
                <w:sz w:val="13"/>
              </w:rPr>
              <w:t>MRO-05</w:t>
            </w:r>
          </w:p>
        </w:tc>
        <w:tc>
          <w:tcPr>
            <w:tcW w:type="dxa" w:w="2880"/>
            <w:vAlign w:val="top"/>
          </w:tcPr>
          <w:p>
            <w:pPr>
              <w:spacing w:after="0"/>
              <w:jc w:val="left"/>
            </w:pPr>
            <w:r>
              <w:rPr>
                <w:rFonts w:ascii="Arial" w:hAnsi="Arial"/>
                <w:b w:val="0"/>
                <w:sz w:val="13"/>
              </w:rPr>
              <w:t>MRO-02, MRO-08</w:t>
            </w:r>
          </w:p>
        </w:tc>
        <w:tc>
          <w:tcPr>
            <w:tcW w:type="dxa" w:w="2880"/>
            <w:vAlign w:val="top"/>
          </w:tcPr>
          <w:p>
            <w:pPr>
              <w:spacing w:after="0"/>
              <w:jc w:val="left"/>
            </w:pPr>
            <w:r>
              <w:rPr>
                <w:rFonts w:ascii="Arial" w:hAnsi="Arial"/>
                <w:b w:val="0"/>
                <w:sz w:val="13"/>
              </w:rPr>
              <w:t>Execution, external action</w:t>
            </w:r>
          </w:p>
        </w:tc>
        <w:tc>
          <w:tcPr>
            <w:tcW w:type="dxa" w:w="2880"/>
            <w:vAlign w:val="top"/>
          </w:tcPr>
          <w:p>
            <w:pPr>
              <w:spacing w:after="0"/>
              <w:jc w:val="left"/>
            </w:pPr>
            <w:r>
              <w:rPr>
                <w:rFonts w:ascii="Arial" w:hAnsi="Arial"/>
                <w:b w:val="0"/>
                <w:sz w:val="13"/>
              </w:rPr>
              <w:t>Tool-action liability object recording initiator, tool identity, external system, authority credential, reversibility, rollback plan</w:t>
            </w:r>
          </w:p>
        </w:tc>
      </w:tr>
      <w:tr>
        <w:trPr>
          <w:cantSplit/>
        </w:trPr>
        <w:tc>
          <w:tcPr>
            <w:tcW w:type="dxa" w:w="2880"/>
            <w:vAlign w:val="top"/>
          </w:tcPr>
          <w:p>
            <w:pPr>
              <w:spacing w:after="0"/>
              <w:jc w:val="left"/>
            </w:pPr>
            <w:r>
              <w:rPr>
                <w:rFonts w:ascii="Arial" w:hAnsi="Arial"/>
                <w:b w:val="0"/>
                <w:sz w:val="13"/>
              </w:rPr>
              <w:t>ALCS-06: Responsibility Transfer Across Agents</w:t>
            </w:r>
          </w:p>
        </w:tc>
        <w:tc>
          <w:tcPr>
            <w:tcW w:type="dxa" w:w="2880"/>
            <w:vAlign w:val="top"/>
          </w:tcPr>
          <w:p>
            <w:pPr>
              <w:spacing w:after="0"/>
              <w:jc w:val="left"/>
            </w:pPr>
            <w:r>
              <w:rPr>
                <w:rFonts w:ascii="Arial" w:hAnsi="Arial"/>
                <w:b w:val="0"/>
                <w:sz w:val="13"/>
              </w:rPr>
              <w:t>MRO-06</w:t>
            </w:r>
          </w:p>
        </w:tc>
        <w:tc>
          <w:tcPr>
            <w:tcW w:type="dxa" w:w="2880"/>
            <w:vAlign w:val="top"/>
          </w:tcPr>
          <w:p>
            <w:pPr>
              <w:spacing w:after="0"/>
              <w:jc w:val="left"/>
            </w:pPr>
            <w:r>
              <w:rPr>
                <w:rFonts w:ascii="Arial" w:hAnsi="Arial"/>
                <w:b w:val="0"/>
                <w:sz w:val="13"/>
              </w:rPr>
              <w:t>MRO-01, MRO-08</w:t>
            </w:r>
          </w:p>
        </w:tc>
        <w:tc>
          <w:tcPr>
            <w:tcW w:type="dxa" w:w="2880"/>
            <w:vAlign w:val="top"/>
          </w:tcPr>
          <w:p>
            <w:pPr>
              <w:spacing w:after="0"/>
              <w:jc w:val="left"/>
            </w:pPr>
            <w:r>
              <w:rPr>
                <w:rFonts w:ascii="Arial" w:hAnsi="Arial"/>
                <w:b w:val="0"/>
                <w:sz w:val="13"/>
              </w:rPr>
              <w:t>Agent handoff, delegation</w:t>
            </w:r>
          </w:p>
        </w:tc>
        <w:tc>
          <w:tcPr>
            <w:tcW w:type="dxa" w:w="2880"/>
            <w:vAlign w:val="top"/>
          </w:tcPr>
          <w:p>
            <w:pPr>
              <w:spacing w:after="0"/>
              <w:jc w:val="left"/>
            </w:pPr>
            <w:r>
              <w:rPr>
                <w:rFonts w:ascii="Arial" w:hAnsi="Arial"/>
                <w:b w:val="0"/>
                <w:sz w:val="13"/>
              </w:rPr>
              <w:t>Transfer object declaring transferred scope, source role, receiving role, retained responsibilities, inherited constraints</w:t>
            </w:r>
          </w:p>
        </w:tc>
      </w:tr>
      <w:tr>
        <w:trPr>
          <w:cantSplit/>
        </w:trPr>
        <w:tc>
          <w:tcPr>
            <w:tcW w:type="dxa" w:w="2880"/>
            <w:vAlign w:val="top"/>
          </w:tcPr>
          <w:p>
            <w:pPr>
              <w:spacing w:after="0"/>
              <w:jc w:val="left"/>
            </w:pPr>
            <w:r>
              <w:rPr>
                <w:rFonts w:ascii="Arial" w:hAnsi="Arial"/>
                <w:b w:val="0"/>
                <w:sz w:val="13"/>
              </w:rPr>
              <w:t>ALCS-07: Authority Drift Detection</w:t>
            </w:r>
          </w:p>
        </w:tc>
        <w:tc>
          <w:tcPr>
            <w:tcW w:type="dxa" w:w="2880"/>
            <w:vAlign w:val="top"/>
          </w:tcPr>
          <w:p>
            <w:pPr>
              <w:spacing w:after="0"/>
              <w:jc w:val="left"/>
            </w:pPr>
            <w:r>
              <w:rPr>
                <w:rFonts w:ascii="Arial" w:hAnsi="Arial"/>
                <w:b w:val="0"/>
                <w:sz w:val="13"/>
              </w:rPr>
              <w:t>MRO-07</w:t>
            </w:r>
          </w:p>
        </w:tc>
        <w:tc>
          <w:tcPr>
            <w:tcW w:type="dxa" w:w="2880"/>
            <w:vAlign w:val="top"/>
          </w:tcPr>
          <w:p>
            <w:pPr>
              <w:spacing w:after="0"/>
              <w:jc w:val="left"/>
            </w:pPr>
            <w:r>
              <w:rPr>
                <w:rFonts w:ascii="Arial" w:hAnsi="Arial"/>
                <w:b w:val="0"/>
                <w:sz w:val="13"/>
              </w:rPr>
              <w:t>MRO-02</w:t>
            </w:r>
          </w:p>
        </w:tc>
        <w:tc>
          <w:tcPr>
            <w:tcW w:type="dxa" w:w="2880"/>
            <w:vAlign w:val="top"/>
          </w:tcPr>
          <w:p>
            <w:pPr>
              <w:spacing w:after="0"/>
              <w:jc w:val="left"/>
            </w:pPr>
            <w:r>
              <w:rPr>
                <w:rFonts w:ascii="Arial" w:hAnsi="Arial"/>
                <w:b w:val="0"/>
                <w:sz w:val="13"/>
              </w:rPr>
              <w:t>Monitoring, drift detection</w:t>
            </w:r>
          </w:p>
        </w:tc>
        <w:tc>
          <w:tcPr>
            <w:tcW w:type="dxa" w:w="2880"/>
            <w:vAlign w:val="top"/>
          </w:tcPr>
          <w:p>
            <w:pPr>
              <w:spacing w:after="0"/>
              <w:jc w:val="left"/>
            </w:pPr>
            <w:r>
              <w:rPr>
                <w:rFonts w:ascii="Arial" w:hAnsi="Arial"/>
                <w:b w:val="0"/>
                <w:sz w:val="13"/>
              </w:rPr>
              <w:t>Drift event model comparing observed behavior against original authority boundary, risk class, tool scope</w:t>
            </w:r>
          </w:p>
        </w:tc>
      </w:tr>
      <w:tr>
        <w:trPr>
          <w:cantSplit/>
        </w:trPr>
        <w:tc>
          <w:tcPr>
            <w:tcW w:type="dxa" w:w="2880"/>
            <w:vAlign w:val="top"/>
          </w:tcPr>
          <w:p>
            <w:pPr>
              <w:spacing w:after="0"/>
              <w:jc w:val="left"/>
            </w:pPr>
            <w:r>
              <w:rPr>
                <w:rFonts w:ascii="Arial" w:hAnsi="Arial"/>
                <w:b w:val="0"/>
                <w:sz w:val="13"/>
              </w:rPr>
              <w:t>ALCS-08: MAS Evidence Partitioning</w:t>
            </w:r>
          </w:p>
        </w:tc>
        <w:tc>
          <w:tcPr>
            <w:tcW w:type="dxa" w:w="2880"/>
            <w:vAlign w:val="top"/>
          </w:tcPr>
          <w:p>
            <w:pPr>
              <w:spacing w:after="0"/>
              <w:jc w:val="left"/>
            </w:pPr>
            <w:r>
              <w:rPr>
                <w:rFonts w:ascii="Arial" w:hAnsi="Arial"/>
                <w:b w:val="0"/>
                <w:sz w:val="13"/>
              </w:rPr>
              <w:t>MRO-08</w:t>
            </w:r>
          </w:p>
        </w:tc>
        <w:tc>
          <w:tcPr>
            <w:tcW w:type="dxa" w:w="2880"/>
            <w:vAlign w:val="top"/>
          </w:tcPr>
          <w:p>
            <w:pPr>
              <w:spacing w:after="0"/>
              <w:jc w:val="left"/>
            </w:pPr>
            <w:r>
              <w:rPr>
                <w:rFonts w:ascii="Arial" w:hAnsi="Arial"/>
                <w:b w:val="0"/>
                <w:sz w:val="13"/>
              </w:rPr>
              <w:t>MRO-01, MRO-04, MRO-10</w:t>
            </w:r>
          </w:p>
        </w:tc>
        <w:tc>
          <w:tcPr>
            <w:tcW w:type="dxa" w:w="2880"/>
            <w:vAlign w:val="top"/>
          </w:tcPr>
          <w:p>
            <w:pPr>
              <w:spacing w:after="0"/>
              <w:jc w:val="left"/>
            </w:pPr>
            <w:r>
              <w:rPr>
                <w:rFonts w:ascii="Arial" w:hAnsi="Arial"/>
                <w:b w:val="0"/>
                <w:sz w:val="13"/>
              </w:rPr>
              <w:t>Evidence collection, audit</w:t>
            </w:r>
          </w:p>
        </w:tc>
        <w:tc>
          <w:tcPr>
            <w:tcW w:type="dxa" w:w="2880"/>
            <w:vAlign w:val="top"/>
          </w:tcPr>
          <w:p>
            <w:pPr>
              <w:spacing w:after="0"/>
              <w:jc w:val="left"/>
            </w:pPr>
            <w:r>
              <w:rPr>
                <w:rFonts w:ascii="Arial" w:hAnsi="Arial"/>
                <w:b w:val="0"/>
                <w:sz w:val="13"/>
              </w:rPr>
              <w:t>Partitioned evidence by agent, tool, human confirmation, plan version, authority boundary, privacy boundary, accepted outcome</w:t>
            </w:r>
          </w:p>
        </w:tc>
      </w:tr>
      <w:tr>
        <w:trPr>
          <w:cantSplit/>
        </w:trPr>
        <w:tc>
          <w:tcPr>
            <w:tcW w:type="dxa" w:w="2880"/>
            <w:vAlign w:val="top"/>
          </w:tcPr>
          <w:p>
            <w:pPr>
              <w:spacing w:after="0"/>
              <w:jc w:val="left"/>
            </w:pPr>
            <w:r>
              <w:rPr>
                <w:rFonts w:ascii="Arial" w:hAnsi="Arial"/>
                <w:b w:val="0"/>
                <w:sz w:val="13"/>
              </w:rPr>
              <w:t>ALCS-09: Cross-Project Reuse Compliance</w:t>
            </w:r>
          </w:p>
        </w:tc>
        <w:tc>
          <w:tcPr>
            <w:tcW w:type="dxa" w:w="2880"/>
            <w:vAlign w:val="top"/>
          </w:tcPr>
          <w:p>
            <w:pPr>
              <w:spacing w:after="0"/>
              <w:jc w:val="left"/>
            </w:pPr>
            <w:r>
              <w:rPr>
                <w:rFonts w:ascii="Arial" w:hAnsi="Arial"/>
                <w:b w:val="0"/>
                <w:sz w:val="13"/>
              </w:rPr>
              <w:t>MRO-09</w:t>
            </w:r>
          </w:p>
        </w:tc>
        <w:tc>
          <w:tcPr>
            <w:tcW w:type="dxa" w:w="2880"/>
            <w:vAlign w:val="top"/>
          </w:tcPr>
          <w:p>
            <w:pPr>
              <w:spacing w:after="0"/>
              <w:jc w:val="left"/>
            </w:pPr>
            <w:r>
              <w:rPr>
                <w:rFonts w:ascii="Arial" w:hAnsi="Arial"/>
                <w:b w:val="0"/>
                <w:sz w:val="13"/>
              </w:rPr>
              <w:t>MRO-02, MRO-10</w:t>
            </w:r>
          </w:p>
        </w:tc>
        <w:tc>
          <w:tcPr>
            <w:tcW w:type="dxa" w:w="2880"/>
            <w:vAlign w:val="top"/>
          </w:tcPr>
          <w:p>
            <w:pPr>
              <w:spacing w:after="0"/>
              <w:jc w:val="left"/>
            </w:pPr>
            <w:r>
              <w:rPr>
                <w:rFonts w:ascii="Arial" w:hAnsi="Arial"/>
                <w:b w:val="0"/>
                <w:sz w:val="13"/>
              </w:rPr>
              <w:t>Reuse, revalidation</w:t>
            </w:r>
          </w:p>
        </w:tc>
        <w:tc>
          <w:tcPr>
            <w:tcW w:type="dxa" w:w="2880"/>
            <w:vAlign w:val="top"/>
          </w:tcPr>
          <w:p>
            <w:pPr>
              <w:spacing w:after="0"/>
              <w:jc w:val="left"/>
            </w:pPr>
            <w:r>
              <w:rPr>
                <w:rFonts w:ascii="Arial" w:hAnsi="Arial"/>
                <w:b w:val="0"/>
                <w:sz w:val="13"/>
              </w:rPr>
              <w:t>Reuse compliance record linking original validation context to new deployment context, authority reset, privacy review</w:t>
            </w:r>
          </w:p>
        </w:tc>
      </w:tr>
      <w:tr>
        <w:trPr>
          <w:cantSplit/>
        </w:trPr>
        <w:tc>
          <w:tcPr>
            <w:tcW w:type="dxa" w:w="2880"/>
            <w:vAlign w:val="top"/>
          </w:tcPr>
          <w:p>
            <w:pPr>
              <w:spacing w:after="0"/>
              <w:jc w:val="left"/>
            </w:pPr>
            <w:r>
              <w:rPr>
                <w:rFonts w:ascii="Arial" w:hAnsi="Arial"/>
                <w:b w:val="0"/>
                <w:sz w:val="13"/>
              </w:rPr>
              <w:t>ALCS-10: Privacy/GDPR Lifecycle Mapping</w:t>
            </w:r>
          </w:p>
        </w:tc>
        <w:tc>
          <w:tcPr>
            <w:tcW w:type="dxa" w:w="2880"/>
            <w:vAlign w:val="top"/>
          </w:tcPr>
          <w:p>
            <w:pPr>
              <w:spacing w:after="0"/>
              <w:jc w:val="left"/>
            </w:pPr>
            <w:r>
              <w:rPr>
                <w:rFonts w:ascii="Arial" w:hAnsi="Arial"/>
                <w:b w:val="0"/>
                <w:sz w:val="13"/>
              </w:rPr>
              <w:t>MRO-10</w:t>
            </w:r>
          </w:p>
        </w:tc>
        <w:tc>
          <w:tcPr>
            <w:tcW w:type="dxa" w:w="2880"/>
            <w:vAlign w:val="top"/>
          </w:tcPr>
          <w:p>
            <w:pPr>
              <w:spacing w:after="0"/>
              <w:jc w:val="left"/>
            </w:pPr>
            <w:r>
              <w:rPr>
                <w:rFonts w:ascii="Arial" w:hAnsi="Arial"/>
                <w:b w:val="0"/>
                <w:sz w:val="13"/>
              </w:rPr>
              <w:t>MRO-08, MRO-12</w:t>
            </w:r>
          </w:p>
        </w:tc>
        <w:tc>
          <w:tcPr>
            <w:tcW w:type="dxa" w:w="2880"/>
            <w:vAlign w:val="top"/>
          </w:tcPr>
          <w:p>
            <w:pPr>
              <w:spacing w:after="0"/>
              <w:jc w:val="left"/>
            </w:pPr>
            <w:r>
              <w:rPr>
                <w:rFonts w:ascii="Arial" w:hAnsi="Arial"/>
                <w:b w:val="0"/>
                <w:sz w:val="13"/>
              </w:rPr>
              <w:t>All phases involving personal data</w:t>
            </w:r>
          </w:p>
        </w:tc>
        <w:tc>
          <w:tcPr>
            <w:tcW w:type="dxa" w:w="2880"/>
            <w:vAlign w:val="top"/>
          </w:tcPr>
          <w:p>
            <w:pPr>
              <w:spacing w:after="0"/>
              <w:jc w:val="left"/>
            </w:pPr>
            <w:r>
              <w:rPr>
                <w:rFonts w:ascii="Arial" w:hAnsi="Arial"/>
                <w:b w:val="0"/>
                <w:sz w:val="13"/>
              </w:rPr>
              <w:t>Lifecycle data-flow map showing personal data entry, flow, exit across agents, tools, memory, handoffs</w:t>
            </w:r>
          </w:p>
        </w:tc>
      </w:tr>
      <w:tr>
        <w:trPr>
          <w:cantSplit/>
        </w:trPr>
        <w:tc>
          <w:tcPr>
            <w:tcW w:type="dxa" w:w="2880"/>
            <w:vAlign w:val="top"/>
          </w:tcPr>
          <w:p>
            <w:pPr>
              <w:spacing w:after="0"/>
              <w:jc w:val="left"/>
            </w:pPr>
            <w:r>
              <w:rPr>
                <w:rFonts w:ascii="Arial" w:hAnsi="Arial"/>
                <w:b w:val="0"/>
                <w:sz w:val="13"/>
              </w:rPr>
              <w:t>ALCS-11: Privacy-Preserving Third-Party Validation</w:t>
            </w:r>
          </w:p>
        </w:tc>
        <w:tc>
          <w:tcPr>
            <w:tcW w:type="dxa" w:w="2880"/>
            <w:vAlign w:val="top"/>
          </w:tcPr>
          <w:p>
            <w:pPr>
              <w:spacing w:after="0"/>
              <w:jc w:val="left"/>
            </w:pPr>
            <w:r>
              <w:rPr>
                <w:rFonts w:ascii="Arial" w:hAnsi="Arial"/>
                <w:b w:val="0"/>
                <w:sz w:val="13"/>
              </w:rPr>
              <w:t>MRO-11</w:t>
            </w:r>
          </w:p>
        </w:tc>
        <w:tc>
          <w:tcPr>
            <w:tcW w:type="dxa" w:w="2880"/>
            <w:vAlign w:val="top"/>
          </w:tcPr>
          <w:p>
            <w:pPr>
              <w:spacing w:after="0"/>
              <w:jc w:val="left"/>
            </w:pPr>
            <w:r>
              <w:rPr>
                <w:rFonts w:ascii="Arial" w:hAnsi="Arial"/>
                <w:b w:val="0"/>
                <w:sz w:val="13"/>
              </w:rPr>
              <w:t>MRO-08, MRO-12</w:t>
            </w:r>
          </w:p>
        </w:tc>
        <w:tc>
          <w:tcPr>
            <w:tcW w:type="dxa" w:w="2880"/>
            <w:vAlign w:val="top"/>
          </w:tcPr>
          <w:p>
            <w:pPr>
              <w:spacing w:after="0"/>
              <w:jc w:val="left"/>
            </w:pPr>
            <w:r>
              <w:rPr>
                <w:rFonts w:ascii="Arial" w:hAnsi="Arial"/>
                <w:b w:val="0"/>
                <w:sz w:val="13"/>
              </w:rPr>
              <w:t>External validation, audit</w:t>
            </w:r>
          </w:p>
        </w:tc>
        <w:tc>
          <w:tcPr>
            <w:tcW w:type="dxa" w:w="2880"/>
            <w:vAlign w:val="top"/>
          </w:tcPr>
          <w:p>
            <w:pPr>
              <w:spacing w:after="0"/>
              <w:jc w:val="left"/>
            </w:pPr>
            <w:r>
              <w:rPr>
                <w:rFonts w:ascii="Arial" w:hAnsi="Arial"/>
                <w:b w:val="0"/>
                <w:sz w:val="13"/>
              </w:rPr>
              <w:t>Privacy-preserving validation protocol allowing selective disclosure and zero-knowledge proofs</w:t>
            </w:r>
          </w:p>
        </w:tc>
      </w:tr>
      <w:tr>
        <w:trPr>
          <w:cantSplit/>
        </w:trPr>
        <w:tc>
          <w:tcPr>
            <w:tcW w:type="dxa" w:w="2880"/>
            <w:vAlign w:val="top"/>
          </w:tcPr>
          <w:p>
            <w:pPr>
              <w:spacing w:after="0"/>
              <w:jc w:val="left"/>
            </w:pPr>
            <w:r>
              <w:rPr>
                <w:rFonts w:ascii="Arial" w:hAnsi="Arial"/>
                <w:b w:val="0"/>
                <w:sz w:val="13"/>
              </w:rPr>
              <w:t>ALCS-12: Evidence Minimization and Selective Disclosure</w:t>
            </w:r>
          </w:p>
        </w:tc>
        <w:tc>
          <w:tcPr>
            <w:tcW w:type="dxa" w:w="2880"/>
            <w:vAlign w:val="top"/>
          </w:tcPr>
          <w:p>
            <w:pPr>
              <w:spacing w:after="0"/>
              <w:jc w:val="left"/>
            </w:pPr>
            <w:r>
              <w:rPr>
                <w:rFonts w:ascii="Arial" w:hAnsi="Arial"/>
                <w:b w:val="0"/>
                <w:sz w:val="13"/>
              </w:rPr>
              <w:t>MRO-12</w:t>
            </w:r>
          </w:p>
        </w:tc>
        <w:tc>
          <w:tcPr>
            <w:tcW w:type="dxa" w:w="2880"/>
            <w:vAlign w:val="top"/>
          </w:tcPr>
          <w:p>
            <w:pPr>
              <w:spacing w:after="0"/>
              <w:jc w:val="left"/>
            </w:pPr>
            <w:r>
              <w:rPr>
                <w:rFonts w:ascii="Arial" w:hAnsi="Arial"/>
                <w:b w:val="0"/>
                <w:sz w:val="13"/>
              </w:rPr>
              <w:t>MRO-08, MRO-10</w:t>
            </w:r>
          </w:p>
        </w:tc>
        <w:tc>
          <w:tcPr>
            <w:tcW w:type="dxa" w:w="2880"/>
            <w:vAlign w:val="top"/>
          </w:tcPr>
          <w:p>
            <w:pPr>
              <w:spacing w:after="0"/>
              <w:jc w:val="left"/>
            </w:pPr>
            <w:r>
              <w:rPr>
                <w:rFonts w:ascii="Arial" w:hAnsi="Arial"/>
                <w:b w:val="0"/>
                <w:sz w:val="13"/>
              </w:rPr>
              <w:t>Evidence retention, disclosure</w:t>
            </w:r>
          </w:p>
        </w:tc>
        <w:tc>
          <w:tcPr>
            <w:tcW w:type="dxa" w:w="2880"/>
            <w:vAlign w:val="top"/>
          </w:tcPr>
          <w:p>
            <w:pPr>
              <w:spacing w:after="0"/>
              <w:jc w:val="left"/>
            </w:pPr>
            <w:r>
              <w:rPr>
                <w:rFonts w:ascii="Arial" w:hAnsi="Arial"/>
                <w:b w:val="0"/>
                <w:sz w:val="13"/>
              </w:rPr>
              <w:t>Evidence minimization policy defining retention periods, redaction rules, disclosure boundaries</w:t>
            </w:r>
          </w:p>
        </w:tc>
      </w:tr>
      <w:tr>
        <w:trPr>
          <w:cantSplit/>
        </w:trPr>
        <w:tc>
          <w:tcPr>
            <w:tcW w:type="dxa" w:w="2880"/>
            <w:vAlign w:val="top"/>
          </w:tcPr>
          <w:p>
            <w:pPr>
              <w:spacing w:after="0"/>
              <w:jc w:val="left"/>
            </w:pPr>
            <w:r>
              <w:rPr>
                <w:rFonts w:ascii="Arial" w:hAnsi="Arial"/>
                <w:b w:val="0"/>
                <w:sz w:val="13"/>
              </w:rPr>
              <w:t>ALCS-13: Data Subject Rights vs Evidence Retention</w:t>
            </w:r>
          </w:p>
        </w:tc>
        <w:tc>
          <w:tcPr>
            <w:tcW w:type="dxa" w:w="2880"/>
            <w:vAlign w:val="top"/>
          </w:tcPr>
          <w:p>
            <w:pPr>
              <w:spacing w:after="0"/>
              <w:jc w:val="left"/>
            </w:pPr>
            <w:r>
              <w:rPr>
                <w:rFonts w:ascii="Arial" w:hAnsi="Arial"/>
                <w:b w:val="0"/>
                <w:sz w:val="13"/>
              </w:rPr>
              <w:t>MRO-13</w:t>
            </w:r>
          </w:p>
        </w:tc>
        <w:tc>
          <w:tcPr>
            <w:tcW w:type="dxa" w:w="2880"/>
            <w:vAlign w:val="top"/>
          </w:tcPr>
          <w:p>
            <w:pPr>
              <w:spacing w:after="0"/>
              <w:jc w:val="left"/>
            </w:pPr>
            <w:r>
              <w:rPr>
                <w:rFonts w:ascii="Arial" w:hAnsi="Arial"/>
                <w:b w:val="0"/>
                <w:sz w:val="13"/>
              </w:rPr>
              <w:t>MRO-10, MRO-12</w:t>
            </w:r>
          </w:p>
        </w:tc>
        <w:tc>
          <w:tcPr>
            <w:tcW w:type="dxa" w:w="2880"/>
            <w:vAlign w:val="top"/>
          </w:tcPr>
          <w:p>
            <w:pPr>
              <w:spacing w:after="0"/>
              <w:jc w:val="left"/>
            </w:pPr>
            <w:r>
              <w:rPr>
                <w:rFonts w:ascii="Arial" w:hAnsi="Arial"/>
                <w:b w:val="0"/>
                <w:sz w:val="13"/>
              </w:rPr>
              <w:t>Data subject request handling</w:t>
            </w:r>
          </w:p>
        </w:tc>
        <w:tc>
          <w:tcPr>
            <w:tcW w:type="dxa" w:w="2880"/>
            <w:vAlign w:val="top"/>
          </w:tcPr>
          <w:p>
            <w:pPr>
              <w:spacing w:after="0"/>
              <w:jc w:val="left"/>
            </w:pPr>
            <w:r>
              <w:rPr>
                <w:rFonts w:ascii="Arial" w:hAnsi="Arial"/>
                <w:b w:val="0"/>
                <w:sz w:val="13"/>
              </w:rPr>
              <w:t>Data subject rights policy defining retention periods, anonymization rules, legal basis for retention override</w:t>
            </w:r>
          </w:p>
        </w:tc>
      </w:tr>
      <w:tr>
        <w:trPr>
          <w:cantSplit/>
        </w:trPr>
        <w:tc>
          <w:tcPr>
            <w:tcW w:type="dxa" w:w="2880"/>
            <w:vAlign w:val="top"/>
          </w:tcPr>
          <w:p>
            <w:pPr>
              <w:spacing w:after="0"/>
              <w:jc w:val="left"/>
            </w:pPr>
            <w:r>
              <w:rPr>
                <w:rFonts w:ascii="Arial" w:hAnsi="Arial"/>
                <w:b w:val="0"/>
                <w:sz w:val="13"/>
              </w:rPr>
              <w:t>ALCS-14: Third-Party Processor/Subprocessor Chain</w:t>
            </w:r>
          </w:p>
        </w:tc>
        <w:tc>
          <w:tcPr>
            <w:tcW w:type="dxa" w:w="2880"/>
            <w:vAlign w:val="top"/>
          </w:tcPr>
          <w:p>
            <w:pPr>
              <w:spacing w:after="0"/>
              <w:jc w:val="left"/>
            </w:pPr>
            <w:r>
              <w:rPr>
                <w:rFonts w:ascii="Arial" w:hAnsi="Arial"/>
                <w:b w:val="0"/>
                <w:sz w:val="13"/>
              </w:rPr>
              <w:t>MRO-14</w:t>
            </w:r>
          </w:p>
        </w:tc>
        <w:tc>
          <w:tcPr>
            <w:tcW w:type="dxa" w:w="2880"/>
            <w:vAlign w:val="top"/>
          </w:tcPr>
          <w:p>
            <w:pPr>
              <w:spacing w:after="0"/>
              <w:jc w:val="left"/>
            </w:pPr>
            <w:r>
              <w:rPr>
                <w:rFonts w:ascii="Arial" w:hAnsi="Arial"/>
                <w:b w:val="0"/>
                <w:sz w:val="13"/>
              </w:rPr>
              <w:t>MRO-10</w:t>
            </w:r>
          </w:p>
        </w:tc>
        <w:tc>
          <w:tcPr>
            <w:tcW w:type="dxa" w:w="2880"/>
            <w:vAlign w:val="top"/>
          </w:tcPr>
          <w:p>
            <w:pPr>
              <w:spacing w:after="0"/>
              <w:jc w:val="left"/>
            </w:pPr>
            <w:r>
              <w:rPr>
                <w:rFonts w:ascii="Arial" w:hAnsi="Arial"/>
                <w:b w:val="0"/>
                <w:sz w:val="13"/>
              </w:rPr>
              <w:t>All phases involving third-party processing</w:t>
            </w:r>
          </w:p>
        </w:tc>
        <w:tc>
          <w:tcPr>
            <w:tcW w:type="dxa" w:w="2880"/>
            <w:vAlign w:val="top"/>
          </w:tcPr>
          <w:p>
            <w:pPr>
              <w:spacing w:after="0"/>
              <w:jc w:val="left"/>
            </w:pPr>
            <w:r>
              <w:rPr>
                <w:rFonts w:ascii="Arial" w:hAnsi="Arial"/>
                <w:b w:val="0"/>
                <w:sz w:val="13"/>
              </w:rPr>
              <w:t>Dynamic processor chain record tracking processor identity, data categories, processing purpose, legal basis</w:t>
            </w:r>
          </w:p>
        </w:tc>
      </w:tr>
      <w:tr>
        <w:trPr>
          <w:cantSplit/>
        </w:trPr>
        <w:tc>
          <w:tcPr>
            <w:tcW w:type="dxa" w:w="2880"/>
            <w:vAlign w:val="top"/>
          </w:tcPr>
          <w:p>
            <w:pPr>
              <w:spacing w:after="0"/>
              <w:jc w:val="left"/>
            </w:pPr>
            <w:r>
              <w:rPr>
                <w:rFonts w:ascii="Arial" w:hAnsi="Arial"/>
                <w:b w:val="0"/>
                <w:sz w:val="13"/>
              </w:rPr>
              <w:t>ALCS-15: Vendor/Model/Runtime Substitution Conformance</w:t>
            </w:r>
          </w:p>
        </w:tc>
        <w:tc>
          <w:tcPr>
            <w:tcW w:type="dxa" w:w="2880"/>
            <w:vAlign w:val="top"/>
          </w:tcPr>
          <w:p>
            <w:pPr>
              <w:spacing w:after="0"/>
              <w:jc w:val="left"/>
            </w:pPr>
            <w:r>
              <w:rPr>
                <w:rFonts w:ascii="Arial" w:hAnsi="Arial"/>
                <w:b w:val="0"/>
                <w:sz w:val="13"/>
              </w:rPr>
              <w:t>MRO-15</w:t>
            </w:r>
          </w:p>
        </w:tc>
        <w:tc>
          <w:tcPr>
            <w:tcW w:type="dxa" w:w="2880"/>
            <w:vAlign w:val="top"/>
          </w:tcPr>
          <w:p>
            <w:pPr>
              <w:spacing w:after="0"/>
              <w:jc w:val="left"/>
            </w:pPr>
            <w:r>
              <w:rPr>
                <w:rFonts w:ascii="Arial" w:hAnsi="Arial"/>
                <w:b w:val="0"/>
                <w:sz w:val="13"/>
              </w:rPr>
              <w:t>MRO-02, MRO-09</w:t>
            </w:r>
          </w:p>
        </w:tc>
        <w:tc>
          <w:tcPr>
            <w:tcW w:type="dxa" w:w="2880"/>
            <w:vAlign w:val="top"/>
          </w:tcPr>
          <w:p>
            <w:pPr>
              <w:spacing w:after="0"/>
              <w:jc w:val="left"/>
            </w:pPr>
            <w:r>
              <w:rPr>
                <w:rFonts w:ascii="Arial" w:hAnsi="Arial"/>
                <w:b w:val="0"/>
                <w:sz w:val="13"/>
              </w:rPr>
              <w:t>Vendor substitution, revalidation</w:t>
            </w:r>
          </w:p>
        </w:tc>
        <w:tc>
          <w:tcPr>
            <w:tcW w:type="dxa" w:w="2880"/>
            <w:vAlign w:val="top"/>
          </w:tcPr>
          <w:p>
            <w:pPr>
              <w:spacing w:after="0"/>
              <w:jc w:val="left"/>
            </w:pPr>
            <w:r>
              <w:rPr>
                <w:rFonts w:ascii="Arial" w:hAnsi="Arial"/>
                <w:b w:val="0"/>
                <w:sz w:val="13"/>
              </w:rPr>
              <w:t>Vendor substitution conformance record proving substitution preserved lifecycle responsibility properties</w:t>
            </w:r>
          </w:p>
        </w:tc>
      </w:tr>
    </w:tbl>
    <w:p>
      <w:pPr>
        <w:sectPr>
          <w:pgSz w:w="15840" w:h="12240" w:orient="landscape"/>
          <w:pgMar w:top="792" w:right="648" w:bottom="792" w:left="648" w:header="720" w:footer="720" w:gutter="0"/>
          <w:cols w:space="720"/>
          <w:docGrid w:linePitch="360"/>
        </w:sectPr>
      </w:pPr>
    </w:p>
    <w:p/>
    <w:p>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
    <w:p>
      <w:pPr>
        <w:pStyle w:val="Heading2"/>
      </w:pPr>
      <w:r>
        <w:t>8.3.1 Treatment of MRO-16 as a Cross-Cutting Closure Requirement</w:t>
      </w:r>
    </w:p>
    <w:p/>
    <w:p>
      <w:r>
        <w:t>MRO-16 (Incident, Dispute, and Remediation Closure) is not directly mapped to a single ALCS dimension. Instead, it is treated as a cross-cutting lifecycle capability that is evaluated through multiple dimensions and scoring logic across both RCCS and ALCS.</w:t>
      </w:r>
    </w:p>
    <w:p/>
    <w:p>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
      <w:r>
        <w:t>The following table shows how MRO-16 is evaluated across multiple dimensions:</w:t>
      </w:r>
    </w:p>
    <w:p/>
    <w:p>
      <w:pPr>
        <w:keepNext/>
      </w:pPr>
      <w:r>
        <w:rPr>
          <w:b/>
          <w:sz w:val="17"/>
        </w:rPr>
        <w:t>Table T-08-02A: MRO-16 Evaluation Path</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MRO-16 Evaluation Path</w:t>
            </w:r>
          </w:p>
        </w:tc>
        <w:tc>
          <w:tcPr>
            <w:tcW w:type="dxa" w:w="3408"/>
            <w:vAlign w:val="top"/>
            <w:shd w:fill="D9EAF7"/>
          </w:tcPr>
          <w:p>
            <w:pPr>
              <w:spacing w:after="0"/>
              <w:jc w:val="left"/>
            </w:pPr>
            <w:r>
              <w:rPr>
                <w:rFonts w:ascii="Arial" w:hAnsi="Arial"/>
                <w:b/>
                <w:sz w:val="16"/>
              </w:rPr>
              <w:t>Relevant Dimension / Chapter</w:t>
            </w:r>
          </w:p>
        </w:tc>
        <w:tc>
          <w:tcPr>
            <w:tcW w:type="dxa" w:w="3408"/>
            <w:vAlign w:val="top"/>
            <w:shd w:fill="D9EAF7"/>
          </w:tcPr>
          <w:p>
            <w:pPr>
              <w:spacing w:after="0"/>
              <w:jc w:val="left"/>
            </w:pPr>
            <w:r>
              <w:rPr>
                <w:rFonts w:ascii="Arial" w:hAnsi="Arial"/>
                <w:b/>
                <w:sz w:val="16"/>
              </w:rPr>
              <w:t>Reason</w:t>
            </w:r>
          </w:p>
        </w:tc>
      </w:tr>
      <w:tr>
        <w:trPr>
          <w:cantSplit/>
        </w:trPr>
        <w:tc>
          <w:tcPr>
            <w:tcW w:type="dxa" w:w="3408"/>
            <w:vAlign w:val="top"/>
          </w:tcPr>
          <w:p>
            <w:pPr>
              <w:spacing w:after="0"/>
              <w:jc w:val="left"/>
            </w:pPr>
            <w:r>
              <w:rPr>
                <w:rFonts w:ascii="Arial" w:hAnsi="Arial"/>
                <w:b w:val="0"/>
                <w:sz w:val="16"/>
              </w:rPr>
              <w:t>Contestability</w:t>
            </w:r>
          </w:p>
        </w:tc>
        <w:tc>
          <w:tcPr>
            <w:tcW w:type="dxa" w:w="3408"/>
            <w:vAlign w:val="top"/>
          </w:tcPr>
          <w:p>
            <w:pPr>
              <w:spacing w:after="0"/>
              <w:jc w:val="left"/>
            </w:pPr>
            <w:r>
              <w:rPr>
                <w:rFonts w:ascii="Arial" w:hAnsi="Arial"/>
                <w:b w:val="0"/>
                <w:sz w:val="16"/>
              </w:rPr>
              <w:t>RCCS-09 (Chapter 7)</w:t>
            </w:r>
          </w:p>
        </w:tc>
        <w:tc>
          <w:tcPr>
            <w:tcW w:type="dxa" w:w="3408"/>
            <w:vAlign w:val="top"/>
          </w:tcPr>
          <w:p>
            <w:pPr>
              <w:spacing w:after="0"/>
              <w:jc w:val="left"/>
            </w:pPr>
            <w:r>
              <w:rPr>
                <w:rFonts w:ascii="Arial" w:hAnsi="Arial"/>
                <w:b w:val="0"/>
                <w:sz w:val="16"/>
              </w:rPr>
              <w:t>Disputes require challenge and review paths. Incident closure depends on dispute resolution mechanisms.</w:t>
            </w:r>
          </w:p>
        </w:tc>
      </w:tr>
      <w:tr>
        <w:trPr>
          <w:cantSplit/>
        </w:trPr>
        <w:tc>
          <w:tcPr>
            <w:tcW w:type="dxa" w:w="3408"/>
            <w:vAlign w:val="top"/>
          </w:tcPr>
          <w:p>
            <w:pPr>
              <w:spacing w:after="0"/>
              <w:jc w:val="left"/>
            </w:pPr>
            <w:r>
              <w:rPr>
                <w:rFonts w:ascii="Arial" w:hAnsi="Arial"/>
                <w:b w:val="0"/>
                <w:sz w:val="16"/>
              </w:rPr>
              <w:t>Monitoring</w:t>
            </w:r>
          </w:p>
        </w:tc>
        <w:tc>
          <w:tcPr>
            <w:tcW w:type="dxa" w:w="3408"/>
            <w:vAlign w:val="top"/>
          </w:tcPr>
          <w:p>
            <w:pPr>
              <w:spacing w:after="0"/>
              <w:jc w:val="left"/>
            </w:pPr>
            <w:r>
              <w:rPr>
                <w:rFonts w:ascii="Arial" w:hAnsi="Arial"/>
                <w:b w:val="0"/>
                <w:sz w:val="16"/>
              </w:rPr>
              <w:t>RCCS-10 (Chapter 7)</w:t>
            </w:r>
          </w:p>
        </w:tc>
        <w:tc>
          <w:tcPr>
            <w:tcW w:type="dxa" w:w="3408"/>
            <w:vAlign w:val="top"/>
          </w:tcPr>
          <w:p>
            <w:pPr>
              <w:spacing w:after="0"/>
              <w:jc w:val="left"/>
            </w:pPr>
            <w:r>
              <w:rPr>
                <w:rFonts w:ascii="Arial" w:hAnsi="Arial"/>
                <w:b w:val="0"/>
                <w:sz w:val="16"/>
              </w:rPr>
              <w:t>Incidents require detection and recurrence monitoring. Continuous improvement depends on monitoring capability.</w:t>
            </w:r>
          </w:p>
        </w:tc>
      </w:tr>
      <w:tr>
        <w:trPr>
          <w:cantSplit/>
        </w:trPr>
        <w:tc>
          <w:tcPr>
            <w:tcW w:type="dxa" w:w="3408"/>
            <w:vAlign w:val="top"/>
          </w:tcPr>
          <w:p>
            <w:pPr>
              <w:spacing w:after="0"/>
              <w:jc w:val="left"/>
            </w:pPr>
            <w:r>
              <w:rPr>
                <w:rFonts w:ascii="Arial" w:hAnsi="Arial"/>
                <w:b w:val="0"/>
                <w:sz w:val="16"/>
              </w:rPr>
              <w:t>Accepted Outcome</w:t>
            </w:r>
          </w:p>
        </w:tc>
        <w:tc>
          <w:tcPr>
            <w:tcW w:type="dxa" w:w="3408"/>
            <w:vAlign w:val="top"/>
          </w:tcPr>
          <w:p>
            <w:pPr>
              <w:spacing w:after="0"/>
              <w:jc w:val="left"/>
            </w:pPr>
            <w:r>
              <w:rPr>
                <w:rFonts w:ascii="Arial" w:hAnsi="Arial"/>
                <w:b w:val="0"/>
                <w:sz w:val="16"/>
              </w:rPr>
              <w:t>ALCS-04 (Chapter 8)</w:t>
            </w:r>
          </w:p>
        </w:tc>
        <w:tc>
          <w:tcPr>
            <w:tcW w:type="dxa" w:w="3408"/>
            <w:vAlign w:val="top"/>
          </w:tcPr>
          <w:p>
            <w:pPr>
              <w:spacing w:after="0"/>
              <w:jc w:val="left"/>
            </w:pPr>
            <w:r>
              <w:rPr>
                <w:rFonts w:ascii="Arial" w:hAnsi="Arial"/>
                <w:b w:val="0"/>
                <w:sz w:val="16"/>
              </w:rPr>
              <w:t>Closure requires knowing whether the outcome was accepted, rejected, or remediated. Dispute resolution affects acceptance state.</w:t>
            </w:r>
          </w:p>
        </w:tc>
      </w:tr>
      <w:tr>
        <w:trPr>
          <w:cantSplit/>
        </w:trPr>
        <w:tc>
          <w:tcPr>
            <w:tcW w:type="dxa" w:w="3408"/>
            <w:vAlign w:val="top"/>
          </w:tcPr>
          <w:p>
            <w:pPr>
              <w:spacing w:after="0"/>
              <w:jc w:val="left"/>
            </w:pPr>
            <w:r>
              <w:rPr>
                <w:rFonts w:ascii="Arial" w:hAnsi="Arial"/>
                <w:b w:val="0"/>
                <w:sz w:val="16"/>
              </w:rPr>
              <w:t>Evidence Partitioning</w:t>
            </w:r>
          </w:p>
        </w:tc>
        <w:tc>
          <w:tcPr>
            <w:tcW w:type="dxa" w:w="3408"/>
            <w:vAlign w:val="top"/>
          </w:tcPr>
          <w:p>
            <w:pPr>
              <w:spacing w:after="0"/>
              <w:jc w:val="left"/>
            </w:pPr>
            <w:r>
              <w:rPr>
                <w:rFonts w:ascii="Arial" w:hAnsi="Arial"/>
                <w:b w:val="0"/>
                <w:sz w:val="16"/>
              </w:rPr>
              <w:t>ALCS-08 (Chapter 8)</w:t>
            </w:r>
          </w:p>
        </w:tc>
        <w:tc>
          <w:tcPr>
            <w:tcW w:type="dxa" w:w="3408"/>
            <w:vAlign w:val="top"/>
          </w:tcPr>
          <w:p>
            <w:pPr>
              <w:spacing w:after="0"/>
              <w:jc w:val="left"/>
            </w:pPr>
            <w:r>
              <w:rPr>
                <w:rFonts w:ascii="Arial" w:hAnsi="Arial"/>
                <w:b w:val="0"/>
                <w:sz w:val="16"/>
              </w:rPr>
              <w:t>Closure requires reconstructable evidence linking incident detection to root cause, remediation, and resolution.</w:t>
            </w:r>
          </w:p>
        </w:tc>
      </w:tr>
      <w:tr>
        <w:trPr>
          <w:cantSplit/>
        </w:trPr>
        <w:tc>
          <w:tcPr>
            <w:tcW w:type="dxa" w:w="3408"/>
            <w:vAlign w:val="top"/>
          </w:tcPr>
          <w:p>
            <w:pPr>
              <w:spacing w:after="0"/>
              <w:jc w:val="left"/>
            </w:pPr>
            <w:r>
              <w:rPr>
                <w:rFonts w:ascii="Arial" w:hAnsi="Arial"/>
                <w:b w:val="0"/>
                <w:sz w:val="16"/>
              </w:rPr>
              <w:t>Evidence Minimization</w:t>
            </w:r>
          </w:p>
        </w:tc>
        <w:tc>
          <w:tcPr>
            <w:tcW w:type="dxa" w:w="3408"/>
            <w:vAlign w:val="top"/>
          </w:tcPr>
          <w:p>
            <w:pPr>
              <w:spacing w:after="0"/>
              <w:jc w:val="left"/>
            </w:pPr>
            <w:r>
              <w:rPr>
                <w:rFonts w:ascii="Arial" w:hAnsi="Arial"/>
                <w:b w:val="0"/>
                <w:sz w:val="16"/>
              </w:rPr>
              <w:t>ALCS-12 (Chapter 8)</w:t>
            </w:r>
          </w:p>
        </w:tc>
        <w:tc>
          <w:tcPr>
            <w:tcW w:type="dxa" w:w="3408"/>
            <w:vAlign w:val="top"/>
          </w:tcPr>
          <w:p>
            <w:pPr>
              <w:spacing w:after="0"/>
              <w:jc w:val="left"/>
            </w:pPr>
            <w:r>
              <w:rPr>
                <w:rFonts w:ascii="Arial" w:hAnsi="Arial"/>
                <w:b w:val="0"/>
                <w:sz w:val="16"/>
              </w:rPr>
              <w:t>Closure evidence must preserve accountability without unnecessary disclosure. Incident investigation must respect privacy boundaries.</w:t>
            </w:r>
          </w:p>
        </w:tc>
      </w:tr>
      <w:tr>
        <w:trPr>
          <w:cantSplit/>
        </w:trPr>
        <w:tc>
          <w:tcPr>
            <w:tcW w:type="dxa" w:w="3408"/>
            <w:vAlign w:val="top"/>
          </w:tcPr>
          <w:p>
            <w:pPr>
              <w:spacing w:after="0"/>
              <w:jc w:val="left"/>
            </w:pPr>
            <w:r>
              <w:rPr>
                <w:rFonts w:ascii="Arial" w:hAnsi="Arial"/>
                <w:b w:val="0"/>
                <w:sz w:val="16"/>
              </w:rPr>
              <w:t>Composite interpretation</w:t>
            </w:r>
          </w:p>
        </w:tc>
        <w:tc>
          <w:tcPr>
            <w:tcW w:type="dxa" w:w="3408"/>
            <w:vAlign w:val="top"/>
          </w:tcPr>
          <w:p>
            <w:pPr>
              <w:spacing w:after="0"/>
              <w:jc w:val="left"/>
            </w:pPr>
            <w:r>
              <w:rPr>
                <w:rFonts w:ascii="Arial" w:hAnsi="Arial"/>
                <w:b w:val="0"/>
                <w:sz w:val="16"/>
              </w:rPr>
              <w:t>Chapter 9</w:t>
            </w:r>
          </w:p>
        </w:tc>
        <w:tc>
          <w:tcPr>
            <w:tcW w:type="dxa" w:w="3408"/>
            <w:vAlign w:val="top"/>
          </w:tcPr>
          <w:p>
            <w:pPr>
              <w:spacing w:after="0"/>
              <w:jc w:val="left"/>
            </w:pPr>
            <w:r>
              <w:rPr>
                <w:rFonts w:ascii="Arial" w:hAnsi="Arial"/>
                <w:b w:val="0"/>
                <w:sz w:val="16"/>
              </w:rPr>
              <w:t>Incident closure affects final system readiness interpretation. Systems with strong incident closure capability score higher on contestability, monitoring, and evidence dimensions.</w:t>
            </w:r>
          </w:p>
        </w:tc>
      </w:tr>
    </w:tbl>
    <w:p>
      <w:pPr>
        <w:sectPr>
          <w:pgSz w:w="15840" w:h="12240"/>
          <w:pgMar w:top="792" w:right="648" w:bottom="792" w:left="648" w:header="720" w:footer="720" w:gutter="0"/>
          <w:cols w:space="720"/>
          <w:docGrid w:linePitch="360"/>
        </w:sectPr>
      </w:pPr>
    </w:p>
    <w:p/>
    <w:p>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
    <w:p>
      <w:pPr>
        <w:pStyle w:val="Heading2"/>
      </w:pPr>
      <w:r>
        <w:t>8.4 Shared Scoring Procedure (Reference to Chapter 7)</w:t>
      </w:r>
    </w:p>
    <w:p/>
    <w:p>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
      <w:r>
        <w:t>Raw scoring scale (0-5): Each ALCS dimension is scored on a 0-5 raw scale based on the strength of system support:</w:t>
      </w:r>
    </w:p>
    <w:p>
      <w:pPr>
        <w:pStyle w:val="ListBullet"/>
      </w:pPr>
      <w:r>
        <w:t>0 = No capability; no evidence</w:t>
      </w:r>
    </w:p>
    <w:p>
      <w:pPr>
        <w:pStyle w:val="ListBullet"/>
      </w:pPr>
      <w:r>
        <w:t>1 = Minimal capability; weak evidence</w:t>
      </w:r>
    </w:p>
    <w:p>
      <w:pPr>
        <w:pStyle w:val="ListBullet"/>
      </w:pPr>
      <w:r>
        <w:t>2 = Partial capability; some evidence</w:t>
      </w:r>
    </w:p>
    <w:p>
      <w:pPr>
        <w:pStyle w:val="ListBullet"/>
      </w:pPr>
      <w:r>
        <w:t>3 = Moderate capability; documented evidence</w:t>
      </w:r>
    </w:p>
    <w:p>
      <w:pPr>
        <w:pStyle w:val="ListBullet"/>
      </w:pPr>
      <w:r>
        <w:t>4 = Strong capability; validated evidence</w:t>
      </w:r>
    </w:p>
    <w:p>
      <w:pPr>
        <w:pStyle w:val="ListBullet"/>
      </w:pPr>
      <w:r>
        <w:t>5 = Complete capability demonstrated by implementation evidence, formal audit evidence, protocol-level evidence, or validated operational artifacts. Legal text may establish a regulatory baseline but does not by itself prove implementation.</w:t>
      </w:r>
    </w:p>
    <w:p/>
    <w:p>
      <w:r>
        <w:t>Evidence confidence multiplier: The evidence multiplier adjusts the dimension score based on the quality and verifiability of evidence used to evaluate the system:</w:t>
      </w:r>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r>
        <w:t>Dimension score formula: Each ALCS dimension is normalized using:</w:t>
      </w:r>
    </w:p>
    <w:p/>
    <w:p>
      <w:r>
        <w:t>Dimension Score = (Raw Score / 5) × 100 × Evidence Confidence Multiplier</w:t>
      </w:r>
    </w:p>
    <w:p/>
    <w:p>
      <w:r>
        <w:t>Composite score formula: RCCS and ALCS are combined only at the cross-framework layer:</w:t>
      </w:r>
    </w:p>
    <w:p/>
    <w:p>
      <w:r>
        <w:t>Composite Score = 0.40 × RCCS + 0.60 × ALCS</w:t>
      </w:r>
    </w:p>
    <w:p/>
    <w:p>
      <w:r>
        <w:t>For complete details on the scoring procedure, including scoring rationale, evidence hierarchy, and calculation examples, see Chapter 7.3.</w:t>
      </w:r>
    </w:p>
    <w:p/>
    <w:p/>
    <w:p>
      <w:pPr>
        <w:pStyle w:val="Heading2"/>
      </w:pPr>
      <w:r>
        <w:t>8.5 ALCS Boundary Statement</w:t>
      </w:r>
    </w:p>
    <w:p/>
    <w:p>
      <w:r>
        <w:t>ALCS is an analytical scoring framework, not a legal compliance score. This boundary must be understood clearly to avoid misinterpretation and over-claiming.</w:t>
      </w:r>
    </w:p>
    <w:p/>
    <w:p>
      <w:r>
        <w:t>What ALCS is:</w:t>
      </w:r>
    </w:p>
    <w:p>
      <w:pPr>
        <w:pStyle w:val="ListBullet"/>
      </w:pPr>
      <w:r>
        <w:t>An analytical framework for comparing system capabilities against lifecycle responsibility requirements</w:t>
      </w:r>
    </w:p>
    <w:p>
      <w:pPr>
        <w:pStyle w:val="ListBullet"/>
      </w:pPr>
      <w:r>
        <w:t>A structured method for evaluating whether a system provides lifecycle objects required to prove agentic responsibility</w:t>
      </w:r>
    </w:p>
    <w:p>
      <w:pPr>
        <w:pStyle w:val="ListBullet"/>
      </w:pPr>
      <w:r>
        <w:t>A tool for buyers, auditors, and governance teams to assess system readiness for multi-agent execution</w:t>
      </w:r>
    </w:p>
    <w:p>
      <w:pPr>
        <w:pStyle w:val="ListBullet"/>
      </w:pPr>
      <w:r>
        <w:t>A bridge between regulatory abstractions and lifecycle implementation</w:t>
      </w:r>
    </w:p>
    <w:p/>
    <w:p>
      <w:r>
        <w:t>What ALCS is not:</w:t>
      </w:r>
    </w:p>
    <w:p>
      <w:pPr>
        <w:pStyle w:val="ListBullet"/>
      </w:pPr>
      <w:r>
        <w:t>A legal compliance certification or conformity assessment</w:t>
      </w:r>
    </w:p>
    <w:p>
      <w:pPr>
        <w:pStyle w:val="ListBullet"/>
      </w:pPr>
      <w:r>
        <w:t>A regulatory approval or endorsement</w:t>
      </w:r>
    </w:p>
    <w:p>
      <w:pPr>
        <w:pStyle w:val="ListBullet"/>
      </w:pPr>
      <w:r>
        <w:t>A guarantee that a system meets all legal obligations</w:t>
      </w:r>
    </w:p>
    <w:p>
      <w:pPr>
        <w:pStyle w:val="ListBullet"/>
      </w:pPr>
      <w:r>
        <w:t>A substitute for legal counsel, compliance review, or risk assessment</w:t>
      </w:r>
    </w:p>
    <w:p/>
    <w:p>
      <w:r>
        <w:t>Key boundary principles:</w:t>
      </w:r>
    </w:p>
    <w:p/>
    <w:p>
      <w:r>
        <w:t>1. 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
      <w:r>
        <w:t>2. 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
      <w:r>
        <w:t>3. 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
      <w:r>
        <w:t>4. 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
      <w:r>
        <w:t>Relationship between RCCS and ALCS:</w:t>
      </w:r>
    </w:p>
    <w:p/>
    <w:p>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
    <w:p>
      <w:pPr>
        <w:pStyle w:val="Heading2"/>
      </w:pPr>
      <w:r>
        <w:t>8.6 Bridge to Dimension Sections</w:t>
      </w:r>
    </w:p>
    <w:p/>
    <w:p>
      <w:r>
        <w:t>The following sections (8.7 through 8.21) detail each ALCS dimension. Each dimension section includes:</w:t>
      </w:r>
    </w:p>
    <w:p/>
    <w:p>
      <w:pPr>
        <w:pStyle w:val="ListBullet"/>
      </w:pPr>
      <w:r>
        <w:t>MRO mapping - Which Missing Regulatory Objects inform the dimension</w:t>
      </w:r>
    </w:p>
    <w:p>
      <w:pPr>
        <w:pStyle w:val="ListBullet"/>
      </w:pPr>
      <w:r>
        <w:t>Core question - What the dimension evaluates</w:t>
      </w:r>
    </w:p>
    <w:p>
      <w:pPr>
        <w:pStyle w:val="ListBullet"/>
      </w:pPr>
      <w:r>
        <w:t>Scoring criteria - How to apply the 0-5 raw scale to system capabilities</w:t>
      </w:r>
    </w:p>
    <w:p>
      <w:pPr>
        <w:pStyle w:val="ListBullet"/>
      </w:pPr>
      <w:r>
        <w:t>System mapping guidance - How to evaluate whether a system supports the dimension</w:t>
      </w:r>
    </w:p>
    <w:p/>
    <w:p>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
    <w:p>
      <w:pPr>
        <w:pStyle w:val="Heading2"/>
      </w:pPr>
      <w:r>
        <w:t>8.7 ALCS-01: Human-Role-to-MAS Responsibility Mapping</w:t>
      </w:r>
    </w:p>
    <w:p/>
    <w:p>
      <w:pPr>
        <w:pStyle w:val="Heading3"/>
      </w:pPr>
      <w:r>
        <w:t>MRO Mapping</w:t>
      </w:r>
    </w:p>
    <w:p/>
    <w:p>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
      <w:pPr>
        <w:pStyle w:val="Heading3"/>
      </w:pPr>
      <w:r>
        <w:t>Core Question</w:t>
      </w:r>
    </w:p>
    <w:p/>
    <w:p>
      <w:r>
        <w:t>Does the system map human roles to agent roles, delegated scopes, evidence obligations, and acceptance authority?</w:t>
      </w:r>
    </w:p>
    <w:p/>
    <w:p>
      <w:pPr>
        <w:pStyle w:val="Heading3"/>
      </w:pPr>
      <w:r>
        <w:t>Scoring Rubric</w:t>
      </w:r>
    </w:p>
    <w:p/>
    <w:p>
      <w:pPr>
        <w:keepNext/>
      </w:pPr>
      <w:r>
        <w:rPr>
          <w:b/>
          <w:sz w:val="17"/>
        </w:rPr>
        <w:t>Table T-08-03: ALCS-01 Human-Role-to-MAS Responsibility Mapping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role-to-responsibility mapping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human oversight or role mapping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Human roles and agent roles exist but are not explicitly mapped; no evidence obligations or acceptance authority tracking</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Role-to-responsibility mappings exist for most workflows; some gaps in evidence obligation tracking, acceptance authority, or cross-project mapping</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role-responsibility graph linking human role IDs, agent role IDs, delegated scopes, reserved decisions, review duties, evidence obligations, and accepted-outcome authority</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
      <w:pPr>
        <w:pStyle w:val="Heading3"/>
      </w:pPr>
      <w:r>
        <w:t>Common Gaps</w:t>
      </w:r>
    </w:p>
    <w:p/>
    <w:p>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
    <w:p>
      <w:pPr>
        <w:pStyle w:val="Heading2"/>
      </w:pPr>
      <w:r>
        <w:t>8.8 ALCS-02: Delegated Authority Boundary</w:t>
      </w:r>
    </w:p>
    <w:p/>
    <w:p>
      <w:pPr>
        <w:pStyle w:val="Heading3"/>
      </w:pPr>
      <w:r>
        <w:t>MRO Mapping</w:t>
      </w:r>
    </w:p>
    <w:p/>
    <w:p>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
      <w:pPr>
        <w:pStyle w:val="Heading3"/>
      </w:pPr>
      <w:r>
        <w:t>Core Question</w:t>
      </w:r>
    </w:p>
    <w:p/>
    <w:p>
      <w:r>
        <w:t>Does the system define and enforce delegated authority boundaries for agent actions?</w:t>
      </w:r>
    </w:p>
    <w:p/>
    <w:p>
      <w:pPr>
        <w:pStyle w:val="Heading3"/>
      </w:pPr>
      <w:r>
        <w:t>Scoring Rubric</w:t>
      </w:r>
    </w:p>
    <w:p/>
    <w:p>
      <w:pPr>
        <w:keepNext/>
      </w:pPr>
      <w:r>
        <w:rPr>
          <w:b/>
          <w:sz w:val="17"/>
        </w:rPr>
        <w:t>Table T-08-04: ALCS-02 Delegated Authority Boundary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authority boundary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authority or delegation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Tool permissions exist but are not mapped to business authority; no scope, condition, or risk class enforcement</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Authority boundaries exist for most high-impact actions; some gaps in condition enforcement, expiry tracking, or escalation paths</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authority boundary objects binding role, action, scope, condition, risk class, evidence requirement, expiry, revocation, and escalation path with runtime enforcement</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
      <w:pPr>
        <w:pStyle w:val="Heading3"/>
      </w:pPr>
      <w:r>
        <w:t>Common Gaps</w:t>
      </w:r>
    </w:p>
    <w:p/>
    <w:p>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
    <w:p>
      <w:pPr>
        <w:pStyle w:val="Heading2"/>
      </w:pPr>
      <w:r>
        <w:t>8.9 ALCS-03: Agent Role vs Human Role Distinction</w:t>
      </w:r>
    </w:p>
    <w:p/>
    <w:p>
      <w:pPr>
        <w:pStyle w:val="Heading3"/>
      </w:pPr>
      <w:r>
        <w:t>MRO Mapping</w:t>
      </w:r>
    </w:p>
    <w:p/>
    <w:p>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
      <w:pPr>
        <w:pStyle w:val="Heading3"/>
      </w:pPr>
      <w:r>
        <w:t>Core Question</w:t>
      </w:r>
    </w:p>
    <w:p/>
    <w:p>
      <w:r>
        <w:t>Does the system distinguish agent roles from human roles with clear responsibility semantics?</w:t>
      </w:r>
    </w:p>
    <w:p/>
    <w:p>
      <w:pPr>
        <w:pStyle w:val="Heading3"/>
      </w:pPr>
      <w:r>
        <w:t>Scoring Rubric</w:t>
      </w:r>
    </w:p>
    <w:p/>
    <w:p>
      <w:pPr>
        <w:keepNext/>
      </w:pPr>
      <w:r>
        <w:rPr>
          <w:b/>
          <w:sz w:val="17"/>
        </w:rPr>
        <w:t>Table T-08-05: ALCS-03 Agent Role vs Human Role Distinction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role distinction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agent roles but provides no responsibility semantics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Agent roles exist as execution personas but lack responsibility boundaries, evidence duties, or human accountability linkage</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Agent roles include responsibility boundaries and capability definitions; some gaps in evidence duties, escalation requirements, or human accountability linkage</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agent responsibility boundaries declaring duties, non-duties, allowed tools, inherited constraints, verification expectations, evidence obligations, and human accountability linkage</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
      <w:pPr>
        <w:pStyle w:val="Heading3"/>
      </w:pPr>
      <w:r>
        <w:t>Common Gaps</w:t>
      </w:r>
    </w:p>
    <w:p/>
    <w:p>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
    <w:p>
      <w:pPr>
        <w:pStyle w:val="Heading2"/>
      </w:pPr>
      <w:r>
        <w:t>8.10 ALCS-04: Accepted Outcome Compliance</w:t>
      </w:r>
    </w:p>
    <w:p/>
    <w:p>
      <w:pPr>
        <w:pStyle w:val="Heading3"/>
      </w:pPr>
      <w:r>
        <w:t>MRO Mapping</w:t>
      </w:r>
    </w:p>
    <w:p/>
    <w:p>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
      <w:pPr>
        <w:pStyle w:val="Heading3"/>
      </w:pPr>
      <w:r>
        <w:t>Core Question</w:t>
      </w:r>
    </w:p>
    <w:p/>
    <w:p>
      <w:r>
        <w:t>Does the system separate execution completion from outcome acceptance and track acceptance authority?</w:t>
      </w:r>
    </w:p>
    <w:p/>
    <w:p>
      <w:pPr>
        <w:pStyle w:val="Heading3"/>
      </w:pPr>
      <w:r>
        <w:t>Scoring Rubric</w:t>
      </w:r>
    </w:p>
    <w:p/>
    <w:p>
      <w:pPr>
        <w:keepNext/>
      </w:pPr>
      <w:r>
        <w:rPr>
          <w:b/>
          <w:sz w:val="17"/>
        </w:rPr>
        <w:t>Table T-08-06: ALCS-04 Accepted Outcome Compliance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acceptance tracking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review or acceptance but provides no implementation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Execution completion states exist but are not distinguished from acceptance states; no acceptance criteria or reviewer tracking</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Acceptance workflows exist for most deliverables; some gaps in acceptance criteria definition, dispute windows, or remediation routes</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accepted outcome states linking source intent, plan, trace, reviewer identity, acceptance criteria, acceptance status, acceptance timestamp, dispute window, and remediation route</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
      <w:pPr>
        <w:pStyle w:val="Heading3"/>
      </w:pPr>
      <w:r>
        <w:t>Common Gaps</w:t>
      </w:r>
    </w:p>
    <w:p/>
    <w:p>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
    <w:p>
      <w:pPr>
        <w:pStyle w:val="Heading2"/>
      </w:pPr>
      <w:r>
        <w:t>8.11 ALCS-05: Tool-Action Liability Boundary</w:t>
      </w:r>
    </w:p>
    <w:p/>
    <w:p>
      <w:pPr>
        <w:pStyle w:val="Heading3"/>
      </w:pPr>
      <w:r>
        <w:t>MRO Mapping</w:t>
      </w:r>
    </w:p>
    <w:p/>
    <w:p>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
      <w:pPr>
        <w:pStyle w:val="Heading3"/>
      </w:pPr>
      <w:r>
        <w:t>Core Question</w:t>
      </w:r>
    </w:p>
    <w:p/>
    <w:p>
      <w:r>
        <w:t>Does the system record liability boundaries for consequential tool actions?</w:t>
      </w:r>
    </w:p>
    <w:p/>
    <w:p>
      <w:pPr>
        <w:pStyle w:val="Heading3"/>
      </w:pPr>
      <w:r>
        <w:t>Scoring Rubric</w:t>
      </w:r>
    </w:p>
    <w:p/>
    <w:p>
      <w:pPr>
        <w:keepNext/>
      </w:pPr>
      <w:r>
        <w:rPr>
          <w:b/>
          <w:sz w:val="17"/>
        </w:rPr>
        <w:t>Table T-08-07: ALCS-05 Tool-Action Liability Boundary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tool-action liability tracking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tool use or external actions but provides no liability tracking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Tool call logs exist but do not record authority source, affected systems, reversibility, or accountable owner</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Tool-action records exist for most consequential actions; some gaps in reversibility tracking, rollback plans, or liability assignment</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tool-action liability objects recording initiator, tool identity, external system, authority credential, reversibility status, rollback plan, affected data categories, evidence pointer, and accountable owner</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
      <w:pPr>
        <w:pStyle w:val="Heading3"/>
      </w:pPr>
      <w:r>
        <w:t>Common Gaps</w:t>
      </w:r>
    </w:p>
    <w:p/>
    <w:p>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
    <w:p>
      <w:pPr>
        <w:pStyle w:val="Heading2"/>
      </w:pPr>
      <w:r>
        <w:t>8.12 ALCS-06: Responsibility Transfer Across Agents</w:t>
      </w:r>
    </w:p>
    <w:p/>
    <w:p>
      <w:pPr>
        <w:pStyle w:val="Heading3"/>
      </w:pPr>
      <w:r>
        <w:t>MRO Mapping</w:t>
      </w:r>
    </w:p>
    <w:p/>
    <w:p>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
      <w:pPr>
        <w:pStyle w:val="Heading3"/>
      </w:pPr>
      <w:r>
        <w:t>Core Question</w:t>
      </w:r>
    </w:p>
    <w:p/>
    <w:p>
      <w:r>
        <w:t>Does the system track responsibility transfer during agent handoffs?</w:t>
      </w:r>
    </w:p>
    <w:p/>
    <w:p>
      <w:pPr>
        <w:pStyle w:val="Heading3"/>
      </w:pPr>
      <w:r>
        <w:t>Scoring Rubric</w:t>
      </w:r>
    </w:p>
    <w:p/>
    <w:p>
      <w:pPr>
        <w:keepNext/>
      </w:pPr>
      <w:r>
        <w:rPr>
          <w:b/>
          <w:sz w:val="17"/>
        </w:rPr>
        <w:t>Table T-08-08: ALCS-06 Responsibility Transfer Across Agents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responsibility transfer tracking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agent handoffs or delegation but provides no responsibility transfer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Agent handoff routing exists but does not track responsibility transfer; no inherited constraints or receiving-role acceptance</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Responsibility transfer records exist for most handoffs; some gaps in inherited constraints, retained responsibilities, or transfer acceptance</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transfer objects declaring transferred scope, source role, receiving role, retained responsibilities, inherited constraints, evidence obligations, receiving-role acceptance, and rejection/escalation behavior</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
      <w:pPr>
        <w:pStyle w:val="Heading3"/>
      </w:pPr>
      <w:r>
        <w:t>Common Gaps</w:t>
      </w:r>
    </w:p>
    <w:p/>
    <w:p>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
    <w:p>
      <w:pPr>
        <w:pStyle w:val="Heading2"/>
      </w:pPr>
      <w:r>
        <w:t>8.13 ALCS-07: Authority Drift Detection</w:t>
      </w:r>
    </w:p>
    <w:p/>
    <w:p>
      <w:pPr>
        <w:pStyle w:val="Heading3"/>
      </w:pPr>
      <w:r>
        <w:t>MRO Mapping</w:t>
      </w:r>
    </w:p>
    <w:p/>
    <w:p>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
      <w:pPr>
        <w:pStyle w:val="Heading3"/>
      </w:pPr>
      <w:r>
        <w:t>Core Question</w:t>
      </w:r>
    </w:p>
    <w:p/>
    <w:p>
      <w:r>
        <w:t>Does the system detect and alert on unauthorized authority transitions?</w:t>
      </w:r>
    </w:p>
    <w:p/>
    <w:p>
      <w:pPr>
        <w:pStyle w:val="Heading3"/>
      </w:pPr>
      <w:r>
        <w:t>Scoring Rubric</w:t>
      </w:r>
    </w:p>
    <w:p/>
    <w:p>
      <w:pPr>
        <w:keepNext/>
      </w:pPr>
      <w:r>
        <w:rPr>
          <w:b/>
          <w:sz w:val="17"/>
        </w:rPr>
        <w:t>Table T-08-09: ALCS-07 Authority Drift Detection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authority drift detection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authority monitoring but provides no drift detection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Authority boundaries are defined but not monitored for drift; no drift detection rules or alerts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Authority drift detection exists for most high-risk transitions; some gaps in drift alert routing, remediation workflows, or long-running workflow monitoring</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authority drift monitoring comparing observed behavior against original authority boundaries with drift detection rules, drift alerts, automatic stop/downgrade, and drift remediation workflows</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
      <w:pPr>
        <w:pStyle w:val="Heading3"/>
      </w:pPr>
      <w:r>
        <w:t>Common Gaps</w:t>
      </w:r>
    </w:p>
    <w:p/>
    <w:p>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
    <w:p>
      <w:pPr>
        <w:pStyle w:val="Heading2"/>
      </w:pPr>
      <w:r>
        <w:t>8.14 ALCS-08: MAS Evidence Partitioning</w:t>
      </w:r>
    </w:p>
    <w:p/>
    <w:p>
      <w:pPr>
        <w:pStyle w:val="Heading3"/>
      </w:pPr>
      <w:r>
        <w:t>MRO Mapping</w:t>
      </w:r>
    </w:p>
    <w:p/>
    <w:p>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
      <w:pPr>
        <w:pStyle w:val="Heading3"/>
      </w:pPr>
      <w:r>
        <w:t>Core Question</w:t>
      </w:r>
    </w:p>
    <w:p/>
    <w:p>
      <w:r>
        <w:t>Does the system partition evidence by agent, tool, authority boundary, privacy class, and lifecycle phase?</w:t>
      </w:r>
    </w:p>
    <w:p/>
    <w:p>
      <w:pPr>
        <w:pStyle w:val="Heading3"/>
      </w:pPr>
      <w:r>
        <w:t>Scoring Rubric</w:t>
      </w:r>
    </w:p>
    <w:p/>
    <w:p>
      <w:pPr>
        <w:keepNext/>
      </w:pPr>
      <w:r>
        <w:rPr>
          <w:b/>
          <w:sz w:val="17"/>
        </w:rPr>
        <w:t>Table T-08-10: ALCS-08 MAS Evidence Partitioning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evidence partitioning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evidence or audit trails but provides no partitioning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Flat chronological logs exist but are not partitioned by agent, tool, authority, or privacy boundaries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Evidence partitioning exists for most governance boundaries; some gaps in cross-partition linking, privacy class partitioning, or reconstruction capability</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evidence partitioning by agent, tool, human confirmation, plan version, authority boundary, privacy boundary, and accepted outcome with stable identifiers, integrity hashes, cross-partition linking, and evidence reconstruction capability</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
      <w:pPr>
        <w:pStyle w:val="Heading3"/>
      </w:pPr>
      <w:r>
        <w:t>Common Gaps</w:t>
      </w:r>
    </w:p>
    <w:p/>
    <w:p>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
    <w:p>
      <w:pPr>
        <w:pStyle w:val="Heading2"/>
      </w:pPr>
      <w:r>
        <w:t>8.15 ALCS-09: Cross-Project Reuse Compliance</w:t>
      </w:r>
    </w:p>
    <w:p/>
    <w:p>
      <w:pPr>
        <w:pStyle w:val="Heading3"/>
      </w:pPr>
      <w:r>
        <w:t>MRO Mapping</w:t>
      </w:r>
    </w:p>
    <w:p/>
    <w:p>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
      <w:pPr>
        <w:pStyle w:val="Heading3"/>
      </w:pPr>
      <w:r>
        <w:t>Core Question</w:t>
      </w:r>
    </w:p>
    <w:p/>
    <w:p>
      <w:r>
        <w:t>Does the system enforce revalidation when workflows are reused across projects?</w:t>
      </w:r>
    </w:p>
    <w:p/>
    <w:p>
      <w:pPr>
        <w:pStyle w:val="Heading3"/>
      </w:pPr>
      <w:r>
        <w:t>Scoring Rubric</w:t>
      </w:r>
    </w:p>
    <w:p/>
    <w:p>
      <w:pPr>
        <w:keepNext/>
      </w:pPr>
      <w:r>
        <w:rPr>
          <w:b/>
          <w:sz w:val="17"/>
        </w:rPr>
        <w:t>Table T-08-11: ALCS-09 Cross-Project Reuse Compliance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reuse tracking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workflow reuse but provides no revalidation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Workflow templates or reuse mechanisms exist but do not track original validation context or enforce revalidation</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Reuse compliance records exist for most cross-project reuse; some gaps in authority reset, privacy review, or revalidation enforcement</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reuse compliance records linking original validation context, new deployment context, authority reset, privacy review, revalidation decision, and revalidation evidence</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
      <w:pPr>
        <w:pStyle w:val="Heading3"/>
      </w:pPr>
      <w:r>
        <w:t>Common Gaps</w:t>
      </w:r>
    </w:p>
    <w:p/>
    <w:p>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
    <w:p>
      <w:pPr>
        <w:pStyle w:val="Heading2"/>
      </w:pPr>
      <w:r>
        <w:t>8.16 ALCS-10: Privacy/GDPR Lifecycle Mapping</w:t>
      </w:r>
    </w:p>
    <w:p/>
    <w:p>
      <w:pPr>
        <w:pStyle w:val="Heading3"/>
      </w:pPr>
      <w:r>
        <w:t>MRO Mapping</w:t>
      </w:r>
    </w:p>
    <w:p/>
    <w:p>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
      <w:pPr>
        <w:pStyle w:val="Heading3"/>
      </w:pPr>
      <w:r>
        <w:t>Core Question</w:t>
      </w:r>
    </w:p>
    <w:p/>
    <w:p>
      <w:r>
        <w:t>Does the system map personal data flows across the agent lifecycle?</w:t>
      </w:r>
    </w:p>
    <w:p/>
    <w:p>
      <w:pPr>
        <w:pStyle w:val="Heading3"/>
      </w:pPr>
      <w:r>
        <w:t>Scoring Rubric</w:t>
      </w:r>
    </w:p>
    <w:p/>
    <w:p>
      <w:pPr>
        <w:keepNext/>
      </w:pPr>
      <w:r>
        <w:rPr>
          <w:b/>
          <w:sz w:val="17"/>
        </w:rPr>
        <w:t>Table T-08-12: ALCS-10 Privacy/GDPR Lifecycle Mapping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privacy lifecycle mapping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privacy or data protection but provides no lifecycle mapping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Privacy controls exist for training data or input data but do not map personal data flows across agents, tools, memory, or handoffs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Privacy lifecycle mapping exists for most personal data flows; some gaps in cross-agent flows, tool-level tracking, or memory retention mapping</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lifecycle data-flow maps showing personal data entry, flow, transformation, storage, cross-agent transfer, tool disclosure, memory retention, and exit with data category labels, legal basis, retention periods, and processor tracking</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
      <w:pPr>
        <w:pStyle w:val="Heading3"/>
      </w:pPr>
      <w:r>
        <w:t>Common Gaps</w:t>
      </w:r>
    </w:p>
    <w:p/>
    <w:p>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
    <w:p>
      <w:pPr>
        <w:pStyle w:val="Heading2"/>
      </w:pPr>
      <w:r>
        <w:t>8.17 ALCS-11: Privacy-Preserving Third-Party Validation</w:t>
      </w:r>
    </w:p>
    <w:p/>
    <w:p>
      <w:pPr>
        <w:pStyle w:val="Heading3"/>
      </w:pPr>
      <w:r>
        <w:t>MRO Mapping</w:t>
      </w:r>
    </w:p>
    <w:p/>
    <w:p>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
      <w:pPr>
        <w:pStyle w:val="Heading3"/>
      </w:pPr>
      <w:r>
        <w:t>Core Question</w:t>
      </w:r>
    </w:p>
    <w:p/>
    <w:p>
      <w:r>
        <w:t>Does the system support validation without raw data disclosure?</w:t>
      </w:r>
    </w:p>
    <w:p/>
    <w:p>
      <w:pPr>
        <w:pStyle w:val="Heading3"/>
      </w:pPr>
      <w:r>
        <w:t>Scoring Rubric</w:t>
      </w:r>
    </w:p>
    <w:p/>
    <w:p>
      <w:pPr>
        <w:keepNext/>
      </w:pPr>
      <w:r>
        <w:rPr>
          <w:b/>
          <w:sz w:val="17"/>
        </w:rPr>
        <w:t>Table T-08-13: ALCS-11 Privacy-Preserving Third-Party Validation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privacy-preserving validation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external validation or audit but provides no privacy-preserving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External validation is supported but requires full evidence disclosure; no selective disclosure or privacy-preserving protocols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Selective disclosure mechanisms exist for most validation scenarios; some gaps in zero-knowledge proofs, cryptographic commitments, or cross-validator consistency</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privacy-preserving validation protocols supporting selective disclosure, redacted evidence, cryptographic commitments, zero-knowledge proofs, and validator-specific evidence views without raw data exposure</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
      <w:pPr>
        <w:pStyle w:val="Heading3"/>
      </w:pPr>
      <w:r>
        <w:t>Common Gaps</w:t>
      </w:r>
    </w:p>
    <w:p/>
    <w:p>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
    <w:p>
      <w:pPr>
        <w:pStyle w:val="Heading2"/>
      </w:pPr>
      <w:r>
        <w:t>8.18 ALCS-12: Evidence Minimization and Selective Disclosure</w:t>
      </w:r>
    </w:p>
    <w:p/>
    <w:p>
      <w:pPr>
        <w:pStyle w:val="Heading3"/>
      </w:pPr>
      <w:r>
        <w:t>MRO Mapping</w:t>
      </w:r>
    </w:p>
    <w:p/>
    <w:p>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
      <w:pPr>
        <w:pStyle w:val="Heading3"/>
      </w:pPr>
      <w:r>
        <w:t>Core Question</w:t>
      </w:r>
    </w:p>
    <w:p/>
    <w:p>
      <w:r>
        <w:t>Does the system minimize evidence retention and support selective disclosure?</w:t>
      </w:r>
    </w:p>
    <w:p/>
    <w:p>
      <w:pPr>
        <w:pStyle w:val="Heading3"/>
      </w:pPr>
      <w:r>
        <w:t>Scoring Rubric</w:t>
      </w:r>
    </w:p>
    <w:p/>
    <w:p>
      <w:pPr>
        <w:keepNext/>
      </w:pPr>
      <w:r>
        <w:rPr>
          <w:b/>
          <w:sz w:val="17"/>
        </w:rPr>
        <w:t>Table T-08-14: ALCS-12 Evidence Minimization and Selective Disclosure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evidence minimization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evidence retention or disclosure but provides no minimization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Evidence retention exists but lacks minimization policies; no retention periods, redaction rules, or disclosure boundaries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Evidence minimization policies exist for most evidence categories; some gaps in automated retention enforcement, redaction rules, or disclosure boundary controls</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evidence minimization policies defining retention periods by evidence category, automated retention enforcement, redaction rules, disclosure boundaries, and purpose-specific evidence views</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
      <w:pPr>
        <w:pStyle w:val="Heading3"/>
      </w:pPr>
      <w:r>
        <w:t>Common Gaps</w:t>
      </w:r>
    </w:p>
    <w:p/>
    <w:p>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
    <w:p>
      <w:pPr>
        <w:pStyle w:val="Heading2"/>
      </w:pPr>
      <w:r>
        <w:t>8.19 ALCS-13: Data Subject Rights vs Evidence Retention</w:t>
      </w:r>
    </w:p>
    <w:p/>
    <w:p>
      <w:pPr>
        <w:pStyle w:val="Heading3"/>
      </w:pPr>
      <w:r>
        <w:t>MRO Mapping</w:t>
      </w:r>
    </w:p>
    <w:p/>
    <w:p>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
      <w:pPr>
        <w:pStyle w:val="Heading3"/>
      </w:pPr>
      <w:r>
        <w:t>Core Question</w:t>
      </w:r>
    </w:p>
    <w:p/>
    <w:p>
      <w:r>
        <w:t>Does the system reconcile data subject rights with evidence retention obligations?</w:t>
      </w:r>
    </w:p>
    <w:p/>
    <w:p>
      <w:pPr>
        <w:pStyle w:val="Heading3"/>
      </w:pPr>
      <w:r>
        <w:t>Scoring Rubric</w:t>
      </w:r>
    </w:p>
    <w:p/>
    <w:p>
      <w:pPr>
        <w:keepNext/>
      </w:pPr>
      <w:r>
        <w:rPr>
          <w:b/>
          <w:sz w:val="17"/>
        </w:rPr>
        <w:t>Table T-08-15: ALCS-13 Data Subject Rights vs Evidence Retention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data subject rights reconciliation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data subject rights or evidence retention but provides no reconciliation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Data subject rights mechanisms exist but do not account for evidence retention obligations; no retention override rules or anonymization protocols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Data subject rights policies exist with some retention reconciliation; some gaps in legal basis documentation, anonymization rules, or dispute-window protection</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data subject rights policies defining retention periods, anonymization rules, legal basis for retention override, dispute-window protection, and reconciliation procedures for erasure requests vs evidence obligations</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
      <w:pPr>
        <w:pStyle w:val="Heading3"/>
      </w:pPr>
      <w:r>
        <w:t>Common Gaps</w:t>
      </w:r>
    </w:p>
    <w:p/>
    <w:p>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
    <w:p>
      <w:pPr>
        <w:pStyle w:val="Heading2"/>
      </w:pPr>
      <w:r>
        <w:t>8.20 ALCS-14: Third-Party Processor/Subprocessor Chain</w:t>
      </w:r>
    </w:p>
    <w:p/>
    <w:p>
      <w:pPr>
        <w:pStyle w:val="Heading3"/>
      </w:pPr>
      <w:r>
        <w:t>MRO Mapping</w:t>
      </w:r>
    </w:p>
    <w:p/>
    <w:p>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
      <w:pPr>
        <w:pStyle w:val="Heading3"/>
      </w:pPr>
      <w:r>
        <w:t>Core Question</w:t>
      </w:r>
    </w:p>
    <w:p/>
    <w:p>
      <w:r>
        <w:t>Does the system track processor and subprocessor usage at lifecycle granularity?</w:t>
      </w:r>
    </w:p>
    <w:p/>
    <w:p>
      <w:pPr>
        <w:pStyle w:val="Heading3"/>
      </w:pPr>
      <w:r>
        <w:t>Scoring Rubric</w:t>
      </w:r>
    </w:p>
    <w:p/>
    <w:p>
      <w:pPr>
        <w:keepNext/>
      </w:pPr>
      <w:r>
        <w:rPr>
          <w:b/>
          <w:sz w:val="17"/>
        </w:rPr>
        <w:t>Table T-08-16: ALCS-14 Third-Party Processor/Subprocessor Chain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processor chain tracking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third-party processors but provides no lifecycle tracking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Processor agreements exist but processor usage is not tracked at lifecycle granularity; no dynamic processor chain records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Processor chain tracking exists for most workflows; some gaps in subprocessor tracking, data category mapping, or legal basis documentation</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dynamic processor chain records tracking processor identity, subprocessor identity, data categories processed, processing purpose, legal basis, retention period, and processor location for each workflow execution</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
      <w:pPr>
        <w:pStyle w:val="Heading3"/>
      </w:pPr>
      <w:r>
        <w:t>Common Gaps</w:t>
      </w:r>
    </w:p>
    <w:p/>
    <w:p>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
    <w:p>
      <w:pPr>
        <w:pStyle w:val="Heading2"/>
      </w:pPr>
      <w:r>
        <w:t>8.21 ALCS-15: Vendor/Model/Runtime Substitution Conformance</w:t>
      </w:r>
    </w:p>
    <w:p/>
    <w:p>
      <w:pPr>
        <w:pStyle w:val="Heading3"/>
      </w:pPr>
      <w:r>
        <w:t>MRO Mapping</w:t>
      </w:r>
    </w:p>
    <w:p/>
    <w:p>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
      <w:pPr>
        <w:pStyle w:val="Heading3"/>
      </w:pPr>
      <w:r>
        <w:t>Core Question</w:t>
      </w:r>
    </w:p>
    <w:p/>
    <w:p>
      <w:r>
        <w:t>Does the system enforce conformance revalidation when vendors are substituted?</w:t>
      </w:r>
    </w:p>
    <w:p/>
    <w:p>
      <w:pPr>
        <w:pStyle w:val="Heading3"/>
      </w:pPr>
      <w:r>
        <w:t>Scoring Rubric</w:t>
      </w:r>
    </w:p>
    <w:p/>
    <w:p>
      <w:pPr>
        <w:keepNext/>
      </w:pPr>
      <w:r>
        <w:rPr>
          <w:b/>
          <w:sz w:val="17"/>
        </w:rPr>
        <w:t>Table T-08-17: ALCS-15 Vendor/Model/Runtime Substitution Conformance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Score</w:t>
            </w:r>
          </w:p>
        </w:tc>
        <w:tc>
          <w:tcPr>
            <w:tcW w:type="dxa" w:w="3408"/>
            <w:vAlign w:val="top"/>
            <w:shd w:fill="D9EAF7"/>
          </w:tcPr>
          <w:p>
            <w:pPr>
              <w:spacing w:after="0"/>
              <w:jc w:val="left"/>
            </w:pPr>
            <w:r>
              <w:rPr>
                <w:rFonts w:ascii="Arial" w:hAnsi="Arial"/>
                <w:b/>
                <w:sz w:val="16"/>
              </w:rPr>
              <w:t>Capability Level</w:t>
            </w:r>
          </w:p>
        </w:tc>
        <w:tc>
          <w:tcPr>
            <w:tcW w:type="dxa" w:w="3408"/>
            <w:vAlign w:val="top"/>
            <w:shd w:fill="D9EAF7"/>
          </w:tcPr>
          <w:p>
            <w:pPr>
              <w:spacing w:after="0"/>
              <w:jc w:val="left"/>
            </w:pPr>
            <w:r>
              <w:rPr>
                <w:rFonts w:ascii="Arial" w:hAnsi="Arial"/>
                <w:b/>
                <w:sz w:val="16"/>
              </w:rPr>
              <w:t>Evidence Required</w:t>
            </w:r>
          </w:p>
        </w:tc>
      </w:tr>
      <w:tr>
        <w:trPr>
          <w:cantSplit/>
        </w:trPr>
        <w:tc>
          <w:tcPr>
            <w:tcW w:type="dxa" w:w="3408"/>
            <w:vAlign w:val="top"/>
          </w:tcPr>
          <w:p>
            <w:pPr>
              <w:spacing w:after="0"/>
              <w:jc w:val="left"/>
            </w:pPr>
            <w:r>
              <w:rPr>
                <w:rFonts w:ascii="Arial" w:hAnsi="Arial"/>
                <w:b w:val="0"/>
                <w:sz w:val="16"/>
              </w:rPr>
              <w:t>0</w:t>
            </w:r>
          </w:p>
        </w:tc>
        <w:tc>
          <w:tcPr>
            <w:tcW w:type="dxa" w:w="3408"/>
            <w:vAlign w:val="top"/>
          </w:tcPr>
          <w:p>
            <w:pPr>
              <w:spacing w:after="0"/>
              <w:jc w:val="left"/>
            </w:pPr>
            <w:r>
              <w:rPr>
                <w:rFonts w:ascii="Arial" w:hAnsi="Arial"/>
                <w:b w:val="0"/>
                <w:sz w:val="16"/>
              </w:rPr>
              <w:t>No evidence of capability</w:t>
            </w:r>
          </w:p>
        </w:tc>
        <w:tc>
          <w:tcPr>
            <w:tcW w:type="dxa" w:w="3408"/>
            <w:vAlign w:val="top"/>
          </w:tcPr>
          <w:p>
            <w:pPr>
              <w:spacing w:after="0"/>
              <w:jc w:val="left"/>
            </w:pPr>
            <w:r>
              <w:rPr>
                <w:rFonts w:ascii="Arial" w:hAnsi="Arial"/>
                <w:b w:val="0"/>
                <w:sz w:val="16"/>
              </w:rPr>
              <w:t>No vendor substitution tracking features documented or observable</w:t>
            </w:r>
          </w:p>
        </w:tc>
      </w:tr>
      <w:tr>
        <w:trPr>
          <w:cantSplit/>
        </w:trPr>
        <w:tc>
          <w:tcPr>
            <w:tcW w:type="dxa" w:w="3408"/>
            <w:vAlign w:val="top"/>
          </w:tcPr>
          <w:p>
            <w:pPr>
              <w:spacing w:after="0"/>
              <w:jc w:val="left"/>
            </w:pPr>
            <w:r>
              <w:rPr>
                <w:rFonts w:ascii="Arial" w:hAnsi="Arial"/>
                <w:b w:val="0"/>
                <w:sz w:val="16"/>
              </w:rPr>
              <w:t>1</w:t>
            </w:r>
          </w:p>
        </w:tc>
        <w:tc>
          <w:tcPr>
            <w:tcW w:type="dxa" w:w="3408"/>
            <w:vAlign w:val="top"/>
          </w:tcPr>
          <w:p>
            <w:pPr>
              <w:spacing w:after="0"/>
              <w:jc w:val="left"/>
            </w:pPr>
            <w:r>
              <w:rPr>
                <w:rFonts w:ascii="Arial" w:hAnsi="Arial"/>
                <w:b w:val="0"/>
                <w:sz w:val="16"/>
              </w:rPr>
              <w:t>Conceptual support</w:t>
            </w:r>
          </w:p>
        </w:tc>
        <w:tc>
          <w:tcPr>
            <w:tcW w:type="dxa" w:w="3408"/>
            <w:vAlign w:val="top"/>
          </w:tcPr>
          <w:p>
            <w:pPr>
              <w:spacing w:after="0"/>
              <w:jc w:val="left"/>
            </w:pPr>
            <w:r>
              <w:rPr>
                <w:rFonts w:ascii="Arial" w:hAnsi="Arial"/>
                <w:b w:val="0"/>
                <w:sz w:val="16"/>
              </w:rPr>
              <w:t>Documentation mentions vendor optionality or model substitution but provides no conformance revalidation primitives</w:t>
            </w:r>
          </w:p>
        </w:tc>
      </w:tr>
      <w:tr>
        <w:trPr>
          <w:cantSplit/>
        </w:trPr>
        <w:tc>
          <w:tcPr>
            <w:tcW w:type="dxa" w:w="3408"/>
            <w:vAlign w:val="top"/>
          </w:tcPr>
          <w:p>
            <w:pPr>
              <w:spacing w:after="0"/>
              <w:jc w:val="left"/>
            </w:pPr>
            <w:r>
              <w:rPr>
                <w:rFonts w:ascii="Arial" w:hAnsi="Arial"/>
                <w:b w:val="0"/>
                <w:sz w:val="16"/>
              </w:rPr>
              <w:t>2</w:t>
            </w:r>
          </w:p>
        </w:tc>
        <w:tc>
          <w:tcPr>
            <w:tcW w:type="dxa" w:w="3408"/>
            <w:vAlign w:val="top"/>
          </w:tcPr>
          <w:p>
            <w:pPr>
              <w:spacing w:after="0"/>
              <w:jc w:val="left"/>
            </w:pPr>
            <w:r>
              <w:rPr>
                <w:rFonts w:ascii="Arial" w:hAnsi="Arial"/>
                <w:b w:val="0"/>
                <w:sz w:val="16"/>
              </w:rPr>
              <w:t>Partial implementation</w:t>
            </w:r>
          </w:p>
        </w:tc>
        <w:tc>
          <w:tcPr>
            <w:tcW w:type="dxa" w:w="3408"/>
            <w:vAlign w:val="top"/>
          </w:tcPr>
          <w:p>
            <w:pPr>
              <w:spacing w:after="0"/>
              <w:jc w:val="left"/>
            </w:pPr>
            <w:r>
              <w:rPr>
                <w:rFonts w:ascii="Arial" w:hAnsi="Arial"/>
                <w:b w:val="0"/>
                <w:sz w:val="16"/>
              </w:rPr>
              <w:t>Vendor or model substitution is supported but does not trigger conformance revalidation; no substitution records or delta analysis</w:t>
            </w:r>
          </w:p>
        </w:tc>
      </w:tr>
      <w:tr>
        <w:trPr>
          <w:cantSplit/>
        </w:trPr>
        <w:tc>
          <w:tcPr>
            <w:tcW w:type="dxa" w:w="3408"/>
            <w:vAlign w:val="top"/>
          </w:tcPr>
          <w:p>
            <w:pPr>
              <w:spacing w:after="0"/>
              <w:jc w:val="left"/>
            </w:pPr>
            <w:r>
              <w:rPr>
                <w:rFonts w:ascii="Arial" w:hAnsi="Arial"/>
                <w:b w:val="0"/>
                <w:sz w:val="16"/>
              </w:rPr>
              <w:t>3</w:t>
            </w:r>
          </w:p>
        </w:tc>
        <w:tc>
          <w:tcPr>
            <w:tcW w:type="dxa" w:w="3408"/>
            <w:vAlign w:val="top"/>
          </w:tcPr>
          <w:p>
            <w:pPr>
              <w:spacing w:after="0"/>
              <w:jc w:val="left"/>
            </w:pPr>
            <w:r>
              <w:rPr>
                <w:rFonts w:ascii="Arial" w:hAnsi="Arial"/>
                <w:b w:val="0"/>
                <w:sz w:val="16"/>
              </w:rPr>
              <w:t>Moderate implementation</w:t>
            </w:r>
          </w:p>
        </w:tc>
        <w:tc>
          <w:tcPr>
            <w:tcW w:type="dxa" w:w="3408"/>
            <w:vAlign w:val="top"/>
          </w:tcPr>
          <w:p>
            <w:pPr>
              <w:spacing w:after="0"/>
              <w:jc w:val="left"/>
            </w:pPr>
            <w:r>
              <w:rPr>
                <w:rFonts w:ascii="Arial" w:hAnsi="Arial"/>
                <w:b w:val="0"/>
                <w:sz w:val="16"/>
              </w:rPr>
              <w:t>Vendor substitution conformance records exist for most substitutions; some gaps in delta analysis, conformance testing, or revalidation enforcement</w:t>
            </w:r>
          </w:p>
        </w:tc>
      </w:tr>
      <w:tr>
        <w:trPr>
          <w:cantSplit/>
        </w:trPr>
        <w:tc>
          <w:tcPr>
            <w:tcW w:type="dxa" w:w="3408"/>
            <w:vAlign w:val="top"/>
          </w:tcPr>
          <w:p>
            <w:pPr>
              <w:spacing w:after="0"/>
              <w:jc w:val="left"/>
            </w:pPr>
            <w:r>
              <w:rPr>
                <w:rFonts w:ascii="Arial" w:hAnsi="Arial"/>
                <w:b w:val="0"/>
                <w:sz w:val="16"/>
              </w:rPr>
              <w:t>4</w:t>
            </w:r>
          </w:p>
        </w:tc>
        <w:tc>
          <w:tcPr>
            <w:tcW w:type="dxa" w:w="3408"/>
            <w:vAlign w:val="top"/>
          </w:tcPr>
          <w:p>
            <w:pPr>
              <w:spacing w:after="0"/>
              <w:jc w:val="left"/>
            </w:pPr>
            <w:r>
              <w:rPr>
                <w:rFonts w:ascii="Arial" w:hAnsi="Arial"/>
                <w:b w:val="0"/>
                <w:sz w:val="16"/>
              </w:rPr>
              <w:t>Strong implementation</w:t>
            </w:r>
          </w:p>
        </w:tc>
        <w:tc>
          <w:tcPr>
            <w:tcW w:type="dxa" w:w="3408"/>
            <w:vAlign w:val="top"/>
          </w:tcPr>
          <w:p>
            <w:pPr>
              <w:spacing w:after="0"/>
              <w:jc w:val="left"/>
            </w:pPr>
            <w:r>
              <w:rPr>
                <w:rFonts w:ascii="Arial" w:hAnsi="Arial"/>
                <w:b w:val="0"/>
                <w:sz w:val="16"/>
              </w:rPr>
              <w:t>Comprehensive vendor substitution conformance records linking original validation, substitution authorization, conformance test results, delta analysis, revalidation decision, and deployment approval</w:t>
            </w:r>
          </w:p>
        </w:tc>
      </w:tr>
      <w:tr>
        <w:trPr>
          <w:cantSplit/>
        </w:trPr>
        <w:tc>
          <w:tcPr>
            <w:tcW w:type="dxa" w:w="3408"/>
            <w:vAlign w:val="top"/>
          </w:tcPr>
          <w:p>
            <w:pPr>
              <w:spacing w:after="0"/>
              <w:jc w:val="left"/>
            </w:pPr>
            <w:r>
              <w:rPr>
                <w:rFonts w:ascii="Arial" w:hAnsi="Arial"/>
                <w:b w:val="0"/>
                <w:sz w:val="16"/>
              </w:rPr>
              <w:t>5</w:t>
            </w:r>
          </w:p>
        </w:tc>
        <w:tc>
          <w:tcPr>
            <w:tcW w:type="dxa" w:w="3408"/>
            <w:vAlign w:val="top"/>
          </w:tcPr>
          <w:p>
            <w:pPr>
              <w:spacing w:after="0"/>
              <w:jc w:val="left"/>
            </w:pPr>
            <w:r>
              <w:rPr>
                <w:rFonts w:ascii="Arial" w:hAnsi="Arial"/>
                <w:b w:val="0"/>
                <w:sz w:val="16"/>
              </w:rPr>
              <w:t>Complete capability demonstrated by implementation evidence</w:t>
            </w:r>
          </w:p>
        </w:tc>
        <w:tc>
          <w:tcPr>
            <w:tcW w:type="dxa" w:w="3408"/>
            <w:vAlign w:val="top"/>
          </w:tcPr>
          <w:p>
            <w:pPr>
              <w:spacing w:after="0"/>
              <w:jc w:val="left"/>
            </w:pPr>
            <w:r>
              <w:rPr>
                <w:rFonts w:ascii="Arial" w:hAnsi="Arial"/>
                <w:b w:val="0"/>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
      <w:pPr>
        <w:pStyle w:val="Heading3"/>
      </w:pPr>
      <w:r>
        <w:t>Common Gaps</w:t>
      </w:r>
    </w:p>
    <w:p/>
    <w:p>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
    <w:p>
      <w:pPr>
        <w:pStyle w:val="Heading2"/>
      </w:pPr>
      <w:r>
        <w:t>8.22 Chapter Summary</w:t>
      </w:r>
    </w:p>
    <w:p/>
    <w:p>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
    <w:p>
      <w:r>
        <w:t>End of Chapter 8</w:t>
      </w:r>
    </w:p>
    <w:p/>
    <w:p>
      <w:r>
        <w:t>Chapter 8 Status: COMPLETE — All sections filled (8.0-8.22); all fifteen ALCS dimension scoring rubrics provided (T-08-03 through T-08-17); chapter summary added.</w:t>
      </w:r>
    </w:p>
    <w:p>
      <w:pPr>
        <w:pStyle w:val="Heading1"/>
      </w:pPr>
      <w:r>
        <w:t>Chapter 9: Composite Scoring Method</w:t>
      </w:r>
    </w:p>
    <w:p/>
    <w:p>
      <w:r>
        <w:t>Version: v0.3.2-FRC-R3</w:t>
      </w:r>
    </w:p>
    <w:p>
      <w:r>
        <w:t>Status: Reconstructed from v0.3.1 semantic base</w:t>
      </w:r>
    </w:p>
    <w:p>
      <w:r>
        <w:t>Phase: 1A-3.10</w:t>
      </w:r>
    </w:p>
    <w:p/>
    <w:p/>
    <w:p>
      <w:pPr>
        <w:pStyle w:val="Heading2"/>
      </w:pPr>
      <w:r>
        <w:t>9.0 Chapter Overview</w:t>
      </w:r>
    </w:p>
    <w:p/>
    <w:p>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
    <w:p>
      <w:pPr>
        <w:pStyle w:val="Heading2"/>
      </w:pPr>
      <w:r>
        <w:t>9.1 Purpose of Composite Scoring</w:t>
      </w:r>
    </w:p>
    <w:p/>
    <w:p>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
    <w:p>
      <w:pPr>
        <w:pStyle w:val="Heading2"/>
      </w:pPr>
      <w:r>
        <w:t>9.2 Composite Score Formula</w:t>
      </w:r>
    </w:p>
    <w:p/>
    <w:p>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
      <w:r>
        <w:t>Each dimension is first normalized using the canonical dimension formula:</w:t>
      </w:r>
    </w:p>
    <w:p/>
    <w:p>
      <w:r>
        <w:t>Dimension Score = (Raw Score / 5) × 100 × Evidence Confidence Multiplier</w:t>
      </w:r>
    </w:p>
    <w:p/>
    <w:p>
      <w:r>
        <w:t>Where:</w:t>
      </w:r>
    </w:p>
    <w:p>
      <w:pPr>
        <w:pStyle w:val="ListBullet"/>
      </w:pPr>
      <w:r>
        <w:t>Raw Score is the 0-5 score for each dimension based on system capability strength</w:t>
      </w:r>
    </w:p>
    <w:p>
      <w:pPr>
        <w:pStyle w:val="ListBullet"/>
      </w:pPr>
      <w:r>
        <w:t>Evidence Confidence Multiplier is L1=1.00, L2=0.85, L3=0.75, L4=0.55, or L5=0.35</w:t>
      </w:r>
    </w:p>
    <w:p/>
    <w:p>
      <w:r>
        <w:t>The cross-framework composite score is:</w:t>
      </w:r>
    </w:p>
    <w:p/>
    <w:p>
      <w:r>
        <w:t>Composite Score = 0.40 × RCCS + 0.60 × ALCS</w:t>
      </w:r>
    </w:p>
    <w:p/>
    <w:p>
      <w:r>
        <w:t>RCCS and ALCS are expressed on a 0-100 scale after evidence adjustment. The composite score is also expressed on a 0-100 scale.</w:t>
      </w:r>
    </w:p>
    <w:p/>
    <w:p>
      <w:r>
        <w:t>The following table illustrates the composite score calculation with an example.</w:t>
      </w:r>
    </w:p>
    <w:p/>
    <w:p>
      <w:pPr>
        <w:keepNext/>
      </w:pPr>
      <w:r>
        <w:rPr>
          <w:b/>
          <w:sz w:val="17"/>
        </w:rPr>
        <w:t>Table T-09-01: Composite Score Calculation Example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Component</w:t>
            </w:r>
          </w:p>
        </w:tc>
        <w:tc>
          <w:tcPr>
            <w:tcW w:type="dxa" w:w="3408"/>
            <w:vAlign w:val="top"/>
            <w:shd w:fill="D9EAF7"/>
          </w:tcPr>
          <w:p>
            <w:pPr>
              <w:spacing w:after="0"/>
              <w:jc w:val="left"/>
            </w:pPr>
            <w:r>
              <w:rPr>
                <w:rFonts w:ascii="Arial" w:hAnsi="Arial"/>
                <w:b/>
                <w:sz w:val="16"/>
              </w:rPr>
              <w:t>Description</w:t>
            </w:r>
          </w:p>
        </w:tc>
        <w:tc>
          <w:tcPr>
            <w:tcW w:type="dxa" w:w="3408"/>
            <w:vAlign w:val="top"/>
            <w:shd w:fill="D9EAF7"/>
          </w:tcPr>
          <w:p>
            <w:pPr>
              <w:spacing w:after="0"/>
              <w:jc w:val="left"/>
            </w:pPr>
            <w:r>
              <w:rPr>
                <w:rFonts w:ascii="Arial" w:hAnsi="Arial"/>
                <w:b/>
                <w:sz w:val="16"/>
              </w:rPr>
              <w:t>Example Calculation</w:t>
            </w:r>
          </w:p>
        </w:tc>
      </w:tr>
      <w:tr>
        <w:trPr>
          <w:cantSplit/>
        </w:trPr>
        <w:tc>
          <w:tcPr>
            <w:tcW w:type="dxa" w:w="3408"/>
            <w:vAlign w:val="top"/>
          </w:tcPr>
          <w:p>
            <w:pPr>
              <w:spacing w:after="0"/>
              <w:jc w:val="left"/>
            </w:pPr>
            <w:r>
              <w:rPr>
                <w:rFonts w:ascii="Arial" w:hAnsi="Arial"/>
                <w:b w:val="0"/>
                <w:sz w:val="16"/>
              </w:rPr>
              <w:t>Raw Score</w:t>
            </w:r>
          </w:p>
        </w:tc>
        <w:tc>
          <w:tcPr>
            <w:tcW w:type="dxa" w:w="3408"/>
            <w:vAlign w:val="top"/>
          </w:tcPr>
          <w:p>
            <w:pPr>
              <w:spacing w:after="0"/>
              <w:jc w:val="left"/>
            </w:pPr>
            <w:r>
              <w:rPr>
                <w:rFonts w:ascii="Arial" w:hAnsi="Arial"/>
                <w:b w:val="0"/>
                <w:sz w:val="16"/>
              </w:rPr>
              <w:t>0-5 scale based on capability strength</w:t>
            </w:r>
          </w:p>
        </w:tc>
        <w:tc>
          <w:tcPr>
            <w:tcW w:type="dxa" w:w="3408"/>
            <w:vAlign w:val="top"/>
          </w:tcPr>
          <w:p>
            <w:pPr>
              <w:spacing w:after="0"/>
              <w:jc w:val="left"/>
            </w:pPr>
            <w:r>
              <w:rPr>
                <w:rFonts w:ascii="Arial" w:hAnsi="Arial"/>
                <w:b w:val="0"/>
                <w:sz w:val="16"/>
              </w:rPr>
              <w:t>Risk Management = 4</w:t>
            </w:r>
          </w:p>
        </w:tc>
      </w:tr>
      <w:tr>
        <w:trPr>
          <w:cantSplit/>
        </w:trPr>
        <w:tc>
          <w:tcPr>
            <w:tcW w:type="dxa" w:w="3408"/>
            <w:vAlign w:val="top"/>
          </w:tcPr>
          <w:p>
            <w:pPr>
              <w:spacing w:after="0"/>
              <w:jc w:val="left"/>
            </w:pPr>
            <w:r>
              <w:rPr>
                <w:rFonts w:ascii="Arial" w:hAnsi="Arial"/>
                <w:b w:val="0"/>
                <w:sz w:val="16"/>
              </w:rPr>
              <w:t>Evidence Multiplier</w:t>
            </w:r>
          </w:p>
        </w:tc>
        <w:tc>
          <w:tcPr>
            <w:tcW w:type="dxa" w:w="3408"/>
            <w:vAlign w:val="top"/>
          </w:tcPr>
          <w:p>
            <w:pPr>
              <w:spacing w:after="0"/>
              <w:jc w:val="left"/>
            </w:pPr>
            <w:r>
              <w:rPr>
                <w:rFonts w:ascii="Arial" w:hAnsi="Arial"/>
                <w:b w:val="0"/>
                <w:sz w:val="16"/>
              </w:rPr>
              <w:t>L1-L5 confidence multiplier</w:t>
            </w:r>
          </w:p>
        </w:tc>
        <w:tc>
          <w:tcPr>
            <w:tcW w:type="dxa" w:w="3408"/>
            <w:vAlign w:val="top"/>
          </w:tcPr>
          <w:p>
            <w:pPr>
              <w:spacing w:after="0"/>
              <w:jc w:val="left"/>
            </w:pPr>
            <w:r>
              <w:rPr>
                <w:rFonts w:ascii="Arial" w:hAnsi="Arial"/>
                <w:b w:val="0"/>
                <w:sz w:val="16"/>
              </w:rPr>
              <w:t>L2 evidence = 0.85</w:t>
            </w:r>
          </w:p>
        </w:tc>
      </w:tr>
      <w:tr>
        <w:trPr>
          <w:cantSplit/>
        </w:trPr>
        <w:tc>
          <w:tcPr>
            <w:tcW w:type="dxa" w:w="3408"/>
            <w:vAlign w:val="top"/>
          </w:tcPr>
          <w:p>
            <w:pPr>
              <w:spacing w:after="0"/>
              <w:jc w:val="left"/>
            </w:pPr>
            <w:r>
              <w:rPr>
                <w:rFonts w:ascii="Arial" w:hAnsi="Arial"/>
                <w:b w:val="0"/>
                <w:sz w:val="16"/>
              </w:rPr>
              <w:t>Dimension Score</w:t>
            </w:r>
          </w:p>
        </w:tc>
        <w:tc>
          <w:tcPr>
            <w:tcW w:type="dxa" w:w="3408"/>
            <w:vAlign w:val="top"/>
          </w:tcPr>
          <w:p>
            <w:pPr>
              <w:spacing w:after="0"/>
              <w:jc w:val="left"/>
            </w:pPr>
            <w:r>
              <w:rPr>
                <w:rFonts w:ascii="Arial" w:hAnsi="Arial"/>
                <w:b w:val="0"/>
                <w:sz w:val="16"/>
              </w:rPr>
              <w:t>(Raw Score / 5) × 100 × Evidence Multiplier</w:t>
            </w:r>
          </w:p>
        </w:tc>
        <w:tc>
          <w:tcPr>
            <w:tcW w:type="dxa" w:w="3408"/>
            <w:vAlign w:val="top"/>
          </w:tcPr>
          <w:p>
            <w:pPr>
              <w:spacing w:after="0"/>
              <w:jc w:val="left"/>
            </w:pPr>
            <w:r>
              <w:rPr>
                <w:rFonts w:ascii="Arial" w:hAnsi="Arial"/>
                <w:b w:val="0"/>
                <w:sz w:val="16"/>
              </w:rPr>
              <w:t>(4 / 5) × 100 × 0.85 = 68.0</w:t>
            </w:r>
          </w:p>
        </w:tc>
      </w:tr>
      <w:tr>
        <w:trPr>
          <w:cantSplit/>
        </w:trPr>
        <w:tc>
          <w:tcPr>
            <w:tcW w:type="dxa" w:w="3408"/>
            <w:vAlign w:val="top"/>
          </w:tcPr>
          <w:p>
            <w:pPr>
              <w:spacing w:after="0"/>
              <w:jc w:val="left"/>
            </w:pPr>
            <w:r>
              <w:rPr>
                <w:rFonts w:ascii="Arial" w:hAnsi="Arial"/>
                <w:b w:val="0"/>
                <w:sz w:val="16"/>
              </w:rPr>
              <w:t>RCCS Score</w:t>
            </w:r>
          </w:p>
        </w:tc>
        <w:tc>
          <w:tcPr>
            <w:tcW w:type="dxa" w:w="3408"/>
            <w:vAlign w:val="top"/>
          </w:tcPr>
          <w:p>
            <w:pPr>
              <w:spacing w:after="0"/>
              <w:jc w:val="left"/>
            </w:pPr>
            <w:r>
              <w:rPr>
                <w:rFonts w:ascii="Arial" w:hAnsi="Arial"/>
                <w:b w:val="0"/>
                <w:sz w:val="16"/>
              </w:rPr>
              <w:t>Aggregated RCCS dimension score</w:t>
            </w:r>
          </w:p>
        </w:tc>
        <w:tc>
          <w:tcPr>
            <w:tcW w:type="dxa" w:w="3408"/>
            <w:vAlign w:val="top"/>
          </w:tcPr>
          <w:p>
            <w:pPr>
              <w:spacing w:after="0"/>
              <w:jc w:val="left"/>
            </w:pPr>
            <w:r>
              <w:rPr>
                <w:rFonts w:ascii="Arial" w:hAnsi="Arial"/>
                <w:b w:val="0"/>
                <w:sz w:val="16"/>
              </w:rPr>
              <w:t>RCCS = 65.0</w:t>
            </w:r>
          </w:p>
        </w:tc>
      </w:tr>
      <w:tr>
        <w:trPr>
          <w:cantSplit/>
        </w:trPr>
        <w:tc>
          <w:tcPr>
            <w:tcW w:type="dxa" w:w="3408"/>
            <w:vAlign w:val="top"/>
          </w:tcPr>
          <w:p>
            <w:pPr>
              <w:spacing w:after="0"/>
              <w:jc w:val="left"/>
            </w:pPr>
            <w:r>
              <w:rPr>
                <w:rFonts w:ascii="Arial" w:hAnsi="Arial"/>
                <w:b w:val="0"/>
                <w:sz w:val="16"/>
              </w:rPr>
              <w:t>ALCS Score</w:t>
            </w:r>
          </w:p>
        </w:tc>
        <w:tc>
          <w:tcPr>
            <w:tcW w:type="dxa" w:w="3408"/>
            <w:vAlign w:val="top"/>
          </w:tcPr>
          <w:p>
            <w:pPr>
              <w:spacing w:after="0"/>
              <w:jc w:val="left"/>
            </w:pPr>
            <w:r>
              <w:rPr>
                <w:rFonts w:ascii="Arial" w:hAnsi="Arial"/>
                <w:b w:val="0"/>
                <w:sz w:val="16"/>
              </w:rPr>
              <w:t>Aggregated ALCS dimension score</w:t>
            </w:r>
          </w:p>
        </w:tc>
        <w:tc>
          <w:tcPr>
            <w:tcW w:type="dxa" w:w="3408"/>
            <w:vAlign w:val="top"/>
          </w:tcPr>
          <w:p>
            <w:pPr>
              <w:spacing w:after="0"/>
              <w:jc w:val="left"/>
            </w:pPr>
            <w:r>
              <w:rPr>
                <w:rFonts w:ascii="Arial" w:hAnsi="Arial"/>
                <w:b w:val="0"/>
                <w:sz w:val="16"/>
              </w:rPr>
              <w:t>ALCS = 55.0</w:t>
            </w:r>
          </w:p>
        </w:tc>
      </w:tr>
      <w:tr>
        <w:trPr>
          <w:cantSplit/>
        </w:trPr>
        <w:tc>
          <w:tcPr>
            <w:tcW w:type="dxa" w:w="3408"/>
            <w:vAlign w:val="top"/>
          </w:tcPr>
          <w:p>
            <w:pPr>
              <w:spacing w:after="0"/>
              <w:jc w:val="left"/>
            </w:pPr>
            <w:r>
              <w:rPr>
                <w:rFonts w:ascii="Arial" w:hAnsi="Arial"/>
                <w:b w:val="0"/>
                <w:sz w:val="16"/>
              </w:rPr>
              <w:t>Composite Score</w:t>
            </w:r>
          </w:p>
        </w:tc>
        <w:tc>
          <w:tcPr>
            <w:tcW w:type="dxa" w:w="3408"/>
            <w:vAlign w:val="top"/>
          </w:tcPr>
          <w:p>
            <w:pPr>
              <w:spacing w:after="0"/>
              <w:jc w:val="left"/>
            </w:pPr>
            <w:r>
              <w:rPr>
                <w:rFonts w:ascii="Arial" w:hAnsi="Arial"/>
                <w:b w:val="0"/>
                <w:sz w:val="16"/>
              </w:rPr>
              <w:t>0.40 × RCCS + 0.60 × ALCS</w:t>
            </w:r>
          </w:p>
        </w:tc>
        <w:tc>
          <w:tcPr>
            <w:tcW w:type="dxa" w:w="3408"/>
            <w:vAlign w:val="top"/>
          </w:tcPr>
          <w:p>
            <w:pPr>
              <w:spacing w:after="0"/>
              <w:jc w:val="left"/>
            </w:pPr>
            <w:r>
              <w:rPr>
                <w:rFonts w:ascii="Arial" w:hAnsi="Arial"/>
                <w:b w:val="0"/>
                <w:sz w:val="16"/>
              </w:rPr>
              <w:t>0.40 × 65.0 + 0.60 × 55.0 = 59.0</w:t>
            </w:r>
          </w:p>
        </w:tc>
      </w:tr>
    </w:tbl>
    <w:p>
      <w:pPr>
        <w:sectPr>
          <w:pgSz w:w="15840" w:h="12240"/>
          <w:pgMar w:top="792" w:right="648" w:bottom="792" w:left="648" w:header="720" w:footer="720" w:gutter="0"/>
          <w:cols w:space="720"/>
          <w:docGrid w:linePitch="360"/>
        </w:sectPr>
      </w:pPr>
    </w:p>
    <w:p/>
    <w:p>
      <w:r>
        <w:t>This calculation preserves the distinction between RCCS and ALCS while still producing a single analytical composite score for high-level comparison.</w:t>
      </w:r>
    </w:p>
    <w:p/>
    <w:p>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
    <w:p>
      <w:pPr>
        <w:pStyle w:val="Heading2"/>
      </w:pPr>
      <w:r>
        <w:t>9.3 Evidence Multiplier Application</w:t>
      </w:r>
    </w:p>
    <w:p/>
    <w:p>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
      <w:r>
        <w:t>The evidence hierarchy established in the front matter defines five evidence levels:</w:t>
      </w:r>
    </w:p>
    <w:p/>
    <w:p>
      <w:pPr>
        <w:pStyle w:val="ListBullet"/>
      </w:pPr>
      <w:r>
        <w:t>L1: Binding legal, regulatory, or formal standards text - Highest confidence for baseline obligations; does not prove system implementation</w:t>
      </w:r>
    </w:p>
    <w:p>
      <w:pPr>
        <w:pStyle w:val="ListBullet"/>
      </w:pPr>
      <w:r>
        <w:t>L2: Official product documentation, API docs, developer documentation, platform architecture docs - High confidence</w:t>
      </w:r>
    </w:p>
    <w:p>
      <w:pPr>
        <w:pStyle w:val="ListBullet"/>
      </w:pPr>
      <w:r>
        <w:t>L3: Independent audits, certifications, third-party evaluations, regulatory commentary - Medium confidence</w:t>
      </w:r>
    </w:p>
    <w:p>
      <w:pPr>
        <w:pStyle w:val="ListBullet"/>
      </w:pPr>
      <w:r>
        <w:t>L4: Vendor white papers, product pages, blog posts, marketing statements - Low confidence</w:t>
      </w:r>
    </w:p>
    <w:p>
      <w:pPr>
        <w:pStyle w:val="ListBullet"/>
      </w:pPr>
      <w:r>
        <w:t>L5: Author inference, conceptual analysis, strategic interpretation - Disclosed inference</w:t>
      </w:r>
    </w:p>
    <w:p/>
    <w:p>
      <w:r>
        <w:t>The evidence multiplier translates evidence levels into scoring adjustments:</w:t>
      </w:r>
    </w:p>
    <w:p/>
    <w:p>
      <w:pPr>
        <w:keepNext/>
      </w:pPr>
      <w:r>
        <w:rPr>
          <w:b/>
          <w:sz w:val="17"/>
        </w:rPr>
        <w:t>Table T-09-02: Evidence Multiplier Values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Evidence Type</w:t>
            </w:r>
          </w:p>
        </w:tc>
        <w:tc>
          <w:tcPr>
            <w:tcW w:type="dxa" w:w="2556"/>
            <w:vAlign w:val="top"/>
            <w:shd w:fill="D9EAF7"/>
          </w:tcPr>
          <w:p>
            <w:pPr>
              <w:spacing w:after="0"/>
              <w:jc w:val="left"/>
            </w:pPr>
            <w:r>
              <w:rPr>
                <w:rFonts w:ascii="Arial" w:hAnsi="Arial"/>
                <w:b/>
                <w:sz w:val="14"/>
              </w:rPr>
              <w:t>Multiplier</w:t>
            </w:r>
          </w:p>
        </w:tc>
        <w:tc>
          <w:tcPr>
            <w:tcW w:type="dxa" w:w="2556"/>
            <w:vAlign w:val="top"/>
            <w:shd w:fill="D9EAF7"/>
          </w:tcPr>
          <w:p>
            <w:pPr>
              <w:spacing w:after="0"/>
              <w:jc w:val="left"/>
            </w:pPr>
            <w:r>
              <w:rPr>
                <w:rFonts w:ascii="Arial" w:hAnsi="Arial"/>
                <w:b/>
                <w:sz w:val="14"/>
              </w:rPr>
              <w:t>Rationale</w:t>
            </w:r>
          </w:p>
        </w:tc>
      </w:tr>
      <w:tr>
        <w:trPr>
          <w:cantSplit/>
        </w:trPr>
        <w:tc>
          <w:tcPr>
            <w:tcW w:type="dxa" w:w="2556"/>
            <w:vAlign w:val="top"/>
          </w:tcPr>
          <w:p>
            <w:pPr>
              <w:spacing w:after="0"/>
              <w:jc w:val="left"/>
            </w:pPr>
            <w:r>
              <w:rPr>
                <w:rFonts w:ascii="Arial" w:hAnsi="Arial"/>
                <w:b w:val="0"/>
                <w:sz w:val="14"/>
              </w:rPr>
              <w:t>L1</w:t>
            </w:r>
          </w:p>
        </w:tc>
        <w:tc>
          <w:tcPr>
            <w:tcW w:type="dxa" w:w="2556"/>
            <w:vAlign w:val="top"/>
          </w:tcPr>
          <w:p>
            <w:pPr>
              <w:spacing w:after="0"/>
              <w:jc w:val="left"/>
            </w:pPr>
            <w:r>
              <w:rPr>
                <w:rFonts w:ascii="Arial" w:hAnsi="Arial"/>
                <w:b w:val="0"/>
                <w:sz w:val="14"/>
              </w:rPr>
              <w:t>Binding legal, regulatory, or formal standards text</w:t>
            </w:r>
          </w:p>
        </w:tc>
        <w:tc>
          <w:tcPr>
            <w:tcW w:type="dxa" w:w="2556"/>
            <w:vAlign w:val="top"/>
          </w:tcPr>
          <w:p>
            <w:pPr>
              <w:spacing w:after="0"/>
              <w:jc w:val="left"/>
            </w:pPr>
            <w:r>
              <w:rPr>
                <w:rFonts w:ascii="Arial" w:hAnsi="Arial"/>
                <w:b w:val="0"/>
                <w:sz w:val="14"/>
              </w:rPr>
              <w:t>1.00</w:t>
            </w:r>
          </w:p>
        </w:tc>
        <w:tc>
          <w:tcPr>
            <w:tcW w:type="dxa" w:w="2556"/>
            <w:vAlign w:val="top"/>
          </w:tcPr>
          <w:p>
            <w:pPr>
              <w:spacing w:after="0"/>
              <w:jc w:val="left"/>
            </w:pPr>
            <w:r>
              <w:rPr>
                <w:rFonts w:ascii="Arial" w:hAnsi="Arial"/>
                <w:b w:val="0"/>
                <w:sz w:val="14"/>
              </w:rPr>
              <w:t>Highest confidence for baseline obligations; does not prove system implementation</w:t>
            </w:r>
          </w:p>
        </w:tc>
      </w:tr>
      <w:tr>
        <w:trPr>
          <w:cantSplit/>
        </w:trPr>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Official product documentation, API docs, developer documentation, platform architecture docs</w:t>
            </w:r>
          </w:p>
        </w:tc>
        <w:tc>
          <w:tcPr>
            <w:tcW w:type="dxa" w:w="2556"/>
            <w:vAlign w:val="top"/>
          </w:tcPr>
          <w:p>
            <w:pPr>
              <w:spacing w:after="0"/>
              <w:jc w:val="left"/>
            </w:pPr>
            <w:r>
              <w:rPr>
                <w:rFonts w:ascii="Arial" w:hAnsi="Arial"/>
                <w:b w:val="0"/>
                <w:sz w:val="14"/>
              </w:rPr>
              <w:t>0.85</w:t>
            </w:r>
          </w:p>
        </w:tc>
        <w:tc>
          <w:tcPr>
            <w:tcW w:type="dxa" w:w="2556"/>
            <w:vAlign w:val="top"/>
          </w:tcPr>
          <w:p>
            <w:pPr>
              <w:spacing w:after="0"/>
              <w:jc w:val="left"/>
            </w:pPr>
            <w:r>
              <w:rPr>
                <w:rFonts w:ascii="Arial" w:hAnsi="Arial"/>
                <w:b w:val="0"/>
                <w:sz w:val="14"/>
              </w:rPr>
              <w:t>High confidence, but product capability claims still require current-source validation</w:t>
            </w:r>
          </w:p>
        </w:tc>
      </w:tr>
      <w:tr>
        <w:trPr>
          <w:cantSplit/>
        </w:trPr>
        <w:tc>
          <w:tcPr>
            <w:tcW w:type="dxa" w:w="2556"/>
            <w:vAlign w:val="top"/>
          </w:tcPr>
          <w:p>
            <w:pPr>
              <w:spacing w:after="0"/>
              <w:jc w:val="left"/>
            </w:pPr>
            <w:r>
              <w:rPr>
                <w:rFonts w:ascii="Arial" w:hAnsi="Arial"/>
                <w:b w:val="0"/>
                <w:sz w:val="14"/>
              </w:rPr>
              <w:t>L3</w:t>
            </w:r>
          </w:p>
        </w:tc>
        <w:tc>
          <w:tcPr>
            <w:tcW w:type="dxa" w:w="2556"/>
            <w:vAlign w:val="top"/>
          </w:tcPr>
          <w:p>
            <w:pPr>
              <w:spacing w:after="0"/>
              <w:jc w:val="left"/>
            </w:pPr>
            <w:r>
              <w:rPr>
                <w:rFonts w:ascii="Arial" w:hAnsi="Arial"/>
                <w:b w:val="0"/>
                <w:sz w:val="14"/>
              </w:rPr>
              <w:t>Independent audits, certifications, third-party evaluations, regulatory commentary</w:t>
            </w:r>
          </w:p>
        </w:tc>
        <w:tc>
          <w:tcPr>
            <w:tcW w:type="dxa" w:w="2556"/>
            <w:vAlign w:val="top"/>
          </w:tcPr>
          <w:p>
            <w:pPr>
              <w:spacing w:after="0"/>
              <w:jc w:val="left"/>
            </w:pPr>
            <w:r>
              <w:rPr>
                <w:rFonts w:ascii="Arial" w:hAnsi="Arial"/>
                <w:b w:val="0"/>
                <w:sz w:val="14"/>
              </w:rPr>
              <w:t>0.75</w:t>
            </w:r>
          </w:p>
        </w:tc>
        <w:tc>
          <w:tcPr>
            <w:tcW w:type="dxa" w:w="2556"/>
            <w:vAlign w:val="top"/>
          </w:tcPr>
          <w:p>
            <w:pPr>
              <w:spacing w:after="0"/>
              <w:jc w:val="left"/>
            </w:pPr>
            <w:r>
              <w:rPr>
                <w:rFonts w:ascii="Arial" w:hAnsi="Arial"/>
                <w:b w:val="0"/>
                <w:sz w:val="14"/>
              </w:rPr>
              <w:t>Medium confidence; independent but may lack technical depth</w:t>
            </w:r>
          </w:p>
        </w:tc>
      </w:tr>
      <w:tr>
        <w:trPr>
          <w:cantSplit/>
        </w:trPr>
        <w:tc>
          <w:tcPr>
            <w:tcW w:type="dxa" w:w="2556"/>
            <w:vAlign w:val="top"/>
          </w:tcPr>
          <w:p>
            <w:pPr>
              <w:spacing w:after="0"/>
              <w:jc w:val="left"/>
            </w:pPr>
            <w:r>
              <w:rPr>
                <w:rFonts w:ascii="Arial" w:hAnsi="Arial"/>
                <w:b w:val="0"/>
                <w:sz w:val="14"/>
              </w:rPr>
              <w:t>L4</w:t>
            </w:r>
          </w:p>
        </w:tc>
        <w:tc>
          <w:tcPr>
            <w:tcW w:type="dxa" w:w="2556"/>
            <w:vAlign w:val="top"/>
          </w:tcPr>
          <w:p>
            <w:pPr>
              <w:spacing w:after="0"/>
              <w:jc w:val="left"/>
            </w:pPr>
            <w:r>
              <w:rPr>
                <w:rFonts w:ascii="Arial" w:hAnsi="Arial"/>
                <w:b w:val="0"/>
                <w:sz w:val="14"/>
              </w:rPr>
              <w:t>Vendor white papers, product pages, blog posts, marketing statements</w:t>
            </w:r>
          </w:p>
        </w:tc>
        <w:tc>
          <w:tcPr>
            <w:tcW w:type="dxa" w:w="2556"/>
            <w:vAlign w:val="top"/>
          </w:tcPr>
          <w:p>
            <w:pPr>
              <w:spacing w:after="0"/>
              <w:jc w:val="left"/>
            </w:pPr>
            <w:r>
              <w:rPr>
                <w:rFonts w:ascii="Arial" w:hAnsi="Arial"/>
                <w:b w:val="0"/>
                <w:sz w:val="14"/>
              </w:rPr>
              <w:t>0.55</w:t>
            </w:r>
          </w:p>
        </w:tc>
        <w:tc>
          <w:tcPr>
            <w:tcW w:type="dxa" w:w="2556"/>
            <w:vAlign w:val="top"/>
          </w:tcPr>
          <w:p>
            <w:pPr>
              <w:spacing w:after="0"/>
              <w:jc w:val="left"/>
            </w:pPr>
            <w:r>
              <w:rPr>
                <w:rFonts w:ascii="Arial" w:hAnsi="Arial"/>
                <w:b w:val="0"/>
                <w:sz w:val="14"/>
              </w:rPr>
              <w:t>Low confidence; promotional and may lack implementation detail</w:t>
            </w:r>
          </w:p>
        </w:tc>
      </w:tr>
      <w:tr>
        <w:trPr>
          <w:cantSplit/>
        </w:trPr>
        <w:tc>
          <w:tcPr>
            <w:tcW w:type="dxa" w:w="2556"/>
            <w:vAlign w:val="top"/>
          </w:tcPr>
          <w:p>
            <w:pPr>
              <w:spacing w:after="0"/>
              <w:jc w:val="left"/>
            </w:pPr>
            <w:r>
              <w:rPr>
                <w:rFonts w:ascii="Arial" w:hAnsi="Arial"/>
                <w:b w:val="0"/>
                <w:sz w:val="14"/>
              </w:rPr>
              <w:t>L5</w:t>
            </w:r>
          </w:p>
        </w:tc>
        <w:tc>
          <w:tcPr>
            <w:tcW w:type="dxa" w:w="2556"/>
            <w:vAlign w:val="top"/>
          </w:tcPr>
          <w:p>
            <w:pPr>
              <w:spacing w:after="0"/>
              <w:jc w:val="left"/>
            </w:pPr>
            <w:r>
              <w:rPr>
                <w:rFonts w:ascii="Arial" w:hAnsi="Arial"/>
                <w:b w:val="0"/>
                <w:sz w:val="14"/>
              </w:rPr>
              <w:t>Author inference, conceptual analysis, strategic interpretation</w:t>
            </w:r>
          </w:p>
        </w:tc>
        <w:tc>
          <w:tcPr>
            <w:tcW w:type="dxa" w:w="2556"/>
            <w:vAlign w:val="top"/>
          </w:tcPr>
          <w:p>
            <w:pPr>
              <w:spacing w:after="0"/>
              <w:jc w:val="left"/>
            </w:pPr>
            <w:r>
              <w:rPr>
                <w:rFonts w:ascii="Arial" w:hAnsi="Arial"/>
                <w:b w:val="0"/>
                <w:sz w:val="14"/>
              </w:rPr>
              <w:t>0.35</w:t>
            </w:r>
          </w:p>
        </w:tc>
        <w:tc>
          <w:tcPr>
            <w:tcW w:type="dxa" w:w="2556"/>
            <w:vAlign w:val="top"/>
          </w:tcPr>
          <w:p>
            <w:pPr>
              <w:spacing w:after="0"/>
              <w:jc w:val="left"/>
            </w:pPr>
            <w:r>
              <w:rPr>
                <w:rFonts w:ascii="Arial" w:hAnsi="Arial"/>
                <w:b w:val="0"/>
                <w:sz w:val="14"/>
              </w:rPr>
              <w:t>Disclosed inference; useful for analysis but not verified implementation evidence</w:t>
            </w:r>
          </w:p>
        </w:tc>
      </w:tr>
    </w:tbl>
    <w:p>
      <w:pPr>
        <w:sectPr>
          <w:pgSz w:w="15840" w:h="12240"/>
          <w:pgMar w:top="792" w:right="648" w:bottom="792" w:left="648" w:header="720" w:footer="720" w:gutter="0"/>
          <w:cols w:space="720"/>
          <w:docGrid w:linePitch="360"/>
        </w:sectPr>
      </w:pPr>
    </w:p>
    <w:p/>
    <w:p>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
    <w:p>
      <w:pPr>
        <w:pStyle w:val="Heading2"/>
      </w:pPr>
      <w:r>
        <w:t>9.4 Interpreting RCCS and ALCS Together</w:t>
      </w:r>
    </w:p>
    <w:p/>
    <w:p>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
      <w:r>
        <w:t>Interpreting RCCS and ALCS together requires understanding four quadrants: High RCCS + High ALCS, High RCCS + Low ALCS, Low RCCS + High ALCS, and Low RCCS + Low ALCS. Each quadrant represents a different system capability profile.</w:t>
      </w:r>
    </w:p>
    <w:p/>
    <w:p>
      <w:pPr>
        <w:keepNext/>
      </w:pPr>
      <w:r>
        <w:rPr>
          <w:b/>
          <w:sz w:val="17"/>
        </w:rPr>
        <w:t>Table T-09-03: RCCS and ALCS Interpretation Matrix</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3"/>
              </w:rPr>
              <w:t>Quadrant</w:t>
            </w:r>
          </w:p>
        </w:tc>
        <w:tc>
          <w:tcPr>
            <w:tcW w:type="dxa" w:w="2880"/>
            <w:vAlign w:val="top"/>
            <w:shd w:fill="D9EAF7"/>
          </w:tcPr>
          <w:p>
            <w:pPr>
              <w:spacing w:after="0"/>
              <w:jc w:val="left"/>
            </w:pPr>
            <w:r>
              <w:rPr>
                <w:rFonts w:ascii="Arial" w:hAnsi="Arial"/>
                <w:b/>
                <w:sz w:val="13"/>
              </w:rPr>
              <w:t>RCCS</w:t>
            </w:r>
          </w:p>
        </w:tc>
        <w:tc>
          <w:tcPr>
            <w:tcW w:type="dxa" w:w="2880"/>
            <w:vAlign w:val="top"/>
            <w:shd w:fill="D9EAF7"/>
          </w:tcPr>
          <w:p>
            <w:pPr>
              <w:spacing w:after="0"/>
              <w:jc w:val="left"/>
            </w:pPr>
            <w:r>
              <w:rPr>
                <w:rFonts w:ascii="Arial" w:hAnsi="Arial"/>
                <w:b/>
                <w:sz w:val="13"/>
              </w:rPr>
              <w:t>ALCS</w:t>
            </w:r>
          </w:p>
        </w:tc>
        <w:tc>
          <w:tcPr>
            <w:tcW w:type="dxa" w:w="2880"/>
            <w:vAlign w:val="top"/>
            <w:shd w:fill="D9EAF7"/>
          </w:tcPr>
          <w:p>
            <w:pPr>
              <w:spacing w:after="0"/>
              <w:jc w:val="left"/>
            </w:pPr>
            <w:r>
              <w:rPr>
                <w:rFonts w:ascii="Arial" w:hAnsi="Arial"/>
                <w:b/>
                <w:sz w:val="13"/>
              </w:rPr>
              <w:t>Interpretation</w:t>
            </w:r>
          </w:p>
        </w:tc>
        <w:tc>
          <w:tcPr>
            <w:tcW w:type="dxa" w:w="2880"/>
            <w:vAlign w:val="top"/>
            <w:shd w:fill="D9EAF7"/>
          </w:tcPr>
          <w:p>
            <w:pPr>
              <w:spacing w:after="0"/>
              <w:jc w:val="left"/>
            </w:pPr>
            <w:r>
              <w:rPr>
                <w:rFonts w:ascii="Arial" w:hAnsi="Arial"/>
                <w:b/>
                <w:sz w:val="13"/>
              </w:rPr>
              <w:t>Common System Types</w:t>
            </w:r>
          </w:p>
        </w:tc>
      </w:tr>
      <w:tr>
        <w:trPr>
          <w:cantSplit/>
        </w:trPr>
        <w:tc>
          <w:tcPr>
            <w:tcW w:type="dxa" w:w="2880"/>
            <w:vAlign w:val="top"/>
          </w:tcPr>
          <w:p>
            <w:pPr>
              <w:spacing w:after="0"/>
              <w:jc w:val="left"/>
            </w:pPr>
            <w:r>
              <w:rPr>
                <w:rFonts w:ascii="Arial" w:hAnsi="Arial"/>
                <w:b w:val="0"/>
                <w:sz w:val="13"/>
              </w:rPr>
              <w:t>High/High</w:t>
            </w:r>
          </w:p>
        </w:tc>
        <w:tc>
          <w:tcPr>
            <w:tcW w:type="dxa" w:w="2880"/>
            <w:vAlign w:val="top"/>
          </w:tcPr>
          <w:p>
            <w:pPr>
              <w:spacing w:after="0"/>
              <w:jc w:val="left"/>
            </w:pPr>
            <w:r>
              <w:rPr>
                <w:rFonts w:ascii="Arial" w:hAnsi="Arial"/>
                <w:b w:val="0"/>
                <w:sz w:val="13"/>
              </w:rPr>
              <w:t>High (≥70%)</w:t>
            </w:r>
          </w:p>
        </w:tc>
        <w:tc>
          <w:tcPr>
            <w:tcW w:type="dxa" w:w="2880"/>
            <w:vAlign w:val="top"/>
          </w:tcPr>
          <w:p>
            <w:pPr>
              <w:spacing w:after="0"/>
              <w:jc w:val="left"/>
            </w:pPr>
            <w:r>
              <w:rPr>
                <w:rFonts w:ascii="Arial" w:hAnsi="Arial"/>
                <w:b w:val="0"/>
                <w:sz w:val="13"/>
              </w:rPr>
              <w:t>High (≥70%)</w:t>
            </w:r>
          </w:p>
        </w:tc>
        <w:tc>
          <w:tcPr>
            <w:tcW w:type="dxa" w:w="2880"/>
            <w:vAlign w:val="top"/>
          </w:tcPr>
          <w:p>
            <w:pPr>
              <w:spacing w:after="0"/>
              <w:jc w:val="left"/>
            </w:pPr>
            <w:r>
              <w:rPr>
                <w:rFonts w:ascii="Arial" w:hAnsi="Arial"/>
                <w:b w:val="0"/>
                <w:sz w:val="13"/>
              </w:rPr>
              <w:t>Strong regulatory compliance coverage and strong lifecycle responsibility semantics. System provides both governance primitives and lifecycle objects.</w:t>
            </w:r>
          </w:p>
        </w:tc>
        <w:tc>
          <w:tcPr>
            <w:tcW w:type="dxa" w:w="2880"/>
            <w:vAlign w:val="top"/>
          </w:tcPr>
          <w:p>
            <w:pPr>
              <w:spacing w:after="0"/>
              <w:jc w:val="left"/>
            </w:pPr>
            <w:r>
              <w:rPr>
                <w:rFonts w:ascii="Arial" w:hAnsi="Arial"/>
                <w:b w:val="0"/>
                <w:sz w:val="13"/>
              </w:rPr>
              <w:t>Lifecycle protocol systems, enterprise AI governance platforms with lifecycle extensions</w:t>
            </w:r>
          </w:p>
        </w:tc>
      </w:tr>
      <w:tr>
        <w:trPr>
          <w:cantSplit/>
        </w:trPr>
        <w:tc>
          <w:tcPr>
            <w:tcW w:type="dxa" w:w="2880"/>
            <w:vAlign w:val="top"/>
          </w:tcPr>
          <w:p>
            <w:pPr>
              <w:spacing w:after="0"/>
              <w:jc w:val="left"/>
            </w:pPr>
            <w:r>
              <w:rPr>
                <w:rFonts w:ascii="Arial" w:hAnsi="Arial"/>
                <w:b w:val="0"/>
                <w:sz w:val="13"/>
              </w:rPr>
              <w:t>High/Low</w:t>
            </w:r>
          </w:p>
        </w:tc>
        <w:tc>
          <w:tcPr>
            <w:tcW w:type="dxa" w:w="2880"/>
            <w:vAlign w:val="top"/>
          </w:tcPr>
          <w:p>
            <w:pPr>
              <w:spacing w:after="0"/>
              <w:jc w:val="left"/>
            </w:pPr>
            <w:r>
              <w:rPr>
                <w:rFonts w:ascii="Arial" w:hAnsi="Arial"/>
                <w:b w:val="0"/>
                <w:sz w:val="13"/>
              </w:rPr>
              <w:t>High (≥70%)</w:t>
            </w:r>
          </w:p>
        </w:tc>
        <w:tc>
          <w:tcPr>
            <w:tcW w:type="dxa" w:w="2880"/>
            <w:vAlign w:val="top"/>
          </w:tcPr>
          <w:p>
            <w:pPr>
              <w:spacing w:after="0"/>
              <w:jc w:val="left"/>
            </w:pPr>
            <w:r>
              <w:rPr>
                <w:rFonts w:ascii="Arial" w:hAnsi="Arial"/>
                <w:b w:val="0"/>
                <w:sz w:val="13"/>
              </w:rPr>
              <w:t>Low (&lt;70%)</w:t>
            </w:r>
          </w:p>
        </w:tc>
        <w:tc>
          <w:tcPr>
            <w:tcW w:type="dxa" w:w="2880"/>
            <w:vAlign w:val="top"/>
          </w:tcPr>
          <w:p>
            <w:pPr>
              <w:spacing w:after="0"/>
              <w:jc w:val="left"/>
            </w:pPr>
            <w:r>
              <w:rPr>
                <w:rFonts w:ascii="Arial" w:hAnsi="Arial"/>
                <w:b w:val="0"/>
                <w:sz w:val="13"/>
              </w:rPr>
              <w:t>Strong regulatory compliance coverage but weak lifecycle responsibility semantics. System provides governance primitives for model governance and platform controls but lacks lifecycle objects for multi-agent responsibility.</w:t>
            </w:r>
          </w:p>
        </w:tc>
        <w:tc>
          <w:tcPr>
            <w:tcW w:type="dxa" w:w="2880"/>
            <w:vAlign w:val="top"/>
          </w:tcPr>
          <w:p>
            <w:pPr>
              <w:spacing w:after="0"/>
              <w:jc w:val="left"/>
            </w:pPr>
            <w:r>
              <w:rPr>
                <w:rFonts w:ascii="Arial" w:hAnsi="Arial"/>
                <w:b w:val="0"/>
                <w:sz w:val="13"/>
              </w:rPr>
              <w:t>Enterprise AI governance platforms, managed AI platforms with strong observability but limited lifecycle semantics</w:t>
            </w:r>
          </w:p>
        </w:tc>
      </w:tr>
      <w:tr>
        <w:trPr>
          <w:cantSplit/>
        </w:trPr>
        <w:tc>
          <w:tcPr>
            <w:tcW w:type="dxa" w:w="2880"/>
            <w:vAlign w:val="top"/>
          </w:tcPr>
          <w:p>
            <w:pPr>
              <w:spacing w:after="0"/>
              <w:jc w:val="left"/>
            </w:pPr>
            <w:r>
              <w:rPr>
                <w:rFonts w:ascii="Arial" w:hAnsi="Arial"/>
                <w:b w:val="0"/>
                <w:sz w:val="13"/>
              </w:rPr>
              <w:t>Low/High</w:t>
            </w:r>
          </w:p>
        </w:tc>
        <w:tc>
          <w:tcPr>
            <w:tcW w:type="dxa" w:w="2880"/>
            <w:vAlign w:val="top"/>
          </w:tcPr>
          <w:p>
            <w:pPr>
              <w:spacing w:after="0"/>
              <w:jc w:val="left"/>
            </w:pPr>
            <w:r>
              <w:rPr>
                <w:rFonts w:ascii="Arial" w:hAnsi="Arial"/>
                <w:b w:val="0"/>
                <w:sz w:val="13"/>
              </w:rPr>
              <w:t>Low (&lt;70%)</w:t>
            </w:r>
          </w:p>
        </w:tc>
        <w:tc>
          <w:tcPr>
            <w:tcW w:type="dxa" w:w="2880"/>
            <w:vAlign w:val="top"/>
          </w:tcPr>
          <w:p>
            <w:pPr>
              <w:spacing w:after="0"/>
              <w:jc w:val="left"/>
            </w:pPr>
            <w:r>
              <w:rPr>
                <w:rFonts w:ascii="Arial" w:hAnsi="Arial"/>
                <w:b w:val="0"/>
                <w:sz w:val="13"/>
              </w:rPr>
              <w:t>High (≥70%)</w:t>
            </w:r>
          </w:p>
        </w:tc>
        <w:tc>
          <w:tcPr>
            <w:tcW w:type="dxa" w:w="2880"/>
            <w:vAlign w:val="top"/>
          </w:tcPr>
          <w:p>
            <w:pPr>
              <w:spacing w:after="0"/>
              <w:jc w:val="left"/>
            </w:pPr>
            <w:r>
              <w:rPr>
                <w:rFonts w:ascii="Arial" w:hAnsi="Arial"/>
                <w:b w:val="0"/>
                <w:sz w:val="13"/>
              </w:rPr>
              <w:t>Weak regulatory compliance coverage but strong lifecycle responsibility semantics. System provides lifecycle objects for expressing agentic responsibility but lacks broader governance primitives.</w:t>
            </w:r>
          </w:p>
        </w:tc>
        <w:tc>
          <w:tcPr>
            <w:tcW w:type="dxa" w:w="2880"/>
            <w:vAlign w:val="top"/>
          </w:tcPr>
          <w:p>
            <w:pPr>
              <w:spacing w:after="0"/>
              <w:jc w:val="left"/>
            </w:pPr>
            <w:r>
              <w:rPr>
                <w:rFonts w:ascii="Arial" w:hAnsi="Arial"/>
                <w:b w:val="0"/>
                <w:sz w:val="13"/>
              </w:rPr>
              <w:t>Specialized lifecycle protocols or agent frameworks focused on responsibility semantics without full governance platform capabilities</w:t>
            </w:r>
          </w:p>
        </w:tc>
      </w:tr>
      <w:tr>
        <w:trPr>
          <w:cantSplit/>
        </w:trPr>
        <w:tc>
          <w:tcPr>
            <w:tcW w:type="dxa" w:w="2880"/>
            <w:vAlign w:val="top"/>
          </w:tcPr>
          <w:p>
            <w:pPr>
              <w:spacing w:after="0"/>
              <w:jc w:val="left"/>
            </w:pPr>
            <w:r>
              <w:rPr>
                <w:rFonts w:ascii="Arial" w:hAnsi="Arial"/>
                <w:b w:val="0"/>
                <w:sz w:val="13"/>
              </w:rPr>
              <w:t>Low/Low</w:t>
            </w:r>
          </w:p>
        </w:tc>
        <w:tc>
          <w:tcPr>
            <w:tcW w:type="dxa" w:w="2880"/>
            <w:vAlign w:val="top"/>
          </w:tcPr>
          <w:p>
            <w:pPr>
              <w:spacing w:after="0"/>
              <w:jc w:val="left"/>
            </w:pPr>
            <w:r>
              <w:rPr>
                <w:rFonts w:ascii="Arial" w:hAnsi="Arial"/>
                <w:b w:val="0"/>
                <w:sz w:val="13"/>
              </w:rPr>
              <w:t>Low (&lt;70%)</w:t>
            </w:r>
          </w:p>
        </w:tc>
        <w:tc>
          <w:tcPr>
            <w:tcW w:type="dxa" w:w="2880"/>
            <w:vAlign w:val="top"/>
          </w:tcPr>
          <w:p>
            <w:pPr>
              <w:spacing w:after="0"/>
              <w:jc w:val="left"/>
            </w:pPr>
            <w:r>
              <w:rPr>
                <w:rFonts w:ascii="Arial" w:hAnsi="Arial"/>
                <w:b w:val="0"/>
                <w:sz w:val="13"/>
              </w:rPr>
              <w:t>Low (&lt;70%)</w:t>
            </w:r>
          </w:p>
        </w:tc>
        <w:tc>
          <w:tcPr>
            <w:tcW w:type="dxa" w:w="2880"/>
            <w:vAlign w:val="top"/>
          </w:tcPr>
          <w:p>
            <w:pPr>
              <w:spacing w:after="0"/>
              <w:jc w:val="left"/>
            </w:pPr>
            <w:r>
              <w:rPr>
                <w:rFonts w:ascii="Arial" w:hAnsi="Arial"/>
                <w:b w:val="0"/>
                <w:sz w:val="13"/>
              </w:rPr>
              <w:t>Weak regulatory compliance coverage and weak lifecycle responsibility semantics. System provides execution orchestration or observability features but lacks governance primitives and lifecycle objects.</w:t>
            </w:r>
          </w:p>
        </w:tc>
        <w:tc>
          <w:tcPr>
            <w:tcW w:type="dxa" w:w="2880"/>
            <w:vAlign w:val="top"/>
          </w:tcPr>
          <w:p>
            <w:pPr>
              <w:spacing w:after="0"/>
              <w:jc w:val="left"/>
            </w:pPr>
            <w:r>
              <w:rPr>
                <w:rFonts w:ascii="Arial" w:hAnsi="Arial"/>
                <w:b w:val="0"/>
                <w:sz w:val="13"/>
              </w:rPr>
              <w:t>Developer agent SDKs, orchestration frameworks without governance extensions</w:t>
            </w:r>
          </w:p>
        </w:tc>
      </w:tr>
    </w:tbl>
    <w:p>
      <w:pPr>
        <w:sectPr>
          <w:pgSz w:w="12240" w:h="15840" w:orient="landscape"/>
          <w:pgMar w:top="792" w:right="648" w:bottom="792" w:left="648" w:header="720" w:footer="720" w:gutter="0"/>
          <w:cols w:space="720"/>
          <w:docGrid w:linePitch="360"/>
        </w:sectPr>
      </w:pPr>
    </w:p>
    <w:p/>
    <w:p>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
    <w:p>
      <w:pPr>
        <w:pStyle w:val="Heading2"/>
      </w:pPr>
      <w:r>
        <w:t>9.5 Scoring Reproducibility and Transparency</w:t>
      </w:r>
    </w:p>
    <w:p/>
    <w:p>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
      <w:r>
        <w:t>Scoring reproducibility requires four elements: dimension scores with rationale, evidence sources with quality assessment, evidence multiplier application, and calculation transparency.</w:t>
      </w:r>
    </w:p>
    <w:p/>
    <w:p>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
    <w:p>
      <w:pPr>
        <w:pStyle w:val="Heading2"/>
      </w:pPr>
      <w:r>
        <w:t>9.6 Boundary Statement</w:t>
      </w:r>
    </w:p>
    <w:p/>
    <w:p>
      <w:r>
        <w:t>Composite scoring is an analytical framework, not a legal compliance score. This boundary must be understood clearly to avoid misinterpretation and over-claiming.</w:t>
      </w:r>
    </w:p>
    <w:p/>
    <w:p>
      <w:r>
        <w:t>What composite scoring is:</w:t>
      </w:r>
    </w:p>
    <w:p>
      <w:pPr>
        <w:pStyle w:val="ListBullet"/>
      </w:pPr>
      <w:r>
        <w:t>An analytical framework for comparing system capabilities against regulatory requirements and lifecycle responsibility requirements</w:t>
      </w:r>
    </w:p>
    <w:p>
      <w:pPr>
        <w:pStyle w:val="ListBullet"/>
      </w:pPr>
      <w:r>
        <w:t>A structured method for evaluating whether systems provide governance primitives and lifecycle objects</w:t>
      </w:r>
    </w:p>
    <w:p>
      <w:pPr>
        <w:pStyle w:val="ListBullet"/>
      </w:pPr>
      <w:r>
        <w:t>A tool for buyers, auditors, governance teams, and protocol designers to assess system readiness</w:t>
      </w:r>
    </w:p>
    <w:p>
      <w:pPr>
        <w:pStyle w:val="ListBullet"/>
      </w:pPr>
      <w:r>
        <w:t>A bridge between regulatory abstractions, lifecycle requirements, and engineering implementation</w:t>
      </w:r>
    </w:p>
    <w:p/>
    <w:p>
      <w:r>
        <w:t>What composite scoring is not:</w:t>
      </w:r>
    </w:p>
    <w:p>
      <w:pPr>
        <w:pStyle w:val="ListBullet"/>
      </w:pPr>
      <w:r>
        <w:t>A legal compliance certification or conformity assessment</w:t>
      </w:r>
    </w:p>
    <w:p>
      <w:pPr>
        <w:pStyle w:val="ListBullet"/>
      </w:pPr>
      <w:r>
        <w:t>A regulatory approval or endorsement</w:t>
      </w:r>
    </w:p>
    <w:p>
      <w:pPr>
        <w:pStyle w:val="ListBullet"/>
      </w:pPr>
      <w:r>
        <w:t>A guarantee that a system meets all legal obligations</w:t>
      </w:r>
    </w:p>
    <w:p>
      <w:pPr>
        <w:pStyle w:val="ListBullet"/>
      </w:pPr>
      <w:r>
        <w:t>A substitute for legal counsel, compliance review, or risk assessment</w:t>
      </w:r>
    </w:p>
    <w:p>
      <w:pPr>
        <w:pStyle w:val="ListBullet"/>
      </w:pPr>
      <w:r>
        <w:t>A market endorsement or procurement recommendation</w:t>
      </w:r>
    </w:p>
    <w:p/>
    <w:p>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
    <w:p>
      <w:pPr>
        <w:pStyle w:val="Heading2"/>
      </w:pPr>
      <w:r>
        <w:t>9.7 Bridge to System Mappings</w:t>
      </w:r>
    </w:p>
    <w:p/>
    <w:p>
      <w:r>
        <w:t>The following chapters apply RCCS and ALCS to specific systems.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
      <w:r>
        <w:t>Each system mapping documents dimension scores, evidence sources, and scoring rationale.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prove that agentic work moved from intent to accepted outcome under controlled authority, evidence, privacy, and remediation constraints.</w:t>
      </w:r>
    </w:p>
    <w:p/>
    <w:p>
      <w:r>
        <w:t>System mappings use the composite scoring method defined in this chapter. Each system receives separate RCCS and ALCS scores. Dimension scores are documented with rationale. Evidence sources are cited with quality assessment. Evidence multipliers are applied per dimension. Composite scores are calculated transparently. The result is a dual-layer assessment of system governance capability that makes visible the difference between regulatory compliance coverage and lifecycle responsibility conformance.</w:t>
      </w:r>
    </w:p>
    <w:p/>
    <w:p>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
    <w:p>
      <w:pPr>
        <w:pStyle w:val="Heading2"/>
      </w:pPr>
      <w:r>
        <w:t>9.8 Chapter Summary</w:t>
      </w:r>
    </w:p>
    <w:p/>
    <w:p>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
      <w:r>
        <w:t>Composite scoring must be reproducible and transparent. Dimension scores must be documented with rationale. Evidence sources must be cited with quality assessment. Evidence multipliers must be applied explicitly. Calculations must be shown transparently. Scoring is comparative, not absolute. The value of scoring is in making visible the differences between systems and identifying gaps in capability.</w:t>
      </w:r>
    </w:p>
    <w:p/>
    <w:p>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apply composite scoring to specific systems, providing comparative field analysis and detailed system mappings.</w:t>
      </w:r>
    </w:p>
    <w:p/>
    <w:p/>
    <w:p>
      <w:r>
        <w:t>End of Chapter 9</w:t>
      </w:r>
    </w:p>
    <w:p/>
    <w:p>
      <w:r>
        <w:t>Chapter 9 Status: COMPLETE — All sections filled (9.0-9.8); composite scoring method defined; RCCS/ALCS interpretation guidance provided; boundary discipline maintained.</w:t>
      </w:r>
    </w:p>
    <w:p>
      <w:pPr>
        <w:pStyle w:val="Heading1"/>
      </w:pPr>
      <w:r>
        <w:t>10. Enterprise Adoption, Procurement, and Control Crosswalk</w:t>
      </w:r>
    </w:p>
    <w:p/>
    <w:p>
      <w:r>
        <w:t>Version: v0.3.2-FRC-R3</w:t>
      </w:r>
    </w:p>
    <w:p>
      <w:r>
        <w:t>Status: FILLED — All sections 10.0-10.8 complete</w:t>
      </w:r>
    </w:p>
    <w:p>
      <w:r>
        <w:t>Phase: 1A-4.2</w:t>
      </w:r>
    </w:p>
    <w:p/>
    <w:p/>
    <w:p>
      <w:pPr>
        <w:pStyle w:val="Heading2"/>
      </w:pPr>
      <w:r>
        <w:t>10.0 Why Enterprise Control Language Matters</w:t>
      </w:r>
    </w:p>
    <w:p/>
    <w:p>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
      <w:r>
        <w:t>Boundary: This chapter provides a governance crosswalk, not an audit framework, certification procedure, insurance underwriting model, or legal opinion. Detailed assurance procedures and insurance models are reserved for companion papers, as outlined in Chapter 16.</w:t>
      </w:r>
    </w:p>
    <w:p/>
    <w:p/>
    <w:p>
      <w:pPr>
        <w:pStyle w:val="Heading2"/>
      </w:pPr>
      <w:r>
        <w:t>10.1 Enterprise Control Overlay</w:t>
      </w:r>
    </w:p>
    <w:p/>
    <w:p>
      <w:pPr>
        <w:spacing w:before="160" w:after="80"/>
        <w:jc w:val="center"/>
      </w:pPr>
      <w:r>
        <w:rPr>
          <w:b/>
          <w:color w:val="1F4E79"/>
          <w:sz w:val="18"/>
        </w:rP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
      <w:pPr>
        <w:spacing w:before="160" w:after="80"/>
        <w:jc w:val="center"/>
      </w:pPr>
      <w:r>
        <w:rPr>
          <w:b/>
          <w:color w:val="1F4E79"/>
          <w:sz w:val="18"/>
        </w:rPr>
        <w:t>FIGURE PLACEHOLDER F-06: Enterprise Control Overlay for AI Agent Lifecycle Governance</w:t>
      </w:r>
    </w:p>
    <w:p/>
    <w:p>
      <w:pPr>
        <w:spacing w:before="160" w:after="80"/>
        <w:jc w:val="center"/>
      </w:pPr>
      <w:r>
        <w:rPr>
          <w:b/>
          <w:color w:val="1F4E79"/>
          <w:sz w:val="18"/>
        </w:rPr>
        <w:t>Figure description:</w:t>
      </w:r>
    </w:p>
    <w:p/>
    <w:p>
      <w:pPr>
        <w:spacing w:before="60" w:after="100"/>
        <w:ind w:left="259"/>
      </w:pPr>
      <w:r>
        <w:rPr>
          <w:rFonts w:ascii="Courier New" w:hAnsi="Courier New"/>
          <w:sz w:val="15"/>
        </w:rPr>
        <w:t>Regulation / Standards</w:t>
        <w:br/>
        <w:t xml:space="preserve">        ↓</w:t>
        <w:br/>
        <w:t>RCCS baseline controls</w:t>
        <w:br/>
        <w:t xml:space="preserve">        ↓</w:t>
        <w:br/>
        <w:t>ALCS lifecycle conformance</w:t>
        <w:br/>
        <w:t xml:space="preserve">        ↓</w:t>
        <w:br/>
        <w:t>MRO engineering objects</w:t>
        <w:br/>
        <w:t xml:space="preserve">        ↓</w:t>
        <w:br/>
        <w:t>Enterprise control evidence</w:t>
        <w:br/>
        <w:t xml:space="preserve">        ↓</w:t>
        <w:br/>
        <w:t>Audit / insurance / board reporting readiness</w:t>
      </w:r>
    </w:p>
    <w:p/>
    <w:p>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
    <w:p>
      <w:pPr>
        <w:pStyle w:val="Heading2"/>
      </w:pPr>
      <w:r>
        <w:t>10.2 Enterprise Adoption, Procurement, and Control Crosswalk</w:t>
      </w:r>
    </w:p>
    <w:p/>
    <w:p>
      <w:r>
        <w:t>The following tables map enterprise control topics to agentic lifecycle objects. The crosswalk does not replace internal control frameworks. It shows where agentic lifecycle objects can provide evidence for enterprise control questions.</w:t>
      </w:r>
    </w:p>
    <w:p/>
    <w:p>
      <w:pPr>
        <w:pStyle w:val="Heading3"/>
      </w:pPr>
      <w:r>
        <w:t>Table T-10-01A: Enterprise Control Crosswalk — Control Questions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Enterprise Control Topic</w:t>
            </w:r>
          </w:p>
        </w:tc>
        <w:tc>
          <w:tcPr>
            <w:tcW w:type="dxa" w:w="3408"/>
            <w:vAlign w:val="top"/>
            <w:shd w:fill="D9EAF7"/>
          </w:tcPr>
          <w:p>
            <w:pPr>
              <w:spacing w:after="0"/>
              <w:jc w:val="left"/>
            </w:pPr>
            <w:r>
              <w:rPr>
                <w:rFonts w:ascii="Arial" w:hAnsi="Arial"/>
                <w:b/>
                <w:sz w:val="16"/>
              </w:rPr>
              <w:t>Why It Matters for Agentic AI</w:t>
            </w:r>
          </w:p>
        </w:tc>
        <w:tc>
          <w:tcPr>
            <w:tcW w:type="dxa" w:w="3408"/>
            <w:vAlign w:val="top"/>
            <w:shd w:fill="D9EAF7"/>
          </w:tcPr>
          <w:p>
            <w:pPr>
              <w:spacing w:after="0"/>
              <w:jc w:val="left"/>
            </w:pPr>
            <w:r>
              <w:rPr>
                <w:rFonts w:ascii="Arial" w:hAnsi="Arial"/>
                <w:b/>
                <w:sz w:val="16"/>
              </w:rPr>
              <w:t>Enterprise Buyer Question</w:t>
            </w:r>
          </w:p>
        </w:tc>
      </w:tr>
      <w:tr>
        <w:trPr>
          <w:cantSplit/>
        </w:trPr>
        <w:tc>
          <w:tcPr>
            <w:tcW w:type="dxa" w:w="3408"/>
            <w:vAlign w:val="top"/>
          </w:tcPr>
          <w:p>
            <w:pPr>
              <w:spacing w:after="0"/>
              <w:jc w:val="left"/>
            </w:pPr>
            <w:r>
              <w:rPr>
                <w:rFonts w:ascii="Arial" w:hAnsi="Arial"/>
                <w:b w:val="0"/>
                <w:sz w:val="16"/>
              </w:rPr>
              <w:t>Internal control</w:t>
            </w:r>
          </w:p>
        </w:tc>
        <w:tc>
          <w:tcPr>
            <w:tcW w:type="dxa" w:w="3408"/>
            <w:vAlign w:val="top"/>
          </w:tcPr>
          <w:p>
            <w:pPr>
              <w:spacing w:after="0"/>
              <w:jc w:val="left"/>
            </w:pPr>
            <w:r>
              <w:rPr>
                <w:rFonts w:ascii="Arial" w:hAnsi="Arial"/>
                <w:b w:val="0"/>
                <w:sz w:val="16"/>
              </w:rPr>
              <w:t>Agentic systems execute consequential actions under delegated authority. Internal control requires proving who authorized, executed, reviewed, and accepted each action.</w:t>
            </w:r>
          </w:p>
        </w:tc>
        <w:tc>
          <w:tcPr>
            <w:tcW w:type="dxa" w:w="3408"/>
            <w:vAlign w:val="top"/>
          </w:tcPr>
          <w:p>
            <w:pPr>
              <w:spacing w:after="0"/>
              <w:jc w:val="left"/>
            </w:pPr>
            <w:r>
              <w:rPr>
                <w:rFonts w:ascii="Arial" w:hAnsi="Arial"/>
                <w:b w:val="0"/>
                <w:sz w:val="16"/>
              </w:rPr>
              <w:t>Can the organization prove who authorized, executed, reviewed, and accepted agentic work?</w:t>
            </w:r>
          </w:p>
        </w:tc>
      </w:tr>
      <w:tr>
        <w:trPr>
          <w:cantSplit/>
        </w:trPr>
        <w:tc>
          <w:tcPr>
            <w:tcW w:type="dxa" w:w="3408"/>
            <w:vAlign w:val="top"/>
          </w:tcPr>
          <w:p>
            <w:pPr>
              <w:spacing w:after="0"/>
              <w:jc w:val="left"/>
            </w:pPr>
            <w:r>
              <w:rPr>
                <w:rFonts w:ascii="Arial" w:hAnsi="Arial"/>
                <w:b w:val="0"/>
                <w:sz w:val="16"/>
              </w:rPr>
              <w:t>Procurement scorecard</w:t>
            </w:r>
          </w:p>
        </w:tc>
        <w:tc>
          <w:tcPr>
            <w:tcW w:type="dxa" w:w="3408"/>
            <w:vAlign w:val="top"/>
          </w:tcPr>
          <w:p>
            <w:pPr>
              <w:spacing w:after="0"/>
              <w:jc w:val="left"/>
            </w:pPr>
            <w:r>
              <w:rPr>
                <w:rFonts w:ascii="Arial" w:hAnsi="Arial"/>
                <w:b w:val="0"/>
                <w:sz w:val="16"/>
              </w:rPr>
              <w:t>Vendor selection for agentic systems must evaluate lifecycle accountability, evidence exportability, privacy controls, and remediation records, not only model performance or API availability.</w:t>
            </w:r>
          </w:p>
        </w:tc>
        <w:tc>
          <w:tcPr>
            <w:tcW w:type="dxa" w:w="3408"/>
            <w:vAlign w:val="top"/>
          </w:tcPr>
          <w:p>
            <w:pPr>
              <w:spacing w:after="0"/>
              <w:jc w:val="left"/>
            </w:pPr>
            <w:r>
              <w:rPr>
                <w:rFonts w:ascii="Arial" w:hAnsi="Arial"/>
                <w:b w:val="0"/>
                <w:sz w:val="16"/>
              </w:rPr>
              <w:t>Can this vendor preserve lifecycle accountability, evidence exportability, privacy controls, and remediation records?</w:t>
            </w:r>
          </w:p>
        </w:tc>
      </w:tr>
      <w:tr>
        <w:trPr>
          <w:cantSplit/>
        </w:trPr>
        <w:tc>
          <w:tcPr>
            <w:tcW w:type="dxa" w:w="3408"/>
            <w:vAlign w:val="top"/>
          </w:tcPr>
          <w:p>
            <w:pPr>
              <w:spacing w:after="0"/>
              <w:jc w:val="left"/>
            </w:pPr>
            <w:r>
              <w:rPr>
                <w:rFonts w:ascii="Arial" w:hAnsi="Arial"/>
                <w:b w:val="0"/>
                <w:sz w:val="16"/>
              </w:rPr>
              <w:t>Vendor lock-in / vendor substitution</w:t>
            </w:r>
          </w:p>
        </w:tc>
        <w:tc>
          <w:tcPr>
            <w:tcW w:type="dxa" w:w="3408"/>
            <w:vAlign w:val="top"/>
          </w:tcPr>
          <w:p>
            <w:pPr>
              <w:spacing w:after="0"/>
              <w:jc w:val="left"/>
            </w:pPr>
            <w:r>
              <w:rPr>
                <w:rFonts w:ascii="Arial" w:hAnsi="Arial"/>
                <w:b w:val="0"/>
                <w:sz w:val="16"/>
              </w:rPr>
              <w:t>Vendor lock-in becomes a governance risk when switching vendors requires rebuilding lifecycle conformance from scratch.</w:t>
            </w:r>
          </w:p>
        </w:tc>
        <w:tc>
          <w:tcPr>
            <w:tcW w:type="dxa" w:w="3408"/>
            <w:vAlign w:val="top"/>
          </w:tcPr>
          <w:p>
            <w:pPr>
              <w:spacing w:after="0"/>
              <w:jc w:val="left"/>
            </w:pPr>
            <w:r>
              <w:rPr>
                <w:rFonts w:ascii="Arial" w:hAnsi="Arial"/>
                <w:b w:val="0"/>
                <w:sz w:val="16"/>
              </w:rPr>
              <w:t>Can the organization switch model, runtime, vendor, or tool substrate without losing lifecycle conformance?</w:t>
            </w:r>
          </w:p>
        </w:tc>
      </w:tr>
      <w:tr>
        <w:trPr>
          <w:cantSplit/>
        </w:trPr>
        <w:tc>
          <w:tcPr>
            <w:tcW w:type="dxa" w:w="3408"/>
            <w:vAlign w:val="top"/>
          </w:tcPr>
          <w:p>
            <w:pPr>
              <w:spacing w:after="0"/>
              <w:jc w:val="left"/>
            </w:pPr>
            <w:r>
              <w:rPr>
                <w:rFonts w:ascii="Arial" w:hAnsi="Arial"/>
                <w:b w:val="0"/>
                <w:sz w:val="16"/>
              </w:rPr>
              <w:t>Third-party / supply-chain risk</w:t>
            </w:r>
          </w:p>
        </w:tc>
        <w:tc>
          <w:tcPr>
            <w:tcW w:type="dxa" w:w="3408"/>
            <w:vAlign w:val="top"/>
          </w:tcPr>
          <w:p>
            <w:pPr>
              <w:spacing w:after="0"/>
              <w:jc w:val="left"/>
            </w:pPr>
            <w:r>
              <w:rPr>
                <w:rFonts w:ascii="Arial" w:hAnsi="Arial"/>
                <w:b w:val="0"/>
                <w:sz w:val="16"/>
              </w:rPr>
              <w:t>Multi-agent systems often involve multiple processors, subprocessors, tools, vendors, and runtimes. Supply-chain risk requires reconstructing which parties handled which lifecycle evidence or personal data.</w:t>
            </w:r>
          </w:p>
        </w:tc>
        <w:tc>
          <w:tcPr>
            <w:tcW w:type="dxa" w:w="3408"/>
            <w:vAlign w:val="top"/>
          </w:tcPr>
          <w:p>
            <w:pPr>
              <w:spacing w:after="0"/>
              <w:jc w:val="left"/>
            </w:pPr>
            <w:r>
              <w:rPr>
                <w:rFonts w:ascii="Arial" w:hAnsi="Arial"/>
                <w:b w:val="0"/>
                <w:sz w:val="16"/>
              </w:rPr>
              <w:t>Can the organization reconstruct which processors, subprocessors, tools, vendors, and runtimes handled which lifecycle evidence or personal data?</w:t>
            </w:r>
          </w:p>
        </w:tc>
      </w:tr>
      <w:tr>
        <w:trPr>
          <w:cantSplit/>
        </w:trPr>
        <w:tc>
          <w:tcPr>
            <w:tcW w:type="dxa" w:w="3408"/>
            <w:vAlign w:val="top"/>
          </w:tcPr>
          <w:p>
            <w:pPr>
              <w:spacing w:after="0"/>
              <w:jc w:val="left"/>
            </w:pPr>
            <w:r>
              <w:rPr>
                <w:rFonts w:ascii="Arial" w:hAnsi="Arial"/>
                <w:b w:val="0"/>
                <w:sz w:val="16"/>
              </w:rPr>
              <w:t>Data governance</w:t>
            </w:r>
          </w:p>
        </w:tc>
        <w:tc>
          <w:tcPr>
            <w:tcW w:type="dxa" w:w="3408"/>
            <w:vAlign w:val="top"/>
          </w:tcPr>
          <w:p>
            <w:pPr>
              <w:spacing w:after="0"/>
              <w:jc w:val="left"/>
            </w:pPr>
            <w:r>
              <w:rPr>
                <w:rFonts w:ascii="Arial" w:hAnsi="Arial"/>
                <w:b w:val="0"/>
                <w:sz w:val="16"/>
              </w:rPr>
              <w:t>Agentic systems process data across agents, tools, memory, traces, and evidence packs. Data governance requires tracking data flow, retention, minimization, deletion, and disclosure at lifecycle granularity.</w:t>
            </w:r>
          </w:p>
        </w:tc>
        <w:tc>
          <w:tcPr>
            <w:tcW w:type="dxa" w:w="3408"/>
            <w:vAlign w:val="top"/>
          </w:tcPr>
          <w:p>
            <w:pPr>
              <w:spacing w:after="0"/>
              <w:jc w:val="left"/>
            </w:pPr>
            <w:r>
              <w:rPr>
                <w:rFonts w:ascii="Arial" w:hAnsi="Arial"/>
                <w:b w:val="0"/>
                <w:sz w:val="16"/>
              </w:rPr>
              <w:t>Can the organization track data flow, retention, minimization, deletion, and disclosure across agents, tools, memory, traces, and evidence packs?</w:t>
            </w:r>
          </w:p>
        </w:tc>
      </w:tr>
      <w:tr>
        <w:trPr>
          <w:cantSplit/>
        </w:trPr>
        <w:tc>
          <w:tcPr>
            <w:tcW w:type="dxa" w:w="3408"/>
            <w:vAlign w:val="top"/>
          </w:tcPr>
          <w:p>
            <w:pPr>
              <w:spacing w:after="0"/>
              <w:jc w:val="left"/>
            </w:pPr>
            <w:r>
              <w:rPr>
                <w:rFonts w:ascii="Arial" w:hAnsi="Arial"/>
                <w:b w:val="0"/>
                <w:sz w:val="16"/>
              </w:rPr>
              <w:t>Audit readiness</w:t>
            </w:r>
          </w:p>
        </w:tc>
        <w:tc>
          <w:tcPr>
            <w:tcW w:type="dxa" w:w="3408"/>
            <w:vAlign w:val="top"/>
          </w:tcPr>
          <w:p>
            <w:pPr>
              <w:spacing w:after="0"/>
              <w:jc w:val="left"/>
            </w:pPr>
            <w:r>
              <w:rPr>
                <w:rFonts w:ascii="Arial" w:hAnsi="Arial"/>
                <w:b w:val="0"/>
                <w:sz w:val="16"/>
              </w:rPr>
              <w:t>External auditors require evidence of lifecycle responsibility without full raw data disclosure. Audit readiness requires privacy-preserving validation and selective disclosure.</w:t>
            </w:r>
          </w:p>
        </w:tc>
        <w:tc>
          <w:tcPr>
            <w:tcW w:type="dxa" w:w="3408"/>
            <w:vAlign w:val="top"/>
          </w:tcPr>
          <w:p>
            <w:pPr>
              <w:spacing w:after="0"/>
              <w:jc w:val="left"/>
            </w:pPr>
            <w:r>
              <w:rPr>
                <w:rFonts w:ascii="Arial" w:hAnsi="Arial"/>
                <w:b w:val="0"/>
                <w:sz w:val="16"/>
              </w:rPr>
              <w:t>Can an independent reviewer reconstruct lifecycle responsibility without full raw data disclosure?</w:t>
            </w:r>
          </w:p>
        </w:tc>
      </w:tr>
      <w:tr>
        <w:trPr>
          <w:cantSplit/>
        </w:trPr>
        <w:tc>
          <w:tcPr>
            <w:tcW w:type="dxa" w:w="3408"/>
            <w:vAlign w:val="top"/>
          </w:tcPr>
          <w:p>
            <w:pPr>
              <w:spacing w:after="0"/>
              <w:jc w:val="left"/>
            </w:pPr>
            <w:r>
              <w:rPr>
                <w:rFonts w:ascii="Arial" w:hAnsi="Arial"/>
                <w:b w:val="0"/>
                <w:sz w:val="16"/>
              </w:rPr>
              <w:t>Board reporting</w:t>
            </w:r>
          </w:p>
        </w:tc>
        <w:tc>
          <w:tcPr>
            <w:tcW w:type="dxa" w:w="3408"/>
            <w:vAlign w:val="top"/>
          </w:tcPr>
          <w:p>
            <w:pPr>
              <w:spacing w:after="0"/>
              <w:jc w:val="left"/>
            </w:pPr>
            <w:r>
              <w:rPr>
                <w:rFonts w:ascii="Arial" w:hAnsi="Arial"/>
                <w:b w:val="0"/>
                <w:sz w:val="16"/>
              </w:rPr>
              <w:t>Boards require risk reporting in terms of authority, evidence, accepted outcomes, open incidents, and unresolved remediation, not only model performance metrics.</w:t>
            </w:r>
          </w:p>
        </w:tc>
        <w:tc>
          <w:tcPr>
            <w:tcW w:type="dxa" w:w="3408"/>
            <w:vAlign w:val="top"/>
          </w:tcPr>
          <w:p>
            <w:pPr>
              <w:spacing w:after="0"/>
              <w:jc w:val="left"/>
            </w:pPr>
            <w:r>
              <w:rPr>
                <w:rFonts w:ascii="Arial" w:hAnsi="Arial"/>
                <w:b w:val="0"/>
                <w:sz w:val="16"/>
              </w:rPr>
              <w:t>Can management explain agentic risk in terms of authority, evidence, accepted outcomes, open incidents, and unresolved remediation?</w:t>
            </w:r>
          </w:p>
        </w:tc>
      </w:tr>
      <w:tr>
        <w:trPr>
          <w:cantSplit/>
        </w:trPr>
        <w:tc>
          <w:tcPr>
            <w:tcW w:type="dxa" w:w="3408"/>
            <w:vAlign w:val="top"/>
          </w:tcPr>
          <w:p>
            <w:pPr>
              <w:spacing w:after="0"/>
              <w:jc w:val="left"/>
            </w:pPr>
            <w:r>
              <w:rPr>
                <w:rFonts w:ascii="Arial" w:hAnsi="Arial"/>
                <w:b w:val="0"/>
                <w:sz w:val="16"/>
              </w:rPr>
              <w:t>Incident response and redress</w:t>
            </w:r>
          </w:p>
        </w:tc>
        <w:tc>
          <w:tcPr>
            <w:tcW w:type="dxa" w:w="3408"/>
            <w:vAlign w:val="top"/>
          </w:tcPr>
          <w:p>
            <w:pPr>
              <w:spacing w:after="0"/>
              <w:jc w:val="left"/>
            </w:pPr>
            <w:r>
              <w:rPr>
                <w:rFonts w:ascii="Arial" w:hAnsi="Arial"/>
                <w:b w:val="0"/>
                <w:sz w:val="16"/>
              </w:rPr>
              <w:t>Agentic incidents require evidence, responsibility assignment, correction, and accepted remediation. Incident closure is not only technical resolution.</w:t>
            </w:r>
          </w:p>
        </w:tc>
        <w:tc>
          <w:tcPr>
            <w:tcW w:type="dxa" w:w="3408"/>
            <w:vAlign w:val="top"/>
          </w:tcPr>
          <w:p>
            <w:pPr>
              <w:spacing w:after="0"/>
              <w:jc w:val="left"/>
            </w:pPr>
            <w:r>
              <w:rPr>
                <w:rFonts w:ascii="Arial" w:hAnsi="Arial"/>
                <w:b w:val="0"/>
                <w:sz w:val="16"/>
              </w:rPr>
              <w:t>Can the organization close an agentic incident with evidence, responsibility assignment, correction, and accepted remediation?</w:t>
            </w:r>
          </w:p>
        </w:tc>
      </w:tr>
      <w:tr>
        <w:trPr>
          <w:cantSplit/>
        </w:trPr>
        <w:tc>
          <w:tcPr>
            <w:tcW w:type="dxa" w:w="3408"/>
            <w:vAlign w:val="top"/>
          </w:tcPr>
          <w:p>
            <w:pPr>
              <w:spacing w:after="0"/>
              <w:jc w:val="left"/>
            </w:pPr>
            <w:r>
              <w:rPr>
                <w:rFonts w:ascii="Arial" w:hAnsi="Arial"/>
                <w:b w:val="0"/>
                <w:sz w:val="16"/>
              </w:rPr>
              <w:t>Business continuity / rollback</w:t>
            </w:r>
          </w:p>
        </w:tc>
        <w:tc>
          <w:tcPr>
            <w:tcW w:type="dxa" w:w="3408"/>
            <w:vAlign w:val="top"/>
          </w:tcPr>
          <w:p>
            <w:pPr>
              <w:spacing w:after="0"/>
              <w:jc w:val="left"/>
            </w:pPr>
            <w:r>
              <w:rPr>
                <w:rFonts w:ascii="Arial" w:hAnsi="Arial"/>
                <w:b w:val="0"/>
                <w:sz w:val="16"/>
              </w:rPr>
              <w:t>Agentic systems must support halt, rollback, substitution, or remediation without losing evidence continuity. Business continuity requires lifecycle resilience.</w:t>
            </w:r>
          </w:p>
        </w:tc>
        <w:tc>
          <w:tcPr>
            <w:tcW w:type="dxa" w:w="3408"/>
            <w:vAlign w:val="top"/>
          </w:tcPr>
          <w:p>
            <w:pPr>
              <w:spacing w:after="0"/>
              <w:jc w:val="left"/>
            </w:pPr>
            <w:r>
              <w:rPr>
                <w:rFonts w:ascii="Arial" w:hAnsi="Arial"/>
                <w:b w:val="0"/>
                <w:sz w:val="16"/>
              </w:rPr>
              <w:t>Can the system halt, rollback, substitute, or remediate without losing evidence continuity?</w:t>
            </w:r>
          </w:p>
        </w:tc>
      </w:tr>
      <w:tr>
        <w:trPr>
          <w:cantSplit/>
        </w:trPr>
        <w:tc>
          <w:tcPr>
            <w:tcW w:type="dxa" w:w="3408"/>
            <w:vAlign w:val="top"/>
          </w:tcPr>
          <w:p>
            <w:pPr>
              <w:spacing w:after="0"/>
              <w:jc w:val="left"/>
            </w:pPr>
            <w:r>
              <w:rPr>
                <w:rFonts w:ascii="Arial" w:hAnsi="Arial"/>
                <w:b w:val="0"/>
                <w:sz w:val="16"/>
              </w:rPr>
              <w:t>Model risk management</w:t>
            </w:r>
          </w:p>
        </w:tc>
        <w:tc>
          <w:tcPr>
            <w:tcW w:type="dxa" w:w="3408"/>
            <w:vAlign w:val="top"/>
          </w:tcPr>
          <w:p>
            <w:pPr>
              <w:spacing w:after="0"/>
              <w:jc w:val="left"/>
            </w:pPr>
            <w:r>
              <w:rPr>
                <w:rFonts w:ascii="Arial" w:hAnsi="Arial"/>
                <w:b w:val="0"/>
                <w:sz w:val="16"/>
              </w:rPr>
              <w:t>Model risk in agentic systems is not only output quality or bias. Model behavior influences planning, delegation, authority transitions, evidence interpretation, tool selection, and accepted outcomes.</w:t>
            </w:r>
          </w:p>
        </w:tc>
        <w:tc>
          <w:tcPr>
            <w:tcW w:type="dxa" w:w="3408"/>
            <w:vAlign w:val="top"/>
          </w:tcPr>
          <w:p>
            <w:pPr>
              <w:spacing w:after="0"/>
              <w:jc w:val="left"/>
            </w:pPr>
            <w:r>
              <w:rPr>
                <w:rFonts w:ascii="Arial" w:hAnsi="Arial"/>
                <w:b w:val="0"/>
                <w:sz w:val="16"/>
              </w:rPr>
              <w:t>Can model, prompt, policy, or runtime changes be evaluated as lifecycle risk, not only model-performance risk?</w:t>
            </w:r>
          </w:p>
        </w:tc>
      </w:tr>
      <w:tr>
        <w:trPr>
          <w:cantSplit/>
        </w:trPr>
        <w:tc>
          <w:tcPr>
            <w:tcW w:type="dxa" w:w="3408"/>
            <w:vAlign w:val="top"/>
          </w:tcPr>
          <w:p>
            <w:pPr>
              <w:spacing w:after="0"/>
              <w:jc w:val="left"/>
            </w:pPr>
            <w:r>
              <w:rPr>
                <w:rFonts w:ascii="Arial" w:hAnsi="Arial"/>
                <w:b w:val="0"/>
                <w:sz w:val="16"/>
              </w:rPr>
              <w:t>Cybersecurity for agentic systems</w:t>
            </w:r>
          </w:p>
        </w:tc>
        <w:tc>
          <w:tcPr>
            <w:tcW w:type="dxa" w:w="3408"/>
            <w:vAlign w:val="top"/>
          </w:tcPr>
          <w:p>
            <w:pPr>
              <w:spacing w:after="0"/>
              <w:jc w:val="left"/>
            </w:pPr>
            <w:r>
              <w:rPr>
                <w:rFonts w:ascii="Arial" w:hAnsi="Arial"/>
                <w:b w:val="0"/>
                <w:sz w:val="16"/>
              </w:rPr>
              <w:t>Cybersecurity for agentic systems must preserve authority, credential, tool, evidence, and incident boundaries under attack.</w:t>
            </w:r>
          </w:p>
        </w:tc>
        <w:tc>
          <w:tcPr>
            <w:tcW w:type="dxa" w:w="3408"/>
            <w:vAlign w:val="top"/>
          </w:tcPr>
          <w:p>
            <w:pPr>
              <w:spacing w:after="0"/>
              <w:jc w:val="left"/>
            </w:pPr>
            <w:r>
              <w:rPr>
                <w:rFonts w:ascii="Arial" w:hAnsi="Arial"/>
                <w:b w:val="0"/>
                <w:sz w:val="16"/>
              </w:rPr>
              <w:t>Can the system preserve authority, credential, tool, evidence, and incident boundaries under attack?</w:t>
            </w:r>
          </w:p>
        </w:tc>
      </w:tr>
      <w:tr>
        <w:trPr>
          <w:cantSplit/>
        </w:trPr>
        <w:tc>
          <w:tcPr>
            <w:tcW w:type="dxa" w:w="3408"/>
            <w:vAlign w:val="top"/>
          </w:tcPr>
          <w:p>
            <w:pPr>
              <w:spacing w:after="0"/>
              <w:jc w:val="left"/>
            </w:pPr>
            <w:r>
              <w:rPr>
                <w:rFonts w:ascii="Arial" w:hAnsi="Arial"/>
                <w:b w:val="0"/>
                <w:sz w:val="16"/>
              </w:rPr>
              <w:t>Privacy-preserving validation</w:t>
            </w:r>
          </w:p>
        </w:tc>
        <w:tc>
          <w:tcPr>
            <w:tcW w:type="dxa" w:w="3408"/>
            <w:vAlign w:val="top"/>
          </w:tcPr>
          <w:p>
            <w:pPr>
              <w:spacing w:after="0"/>
              <w:jc w:val="left"/>
            </w:pPr>
            <w:r>
              <w:rPr>
                <w:rFonts w:ascii="Arial" w:hAnsi="Arial"/>
                <w:b w:val="0"/>
                <w:sz w:val="16"/>
              </w:rPr>
              <w:t>External validation must occur without exposing raw personal data, proprietary workflow content, or unnecessary evidence.</w:t>
            </w:r>
          </w:p>
        </w:tc>
        <w:tc>
          <w:tcPr>
            <w:tcW w:type="dxa" w:w="3408"/>
            <w:vAlign w:val="top"/>
          </w:tcPr>
          <w:p>
            <w:pPr>
              <w:spacing w:after="0"/>
              <w:jc w:val="left"/>
            </w:pPr>
            <w:r>
              <w:rPr>
                <w:rFonts w:ascii="Arial" w:hAnsi="Arial"/>
                <w:b w:val="0"/>
                <w:sz w:val="16"/>
              </w:rPr>
              <w:t>Can external validation occur without exposing raw personal data, proprietary workflow content, or unnecessary evidence?</w:t>
            </w:r>
          </w:p>
        </w:tc>
      </w:tr>
    </w:tbl>
    <w:p>
      <w:pPr>
        <w:sectPr>
          <w:pgSz w:w="12240" w:h="15840"/>
          <w:pgMar w:top="792" w:right="648" w:bottom="792" w:left="648" w:header="720" w:footer="720" w:gutter="0"/>
          <w:cols w:space="720"/>
          <w:docGrid w:linePitch="360"/>
        </w:sectPr>
      </w:pPr>
    </w:p>
    <w:p/>
    <w:p>
      <w:pPr>
        <w:pStyle w:val="Heading3"/>
      </w:pPr>
      <w:r>
        <w:t>Table T-10-01B: Enterprise Control Crosswalk — MRO/Dimension/Evidence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Enterprise Control Topic</w:t>
            </w:r>
          </w:p>
        </w:tc>
        <w:tc>
          <w:tcPr>
            <w:tcW w:type="dxa" w:w="2556"/>
            <w:vAlign w:val="top"/>
            <w:shd w:fill="D9EAF7"/>
          </w:tcPr>
          <w:p>
            <w:pPr>
              <w:spacing w:after="0"/>
              <w:jc w:val="left"/>
            </w:pPr>
            <w:r>
              <w:rPr>
                <w:rFonts w:ascii="Arial" w:hAnsi="Arial"/>
                <w:b/>
                <w:sz w:val="14"/>
              </w:rPr>
              <w:t>Relevant MROs</w:t>
            </w:r>
          </w:p>
        </w:tc>
        <w:tc>
          <w:tcPr>
            <w:tcW w:type="dxa" w:w="2556"/>
            <w:vAlign w:val="top"/>
            <w:shd w:fill="D9EAF7"/>
          </w:tcPr>
          <w:p>
            <w:pPr>
              <w:spacing w:after="0"/>
              <w:jc w:val="left"/>
            </w:pPr>
            <w:r>
              <w:rPr>
                <w:rFonts w:ascii="Arial" w:hAnsi="Arial"/>
                <w:b/>
                <w:sz w:val="14"/>
              </w:rPr>
              <w:t>Relevant RCCS/ALCS Dimensions</w:t>
            </w:r>
          </w:p>
        </w:tc>
        <w:tc>
          <w:tcPr>
            <w:tcW w:type="dxa" w:w="2556"/>
            <w:vAlign w:val="top"/>
            <w:shd w:fill="D9EAF7"/>
          </w:tcPr>
          <w:p>
            <w:pPr>
              <w:spacing w:after="0"/>
              <w:jc w:val="left"/>
            </w:pPr>
            <w:r>
              <w:rPr>
                <w:rFonts w:ascii="Arial" w:hAnsi="Arial"/>
                <w:b/>
                <w:sz w:val="14"/>
              </w:rPr>
              <w:t>Evidence Expected</w:t>
            </w:r>
          </w:p>
        </w:tc>
      </w:tr>
      <w:tr>
        <w:trPr>
          <w:cantSplit/>
        </w:trPr>
        <w:tc>
          <w:tcPr>
            <w:tcW w:type="dxa" w:w="2556"/>
            <w:vAlign w:val="top"/>
          </w:tcPr>
          <w:p>
            <w:pPr>
              <w:spacing w:after="0"/>
              <w:jc w:val="left"/>
            </w:pPr>
            <w:r>
              <w:rPr>
                <w:rFonts w:ascii="Arial" w:hAnsi="Arial"/>
                <w:b w:val="0"/>
                <w:sz w:val="14"/>
              </w:rPr>
              <w:t>Internal control</w:t>
            </w:r>
          </w:p>
        </w:tc>
        <w:tc>
          <w:tcPr>
            <w:tcW w:type="dxa" w:w="2556"/>
            <w:vAlign w:val="top"/>
          </w:tcPr>
          <w:p>
            <w:pPr>
              <w:spacing w:after="0"/>
              <w:jc w:val="left"/>
            </w:pPr>
            <w:r>
              <w:rPr>
                <w:rFonts w:ascii="Arial" w:hAnsi="Arial"/>
                <w:b w:val="0"/>
                <w:sz w:val="14"/>
              </w:rPr>
              <w:t>MRO-01, MRO-02, MRO-04, MRO-05, MRO-08, MRO-16</w:t>
            </w:r>
          </w:p>
        </w:tc>
        <w:tc>
          <w:tcPr>
            <w:tcW w:type="dxa" w:w="2556"/>
            <w:vAlign w:val="top"/>
          </w:tcPr>
          <w:p>
            <w:pPr>
              <w:spacing w:after="0"/>
              <w:jc w:val="left"/>
            </w:pPr>
            <w:r>
              <w:rPr>
                <w:rFonts w:ascii="Arial" w:hAnsi="Arial"/>
                <w:b w:val="0"/>
                <w:sz w:val="14"/>
              </w:rPr>
              <w:t>RCCS-04, RCCS-06, RCCS-08, ALCS-01, ALCS-02, ALCS-04, ALCS-05, ALCS-08</w:t>
            </w:r>
          </w:p>
        </w:tc>
        <w:tc>
          <w:tcPr>
            <w:tcW w:type="dxa" w:w="2556"/>
            <w:vAlign w:val="top"/>
          </w:tcPr>
          <w:p>
            <w:pPr>
              <w:spacing w:after="0"/>
              <w:jc w:val="left"/>
            </w:pPr>
            <w:r>
              <w:rPr>
                <w:rFonts w:ascii="Arial" w:hAnsi="Arial"/>
                <w:b w:val="0"/>
                <w:sz w:val="14"/>
              </w:rPr>
              <w:t>Role-responsibility map, authority boundary object, accepted outcome state, tool-action liability record, evidence partition, incident closure record</w:t>
            </w:r>
          </w:p>
        </w:tc>
      </w:tr>
      <w:tr>
        <w:trPr>
          <w:cantSplit/>
        </w:trPr>
        <w:tc>
          <w:tcPr>
            <w:tcW w:type="dxa" w:w="2556"/>
            <w:vAlign w:val="top"/>
          </w:tcPr>
          <w:p>
            <w:pPr>
              <w:spacing w:after="0"/>
              <w:jc w:val="left"/>
            </w:pPr>
            <w:r>
              <w:rPr>
                <w:rFonts w:ascii="Arial" w:hAnsi="Arial"/>
                <w:b w:val="0"/>
                <w:sz w:val="14"/>
              </w:rPr>
              <w:t>Procurement scorecard</w:t>
            </w:r>
          </w:p>
        </w:tc>
        <w:tc>
          <w:tcPr>
            <w:tcW w:type="dxa" w:w="2556"/>
            <w:vAlign w:val="top"/>
          </w:tcPr>
          <w:p>
            <w:pPr>
              <w:spacing w:after="0"/>
              <w:jc w:val="left"/>
            </w:pPr>
            <w:r>
              <w:rPr>
                <w:rFonts w:ascii="Arial" w:hAnsi="Arial"/>
                <w:b w:val="0"/>
                <w:sz w:val="14"/>
              </w:rPr>
              <w:t>MRO-11, MRO-14, MRO-15, MRO-16</w:t>
            </w:r>
          </w:p>
        </w:tc>
        <w:tc>
          <w:tcPr>
            <w:tcW w:type="dxa" w:w="2556"/>
            <w:vAlign w:val="top"/>
          </w:tcPr>
          <w:p>
            <w:pPr>
              <w:spacing w:after="0"/>
              <w:jc w:val="left"/>
            </w:pPr>
            <w:r>
              <w:rPr>
                <w:rFonts w:ascii="Arial" w:hAnsi="Arial"/>
                <w:b w:val="0"/>
                <w:sz w:val="14"/>
              </w:rPr>
              <w:t>RCCS-03, RCCS-04, RCCS-07, ALCS-11, ALCS-14, ALCS-15</w:t>
            </w:r>
          </w:p>
        </w:tc>
        <w:tc>
          <w:tcPr>
            <w:tcW w:type="dxa" w:w="2556"/>
            <w:vAlign w:val="top"/>
          </w:tcPr>
          <w:p>
            <w:pPr>
              <w:spacing w:after="0"/>
              <w:jc w:val="left"/>
            </w:pPr>
            <w:r>
              <w:rPr>
                <w:rFonts w:ascii="Arial" w:hAnsi="Arial"/>
                <w:b w:val="0"/>
                <w:sz w:val="14"/>
              </w:rPr>
              <w:t>Privacy-preserving validation protocol, processor chain record, vendor substitution conformance test, incident closure record</w:t>
            </w:r>
          </w:p>
        </w:tc>
      </w:tr>
      <w:tr>
        <w:trPr>
          <w:cantSplit/>
        </w:trPr>
        <w:tc>
          <w:tcPr>
            <w:tcW w:type="dxa" w:w="2556"/>
            <w:vAlign w:val="top"/>
          </w:tcPr>
          <w:p>
            <w:pPr>
              <w:spacing w:after="0"/>
              <w:jc w:val="left"/>
            </w:pPr>
            <w:r>
              <w:rPr>
                <w:rFonts w:ascii="Arial" w:hAnsi="Arial"/>
                <w:b w:val="0"/>
                <w:sz w:val="14"/>
              </w:rPr>
              <w:t>Vendor lock-in / vendor substitution</w:t>
            </w:r>
          </w:p>
        </w:tc>
        <w:tc>
          <w:tcPr>
            <w:tcW w:type="dxa" w:w="2556"/>
            <w:vAlign w:val="top"/>
          </w:tcPr>
          <w:p>
            <w:pPr>
              <w:spacing w:after="0"/>
              <w:jc w:val="left"/>
            </w:pPr>
            <w:r>
              <w:rPr>
                <w:rFonts w:ascii="Arial" w:hAnsi="Arial"/>
                <w:b w:val="0"/>
                <w:sz w:val="14"/>
              </w:rPr>
              <w:t>MRO-09, MRO-15</w:t>
            </w:r>
          </w:p>
        </w:tc>
        <w:tc>
          <w:tcPr>
            <w:tcW w:type="dxa" w:w="2556"/>
            <w:vAlign w:val="top"/>
          </w:tcPr>
          <w:p>
            <w:pPr>
              <w:spacing w:after="0"/>
              <w:jc w:val="left"/>
            </w:pPr>
            <w:r>
              <w:rPr>
                <w:rFonts w:ascii="Arial" w:hAnsi="Arial"/>
                <w:b w:val="0"/>
                <w:sz w:val="14"/>
              </w:rPr>
              <w:t>ALCS-09, ALCS-15</w:t>
            </w:r>
          </w:p>
        </w:tc>
        <w:tc>
          <w:tcPr>
            <w:tcW w:type="dxa" w:w="2556"/>
            <w:vAlign w:val="top"/>
          </w:tcPr>
          <w:p>
            <w:pPr>
              <w:spacing w:after="0"/>
              <w:jc w:val="left"/>
            </w:pPr>
            <w:r>
              <w:rPr>
                <w:rFonts w:ascii="Arial" w:hAnsi="Arial"/>
                <w:b w:val="0"/>
                <w:sz w:val="14"/>
              </w:rPr>
              <w:t>Cross-project reuse conformance test, vendor substitution conformance test</w:t>
            </w:r>
          </w:p>
        </w:tc>
      </w:tr>
      <w:tr>
        <w:trPr>
          <w:cantSplit/>
        </w:trPr>
        <w:tc>
          <w:tcPr>
            <w:tcW w:type="dxa" w:w="2556"/>
            <w:vAlign w:val="top"/>
          </w:tcPr>
          <w:p>
            <w:pPr>
              <w:spacing w:after="0"/>
              <w:jc w:val="left"/>
            </w:pPr>
            <w:r>
              <w:rPr>
                <w:rFonts w:ascii="Arial" w:hAnsi="Arial"/>
                <w:b w:val="0"/>
                <w:sz w:val="14"/>
              </w:rPr>
              <w:t>Third-party / supply-chain risk</w:t>
            </w:r>
          </w:p>
        </w:tc>
        <w:tc>
          <w:tcPr>
            <w:tcW w:type="dxa" w:w="2556"/>
            <w:vAlign w:val="top"/>
          </w:tcPr>
          <w:p>
            <w:pPr>
              <w:spacing w:after="0"/>
              <w:jc w:val="left"/>
            </w:pPr>
            <w:r>
              <w:rPr>
                <w:rFonts w:ascii="Arial" w:hAnsi="Arial"/>
                <w:b w:val="0"/>
                <w:sz w:val="14"/>
              </w:rPr>
              <w:t>MRO-10, MRO-14, MRO-15</w:t>
            </w:r>
          </w:p>
        </w:tc>
        <w:tc>
          <w:tcPr>
            <w:tcW w:type="dxa" w:w="2556"/>
            <w:vAlign w:val="top"/>
          </w:tcPr>
          <w:p>
            <w:pPr>
              <w:spacing w:after="0"/>
              <w:jc w:val="left"/>
            </w:pPr>
            <w:r>
              <w:rPr>
                <w:rFonts w:ascii="Arial" w:hAnsi="Arial"/>
                <w:b w:val="0"/>
                <w:sz w:val="14"/>
              </w:rPr>
              <w:t>RCCS-02, RCCS-07, ALCS-10, ALCS-14, ALCS-15</w:t>
            </w:r>
          </w:p>
        </w:tc>
        <w:tc>
          <w:tcPr>
            <w:tcW w:type="dxa" w:w="2556"/>
            <w:vAlign w:val="top"/>
          </w:tcPr>
          <w:p>
            <w:pPr>
              <w:spacing w:after="0"/>
              <w:jc w:val="left"/>
            </w:pPr>
            <w:r>
              <w:rPr>
                <w:rFonts w:ascii="Arial" w:hAnsi="Arial"/>
                <w:b w:val="0"/>
                <w:sz w:val="14"/>
              </w:rPr>
              <w:t>Privacy lifecycle map, processor chain record, vendor substitution conformance test</w:t>
            </w:r>
          </w:p>
        </w:tc>
      </w:tr>
      <w:tr>
        <w:trPr>
          <w:cantSplit/>
        </w:trPr>
        <w:tc>
          <w:tcPr>
            <w:tcW w:type="dxa" w:w="2556"/>
            <w:vAlign w:val="top"/>
          </w:tcPr>
          <w:p>
            <w:pPr>
              <w:spacing w:after="0"/>
              <w:jc w:val="left"/>
            </w:pPr>
            <w:r>
              <w:rPr>
                <w:rFonts w:ascii="Arial" w:hAnsi="Arial"/>
                <w:b w:val="0"/>
                <w:sz w:val="14"/>
              </w:rPr>
              <w:t>Data governance</w:t>
            </w:r>
          </w:p>
        </w:tc>
        <w:tc>
          <w:tcPr>
            <w:tcW w:type="dxa" w:w="2556"/>
            <w:vAlign w:val="top"/>
          </w:tcPr>
          <w:p>
            <w:pPr>
              <w:spacing w:after="0"/>
              <w:jc w:val="left"/>
            </w:pPr>
            <w:r>
              <w:rPr>
                <w:rFonts w:ascii="Arial" w:hAnsi="Arial"/>
                <w:b w:val="0"/>
                <w:sz w:val="14"/>
              </w:rPr>
              <w:t>MRO-10, MRO-12, MRO-13</w:t>
            </w:r>
          </w:p>
        </w:tc>
        <w:tc>
          <w:tcPr>
            <w:tcW w:type="dxa" w:w="2556"/>
            <w:vAlign w:val="top"/>
          </w:tcPr>
          <w:p>
            <w:pPr>
              <w:spacing w:after="0"/>
              <w:jc w:val="left"/>
            </w:pPr>
            <w:r>
              <w:rPr>
                <w:rFonts w:ascii="Arial" w:hAnsi="Arial"/>
                <w:b w:val="0"/>
                <w:sz w:val="14"/>
              </w:rPr>
              <w:t>RCCS-02, ALCS-10, ALCS-12, ALCS-13</w:t>
            </w:r>
          </w:p>
        </w:tc>
        <w:tc>
          <w:tcPr>
            <w:tcW w:type="dxa" w:w="2556"/>
            <w:vAlign w:val="top"/>
          </w:tcPr>
          <w:p>
            <w:pPr>
              <w:spacing w:after="0"/>
              <w:jc w:val="left"/>
            </w:pPr>
            <w:r>
              <w:rPr>
                <w:rFonts w:ascii="Arial" w:hAnsi="Arial"/>
                <w:b w:val="0"/>
                <w:sz w:val="14"/>
              </w:rPr>
              <w:t>Privacy lifecycle map, evidence minimization policy, data subject rights reconciliation record</w:t>
            </w:r>
          </w:p>
        </w:tc>
      </w:tr>
      <w:tr>
        <w:trPr>
          <w:cantSplit/>
        </w:trPr>
        <w:tc>
          <w:tcPr>
            <w:tcW w:type="dxa" w:w="2556"/>
            <w:vAlign w:val="top"/>
          </w:tcPr>
          <w:p>
            <w:pPr>
              <w:spacing w:after="0"/>
              <w:jc w:val="left"/>
            </w:pPr>
            <w:r>
              <w:rPr>
                <w:rFonts w:ascii="Arial" w:hAnsi="Arial"/>
                <w:b w:val="0"/>
                <w:sz w:val="14"/>
              </w:rPr>
              <w:t>Audit readiness</w:t>
            </w:r>
          </w:p>
        </w:tc>
        <w:tc>
          <w:tcPr>
            <w:tcW w:type="dxa" w:w="2556"/>
            <w:vAlign w:val="top"/>
          </w:tcPr>
          <w:p>
            <w:pPr>
              <w:spacing w:after="0"/>
              <w:jc w:val="left"/>
            </w:pPr>
            <w:r>
              <w:rPr>
                <w:rFonts w:ascii="Arial" w:hAnsi="Arial"/>
                <w:b w:val="0"/>
                <w:sz w:val="14"/>
              </w:rPr>
              <w:t>MRO-08, MRO-11, MRO-12, MRO-16</w:t>
            </w:r>
          </w:p>
        </w:tc>
        <w:tc>
          <w:tcPr>
            <w:tcW w:type="dxa" w:w="2556"/>
            <w:vAlign w:val="top"/>
          </w:tcPr>
          <w:p>
            <w:pPr>
              <w:spacing w:after="0"/>
              <w:jc w:val="left"/>
            </w:pPr>
            <w:r>
              <w:rPr>
                <w:rFonts w:ascii="Arial" w:hAnsi="Arial"/>
                <w:b w:val="0"/>
                <w:sz w:val="14"/>
              </w:rPr>
              <w:t>RCCS-04, RCCS-09, ALCS-08, ALCS-11, ALCS-12</w:t>
            </w:r>
          </w:p>
        </w:tc>
        <w:tc>
          <w:tcPr>
            <w:tcW w:type="dxa" w:w="2556"/>
            <w:vAlign w:val="top"/>
          </w:tcPr>
          <w:p>
            <w:pPr>
              <w:spacing w:after="0"/>
              <w:jc w:val="left"/>
            </w:pPr>
            <w:r>
              <w:rPr>
                <w:rFonts w:ascii="Arial" w:hAnsi="Arial"/>
                <w:b w:val="0"/>
                <w:sz w:val="14"/>
              </w:rPr>
              <w:t>Evidence partition, privacy-preserving validation protocol, evidence minimization policy, incident closure record</w:t>
            </w:r>
          </w:p>
        </w:tc>
      </w:tr>
      <w:tr>
        <w:trPr>
          <w:cantSplit/>
        </w:trPr>
        <w:tc>
          <w:tcPr>
            <w:tcW w:type="dxa" w:w="2556"/>
            <w:vAlign w:val="top"/>
          </w:tcPr>
          <w:p>
            <w:pPr>
              <w:spacing w:after="0"/>
              <w:jc w:val="left"/>
            </w:pPr>
            <w:r>
              <w:rPr>
                <w:rFonts w:ascii="Arial" w:hAnsi="Arial"/>
                <w:b w:val="0"/>
                <w:sz w:val="14"/>
              </w:rPr>
              <w:t>Board reporting</w:t>
            </w:r>
          </w:p>
        </w:tc>
        <w:tc>
          <w:tcPr>
            <w:tcW w:type="dxa" w:w="2556"/>
            <w:vAlign w:val="top"/>
          </w:tcPr>
          <w:p>
            <w:pPr>
              <w:spacing w:after="0"/>
              <w:jc w:val="left"/>
            </w:pPr>
            <w:r>
              <w:rPr>
                <w:rFonts w:ascii="Arial" w:hAnsi="Arial"/>
                <w:b w:val="0"/>
                <w:sz w:val="14"/>
              </w:rPr>
              <w:t>MRO-01, MRO-04, MRO-08, MRO-16</w:t>
            </w:r>
          </w:p>
        </w:tc>
        <w:tc>
          <w:tcPr>
            <w:tcW w:type="dxa" w:w="2556"/>
            <w:vAlign w:val="top"/>
          </w:tcPr>
          <w:p>
            <w:pPr>
              <w:spacing w:after="0"/>
              <w:jc w:val="left"/>
            </w:pPr>
            <w:r>
              <w:rPr>
                <w:rFonts w:ascii="Arial" w:hAnsi="Arial"/>
                <w:b w:val="0"/>
                <w:sz w:val="14"/>
              </w:rPr>
              <w:t>RCCS-06, RCCS-08, RCCS-10, ALCS-01, ALCS-04, ALCS-08</w:t>
            </w:r>
          </w:p>
        </w:tc>
        <w:tc>
          <w:tcPr>
            <w:tcW w:type="dxa" w:w="2556"/>
            <w:vAlign w:val="top"/>
          </w:tcPr>
          <w:p>
            <w:pPr>
              <w:spacing w:after="0"/>
              <w:jc w:val="left"/>
            </w:pPr>
            <w:r>
              <w:rPr>
                <w:rFonts w:ascii="Arial" w:hAnsi="Arial"/>
                <w:b w:val="0"/>
                <w:sz w:val="14"/>
              </w:rPr>
              <w:t>Role-responsibility map, accepted outcome state, evidence partition, incident closure record, monitoring dashboard</w:t>
            </w:r>
          </w:p>
        </w:tc>
      </w:tr>
      <w:tr>
        <w:trPr>
          <w:cantSplit/>
        </w:trPr>
        <w:tc>
          <w:tcPr>
            <w:tcW w:type="dxa" w:w="2556"/>
            <w:vAlign w:val="top"/>
          </w:tcPr>
          <w:p>
            <w:pPr>
              <w:spacing w:after="0"/>
              <w:jc w:val="left"/>
            </w:pPr>
            <w:r>
              <w:rPr>
                <w:rFonts w:ascii="Arial" w:hAnsi="Arial"/>
                <w:b w:val="0"/>
                <w:sz w:val="14"/>
              </w:rPr>
              <w:t>Incident response and redress</w:t>
            </w:r>
          </w:p>
        </w:tc>
        <w:tc>
          <w:tcPr>
            <w:tcW w:type="dxa" w:w="2556"/>
            <w:vAlign w:val="top"/>
          </w:tcPr>
          <w:p>
            <w:pPr>
              <w:spacing w:after="0"/>
              <w:jc w:val="left"/>
            </w:pPr>
            <w:r>
              <w:rPr>
                <w:rFonts w:ascii="Arial" w:hAnsi="Arial"/>
                <w:b w:val="0"/>
                <w:sz w:val="14"/>
              </w:rPr>
              <w:t>MRO-04, MRO-08, MRO-16</w:t>
            </w:r>
          </w:p>
        </w:tc>
        <w:tc>
          <w:tcPr>
            <w:tcW w:type="dxa" w:w="2556"/>
            <w:vAlign w:val="top"/>
          </w:tcPr>
          <w:p>
            <w:pPr>
              <w:spacing w:after="0"/>
              <w:jc w:val="left"/>
            </w:pPr>
            <w:r>
              <w:rPr>
                <w:rFonts w:ascii="Arial" w:hAnsi="Arial"/>
                <w:b w:val="0"/>
                <w:sz w:val="14"/>
              </w:rPr>
              <w:t>RCCS-09, RCCS-10, ALCS-04, ALCS-08</w:t>
            </w:r>
          </w:p>
        </w:tc>
        <w:tc>
          <w:tcPr>
            <w:tcW w:type="dxa" w:w="2556"/>
            <w:vAlign w:val="top"/>
          </w:tcPr>
          <w:p>
            <w:pPr>
              <w:spacing w:after="0"/>
              <w:jc w:val="left"/>
            </w:pPr>
            <w:r>
              <w:rPr>
                <w:rFonts w:ascii="Arial" w:hAnsi="Arial"/>
                <w:b w:val="0"/>
                <w:sz w:val="14"/>
              </w:rPr>
              <w:t>Accepted outcome state, evidence partition, incident closure record, remediation record</w:t>
            </w:r>
          </w:p>
        </w:tc>
      </w:tr>
      <w:tr>
        <w:trPr>
          <w:cantSplit/>
        </w:trPr>
        <w:tc>
          <w:tcPr>
            <w:tcW w:type="dxa" w:w="2556"/>
            <w:vAlign w:val="top"/>
          </w:tcPr>
          <w:p>
            <w:pPr>
              <w:spacing w:after="0"/>
              <w:jc w:val="left"/>
            </w:pPr>
            <w:r>
              <w:rPr>
                <w:rFonts w:ascii="Arial" w:hAnsi="Arial"/>
                <w:b w:val="0"/>
                <w:sz w:val="14"/>
              </w:rPr>
              <w:t>Business continuity / rollback</w:t>
            </w:r>
          </w:p>
        </w:tc>
        <w:tc>
          <w:tcPr>
            <w:tcW w:type="dxa" w:w="2556"/>
            <w:vAlign w:val="top"/>
          </w:tcPr>
          <w:p>
            <w:pPr>
              <w:spacing w:after="0"/>
              <w:jc w:val="left"/>
            </w:pPr>
            <w:r>
              <w:rPr>
                <w:rFonts w:ascii="Arial" w:hAnsi="Arial"/>
                <w:b w:val="0"/>
                <w:sz w:val="14"/>
              </w:rPr>
              <w:t>MRO-05, MRO-07, MRO-15, MRO-16</w:t>
            </w:r>
          </w:p>
        </w:tc>
        <w:tc>
          <w:tcPr>
            <w:tcW w:type="dxa" w:w="2556"/>
            <w:vAlign w:val="top"/>
          </w:tcPr>
          <w:p>
            <w:pPr>
              <w:spacing w:after="0"/>
              <w:jc w:val="left"/>
            </w:pPr>
            <w:r>
              <w:rPr>
                <w:rFonts w:ascii="Arial" w:hAnsi="Arial"/>
                <w:b w:val="0"/>
                <w:sz w:val="14"/>
              </w:rPr>
              <w:t>RCCS-07, RCCS-10, ALCS-05, ALCS-07, ALCS-15</w:t>
            </w:r>
          </w:p>
        </w:tc>
        <w:tc>
          <w:tcPr>
            <w:tcW w:type="dxa" w:w="2556"/>
            <w:vAlign w:val="top"/>
          </w:tcPr>
          <w:p>
            <w:pPr>
              <w:spacing w:after="0"/>
              <w:jc w:val="left"/>
            </w:pPr>
            <w:r>
              <w:rPr>
                <w:rFonts w:ascii="Arial" w:hAnsi="Arial"/>
                <w:b w:val="0"/>
                <w:sz w:val="14"/>
              </w:rPr>
              <w:t>Tool-action liability record, authority drift detection log, vendor substitution conformance test, incident closure record</w:t>
            </w:r>
          </w:p>
        </w:tc>
      </w:tr>
      <w:tr>
        <w:trPr>
          <w:cantSplit/>
        </w:trPr>
        <w:tc>
          <w:tcPr>
            <w:tcW w:type="dxa" w:w="2556"/>
            <w:vAlign w:val="top"/>
          </w:tcPr>
          <w:p>
            <w:pPr>
              <w:spacing w:after="0"/>
              <w:jc w:val="left"/>
            </w:pPr>
            <w:r>
              <w:rPr>
                <w:rFonts w:ascii="Arial" w:hAnsi="Arial"/>
                <w:b w:val="0"/>
                <w:sz w:val="14"/>
              </w:rPr>
              <w:t>Model risk management</w:t>
            </w:r>
          </w:p>
        </w:tc>
        <w:tc>
          <w:tcPr>
            <w:tcW w:type="dxa" w:w="2556"/>
            <w:vAlign w:val="top"/>
          </w:tcPr>
          <w:p>
            <w:pPr>
              <w:spacing w:after="0"/>
              <w:jc w:val="left"/>
            </w:pPr>
            <w:r>
              <w:rPr>
                <w:rFonts w:ascii="Arial" w:hAnsi="Arial"/>
                <w:b w:val="0"/>
                <w:sz w:val="14"/>
              </w:rPr>
              <w:t>MRO-07, MRO-08, MRO-15, MRO-16</w:t>
            </w:r>
          </w:p>
        </w:tc>
        <w:tc>
          <w:tcPr>
            <w:tcW w:type="dxa" w:w="2556"/>
            <w:vAlign w:val="top"/>
          </w:tcPr>
          <w:p>
            <w:pPr>
              <w:spacing w:after="0"/>
              <w:jc w:val="left"/>
            </w:pPr>
            <w:r>
              <w:rPr>
                <w:rFonts w:ascii="Arial" w:hAnsi="Arial"/>
                <w:b w:val="0"/>
                <w:sz w:val="14"/>
              </w:rPr>
              <w:t>RCCS-01, RCCS-10, ALCS-07, ALCS-08, ALCS-15</w:t>
            </w:r>
          </w:p>
        </w:tc>
        <w:tc>
          <w:tcPr>
            <w:tcW w:type="dxa" w:w="2556"/>
            <w:vAlign w:val="top"/>
          </w:tcPr>
          <w:p>
            <w:pPr>
              <w:spacing w:after="0"/>
              <w:jc w:val="left"/>
            </w:pPr>
            <w:r>
              <w:rPr>
                <w:rFonts w:ascii="Arial" w:hAnsi="Arial"/>
                <w:b w:val="0"/>
                <w:sz w:val="14"/>
              </w:rPr>
              <w:t>Authority drift detection log, evidence partition, vendor substitution conformance test, incident closure record</w:t>
            </w:r>
          </w:p>
        </w:tc>
      </w:tr>
      <w:tr>
        <w:trPr>
          <w:cantSplit/>
        </w:trPr>
        <w:tc>
          <w:tcPr>
            <w:tcW w:type="dxa" w:w="2556"/>
            <w:vAlign w:val="top"/>
          </w:tcPr>
          <w:p>
            <w:pPr>
              <w:spacing w:after="0"/>
              <w:jc w:val="left"/>
            </w:pPr>
            <w:r>
              <w:rPr>
                <w:rFonts w:ascii="Arial" w:hAnsi="Arial"/>
                <w:b w:val="0"/>
                <w:sz w:val="14"/>
              </w:rPr>
              <w:t>Cybersecurity for agentic systems</w:t>
            </w:r>
          </w:p>
        </w:tc>
        <w:tc>
          <w:tcPr>
            <w:tcW w:type="dxa" w:w="2556"/>
            <w:vAlign w:val="top"/>
          </w:tcPr>
          <w:p>
            <w:pPr>
              <w:spacing w:after="0"/>
              <w:jc w:val="left"/>
            </w:pPr>
            <w:r>
              <w:rPr>
                <w:rFonts w:ascii="Arial" w:hAnsi="Arial"/>
                <w:b w:val="0"/>
                <w:sz w:val="14"/>
              </w:rPr>
              <w:t>MRO-02, MRO-05, MRO-07, MRO-08, MRO-14, MRO-16</w:t>
            </w:r>
          </w:p>
        </w:tc>
        <w:tc>
          <w:tcPr>
            <w:tcW w:type="dxa" w:w="2556"/>
            <w:vAlign w:val="top"/>
          </w:tcPr>
          <w:p>
            <w:pPr>
              <w:spacing w:after="0"/>
              <w:jc w:val="left"/>
            </w:pPr>
            <w:r>
              <w:rPr>
                <w:rFonts w:ascii="Arial" w:hAnsi="Arial"/>
                <w:b w:val="0"/>
                <w:sz w:val="14"/>
              </w:rPr>
              <w:t>RCCS-07, RCCS-10, ALCS-02, ALCS-05, ALCS-07, ALCS-08, ALCS-14</w:t>
            </w:r>
          </w:p>
        </w:tc>
        <w:tc>
          <w:tcPr>
            <w:tcW w:type="dxa" w:w="2556"/>
            <w:vAlign w:val="top"/>
          </w:tcPr>
          <w:p>
            <w:pPr>
              <w:spacing w:after="0"/>
              <w:jc w:val="left"/>
            </w:pPr>
            <w:r>
              <w:rPr>
                <w:rFonts w:ascii="Arial" w:hAnsi="Arial"/>
                <w:b w:val="0"/>
                <w:sz w:val="14"/>
              </w:rPr>
              <w:t>Authority boundary object, tool-action liability record, authority drift detection log, evidence partition, processor chain record, incident closure record</w:t>
            </w:r>
          </w:p>
        </w:tc>
      </w:tr>
      <w:tr>
        <w:trPr>
          <w:cantSplit/>
        </w:trPr>
        <w:tc>
          <w:tcPr>
            <w:tcW w:type="dxa" w:w="2556"/>
            <w:vAlign w:val="top"/>
          </w:tcPr>
          <w:p>
            <w:pPr>
              <w:spacing w:after="0"/>
              <w:jc w:val="left"/>
            </w:pPr>
            <w:r>
              <w:rPr>
                <w:rFonts w:ascii="Arial" w:hAnsi="Arial"/>
                <w:b w:val="0"/>
                <w:sz w:val="14"/>
              </w:rPr>
              <w:t>Privacy-preserving validation</w:t>
            </w:r>
          </w:p>
        </w:tc>
        <w:tc>
          <w:tcPr>
            <w:tcW w:type="dxa" w:w="2556"/>
            <w:vAlign w:val="top"/>
          </w:tcPr>
          <w:p>
            <w:pPr>
              <w:spacing w:after="0"/>
              <w:jc w:val="left"/>
            </w:pPr>
            <w:r>
              <w:rPr>
                <w:rFonts w:ascii="Arial" w:hAnsi="Arial"/>
                <w:b w:val="0"/>
                <w:sz w:val="14"/>
              </w:rPr>
              <w:t>MRO-08, MRO-10, MRO-11, MRO-12, MRO-13</w:t>
            </w:r>
          </w:p>
        </w:tc>
        <w:tc>
          <w:tcPr>
            <w:tcW w:type="dxa" w:w="2556"/>
            <w:vAlign w:val="top"/>
          </w:tcPr>
          <w:p>
            <w:pPr>
              <w:spacing w:after="0"/>
              <w:jc w:val="left"/>
            </w:pPr>
            <w:r>
              <w:rPr>
                <w:rFonts w:ascii="Arial" w:hAnsi="Arial"/>
                <w:b w:val="0"/>
                <w:sz w:val="14"/>
              </w:rPr>
              <w:t>RCCS-02, RCCS-04, ALCS-08, ALCS-10, ALCS-11, ALCS-12, ALCS-13</w:t>
            </w:r>
          </w:p>
        </w:tc>
        <w:tc>
          <w:tcPr>
            <w:tcW w:type="dxa" w:w="2556"/>
            <w:vAlign w:val="top"/>
          </w:tcPr>
          <w:p>
            <w:pPr>
              <w:spacing w:after="0"/>
              <w:jc w:val="left"/>
            </w:pPr>
            <w:r>
              <w:rPr>
                <w:rFonts w:ascii="Arial" w:hAnsi="Arial"/>
                <w:b w:val="0"/>
                <w:sz w:val="14"/>
              </w:rPr>
              <w:t>Evidence partition, privacy lifecycle map, privacy-preserving validation protocol, evidence minimization policy, data subject rights reconciliation record</w:t>
            </w:r>
          </w:p>
        </w:tc>
      </w:tr>
    </w:tbl>
    <w:p>
      <w:pPr>
        <w:sectPr>
          <w:pgSz w:w="12240" w:h="15840"/>
          <w:pgMar w:top="792" w:right="648" w:bottom="792" w:left="648" w:header="720" w:footer="720" w:gutter="0"/>
          <w:cols w:space="720"/>
          <w:docGrid w:linePitch="360"/>
        </w:sectPr>
      </w:pPr>
    </w:p>
    <w:p/>
    <w:p>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
    <w:p>
      <w:pPr>
        <w:pStyle w:val="Heading2"/>
      </w:pPr>
      <w:r>
        <w:t>10.3 Model Risk Management in Agentic Systems</w:t>
      </w:r>
    </w:p>
    <w:p/>
    <w:p>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
      <w:pPr>
        <w:pStyle w:val="Heading3"/>
      </w:pPr>
      <w:r>
        <w:t>Model Risk in Agentic Lifecycle</w:t>
      </w:r>
    </w:p>
    <w:p/>
    <w:p>
      <w:pPr>
        <w:spacing w:before="160" w:after="80"/>
        <w:jc w:val="center"/>
      </w:pPr>
      <w:r>
        <w:rPr>
          <w:b/>
          <w:color w:val="1F4E79"/>
          <w:sz w:val="18"/>
        </w:rPr>
        <w:t>The following figure illustrates how model, prompt, policy, and runtime changes propagate through the agentic lifecycle and influence authority, tool use, evidence, and accepted outcomes.</w:t>
      </w:r>
    </w:p>
    <w:p/>
    <w:p>
      <w:pPr>
        <w:spacing w:before="160" w:after="80"/>
        <w:jc w:val="center"/>
      </w:pPr>
      <w:r>
        <w:rPr>
          <w:b/>
          <w:color w:val="1F4E79"/>
          <w:sz w:val="18"/>
        </w:rPr>
        <w:t>FIGURE PLACEHOLDER F-07: Model Risk in Agentic Lifecycle</w:t>
      </w:r>
    </w:p>
    <w:p/>
    <w:p>
      <w:pPr>
        <w:spacing w:before="160" w:after="80"/>
        <w:jc w:val="center"/>
      </w:pPr>
      <w:r>
        <w:rPr>
          <w:b/>
          <w:color w:val="1F4E79"/>
          <w:sz w:val="18"/>
        </w:rPr>
        <w:t>Figure description:</w:t>
      </w:r>
    </w:p>
    <w:p/>
    <w:p>
      <w:pPr>
        <w:spacing w:before="60" w:after="100"/>
        <w:ind w:left="259"/>
      </w:pPr>
      <w:r>
        <w:rPr>
          <w:rFonts w:ascii="Courier New" w:hAnsi="Courier New"/>
          <w:sz w:val="15"/>
        </w:rPr>
        <w:t>Model / prompt / policy / runtime changes</w:t>
        <w:br/>
        <w:t xml:space="preserve">        ↓</w:t>
        <w:br/>
        <w:t>Plan and delegation behavior</w:t>
        <w:br/>
        <w:t xml:space="preserve">        ↓</w:t>
        <w:br/>
        <w:t>Authority boundary behavior</w:t>
        <w:br/>
        <w:t xml:space="preserve">        ↓</w:t>
        <w:br/>
        <w:t>Tool selection / tool action</w:t>
        <w:br/>
        <w:t xml:space="preserve">        ↓</w:t>
        <w:br/>
        <w:t>Evidence interpretation</w:t>
        <w:br/>
        <w:t xml:space="preserve">        ↓</w:t>
        <w:br/>
        <w:t>Accepted outcome / incident closure</w:t>
      </w:r>
    </w:p>
    <w:p/>
    <w:p>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
      <w:pPr>
        <w:pStyle w:val="Heading3"/>
      </w:pPr>
      <w:r>
        <w:t>Model Risk Management Table</w:t>
      </w:r>
    </w:p>
    <w:p/>
    <w:p>
      <w:r>
        <w:t>The following table maps model risk concerns to agentic lifecycle impacts, relevant MROs, and control evidence.</w:t>
      </w:r>
    </w:p>
    <w:p/>
    <w:p>
      <w:pPr>
        <w:keepNext/>
      </w:pPr>
      <w:r>
        <w:rPr>
          <w:b/>
          <w:sz w:val="17"/>
        </w:rPr>
        <w:t>Table T-10-02: Model Risk Management in Agentic Systems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Model Risk Concern</w:t>
            </w:r>
          </w:p>
        </w:tc>
        <w:tc>
          <w:tcPr>
            <w:tcW w:type="dxa" w:w="2556"/>
            <w:vAlign w:val="top"/>
            <w:shd w:fill="D9EAF7"/>
          </w:tcPr>
          <w:p>
            <w:pPr>
              <w:spacing w:after="0"/>
              <w:jc w:val="left"/>
            </w:pPr>
            <w:r>
              <w:rPr>
                <w:rFonts w:ascii="Arial" w:hAnsi="Arial"/>
                <w:b/>
                <w:sz w:val="14"/>
              </w:rPr>
              <w:t>Agentic Lifecycle Impact</w:t>
            </w:r>
          </w:p>
        </w:tc>
        <w:tc>
          <w:tcPr>
            <w:tcW w:type="dxa" w:w="2556"/>
            <w:vAlign w:val="top"/>
            <w:shd w:fill="D9EAF7"/>
          </w:tcPr>
          <w:p>
            <w:pPr>
              <w:spacing w:after="0"/>
              <w:jc w:val="left"/>
            </w:pPr>
            <w:r>
              <w:rPr>
                <w:rFonts w:ascii="Arial" w:hAnsi="Arial"/>
                <w:b/>
                <w:sz w:val="14"/>
              </w:rPr>
              <w:t>Relevant MROs</w:t>
            </w:r>
          </w:p>
        </w:tc>
        <w:tc>
          <w:tcPr>
            <w:tcW w:type="dxa" w:w="2556"/>
            <w:vAlign w:val="top"/>
            <w:shd w:fill="D9EAF7"/>
          </w:tcPr>
          <w:p>
            <w:pPr>
              <w:spacing w:after="0"/>
              <w:jc w:val="left"/>
            </w:pPr>
            <w:r>
              <w:rPr>
                <w:rFonts w:ascii="Arial" w:hAnsi="Arial"/>
                <w:b/>
                <w:sz w:val="14"/>
              </w:rPr>
              <w:t>Control Evidence</w:t>
            </w:r>
          </w:p>
        </w:tc>
      </w:tr>
      <w:tr>
        <w:trPr>
          <w:cantSplit/>
        </w:trPr>
        <w:tc>
          <w:tcPr>
            <w:tcW w:type="dxa" w:w="2556"/>
            <w:vAlign w:val="top"/>
          </w:tcPr>
          <w:p>
            <w:pPr>
              <w:spacing w:after="0"/>
              <w:jc w:val="left"/>
            </w:pPr>
            <w:r>
              <w:rPr>
                <w:rFonts w:ascii="Arial" w:hAnsi="Arial"/>
                <w:b w:val="0"/>
                <w:sz w:val="14"/>
              </w:rPr>
              <w:t>Model inventory</w:t>
            </w:r>
          </w:p>
        </w:tc>
        <w:tc>
          <w:tcPr>
            <w:tcW w:type="dxa" w:w="2556"/>
            <w:vAlign w:val="top"/>
          </w:tcPr>
          <w:p>
            <w:pPr>
              <w:spacing w:after="0"/>
              <w:jc w:val="left"/>
            </w:pPr>
            <w:r>
              <w:rPr>
                <w:rFonts w:ascii="Arial" w:hAnsi="Arial"/>
                <w:b w:val="0"/>
                <w:sz w:val="14"/>
              </w:rPr>
              <w:t>Without model inventory, the organization cannot reconstruct which model version influenced which lifecycle execution, authority transition, or accepted outcome.</w:t>
            </w:r>
          </w:p>
        </w:tc>
        <w:tc>
          <w:tcPr>
            <w:tcW w:type="dxa" w:w="2556"/>
            <w:vAlign w:val="top"/>
          </w:tcPr>
          <w:p>
            <w:pPr>
              <w:spacing w:after="0"/>
              <w:jc w:val="left"/>
            </w:pPr>
            <w:r>
              <w:rPr>
                <w:rFonts w:ascii="Arial" w:hAnsi="Arial"/>
                <w:b w:val="0"/>
                <w:sz w:val="14"/>
              </w:rPr>
              <w:t>MRO-15</w:t>
            </w:r>
          </w:p>
        </w:tc>
        <w:tc>
          <w:tcPr>
            <w:tcW w:type="dxa" w:w="2556"/>
            <w:vAlign w:val="top"/>
          </w:tcPr>
          <w:p>
            <w:pPr>
              <w:spacing w:after="0"/>
              <w:jc w:val="left"/>
            </w:pPr>
            <w:r>
              <w:rPr>
                <w:rFonts w:ascii="Arial" w:hAnsi="Arial"/>
                <w:b w:val="0"/>
                <w:sz w:val="14"/>
              </w:rPr>
              <w:t>Model version registry linked to lifecycle execution records</w:t>
            </w:r>
          </w:p>
        </w:tc>
      </w:tr>
      <w:tr>
        <w:trPr>
          <w:cantSplit/>
        </w:trPr>
        <w:tc>
          <w:tcPr>
            <w:tcW w:type="dxa" w:w="2556"/>
            <w:vAlign w:val="top"/>
          </w:tcPr>
          <w:p>
            <w:pPr>
              <w:spacing w:after="0"/>
              <w:jc w:val="left"/>
            </w:pPr>
            <w:r>
              <w:rPr>
                <w:rFonts w:ascii="Arial" w:hAnsi="Arial"/>
                <w:b w:val="0"/>
                <w:sz w:val="14"/>
              </w:rPr>
              <w:t>Foundation model dependency</w:t>
            </w:r>
          </w:p>
        </w:tc>
        <w:tc>
          <w:tcPr>
            <w:tcW w:type="dxa" w:w="2556"/>
            <w:vAlign w:val="top"/>
          </w:tcPr>
          <w:p>
            <w:pPr>
              <w:spacing w:after="0"/>
              <w:jc w:val="left"/>
            </w:pPr>
            <w:r>
              <w:rPr>
                <w:rFonts w:ascii="Arial" w:hAnsi="Arial"/>
                <w:b w:val="0"/>
                <w:sz w:val="14"/>
              </w:rPr>
              <w:t>Foundation model changes may alter planning, delegation, tool selection, or evidence interpretation behavior without explicit revalidation.</w:t>
            </w:r>
          </w:p>
        </w:tc>
        <w:tc>
          <w:tcPr>
            <w:tcW w:type="dxa" w:w="2556"/>
            <w:vAlign w:val="top"/>
          </w:tcPr>
          <w:p>
            <w:pPr>
              <w:spacing w:after="0"/>
              <w:jc w:val="left"/>
            </w:pPr>
            <w:r>
              <w:rPr>
                <w:rFonts w:ascii="Arial" w:hAnsi="Arial"/>
                <w:b w:val="0"/>
                <w:sz w:val="14"/>
              </w:rPr>
              <w:t>MRO-07, MRO-15</w:t>
            </w:r>
          </w:p>
        </w:tc>
        <w:tc>
          <w:tcPr>
            <w:tcW w:type="dxa" w:w="2556"/>
            <w:vAlign w:val="top"/>
          </w:tcPr>
          <w:p>
            <w:pPr>
              <w:spacing w:after="0"/>
              <w:jc w:val="left"/>
            </w:pPr>
            <w:r>
              <w:rPr>
                <w:rFonts w:ascii="Arial" w:hAnsi="Arial"/>
                <w:b w:val="0"/>
                <w:sz w:val="14"/>
              </w:rPr>
              <w:t>Foundation model version tracking, authority drift detection, substitution conformance test</w:t>
            </w:r>
          </w:p>
        </w:tc>
      </w:tr>
      <w:tr>
        <w:trPr>
          <w:cantSplit/>
        </w:trPr>
        <w:tc>
          <w:tcPr>
            <w:tcW w:type="dxa" w:w="2556"/>
            <w:vAlign w:val="top"/>
          </w:tcPr>
          <w:p>
            <w:pPr>
              <w:spacing w:after="0"/>
              <w:jc w:val="left"/>
            </w:pPr>
            <w:r>
              <w:rPr>
                <w:rFonts w:ascii="Arial" w:hAnsi="Arial"/>
                <w:b w:val="0"/>
                <w:sz w:val="14"/>
              </w:rPr>
              <w:t>Model provider dependency</w:t>
            </w:r>
          </w:p>
        </w:tc>
        <w:tc>
          <w:tcPr>
            <w:tcW w:type="dxa" w:w="2556"/>
            <w:vAlign w:val="top"/>
          </w:tcPr>
          <w:p>
            <w:pPr>
              <w:spacing w:after="0"/>
              <w:jc w:val="left"/>
            </w:pPr>
            <w:r>
              <w:rPr>
                <w:rFonts w:ascii="Arial" w:hAnsi="Arial"/>
                <w:b w:val="0"/>
                <w:sz w:val="14"/>
              </w:rPr>
              <w:t>Model provider changes may introduce new processor/subprocessor relationships, privacy risks, or vendor lock-in without lifecycle revalidation.</w:t>
            </w:r>
          </w:p>
        </w:tc>
        <w:tc>
          <w:tcPr>
            <w:tcW w:type="dxa" w:w="2556"/>
            <w:vAlign w:val="top"/>
          </w:tcPr>
          <w:p>
            <w:pPr>
              <w:spacing w:after="0"/>
              <w:jc w:val="left"/>
            </w:pPr>
            <w:r>
              <w:rPr>
                <w:rFonts w:ascii="Arial" w:hAnsi="Arial"/>
                <w:b w:val="0"/>
                <w:sz w:val="14"/>
              </w:rPr>
              <w:t>MRO-14, MRO-15</w:t>
            </w:r>
          </w:p>
        </w:tc>
        <w:tc>
          <w:tcPr>
            <w:tcW w:type="dxa" w:w="2556"/>
            <w:vAlign w:val="top"/>
          </w:tcPr>
          <w:p>
            <w:pPr>
              <w:spacing w:after="0"/>
              <w:jc w:val="left"/>
            </w:pPr>
            <w:r>
              <w:rPr>
                <w:rFonts w:ascii="Arial" w:hAnsi="Arial"/>
                <w:b w:val="0"/>
                <w:sz w:val="14"/>
              </w:rPr>
              <w:t>Processor chain record, vendor substitution conformance test</w:t>
            </w:r>
          </w:p>
        </w:tc>
      </w:tr>
      <w:tr>
        <w:trPr>
          <w:cantSplit/>
        </w:trPr>
        <w:tc>
          <w:tcPr>
            <w:tcW w:type="dxa" w:w="2556"/>
            <w:vAlign w:val="top"/>
          </w:tcPr>
          <w:p>
            <w:pPr>
              <w:spacing w:after="0"/>
              <w:jc w:val="left"/>
            </w:pPr>
            <w:r>
              <w:rPr>
                <w:rFonts w:ascii="Arial" w:hAnsi="Arial"/>
                <w:b w:val="0"/>
                <w:sz w:val="14"/>
              </w:rPr>
              <w:t>Model version risk</w:t>
            </w:r>
          </w:p>
        </w:tc>
        <w:tc>
          <w:tcPr>
            <w:tcW w:type="dxa" w:w="2556"/>
            <w:vAlign w:val="top"/>
          </w:tcPr>
          <w:p>
            <w:pPr>
              <w:spacing w:after="0"/>
              <w:jc w:val="left"/>
            </w:pPr>
            <w:r>
              <w:rPr>
                <w:rFonts w:ascii="Arial" w:hAnsi="Arial"/>
                <w:b w:val="0"/>
                <w:sz w:val="14"/>
              </w:rPr>
              <w:t>Model version changes may alter lifecycle behavior in ways that violate delegated authority, escalation rules, or evidence requirements.</w:t>
            </w:r>
          </w:p>
        </w:tc>
        <w:tc>
          <w:tcPr>
            <w:tcW w:type="dxa" w:w="2556"/>
            <w:vAlign w:val="top"/>
          </w:tcPr>
          <w:p>
            <w:pPr>
              <w:spacing w:after="0"/>
              <w:jc w:val="left"/>
            </w:pPr>
            <w:r>
              <w:rPr>
                <w:rFonts w:ascii="Arial" w:hAnsi="Arial"/>
                <w:b w:val="0"/>
                <w:sz w:val="14"/>
              </w:rPr>
              <w:t>MRO-07, MRO-08, MRO-15</w:t>
            </w:r>
          </w:p>
        </w:tc>
        <w:tc>
          <w:tcPr>
            <w:tcW w:type="dxa" w:w="2556"/>
            <w:vAlign w:val="top"/>
          </w:tcPr>
          <w:p>
            <w:pPr>
              <w:spacing w:after="0"/>
              <w:jc w:val="left"/>
            </w:pPr>
            <w:r>
              <w:rPr>
                <w:rFonts w:ascii="Arial" w:hAnsi="Arial"/>
                <w:b w:val="0"/>
                <w:sz w:val="14"/>
              </w:rPr>
              <w:t>Model version change log, authority drift detection, evidence partition validation, substitution conformance test</w:t>
            </w:r>
          </w:p>
        </w:tc>
      </w:tr>
      <w:tr>
        <w:trPr>
          <w:cantSplit/>
        </w:trPr>
        <w:tc>
          <w:tcPr>
            <w:tcW w:type="dxa" w:w="2556"/>
            <w:vAlign w:val="top"/>
          </w:tcPr>
          <w:p>
            <w:pPr>
              <w:spacing w:after="0"/>
              <w:jc w:val="left"/>
            </w:pPr>
            <w:r>
              <w:rPr>
                <w:rFonts w:ascii="Arial" w:hAnsi="Arial"/>
                <w:b w:val="0"/>
                <w:sz w:val="14"/>
              </w:rPr>
              <w:t>Model substitution</w:t>
            </w:r>
          </w:p>
        </w:tc>
        <w:tc>
          <w:tcPr>
            <w:tcW w:type="dxa" w:w="2556"/>
            <w:vAlign w:val="top"/>
          </w:tcPr>
          <w:p>
            <w:pPr>
              <w:spacing w:after="0"/>
              <w:jc w:val="left"/>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vAlign w:val="top"/>
          </w:tcPr>
          <w:p>
            <w:pPr>
              <w:spacing w:after="0"/>
              <w:jc w:val="left"/>
            </w:pPr>
            <w:r>
              <w:rPr>
                <w:rFonts w:ascii="Arial" w:hAnsi="Arial"/>
                <w:b w:val="0"/>
                <w:sz w:val="14"/>
              </w:rPr>
              <w:t>MRO-15</w:t>
            </w:r>
          </w:p>
        </w:tc>
        <w:tc>
          <w:tcPr>
            <w:tcW w:type="dxa" w:w="2556"/>
            <w:vAlign w:val="top"/>
          </w:tcPr>
          <w:p>
            <w:pPr>
              <w:spacing w:after="0"/>
              <w:jc w:val="left"/>
            </w:pPr>
            <w:r>
              <w:rPr>
                <w:rFonts w:ascii="Arial" w:hAnsi="Arial"/>
                <w:b w:val="0"/>
                <w:sz w:val="14"/>
              </w:rPr>
              <w:t>Vendor substitution conformance test, lifecycle revalidation record</w:t>
            </w:r>
          </w:p>
        </w:tc>
      </w:tr>
      <w:tr>
        <w:trPr>
          <w:cantSplit/>
        </w:trPr>
        <w:tc>
          <w:tcPr>
            <w:tcW w:type="dxa" w:w="2556"/>
            <w:vAlign w:val="top"/>
          </w:tcPr>
          <w:p>
            <w:pPr>
              <w:spacing w:after="0"/>
              <w:jc w:val="left"/>
            </w:pPr>
            <w:r>
              <w:rPr>
                <w:rFonts w:ascii="Arial" w:hAnsi="Arial"/>
                <w:b w:val="0"/>
                <w:sz w:val="14"/>
              </w:rPr>
              <w:t>Evaluation drift</w:t>
            </w:r>
          </w:p>
        </w:tc>
        <w:tc>
          <w:tcPr>
            <w:tcW w:type="dxa" w:w="2556"/>
            <w:vAlign w:val="top"/>
          </w:tcPr>
          <w:p>
            <w:pPr>
              <w:spacing w:after="0"/>
              <w:jc w:val="left"/>
            </w:pPr>
            <w:r>
              <w:rPr>
                <w:rFonts w:ascii="Arial" w:hAnsi="Arial"/>
                <w:b w:val="0"/>
                <w:sz w:val="14"/>
              </w:rPr>
              <w:t>Model evaluation drift may indicate that the model no longer behaves as expected under delegated authority, escalation rules, or evidence requirements.</w:t>
            </w:r>
          </w:p>
        </w:tc>
        <w:tc>
          <w:tcPr>
            <w:tcW w:type="dxa" w:w="2556"/>
            <w:vAlign w:val="top"/>
          </w:tcPr>
          <w:p>
            <w:pPr>
              <w:spacing w:after="0"/>
              <w:jc w:val="left"/>
            </w:pPr>
            <w:r>
              <w:rPr>
                <w:rFonts w:ascii="Arial" w:hAnsi="Arial"/>
                <w:b w:val="0"/>
                <w:sz w:val="14"/>
              </w:rPr>
              <w:t>MRO-07, MRO-16</w:t>
            </w:r>
          </w:p>
        </w:tc>
        <w:tc>
          <w:tcPr>
            <w:tcW w:type="dxa" w:w="2556"/>
            <w:vAlign w:val="top"/>
          </w:tcPr>
          <w:p>
            <w:pPr>
              <w:spacing w:after="0"/>
              <w:jc w:val="left"/>
            </w:pPr>
            <w:r>
              <w:rPr>
                <w:rFonts w:ascii="Arial" w:hAnsi="Arial"/>
                <w:b w:val="0"/>
                <w:sz w:val="14"/>
              </w:rPr>
              <w:t>Authority drift detection log, incident closure record</w:t>
            </w:r>
          </w:p>
        </w:tc>
      </w:tr>
      <w:tr>
        <w:trPr>
          <w:cantSplit/>
        </w:trPr>
        <w:tc>
          <w:tcPr>
            <w:tcW w:type="dxa" w:w="2556"/>
            <w:vAlign w:val="top"/>
          </w:tcPr>
          <w:p>
            <w:pPr>
              <w:spacing w:after="0"/>
              <w:jc w:val="left"/>
            </w:pPr>
            <w:r>
              <w:rPr>
                <w:rFonts w:ascii="Arial" w:hAnsi="Arial"/>
                <w:b w:val="0"/>
                <w:sz w:val="14"/>
              </w:rPr>
              <w:t>Prompt / policy regression</w:t>
            </w:r>
          </w:p>
        </w:tc>
        <w:tc>
          <w:tcPr>
            <w:tcW w:type="dxa" w:w="2556"/>
            <w:vAlign w:val="top"/>
          </w:tcPr>
          <w:p>
            <w:pPr>
              <w:spacing w:after="0"/>
              <w:jc w:val="left"/>
            </w:pPr>
            <w:r>
              <w:rPr>
                <w:rFonts w:ascii="Arial" w:hAnsi="Arial"/>
                <w:b w:val="0"/>
                <w:sz w:val="14"/>
              </w:rPr>
              <w:t>Prompt or policy changes may alter planning, delegation, tool selection, or evidence interpretation behavior without explicit revalidation.</w:t>
            </w:r>
          </w:p>
        </w:tc>
        <w:tc>
          <w:tcPr>
            <w:tcW w:type="dxa" w:w="2556"/>
            <w:vAlign w:val="top"/>
          </w:tcPr>
          <w:p>
            <w:pPr>
              <w:spacing w:after="0"/>
              <w:jc w:val="left"/>
            </w:pPr>
            <w:r>
              <w:rPr>
                <w:rFonts w:ascii="Arial" w:hAnsi="Arial"/>
                <w:b w:val="0"/>
                <w:sz w:val="14"/>
              </w:rPr>
              <w:t>MRO-07, MRO-08</w:t>
            </w:r>
          </w:p>
        </w:tc>
        <w:tc>
          <w:tcPr>
            <w:tcW w:type="dxa" w:w="2556"/>
            <w:vAlign w:val="top"/>
          </w:tcPr>
          <w:p>
            <w:pPr>
              <w:spacing w:after="0"/>
              <w:jc w:val="left"/>
            </w:pPr>
            <w:r>
              <w:rPr>
                <w:rFonts w:ascii="Arial" w:hAnsi="Arial"/>
                <w:b w:val="0"/>
                <w:sz w:val="14"/>
              </w:rPr>
              <w:t>Prompt version tracking, authority drift detection, evidence partition validation</w:t>
            </w:r>
          </w:p>
        </w:tc>
      </w:tr>
      <w:tr>
        <w:trPr>
          <w:cantSplit/>
        </w:trPr>
        <w:tc>
          <w:tcPr>
            <w:tcW w:type="dxa" w:w="2556"/>
            <w:vAlign w:val="top"/>
          </w:tcPr>
          <w:p>
            <w:pPr>
              <w:spacing w:after="0"/>
              <w:jc w:val="left"/>
            </w:pPr>
            <w:r>
              <w:rPr>
                <w:rFonts w:ascii="Arial" w:hAnsi="Arial"/>
                <w:b w:val="0"/>
                <w:sz w:val="14"/>
              </w:rPr>
              <w:t>Authority-transition influence</w:t>
            </w:r>
          </w:p>
        </w:tc>
        <w:tc>
          <w:tcPr>
            <w:tcW w:type="dxa" w:w="2556"/>
            <w:vAlign w:val="top"/>
          </w:tcPr>
          <w:p>
            <w:pPr>
              <w:spacing w:after="0"/>
              <w:jc w:val="left"/>
            </w:pPr>
            <w:r>
              <w:rPr>
                <w:rFonts w:ascii="Arial" w:hAnsi="Arial"/>
                <w:b w:val="0"/>
                <w:sz w:val="14"/>
              </w:rPr>
              <w:t>Model behavior may influence whether an agent escalates, delegates, or proceeds under delegated authority. This is a lifecycle risk, not only a model-performance risk.</w:t>
            </w:r>
          </w:p>
        </w:tc>
        <w:tc>
          <w:tcPr>
            <w:tcW w:type="dxa" w:w="2556"/>
            <w:vAlign w:val="top"/>
          </w:tcPr>
          <w:p>
            <w:pPr>
              <w:spacing w:after="0"/>
              <w:jc w:val="left"/>
            </w:pPr>
            <w:r>
              <w:rPr>
                <w:rFonts w:ascii="Arial" w:hAnsi="Arial"/>
                <w:b w:val="0"/>
                <w:sz w:val="14"/>
              </w:rPr>
              <w:t>MRO-02, MRO-07</w:t>
            </w:r>
          </w:p>
        </w:tc>
        <w:tc>
          <w:tcPr>
            <w:tcW w:type="dxa" w:w="2556"/>
            <w:vAlign w:val="top"/>
          </w:tcPr>
          <w:p>
            <w:pPr>
              <w:spacing w:after="0"/>
              <w:jc w:val="left"/>
            </w:pPr>
            <w:r>
              <w:rPr>
                <w:rFonts w:ascii="Arial" w:hAnsi="Arial"/>
                <w:b w:val="0"/>
                <w:sz w:val="14"/>
              </w:rPr>
              <w:t>Authority boundary object, authority drift detection log</w:t>
            </w:r>
          </w:p>
        </w:tc>
      </w:tr>
      <w:tr>
        <w:trPr>
          <w:cantSplit/>
        </w:trPr>
        <w:tc>
          <w:tcPr>
            <w:tcW w:type="dxa" w:w="2556"/>
            <w:vAlign w:val="top"/>
          </w:tcPr>
          <w:p>
            <w:pPr>
              <w:spacing w:after="0"/>
              <w:jc w:val="left"/>
            </w:pPr>
            <w:r>
              <w:rPr>
                <w:rFonts w:ascii="Arial" w:hAnsi="Arial"/>
                <w:b w:val="0"/>
                <w:sz w:val="14"/>
              </w:rPr>
              <w:t>Multi-agent handoff behavior</w:t>
            </w:r>
          </w:p>
        </w:tc>
        <w:tc>
          <w:tcPr>
            <w:tcW w:type="dxa" w:w="2556"/>
            <w:vAlign w:val="top"/>
          </w:tcPr>
          <w:p>
            <w:pPr>
              <w:spacing w:after="0"/>
              <w:jc w:val="left"/>
            </w:pPr>
            <w:r>
              <w:rPr>
                <w:rFonts w:ascii="Arial" w:hAnsi="Arial"/>
                <w:b w:val="0"/>
                <w:sz w:val="14"/>
              </w:rPr>
              <w:t>Model behavior may influence how agents transfer responsibility, inherit constraints, or partition evidence during handoffs.</w:t>
            </w:r>
          </w:p>
        </w:tc>
        <w:tc>
          <w:tcPr>
            <w:tcW w:type="dxa" w:w="2556"/>
            <w:vAlign w:val="top"/>
          </w:tcPr>
          <w:p>
            <w:pPr>
              <w:spacing w:after="0"/>
              <w:jc w:val="left"/>
            </w:pPr>
            <w:r>
              <w:rPr>
                <w:rFonts w:ascii="Arial" w:hAnsi="Arial"/>
                <w:b w:val="0"/>
                <w:sz w:val="14"/>
              </w:rPr>
              <w:t>MRO-06, MRO-08</w:t>
            </w:r>
          </w:p>
        </w:tc>
        <w:tc>
          <w:tcPr>
            <w:tcW w:type="dxa" w:w="2556"/>
            <w:vAlign w:val="top"/>
          </w:tcPr>
          <w:p>
            <w:pPr>
              <w:spacing w:after="0"/>
              <w:jc w:val="left"/>
            </w:pPr>
            <w:r>
              <w:rPr>
                <w:rFonts w:ascii="Arial" w:hAnsi="Arial"/>
                <w:b w:val="0"/>
                <w:sz w:val="14"/>
              </w:rPr>
              <w:t>Responsibility transfer object, evidence partition</w:t>
            </w:r>
          </w:p>
        </w:tc>
      </w:tr>
      <w:tr>
        <w:trPr>
          <w:cantSplit/>
        </w:trPr>
        <w:tc>
          <w:tcPr>
            <w:tcW w:type="dxa" w:w="2556"/>
            <w:vAlign w:val="top"/>
          </w:tcPr>
          <w:p>
            <w:pPr>
              <w:spacing w:after="0"/>
              <w:jc w:val="left"/>
            </w:pPr>
            <w:r>
              <w:rPr>
                <w:rFonts w:ascii="Arial" w:hAnsi="Arial"/>
                <w:b w:val="0"/>
                <w:sz w:val="14"/>
              </w:rPr>
              <w:t>Evidence interpretation risk</w:t>
            </w:r>
          </w:p>
        </w:tc>
        <w:tc>
          <w:tcPr>
            <w:tcW w:type="dxa" w:w="2556"/>
            <w:vAlign w:val="top"/>
          </w:tcPr>
          <w:p>
            <w:pPr>
              <w:spacing w:after="0"/>
              <w:jc w:val="left"/>
            </w:pPr>
            <w:r>
              <w:rPr>
                <w:rFonts w:ascii="Arial" w:hAnsi="Arial"/>
                <w:b w:val="0"/>
                <w:sz w:val="14"/>
              </w:rPr>
              <w:t>Model behavior may influence how evidence is interpreted, summarized, or presented to human reviewers. This may alter accepted outcome states.</w:t>
            </w:r>
          </w:p>
        </w:tc>
        <w:tc>
          <w:tcPr>
            <w:tcW w:type="dxa" w:w="2556"/>
            <w:vAlign w:val="top"/>
          </w:tcPr>
          <w:p>
            <w:pPr>
              <w:spacing w:after="0"/>
              <w:jc w:val="left"/>
            </w:pPr>
            <w:r>
              <w:rPr>
                <w:rFonts w:ascii="Arial" w:hAnsi="Arial"/>
                <w:b w:val="0"/>
                <w:sz w:val="14"/>
              </w:rPr>
              <w:t>MRO-04, MRO-08</w:t>
            </w:r>
          </w:p>
        </w:tc>
        <w:tc>
          <w:tcPr>
            <w:tcW w:type="dxa" w:w="2556"/>
            <w:vAlign w:val="top"/>
          </w:tcPr>
          <w:p>
            <w:pPr>
              <w:spacing w:after="0"/>
              <w:jc w:val="left"/>
            </w:pPr>
            <w:r>
              <w:rPr>
                <w:rFonts w:ascii="Arial" w:hAnsi="Arial"/>
                <w:b w:val="0"/>
                <w:sz w:val="14"/>
              </w:rPr>
              <w:t>Accepted outcome state, evidence partition, review packet validation</w:t>
            </w:r>
          </w:p>
        </w:tc>
      </w:tr>
    </w:tbl>
    <w:p>
      <w:pPr>
        <w:sectPr>
          <w:pgSz w:w="12240" w:h="15840"/>
          <w:pgMar w:top="792" w:right="648" w:bottom="792" w:left="648" w:header="720" w:footer="720" w:gutter="0"/>
          <w:cols w:space="720"/>
          <w:docGrid w:linePitch="360"/>
        </w:sectPr>
      </w:pPr>
    </w:p>
    <w:p/>
    <w:p>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
    <w:p>
      <w:pPr>
        <w:pStyle w:val="Heading2"/>
      </w:pPr>
      <w:r>
        <w:t>10.4 Cybersecurity Controls Integration</w:t>
      </w:r>
    </w:p>
    <w:p/>
    <w:p>
      <w:pPr>
        <w:pStyle w:val="Heading3"/>
      </w:pPr>
      <w:r>
        <w:t>10.4.1 Why Cybersecurity and Lifecycle Governance Intersect</w:t>
      </w:r>
    </w:p>
    <w:p/>
    <w:p>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
      <w:r>
        <w:t>Reference frameworks:</w:t>
      </w:r>
    </w:p>
    <w:p>
      <w:pPr>
        <w:pStyle w:val="ListBullet"/>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pPr>
      <w:r>
        <w:t>NIST AI Risk Management Framework (Govern, Map, Measure, Manage functions applied to AI systems)</w:t>
      </w:r>
    </w:p>
    <w:p>
      <w:pPr>
        <w:pStyle w:val="ListBullet"/>
      </w:pPr>
      <w:r>
        <w:t>MITRE ATLAS (Adversarial Threat Landscape for Artificial-Intelligence Systems)</w:t>
      </w:r>
    </w:p>
    <w:p/>
    <w:p>
      <w:pPr>
        <w:pStyle w:val="Heading3"/>
      </w:pPr>
      <w:r>
        <w:t>10.4.2 Cybersecurity Control Mapping</w:t>
      </w:r>
    </w:p>
    <w:p/>
    <w:p>
      <w:r>
        <w:t>The following table maps cybersecurity control domains to agentic attack surfaces, lifecycle governance objects, MRO dimensions, and evidence outputs.</w:t>
      </w:r>
    </w:p>
    <w:p/>
    <w:p>
      <w:pPr>
        <w:keepNext/>
      </w:pPr>
      <w:r>
        <w:rPr>
          <w:b/>
          <w:sz w:val="17"/>
        </w:rPr>
        <w:t>Table T-10-03: Cybersecurity Control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3"/>
              </w:rPr>
              <w:t>Cybersecurity Control Domain</w:t>
            </w:r>
          </w:p>
        </w:tc>
        <w:tc>
          <w:tcPr>
            <w:tcW w:type="dxa" w:w="2880"/>
            <w:vAlign w:val="top"/>
            <w:shd w:fill="D9EAF7"/>
          </w:tcPr>
          <w:p>
            <w:pPr>
              <w:spacing w:after="0"/>
              <w:jc w:val="left"/>
            </w:pPr>
            <w:r>
              <w:rPr>
                <w:rFonts w:ascii="Arial" w:hAnsi="Arial"/>
                <w:b/>
                <w:sz w:val="13"/>
              </w:rPr>
              <w:t>Agentic Attack Surface</w:t>
            </w:r>
          </w:p>
        </w:tc>
        <w:tc>
          <w:tcPr>
            <w:tcW w:type="dxa" w:w="2880"/>
            <w:vAlign w:val="top"/>
            <w:shd w:fill="D9EAF7"/>
          </w:tcPr>
          <w:p>
            <w:pPr>
              <w:spacing w:after="0"/>
              <w:jc w:val="left"/>
            </w:pPr>
            <w:r>
              <w:rPr>
                <w:rFonts w:ascii="Arial" w:hAnsi="Arial"/>
                <w:b/>
                <w:sz w:val="13"/>
              </w:rPr>
              <w:t>Lifecycle Governance Object</w:t>
            </w:r>
          </w:p>
        </w:tc>
        <w:tc>
          <w:tcPr>
            <w:tcW w:type="dxa" w:w="2880"/>
            <w:vAlign w:val="top"/>
            <w:shd w:fill="D9EAF7"/>
          </w:tcPr>
          <w:p>
            <w:pPr>
              <w:spacing w:after="0"/>
              <w:jc w:val="left"/>
            </w:pPr>
            <w:r>
              <w:rPr>
                <w:rFonts w:ascii="Arial" w:hAnsi="Arial"/>
                <w:b/>
                <w:sz w:val="13"/>
              </w:rPr>
              <w:t>MRO Dimension</w:t>
            </w:r>
          </w:p>
        </w:tc>
        <w:tc>
          <w:tcPr>
            <w:tcW w:type="dxa" w:w="2880"/>
            <w:vAlign w:val="top"/>
            <w:shd w:fill="D9EAF7"/>
          </w:tcPr>
          <w:p>
            <w:pPr>
              <w:spacing w:after="0"/>
              <w:jc w:val="left"/>
            </w:pPr>
            <w:r>
              <w:rPr>
                <w:rFonts w:ascii="Arial" w:hAnsi="Arial"/>
                <w:b/>
                <w:sz w:val="13"/>
              </w:rPr>
              <w:t>Evidence Output</w:t>
            </w:r>
          </w:p>
        </w:tc>
      </w:tr>
      <w:tr>
        <w:trPr>
          <w:cantSplit/>
        </w:trPr>
        <w:tc>
          <w:tcPr>
            <w:tcW w:type="dxa" w:w="2880"/>
            <w:vAlign w:val="top"/>
          </w:tcPr>
          <w:p>
            <w:pPr>
              <w:spacing w:after="0"/>
              <w:jc w:val="left"/>
            </w:pPr>
            <w:r>
              <w:rPr>
                <w:rFonts w:ascii="Arial" w:hAnsi="Arial"/>
                <w:b w:val="0"/>
                <w:sz w:val="13"/>
              </w:rPr>
              <w:t>Identity and Access Management</w:t>
            </w:r>
          </w:p>
        </w:tc>
        <w:tc>
          <w:tcPr>
            <w:tcW w:type="dxa" w:w="2880"/>
            <w:vAlign w:val="top"/>
          </w:tcPr>
          <w:p>
            <w:pPr>
              <w:spacing w:after="0"/>
              <w:jc w:val="left"/>
            </w:pPr>
            <w:r>
              <w:rPr>
                <w:rFonts w:ascii="Arial" w:hAnsi="Arial"/>
                <w:b w:val="0"/>
                <w:sz w:val="13"/>
              </w:rPr>
              <w:t>Agent identity spoofing, unauthorized agent instantiation, role escalation</w:t>
            </w:r>
          </w:p>
        </w:tc>
        <w:tc>
          <w:tcPr>
            <w:tcW w:type="dxa" w:w="2880"/>
            <w:vAlign w:val="top"/>
          </w:tcPr>
          <w:p>
            <w:pPr>
              <w:spacing w:after="0"/>
              <w:jc w:val="left"/>
            </w:pPr>
            <w:r>
              <w:rPr>
                <w:rFonts w:ascii="Arial" w:hAnsi="Arial"/>
                <w:b w:val="0"/>
                <w:sz w:val="13"/>
              </w:rPr>
              <w:t>Agent identity lifecycle record, role-responsibility map, authority boundary object</w:t>
            </w:r>
          </w:p>
        </w:tc>
        <w:tc>
          <w:tcPr>
            <w:tcW w:type="dxa" w:w="2880"/>
            <w:vAlign w:val="top"/>
          </w:tcPr>
          <w:p>
            <w:pPr>
              <w:spacing w:after="0"/>
              <w:jc w:val="left"/>
            </w:pPr>
            <w:r>
              <w:rPr>
                <w:rFonts w:ascii="Arial" w:hAnsi="Arial"/>
                <w:b w:val="0"/>
                <w:sz w:val="13"/>
              </w:rPr>
              <w:t>MRO-01, MRO-02</w:t>
            </w:r>
          </w:p>
        </w:tc>
        <w:tc>
          <w:tcPr>
            <w:tcW w:type="dxa" w:w="2880"/>
            <w:vAlign w:val="top"/>
          </w:tcPr>
          <w:p>
            <w:pPr>
              <w:spacing w:after="0"/>
              <w:jc w:val="left"/>
            </w:pPr>
            <w:r>
              <w:rPr>
                <w:rFonts w:ascii="Arial" w:hAnsi="Arial"/>
                <w:b w:val="0"/>
                <w:sz w:val="13"/>
              </w:rPr>
              <w:t>Agent identity registry, authority boundary validation log</w:t>
            </w:r>
          </w:p>
        </w:tc>
      </w:tr>
      <w:tr>
        <w:trPr>
          <w:cantSplit/>
        </w:trPr>
        <w:tc>
          <w:tcPr>
            <w:tcW w:type="dxa" w:w="2880"/>
            <w:vAlign w:val="top"/>
          </w:tcPr>
          <w:p>
            <w:pPr>
              <w:spacing w:after="0"/>
              <w:jc w:val="left"/>
            </w:pPr>
            <w:r>
              <w:rPr>
                <w:rFonts w:ascii="Arial" w:hAnsi="Arial"/>
                <w:b w:val="0"/>
                <w:sz w:val="13"/>
              </w:rPr>
              <w:t>Prompt Injection Defense</w:t>
            </w:r>
          </w:p>
        </w:tc>
        <w:tc>
          <w:tcPr>
            <w:tcW w:type="dxa" w:w="2880"/>
            <w:vAlign w:val="top"/>
          </w:tcPr>
          <w:p>
            <w:pPr>
              <w:spacing w:after="0"/>
              <w:jc w:val="left"/>
            </w:pPr>
            <w:r>
              <w:rPr>
                <w:rFonts w:ascii="Arial" w:hAnsi="Arial"/>
                <w:b w:val="0"/>
                <w:sz w:val="13"/>
              </w:rPr>
              <w:t>Malicious user input altering agent behavior, instruction override, goal hijacking</w:t>
            </w:r>
          </w:p>
        </w:tc>
        <w:tc>
          <w:tcPr>
            <w:tcW w:type="dxa" w:w="2880"/>
            <w:vAlign w:val="top"/>
          </w:tcPr>
          <w:p>
            <w:pPr>
              <w:spacing w:after="0"/>
              <w:jc w:val="left"/>
            </w:pPr>
            <w:r>
              <w:rPr>
                <w:rFonts w:ascii="Arial" w:hAnsi="Arial"/>
                <w:b w:val="0"/>
                <w:sz w:val="13"/>
              </w:rPr>
              <w:t>Authority boundary object, accepted outcome state, evidence partition</w:t>
            </w:r>
          </w:p>
        </w:tc>
        <w:tc>
          <w:tcPr>
            <w:tcW w:type="dxa" w:w="2880"/>
            <w:vAlign w:val="top"/>
          </w:tcPr>
          <w:p>
            <w:pPr>
              <w:spacing w:after="0"/>
              <w:jc w:val="left"/>
            </w:pPr>
            <w:r>
              <w:rPr>
                <w:rFonts w:ascii="Arial" w:hAnsi="Arial"/>
                <w:b w:val="0"/>
                <w:sz w:val="13"/>
              </w:rPr>
              <w:t>MRO-02, MRO-04, MRO-08</w:t>
            </w:r>
          </w:p>
        </w:tc>
        <w:tc>
          <w:tcPr>
            <w:tcW w:type="dxa" w:w="2880"/>
            <w:vAlign w:val="top"/>
          </w:tcPr>
          <w:p>
            <w:pPr>
              <w:spacing w:after="0"/>
              <w:jc w:val="left"/>
            </w:pPr>
            <w:r>
              <w:rPr>
                <w:rFonts w:ascii="Arial" w:hAnsi="Arial"/>
                <w:b w:val="0"/>
                <w:sz w:val="13"/>
              </w:rPr>
              <w:t>Authority boundary violation log, accepted outcome rejection record, evidence partition integrity check</w:t>
            </w:r>
          </w:p>
        </w:tc>
      </w:tr>
      <w:tr>
        <w:trPr>
          <w:cantSplit/>
        </w:trPr>
        <w:tc>
          <w:tcPr>
            <w:tcW w:type="dxa" w:w="2880"/>
            <w:vAlign w:val="top"/>
          </w:tcPr>
          <w:p>
            <w:pPr>
              <w:spacing w:after="0"/>
              <w:jc w:val="left"/>
            </w:pPr>
            <w:r>
              <w:rPr>
                <w:rFonts w:ascii="Arial" w:hAnsi="Arial"/>
                <w:b w:val="0"/>
                <w:sz w:val="13"/>
              </w:rPr>
              <w:t>Tool Misuse Prevention</w:t>
            </w:r>
          </w:p>
        </w:tc>
        <w:tc>
          <w:tcPr>
            <w:tcW w:type="dxa" w:w="2880"/>
            <w:vAlign w:val="top"/>
          </w:tcPr>
          <w:p>
            <w:pPr>
              <w:spacing w:after="0"/>
              <w:jc w:val="left"/>
            </w:pPr>
            <w:r>
              <w:rPr>
                <w:rFonts w:ascii="Arial" w:hAnsi="Arial"/>
                <w:b w:val="0"/>
                <w:sz w:val="13"/>
              </w:rPr>
              <w:t>Agent invoking unauthorized tools, tool action exceeding delegated scope, tool credential theft</w:t>
            </w:r>
          </w:p>
        </w:tc>
        <w:tc>
          <w:tcPr>
            <w:tcW w:type="dxa" w:w="2880"/>
            <w:vAlign w:val="top"/>
          </w:tcPr>
          <w:p>
            <w:pPr>
              <w:spacing w:after="0"/>
              <w:jc w:val="left"/>
            </w:pPr>
            <w:r>
              <w:rPr>
                <w:rFonts w:ascii="Arial" w:hAnsi="Arial"/>
                <w:b w:val="0"/>
                <w:sz w:val="13"/>
              </w:rPr>
              <w:t>Tool-action liability boundary, authority boundary object, tool credential registry</w:t>
            </w:r>
          </w:p>
        </w:tc>
        <w:tc>
          <w:tcPr>
            <w:tcW w:type="dxa" w:w="2880"/>
            <w:vAlign w:val="top"/>
          </w:tcPr>
          <w:p>
            <w:pPr>
              <w:spacing w:after="0"/>
              <w:jc w:val="left"/>
            </w:pPr>
            <w:r>
              <w:rPr>
                <w:rFonts w:ascii="Arial" w:hAnsi="Arial"/>
                <w:b w:val="0"/>
                <w:sz w:val="13"/>
              </w:rPr>
              <w:t>MRO-02, MRO-05</w:t>
            </w:r>
          </w:p>
        </w:tc>
        <w:tc>
          <w:tcPr>
            <w:tcW w:type="dxa" w:w="2880"/>
            <w:vAlign w:val="top"/>
          </w:tcPr>
          <w:p>
            <w:pPr>
              <w:spacing w:after="0"/>
              <w:jc w:val="left"/>
            </w:pPr>
            <w:r>
              <w:rPr>
                <w:rFonts w:ascii="Arial" w:hAnsi="Arial"/>
                <w:b w:val="0"/>
                <w:sz w:val="13"/>
              </w:rPr>
              <w:t>Tool-action authorization log, tool-action liability record, credential access audit trail</w:t>
            </w:r>
          </w:p>
        </w:tc>
      </w:tr>
      <w:tr>
        <w:trPr>
          <w:cantSplit/>
        </w:trPr>
        <w:tc>
          <w:tcPr>
            <w:tcW w:type="dxa" w:w="2880"/>
            <w:vAlign w:val="top"/>
          </w:tcPr>
          <w:p>
            <w:pPr>
              <w:spacing w:after="0"/>
              <w:jc w:val="left"/>
            </w:pPr>
            <w:r>
              <w:rPr>
                <w:rFonts w:ascii="Arial" w:hAnsi="Arial"/>
                <w:b w:val="0"/>
                <w:sz w:val="13"/>
              </w:rPr>
              <w:t>Credential Management</w:t>
            </w:r>
          </w:p>
        </w:tc>
        <w:tc>
          <w:tcPr>
            <w:tcW w:type="dxa" w:w="2880"/>
            <w:vAlign w:val="top"/>
          </w:tcPr>
          <w:p>
            <w:pPr>
              <w:spacing w:after="0"/>
              <w:jc w:val="left"/>
            </w:pPr>
            <w:r>
              <w:rPr>
                <w:rFonts w:ascii="Arial" w:hAnsi="Arial"/>
                <w:b w:val="0"/>
                <w:sz w:val="13"/>
              </w:rPr>
              <w:t>API key theft, tool credential exfiltration, authority token compromise</w:t>
            </w:r>
          </w:p>
        </w:tc>
        <w:tc>
          <w:tcPr>
            <w:tcW w:type="dxa" w:w="2880"/>
            <w:vAlign w:val="top"/>
          </w:tcPr>
          <w:p>
            <w:pPr>
              <w:spacing w:after="0"/>
              <w:jc w:val="left"/>
            </w:pPr>
            <w:r>
              <w:rPr>
                <w:rFonts w:ascii="Arial" w:hAnsi="Arial"/>
                <w:b w:val="0"/>
                <w:sz w:val="13"/>
              </w:rPr>
              <w:t>Agent identity lifecycle record, tool credential registry, processor chain record</w:t>
            </w:r>
          </w:p>
        </w:tc>
        <w:tc>
          <w:tcPr>
            <w:tcW w:type="dxa" w:w="2880"/>
            <w:vAlign w:val="top"/>
          </w:tcPr>
          <w:p>
            <w:pPr>
              <w:spacing w:after="0"/>
              <w:jc w:val="left"/>
            </w:pPr>
            <w:r>
              <w:rPr>
                <w:rFonts w:ascii="Arial" w:hAnsi="Arial"/>
                <w:b w:val="0"/>
                <w:sz w:val="13"/>
              </w:rPr>
              <w:t>MRO-01, MRO-05, MRO-14</w:t>
            </w:r>
          </w:p>
        </w:tc>
        <w:tc>
          <w:tcPr>
            <w:tcW w:type="dxa" w:w="2880"/>
            <w:vAlign w:val="top"/>
          </w:tcPr>
          <w:p>
            <w:pPr>
              <w:spacing w:after="0"/>
              <w:jc w:val="left"/>
            </w:pPr>
            <w:r>
              <w:rPr>
                <w:rFonts w:ascii="Arial" w:hAnsi="Arial"/>
                <w:b w:val="0"/>
                <w:sz w:val="13"/>
              </w:rPr>
              <w:t>Credential rotation log, credential access audit trail, processor chain validation</w:t>
            </w:r>
          </w:p>
        </w:tc>
      </w:tr>
      <w:tr>
        <w:trPr>
          <w:cantSplit/>
        </w:trPr>
        <w:tc>
          <w:tcPr>
            <w:tcW w:type="dxa" w:w="2880"/>
            <w:vAlign w:val="top"/>
          </w:tcPr>
          <w:p>
            <w:pPr>
              <w:spacing w:after="0"/>
              <w:jc w:val="left"/>
            </w:pPr>
            <w:r>
              <w:rPr>
                <w:rFonts w:ascii="Arial" w:hAnsi="Arial"/>
                <w:b w:val="0"/>
                <w:sz w:val="13"/>
              </w:rPr>
              <w:t>Data Exfiltration Prevention</w:t>
            </w:r>
          </w:p>
        </w:tc>
        <w:tc>
          <w:tcPr>
            <w:tcW w:type="dxa" w:w="2880"/>
            <w:vAlign w:val="top"/>
          </w:tcPr>
          <w:p>
            <w:pPr>
              <w:spacing w:after="0"/>
              <w:jc w:val="left"/>
            </w:pPr>
            <w:r>
              <w:rPr>
                <w:rFonts w:ascii="Arial" w:hAnsi="Arial"/>
                <w:b w:val="0"/>
                <w:sz w:val="13"/>
              </w:rPr>
              <w:t>Agent accessing data beyond delegated scope, unauthorized data transmission, privacy boundary violation</w:t>
            </w:r>
          </w:p>
        </w:tc>
        <w:tc>
          <w:tcPr>
            <w:tcW w:type="dxa" w:w="2880"/>
            <w:vAlign w:val="top"/>
          </w:tcPr>
          <w:p>
            <w:pPr>
              <w:spacing w:after="0"/>
              <w:jc w:val="left"/>
            </w:pPr>
            <w:r>
              <w:rPr>
                <w:rFonts w:ascii="Arial" w:hAnsi="Arial"/>
                <w:b w:val="0"/>
                <w:sz w:val="13"/>
              </w:rPr>
              <w:t>Privacy lifecycle map, evidence partition, data subject rights reconciliation record</w:t>
            </w:r>
          </w:p>
        </w:tc>
        <w:tc>
          <w:tcPr>
            <w:tcW w:type="dxa" w:w="2880"/>
            <w:vAlign w:val="top"/>
          </w:tcPr>
          <w:p>
            <w:pPr>
              <w:spacing w:after="0"/>
              <w:jc w:val="left"/>
            </w:pPr>
            <w:r>
              <w:rPr>
                <w:rFonts w:ascii="Arial" w:hAnsi="Arial"/>
                <w:b w:val="0"/>
                <w:sz w:val="13"/>
              </w:rPr>
              <w:t>MRO-08, MRO-10, MRO-13</w:t>
            </w:r>
          </w:p>
        </w:tc>
        <w:tc>
          <w:tcPr>
            <w:tcW w:type="dxa" w:w="2880"/>
            <w:vAlign w:val="top"/>
          </w:tcPr>
          <w:p>
            <w:pPr>
              <w:spacing w:after="0"/>
              <w:jc w:val="left"/>
            </w:pPr>
            <w:r>
              <w:rPr>
                <w:rFonts w:ascii="Arial" w:hAnsi="Arial"/>
                <w:b w:val="0"/>
                <w:sz w:val="13"/>
              </w:rPr>
              <w:t>Data access audit trail, evidence partition integrity check, privacy boundary violation log</w:t>
            </w:r>
          </w:p>
        </w:tc>
      </w:tr>
      <w:tr>
        <w:trPr>
          <w:cantSplit/>
        </w:trPr>
        <w:tc>
          <w:tcPr>
            <w:tcW w:type="dxa" w:w="2880"/>
            <w:vAlign w:val="top"/>
          </w:tcPr>
          <w:p>
            <w:pPr>
              <w:spacing w:after="0"/>
              <w:jc w:val="left"/>
            </w:pPr>
            <w:r>
              <w:rPr>
                <w:rFonts w:ascii="Arial" w:hAnsi="Arial"/>
                <w:b w:val="0"/>
                <w:sz w:val="13"/>
              </w:rPr>
              <w:t>Audit Trail Integrity</w:t>
            </w:r>
          </w:p>
        </w:tc>
        <w:tc>
          <w:tcPr>
            <w:tcW w:type="dxa" w:w="2880"/>
            <w:vAlign w:val="top"/>
          </w:tcPr>
          <w:p>
            <w:pPr>
              <w:spacing w:after="0"/>
              <w:jc w:val="left"/>
            </w:pPr>
            <w:r>
              <w:rPr>
                <w:rFonts w:ascii="Arial" w:hAnsi="Arial"/>
                <w:b w:val="0"/>
                <w:sz w:val="13"/>
              </w:rPr>
              <w:t>Evidence tampering, log manipulation, responsibility chain corruption</w:t>
            </w:r>
          </w:p>
        </w:tc>
        <w:tc>
          <w:tcPr>
            <w:tcW w:type="dxa" w:w="2880"/>
            <w:vAlign w:val="top"/>
          </w:tcPr>
          <w:p>
            <w:pPr>
              <w:spacing w:after="0"/>
              <w:jc w:val="left"/>
            </w:pPr>
            <w:r>
              <w:rPr>
                <w:rFonts w:ascii="Arial" w:hAnsi="Arial"/>
                <w:b w:val="0"/>
                <w:sz w:val="13"/>
              </w:rPr>
              <w:t>Evidence partition, incident closure record, accepted outcome state</w:t>
            </w:r>
          </w:p>
        </w:tc>
        <w:tc>
          <w:tcPr>
            <w:tcW w:type="dxa" w:w="2880"/>
            <w:vAlign w:val="top"/>
          </w:tcPr>
          <w:p>
            <w:pPr>
              <w:spacing w:after="0"/>
              <w:jc w:val="left"/>
            </w:pPr>
            <w:r>
              <w:rPr>
                <w:rFonts w:ascii="Arial" w:hAnsi="Arial"/>
                <w:b w:val="0"/>
                <w:sz w:val="13"/>
              </w:rPr>
              <w:t>MRO-04, MRO-08, MRO-16</w:t>
            </w:r>
          </w:p>
        </w:tc>
        <w:tc>
          <w:tcPr>
            <w:tcW w:type="dxa" w:w="2880"/>
            <w:vAlign w:val="top"/>
          </w:tcPr>
          <w:p>
            <w:pPr>
              <w:spacing w:after="0"/>
              <w:jc w:val="left"/>
            </w:pPr>
            <w:r>
              <w:rPr>
                <w:rFonts w:ascii="Arial" w:hAnsi="Arial"/>
                <w:b w:val="0"/>
                <w:sz w:val="13"/>
              </w:rPr>
              <w:t>Evidence integrity hash, audit trail validation log, incident closure record</w:t>
            </w:r>
          </w:p>
        </w:tc>
      </w:tr>
      <w:tr>
        <w:trPr>
          <w:cantSplit/>
        </w:trPr>
        <w:tc>
          <w:tcPr>
            <w:tcW w:type="dxa" w:w="2880"/>
            <w:vAlign w:val="top"/>
          </w:tcPr>
          <w:p>
            <w:pPr>
              <w:spacing w:after="0"/>
              <w:jc w:val="left"/>
            </w:pPr>
            <w:r>
              <w:rPr>
                <w:rFonts w:ascii="Arial" w:hAnsi="Arial"/>
                <w:b w:val="0"/>
                <w:sz w:val="13"/>
              </w:rPr>
              <w:t>Supply-Chain Integrity</w:t>
            </w:r>
          </w:p>
        </w:tc>
        <w:tc>
          <w:tcPr>
            <w:tcW w:type="dxa" w:w="2880"/>
            <w:vAlign w:val="top"/>
          </w:tcPr>
          <w:p>
            <w:pPr>
              <w:spacing w:after="0"/>
              <w:jc w:val="left"/>
            </w:pPr>
            <w:r>
              <w:rPr>
                <w:rFonts w:ascii="Arial" w:hAnsi="Arial"/>
                <w:b w:val="0"/>
                <w:sz w:val="13"/>
              </w:rPr>
              <w:t>Compromised model provider, malicious tool plugin, subprocessor data breach</w:t>
            </w:r>
          </w:p>
        </w:tc>
        <w:tc>
          <w:tcPr>
            <w:tcW w:type="dxa" w:w="2880"/>
            <w:vAlign w:val="top"/>
          </w:tcPr>
          <w:p>
            <w:pPr>
              <w:spacing w:after="0"/>
              <w:jc w:val="left"/>
            </w:pPr>
            <w:r>
              <w:rPr>
                <w:rFonts w:ascii="Arial" w:hAnsi="Arial"/>
                <w:b w:val="0"/>
                <w:sz w:val="13"/>
              </w:rPr>
              <w:t>Processor chain record, vendor substitution conformance test, model version registry</w:t>
            </w:r>
          </w:p>
        </w:tc>
        <w:tc>
          <w:tcPr>
            <w:tcW w:type="dxa" w:w="2880"/>
            <w:vAlign w:val="top"/>
          </w:tcPr>
          <w:p>
            <w:pPr>
              <w:spacing w:after="0"/>
              <w:jc w:val="left"/>
            </w:pPr>
            <w:r>
              <w:rPr>
                <w:rFonts w:ascii="Arial" w:hAnsi="Arial"/>
                <w:b w:val="0"/>
                <w:sz w:val="13"/>
              </w:rPr>
              <w:t>MRO-14, MRO-15</w:t>
            </w:r>
          </w:p>
        </w:tc>
        <w:tc>
          <w:tcPr>
            <w:tcW w:type="dxa" w:w="2880"/>
            <w:vAlign w:val="top"/>
          </w:tcPr>
          <w:p>
            <w:pPr>
              <w:spacing w:after="0"/>
              <w:jc w:val="left"/>
            </w:pPr>
            <w:r>
              <w:rPr>
                <w:rFonts w:ascii="Arial" w:hAnsi="Arial"/>
                <w:b w:val="0"/>
                <w:sz w:val="13"/>
              </w:rPr>
              <w:t>Processor chain validation log, vendor substitution test result, model version integrity check</w:t>
            </w:r>
          </w:p>
        </w:tc>
      </w:tr>
      <w:tr>
        <w:trPr>
          <w:cantSplit/>
        </w:trPr>
        <w:tc>
          <w:tcPr>
            <w:tcW w:type="dxa" w:w="2880"/>
            <w:vAlign w:val="top"/>
          </w:tcPr>
          <w:p>
            <w:pPr>
              <w:spacing w:after="0"/>
              <w:jc w:val="left"/>
            </w:pPr>
            <w:r>
              <w:rPr>
                <w:rFonts w:ascii="Arial" w:hAnsi="Arial"/>
                <w:b w:val="0"/>
                <w:sz w:val="13"/>
              </w:rPr>
              <w:t>Incident Response Linkage</w:t>
            </w:r>
          </w:p>
        </w:tc>
        <w:tc>
          <w:tcPr>
            <w:tcW w:type="dxa" w:w="2880"/>
            <w:vAlign w:val="top"/>
          </w:tcPr>
          <w:p>
            <w:pPr>
              <w:spacing w:after="0"/>
              <w:jc w:val="left"/>
            </w:pPr>
            <w:r>
              <w:rPr>
                <w:rFonts w:ascii="Arial" w:hAnsi="Arial"/>
                <w:b w:val="0"/>
                <w:sz w:val="13"/>
              </w:rPr>
              <w:t>Agentic incident detection, responsibility assignment, evidence reconstruction, remediation closure</w:t>
            </w:r>
          </w:p>
        </w:tc>
        <w:tc>
          <w:tcPr>
            <w:tcW w:type="dxa" w:w="2880"/>
            <w:vAlign w:val="top"/>
          </w:tcPr>
          <w:p>
            <w:pPr>
              <w:spacing w:after="0"/>
              <w:jc w:val="left"/>
            </w:pPr>
            <w:r>
              <w:rPr>
                <w:rFonts w:ascii="Arial" w:hAnsi="Arial"/>
                <w:b w:val="0"/>
                <w:sz w:val="13"/>
              </w:rPr>
              <w:t>Incident closure record, accepted outcome state, evidence partition, role-responsibility map</w:t>
            </w:r>
          </w:p>
        </w:tc>
        <w:tc>
          <w:tcPr>
            <w:tcW w:type="dxa" w:w="2880"/>
            <w:vAlign w:val="top"/>
          </w:tcPr>
          <w:p>
            <w:pPr>
              <w:spacing w:after="0"/>
              <w:jc w:val="left"/>
            </w:pPr>
            <w:r>
              <w:rPr>
                <w:rFonts w:ascii="Arial" w:hAnsi="Arial"/>
                <w:b w:val="0"/>
                <w:sz w:val="13"/>
              </w:rPr>
              <w:t>MRO-01, MRO-04, MRO-08, MRO-16</w:t>
            </w:r>
          </w:p>
        </w:tc>
        <w:tc>
          <w:tcPr>
            <w:tcW w:type="dxa" w:w="2880"/>
            <w:vAlign w:val="top"/>
          </w:tcPr>
          <w:p>
            <w:pPr>
              <w:spacing w:after="0"/>
              <w:jc w:val="left"/>
            </w:pPr>
            <w:r>
              <w:rPr>
                <w:rFonts w:ascii="Arial" w:hAnsi="Arial"/>
                <w:b w:val="0"/>
                <w:sz w:val="13"/>
              </w:rPr>
              <w:t>Incident closure record, responsibility assignment log, evidence reconstruction report, remediation acceptance record</w:t>
            </w:r>
          </w:p>
        </w:tc>
      </w:tr>
    </w:tbl>
    <w:p>
      <w:pPr>
        <w:sectPr>
          <w:pgSz w:w="15840" w:h="12240" w:orient="landscape"/>
          <w:pgMar w:top="792" w:right="648" w:bottom="792" w:left="648" w:header="720" w:footer="720" w:gutter="0"/>
          <w:cols w:space="720"/>
          <w:docGrid w:linePitch="360"/>
        </w:sectPr>
      </w:pPr>
    </w:p>
    <w:p/>
    <w:p>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
      <w:pPr>
        <w:pStyle w:val="Heading3"/>
      </w:pPr>
      <w:r>
        <w:t>10.4.3 Integration Note</w:t>
      </w:r>
    </w:p>
    <w:p/>
    <w:p>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
    <w:p>
      <w:pPr>
        <w:pStyle w:val="Heading2"/>
      </w:pPr>
      <w:r>
        <w:t>10.5 Board Reporting and Governance Escalation</w:t>
      </w:r>
    </w:p>
    <w:p/>
    <w:p>
      <w:pPr>
        <w:pStyle w:val="Heading3"/>
      </w:pPr>
      <w:r>
        <w:t>10.5.1 What Boards Need to Know About Agentic AI</w:t>
      </w:r>
    </w:p>
    <w:p/>
    <w:p>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
      <w:pPr>
        <w:pStyle w:val="Heading3"/>
      </w:pPr>
      <w:r>
        <w:t>10.5.2 Board-Level Reporting Elements</w:t>
      </w:r>
    </w:p>
    <w:p/>
    <w:p>
      <w:r>
        <w:t>The following table defines board-level reporting elements for agentic AI, mapped to lifecycle object sources, reporting frequency, escalation triggers, and regulatory drivers.</w:t>
      </w:r>
    </w:p>
    <w:p/>
    <w:p>
      <w:pPr>
        <w:keepNext/>
      </w:pPr>
      <w:r>
        <w:rPr>
          <w:b/>
          <w:sz w:val="17"/>
        </w:rPr>
        <w:t>Table T-10-04: Board Reporting Elements for Agentic AI</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3"/>
              </w:rPr>
              <w:t>Reporting Element</w:t>
            </w:r>
          </w:p>
        </w:tc>
        <w:tc>
          <w:tcPr>
            <w:tcW w:type="dxa" w:w="2880"/>
            <w:vAlign w:val="top"/>
            <w:shd w:fill="D9EAF7"/>
          </w:tcPr>
          <w:p>
            <w:pPr>
              <w:spacing w:after="0"/>
              <w:jc w:val="left"/>
            </w:pPr>
            <w:r>
              <w:rPr>
                <w:rFonts w:ascii="Arial" w:hAnsi="Arial"/>
                <w:b/>
                <w:sz w:val="13"/>
              </w:rPr>
              <w:t>Lifecycle Object Source</w:t>
            </w:r>
          </w:p>
        </w:tc>
        <w:tc>
          <w:tcPr>
            <w:tcW w:type="dxa" w:w="2880"/>
            <w:vAlign w:val="top"/>
            <w:shd w:fill="D9EAF7"/>
          </w:tcPr>
          <w:p>
            <w:pPr>
              <w:spacing w:after="0"/>
              <w:jc w:val="left"/>
            </w:pPr>
            <w:r>
              <w:rPr>
                <w:rFonts w:ascii="Arial" w:hAnsi="Arial"/>
                <w:b/>
                <w:sz w:val="13"/>
              </w:rPr>
              <w:t>Frequency</w:t>
            </w:r>
          </w:p>
        </w:tc>
        <w:tc>
          <w:tcPr>
            <w:tcW w:type="dxa" w:w="2880"/>
            <w:vAlign w:val="top"/>
            <w:shd w:fill="D9EAF7"/>
          </w:tcPr>
          <w:p>
            <w:pPr>
              <w:spacing w:after="0"/>
              <w:jc w:val="left"/>
            </w:pPr>
            <w:r>
              <w:rPr>
                <w:rFonts w:ascii="Arial" w:hAnsi="Arial"/>
                <w:b/>
                <w:sz w:val="13"/>
              </w:rPr>
              <w:t>Escalation Trigger</w:t>
            </w:r>
          </w:p>
        </w:tc>
        <w:tc>
          <w:tcPr>
            <w:tcW w:type="dxa" w:w="2880"/>
            <w:vAlign w:val="top"/>
            <w:shd w:fill="D9EAF7"/>
          </w:tcPr>
          <w:p>
            <w:pPr>
              <w:spacing w:after="0"/>
              <w:jc w:val="left"/>
            </w:pPr>
            <w:r>
              <w:rPr>
                <w:rFonts w:ascii="Arial" w:hAnsi="Arial"/>
                <w:b/>
                <w:sz w:val="13"/>
              </w:rPr>
              <w:t>Regulatory Driver</w:t>
            </w:r>
          </w:p>
        </w:tc>
      </w:tr>
      <w:tr>
        <w:trPr>
          <w:cantSplit/>
        </w:trPr>
        <w:tc>
          <w:tcPr>
            <w:tcW w:type="dxa" w:w="2880"/>
            <w:vAlign w:val="top"/>
          </w:tcPr>
          <w:p>
            <w:pPr>
              <w:spacing w:after="0"/>
              <w:jc w:val="left"/>
            </w:pPr>
            <w:r>
              <w:rPr>
                <w:rFonts w:ascii="Arial" w:hAnsi="Arial"/>
                <w:b w:val="0"/>
                <w:sz w:val="13"/>
              </w:rPr>
              <w:t>Lifecycle Accountability Summary</w:t>
            </w:r>
          </w:p>
        </w:tc>
        <w:tc>
          <w:tcPr>
            <w:tcW w:type="dxa" w:w="2880"/>
            <w:vAlign w:val="top"/>
          </w:tcPr>
          <w:p>
            <w:pPr>
              <w:spacing w:after="0"/>
              <w:jc w:val="left"/>
            </w:pPr>
            <w:r>
              <w:rPr>
                <w:rFonts w:ascii="Arial" w:hAnsi="Arial"/>
                <w:b w:val="0"/>
                <w:sz w:val="13"/>
              </w:rPr>
              <w:t>RCCS baseline score, ALCS conformance score, role-responsibility map coverage</w:t>
            </w:r>
          </w:p>
        </w:tc>
        <w:tc>
          <w:tcPr>
            <w:tcW w:type="dxa" w:w="2880"/>
            <w:vAlign w:val="top"/>
          </w:tcPr>
          <w:p>
            <w:pPr>
              <w:spacing w:after="0"/>
              <w:jc w:val="left"/>
            </w:pPr>
            <w:r>
              <w:rPr>
                <w:rFonts w:ascii="Arial" w:hAnsi="Arial"/>
                <w:b w:val="0"/>
                <w:sz w:val="13"/>
              </w:rPr>
              <w:t>Quarterly</w:t>
            </w:r>
          </w:p>
        </w:tc>
        <w:tc>
          <w:tcPr>
            <w:tcW w:type="dxa" w:w="2880"/>
            <w:vAlign w:val="top"/>
          </w:tcPr>
          <w:p>
            <w:pPr>
              <w:spacing w:after="0"/>
              <w:jc w:val="left"/>
            </w:pPr>
            <w:r>
              <w:rPr>
                <w:rFonts w:ascii="Arial" w:hAnsi="Arial"/>
                <w:b w:val="0"/>
                <w:sz w:val="13"/>
              </w:rPr>
              <w:t>RCCS score below threshold, ALCS score degradation, accountability gap in high-risk system</w:t>
            </w:r>
          </w:p>
        </w:tc>
        <w:tc>
          <w:tcPr>
            <w:tcW w:type="dxa" w:w="2880"/>
            <w:vAlign w:val="top"/>
          </w:tcPr>
          <w:p>
            <w:pPr>
              <w:spacing w:after="0"/>
              <w:jc w:val="left"/>
            </w:pPr>
            <w:r>
              <w:rPr>
                <w:rFonts w:ascii="Arial" w:hAnsi="Arial"/>
                <w:b w:val="0"/>
                <w:sz w:val="13"/>
              </w:rPr>
              <w:t>EU AI Act Art. 9 (quality management), NIST AI RMF Govern function</w:t>
            </w:r>
          </w:p>
        </w:tc>
      </w:tr>
      <w:tr>
        <w:trPr>
          <w:cantSplit/>
        </w:trPr>
        <w:tc>
          <w:tcPr>
            <w:tcW w:type="dxa" w:w="2880"/>
            <w:vAlign w:val="top"/>
          </w:tcPr>
          <w:p>
            <w:pPr>
              <w:spacing w:after="0"/>
              <w:jc w:val="left"/>
            </w:pPr>
            <w:r>
              <w:rPr>
                <w:rFonts w:ascii="Arial" w:hAnsi="Arial"/>
                <w:b w:val="0"/>
                <w:sz w:val="13"/>
              </w:rPr>
              <w:t>Open Dispute Register</w:t>
            </w:r>
          </w:p>
        </w:tc>
        <w:tc>
          <w:tcPr>
            <w:tcW w:type="dxa" w:w="2880"/>
            <w:vAlign w:val="top"/>
          </w:tcPr>
          <w:p>
            <w:pPr>
              <w:spacing w:after="0"/>
              <w:jc w:val="left"/>
            </w:pPr>
            <w:r>
              <w:rPr>
                <w:rFonts w:ascii="Arial" w:hAnsi="Arial"/>
                <w:b w:val="0"/>
                <w:sz w:val="13"/>
              </w:rPr>
              <w:t>Dispute resolution record, accepted outcome state, incident closure record</w:t>
            </w:r>
          </w:p>
        </w:tc>
        <w:tc>
          <w:tcPr>
            <w:tcW w:type="dxa" w:w="2880"/>
            <w:vAlign w:val="top"/>
          </w:tcPr>
          <w:p>
            <w:pPr>
              <w:spacing w:after="0"/>
              <w:jc w:val="left"/>
            </w:pPr>
            <w:r>
              <w:rPr>
                <w:rFonts w:ascii="Arial" w:hAnsi="Arial"/>
                <w:b w:val="0"/>
                <w:sz w:val="13"/>
              </w:rPr>
              <w:t>Quarterly</w:t>
            </w:r>
          </w:p>
        </w:tc>
        <w:tc>
          <w:tcPr>
            <w:tcW w:type="dxa" w:w="2880"/>
            <w:vAlign w:val="top"/>
          </w:tcPr>
          <w:p>
            <w:pPr>
              <w:spacing w:after="0"/>
              <w:jc w:val="left"/>
            </w:pPr>
            <w:r>
              <w:rPr>
                <w:rFonts w:ascii="Arial" w:hAnsi="Arial"/>
                <w:b w:val="0"/>
                <w:sz w:val="13"/>
              </w:rPr>
              <w:t>Dispute unresolved beyond SLA, dispute involving high-risk system, dispute escalated to external authority</w:t>
            </w:r>
          </w:p>
        </w:tc>
        <w:tc>
          <w:tcPr>
            <w:tcW w:type="dxa" w:w="2880"/>
            <w:vAlign w:val="top"/>
          </w:tcPr>
          <w:p>
            <w:pPr>
              <w:spacing w:after="0"/>
              <w:jc w:val="left"/>
            </w:pPr>
            <w:r>
              <w:rPr>
                <w:rFonts w:ascii="Arial" w:hAnsi="Arial"/>
                <w:b w:val="0"/>
                <w:sz w:val="13"/>
              </w:rPr>
              <w:t>EU AI Act Art. 72 (dispute resolution), GDPR Art. 79 (right to judicial remedy)</w:t>
            </w:r>
          </w:p>
        </w:tc>
      </w:tr>
      <w:tr>
        <w:trPr>
          <w:cantSplit/>
        </w:trPr>
        <w:tc>
          <w:tcPr>
            <w:tcW w:type="dxa" w:w="2880"/>
            <w:vAlign w:val="top"/>
          </w:tcPr>
          <w:p>
            <w:pPr>
              <w:spacing w:after="0"/>
              <w:jc w:val="left"/>
            </w:pPr>
            <w:r>
              <w:rPr>
                <w:rFonts w:ascii="Arial" w:hAnsi="Arial"/>
                <w:b w:val="0"/>
                <w:sz w:val="13"/>
              </w:rPr>
              <w:t>Remediation Closure Rate</w:t>
            </w:r>
          </w:p>
        </w:tc>
        <w:tc>
          <w:tcPr>
            <w:tcW w:type="dxa" w:w="2880"/>
            <w:vAlign w:val="top"/>
          </w:tcPr>
          <w:p>
            <w:pPr>
              <w:spacing w:after="0"/>
              <w:jc w:val="left"/>
            </w:pPr>
            <w:r>
              <w:rPr>
                <w:rFonts w:ascii="Arial" w:hAnsi="Arial"/>
                <w:b w:val="0"/>
                <w:sz w:val="13"/>
              </w:rPr>
              <w:t>Incident closure record, accepted outcome state, remediation record</w:t>
            </w:r>
          </w:p>
        </w:tc>
        <w:tc>
          <w:tcPr>
            <w:tcW w:type="dxa" w:w="2880"/>
            <w:vAlign w:val="top"/>
          </w:tcPr>
          <w:p>
            <w:pPr>
              <w:spacing w:after="0"/>
              <w:jc w:val="left"/>
            </w:pPr>
            <w:r>
              <w:rPr>
                <w:rFonts w:ascii="Arial" w:hAnsi="Arial"/>
                <w:b w:val="0"/>
                <w:sz w:val="13"/>
              </w:rPr>
              <w:t>Quarterly</w:t>
            </w:r>
          </w:p>
        </w:tc>
        <w:tc>
          <w:tcPr>
            <w:tcW w:type="dxa" w:w="2880"/>
            <w:vAlign w:val="top"/>
          </w:tcPr>
          <w:p>
            <w:pPr>
              <w:spacing w:after="0"/>
              <w:jc w:val="left"/>
            </w:pPr>
            <w:r>
              <w:rPr>
                <w:rFonts w:ascii="Arial" w:hAnsi="Arial"/>
                <w:b w:val="0"/>
                <w:sz w:val="13"/>
              </w:rPr>
              <w:t>Remediation closure rate below threshold, high-severity incident unresolved, remediation rejected by human authority</w:t>
            </w:r>
          </w:p>
        </w:tc>
        <w:tc>
          <w:tcPr>
            <w:tcW w:type="dxa" w:w="2880"/>
            <w:vAlign w:val="top"/>
          </w:tcPr>
          <w:p>
            <w:pPr>
              <w:spacing w:after="0"/>
              <w:jc w:val="left"/>
            </w:pPr>
            <w:r>
              <w:rPr>
                <w:rFonts w:ascii="Arial" w:hAnsi="Arial"/>
                <w:b w:val="0"/>
                <w:sz w:val="13"/>
              </w:rPr>
              <w:t>NIST AI RMF Manage function, EU AI Act Art. 9 (corrective actions)</w:t>
            </w:r>
          </w:p>
        </w:tc>
      </w:tr>
      <w:tr>
        <w:trPr>
          <w:cantSplit/>
        </w:trPr>
        <w:tc>
          <w:tcPr>
            <w:tcW w:type="dxa" w:w="2880"/>
            <w:vAlign w:val="top"/>
          </w:tcPr>
          <w:p>
            <w:pPr>
              <w:spacing w:after="0"/>
              <w:jc w:val="left"/>
            </w:pPr>
            <w:r>
              <w:rPr>
                <w:rFonts w:ascii="Arial" w:hAnsi="Arial"/>
                <w:b w:val="0"/>
                <w:sz w:val="13"/>
              </w:rPr>
              <w:t>Privacy Incident Summary</w:t>
            </w:r>
          </w:p>
        </w:tc>
        <w:tc>
          <w:tcPr>
            <w:tcW w:type="dxa" w:w="2880"/>
            <w:vAlign w:val="top"/>
          </w:tcPr>
          <w:p>
            <w:pPr>
              <w:spacing w:after="0"/>
              <w:jc w:val="left"/>
            </w:pPr>
            <w:r>
              <w:rPr>
                <w:rFonts w:ascii="Arial" w:hAnsi="Arial"/>
                <w:b w:val="0"/>
                <w:sz w:val="13"/>
              </w:rPr>
              <w:t>Privacy lifecycle map, data subject rights reconciliation record, evidence partition, incident closure record</w:t>
            </w:r>
          </w:p>
        </w:tc>
        <w:tc>
          <w:tcPr>
            <w:tcW w:type="dxa" w:w="2880"/>
            <w:vAlign w:val="top"/>
          </w:tcPr>
          <w:p>
            <w:pPr>
              <w:spacing w:after="0"/>
              <w:jc w:val="left"/>
            </w:pPr>
            <w:r>
              <w:rPr>
                <w:rFonts w:ascii="Arial" w:hAnsi="Arial"/>
                <w:b w:val="0"/>
                <w:sz w:val="13"/>
              </w:rPr>
              <w:t>Quarterly</w:t>
            </w:r>
          </w:p>
        </w:tc>
        <w:tc>
          <w:tcPr>
            <w:tcW w:type="dxa" w:w="2880"/>
            <w:vAlign w:val="top"/>
          </w:tcPr>
          <w:p>
            <w:pPr>
              <w:spacing w:after="0"/>
              <w:jc w:val="left"/>
            </w:pPr>
            <w:r>
              <w:rPr>
                <w:rFonts w:ascii="Arial" w:hAnsi="Arial"/>
                <w:b w:val="0"/>
                <w:sz w:val="13"/>
              </w:rPr>
              <w:t>Privacy incident involving personal data breach, data subject rights request unresolved, cross-border data transfer violation</w:t>
            </w:r>
          </w:p>
        </w:tc>
        <w:tc>
          <w:tcPr>
            <w:tcW w:type="dxa" w:w="2880"/>
            <w:vAlign w:val="top"/>
          </w:tcPr>
          <w:p>
            <w:pPr>
              <w:spacing w:after="0"/>
              <w:jc w:val="left"/>
            </w:pPr>
            <w:r>
              <w:rPr>
                <w:rFonts w:ascii="Arial" w:hAnsi="Arial"/>
                <w:b w:val="0"/>
                <w:sz w:val="13"/>
              </w:rPr>
              <w:t>GDPR Art. 33-34 (breach notification), EU AI Act Art. 10 (data governance)</w:t>
            </w:r>
          </w:p>
        </w:tc>
      </w:tr>
      <w:tr>
        <w:trPr>
          <w:cantSplit/>
        </w:trPr>
        <w:tc>
          <w:tcPr>
            <w:tcW w:type="dxa" w:w="2880"/>
            <w:vAlign w:val="top"/>
          </w:tcPr>
          <w:p>
            <w:pPr>
              <w:spacing w:after="0"/>
              <w:jc w:val="left"/>
            </w:pPr>
            <w:r>
              <w:rPr>
                <w:rFonts w:ascii="Arial" w:hAnsi="Arial"/>
                <w:b w:val="0"/>
                <w:sz w:val="13"/>
              </w:rPr>
              <w:t>Vendor and Tool Substitution Log</w:t>
            </w:r>
          </w:p>
        </w:tc>
        <w:tc>
          <w:tcPr>
            <w:tcW w:type="dxa" w:w="2880"/>
            <w:vAlign w:val="top"/>
          </w:tcPr>
          <w:p>
            <w:pPr>
              <w:spacing w:after="0"/>
              <w:jc w:val="left"/>
            </w:pPr>
            <w:r>
              <w:rPr>
                <w:rFonts w:ascii="Arial" w:hAnsi="Arial"/>
                <w:b w:val="0"/>
                <w:sz w:val="13"/>
              </w:rPr>
              <w:t>Vendor substitution conformance test, processor chain record, model version registry</w:t>
            </w:r>
          </w:p>
        </w:tc>
        <w:tc>
          <w:tcPr>
            <w:tcW w:type="dxa" w:w="2880"/>
            <w:vAlign w:val="top"/>
          </w:tcPr>
          <w:p>
            <w:pPr>
              <w:spacing w:after="0"/>
              <w:jc w:val="left"/>
            </w:pPr>
            <w:r>
              <w:rPr>
                <w:rFonts w:ascii="Arial" w:hAnsi="Arial"/>
                <w:b w:val="0"/>
                <w:sz w:val="13"/>
              </w:rPr>
              <w:t>Semi-annually</w:t>
            </w:r>
          </w:p>
        </w:tc>
        <w:tc>
          <w:tcPr>
            <w:tcW w:type="dxa" w:w="2880"/>
            <w:vAlign w:val="top"/>
          </w:tcPr>
          <w:p>
            <w:pPr>
              <w:spacing w:after="0"/>
              <w:jc w:val="left"/>
            </w:pPr>
            <w:r>
              <w:rPr>
                <w:rFonts w:ascii="Arial" w:hAnsi="Arial"/>
                <w:b w:val="0"/>
                <w:sz w:val="13"/>
              </w:rPr>
              <w:t>Vendor lock-in risk identified, substitution test failure, processor chain integrity violation</w:t>
            </w:r>
          </w:p>
        </w:tc>
        <w:tc>
          <w:tcPr>
            <w:tcW w:type="dxa" w:w="2880"/>
            <w:vAlign w:val="top"/>
          </w:tcPr>
          <w:p>
            <w:pPr>
              <w:spacing w:after="0"/>
              <w:jc w:val="left"/>
            </w:pPr>
            <w:r>
              <w:rPr>
                <w:rFonts w:ascii="Arial" w:hAnsi="Arial"/>
                <w:b w:val="0"/>
                <w:sz w:val="13"/>
              </w:rPr>
              <w:t>EU AI Act Art. 25 (obligations of importers), Art. 28 (obligations of distributors), DORA Art. 28 (ICT third-party risk)</w:t>
            </w:r>
          </w:p>
        </w:tc>
      </w:tr>
      <w:tr>
        <w:trPr>
          <w:cantSplit/>
        </w:trPr>
        <w:tc>
          <w:tcPr>
            <w:tcW w:type="dxa" w:w="2880"/>
            <w:vAlign w:val="top"/>
          </w:tcPr>
          <w:p>
            <w:pPr>
              <w:spacing w:after="0"/>
              <w:jc w:val="left"/>
            </w:pPr>
            <w:r>
              <w:rPr>
                <w:rFonts w:ascii="Arial" w:hAnsi="Arial"/>
                <w:b w:val="0"/>
                <w:sz w:val="13"/>
              </w:rPr>
              <w:t>Drift and Continuous Improvement Status</w:t>
            </w:r>
          </w:p>
        </w:tc>
        <w:tc>
          <w:tcPr>
            <w:tcW w:type="dxa" w:w="2880"/>
            <w:vAlign w:val="top"/>
          </w:tcPr>
          <w:p>
            <w:pPr>
              <w:spacing w:after="0"/>
              <w:jc w:val="left"/>
            </w:pPr>
            <w:r>
              <w:rPr>
                <w:rFonts w:ascii="Arial" w:hAnsi="Arial"/>
                <w:b w:val="0"/>
                <w:sz w:val="13"/>
              </w:rPr>
              <w:t>Authority drift detection log, lifecycle drift detection log, continuous improvement feedback loop record</w:t>
            </w:r>
          </w:p>
        </w:tc>
        <w:tc>
          <w:tcPr>
            <w:tcW w:type="dxa" w:w="2880"/>
            <w:vAlign w:val="top"/>
          </w:tcPr>
          <w:p>
            <w:pPr>
              <w:spacing w:after="0"/>
              <w:jc w:val="left"/>
            </w:pPr>
            <w:r>
              <w:rPr>
                <w:rFonts w:ascii="Arial" w:hAnsi="Arial"/>
                <w:b w:val="0"/>
                <w:sz w:val="13"/>
              </w:rPr>
              <w:t>Quarterly</w:t>
            </w:r>
          </w:p>
        </w:tc>
        <w:tc>
          <w:tcPr>
            <w:tcW w:type="dxa" w:w="2880"/>
            <w:vAlign w:val="top"/>
          </w:tcPr>
          <w:p>
            <w:pPr>
              <w:spacing w:after="0"/>
              <w:jc w:val="left"/>
            </w:pPr>
            <w:r>
              <w:rPr>
                <w:rFonts w:ascii="Arial" w:hAnsi="Arial"/>
                <w:b w:val="0"/>
                <w:sz w:val="13"/>
              </w:rPr>
              <w:t>Authority drift detected in high-risk system, lifecycle drift unresolved, continuous improvement stalled</w:t>
            </w:r>
          </w:p>
        </w:tc>
        <w:tc>
          <w:tcPr>
            <w:tcW w:type="dxa" w:w="2880"/>
            <w:vAlign w:val="top"/>
          </w:tcPr>
          <w:p>
            <w:pPr>
              <w:spacing w:after="0"/>
              <w:jc w:val="left"/>
            </w:pPr>
            <w:r>
              <w:rPr>
                <w:rFonts w:ascii="Arial" w:hAnsi="Arial"/>
                <w:b w:val="0"/>
                <w:sz w:val="13"/>
              </w:rPr>
              <w:t>NIST AI RMF Measure function, EU AI Act Art. 9 (monitoring and logging)</w:t>
            </w:r>
          </w:p>
        </w:tc>
      </w:tr>
    </w:tbl>
    <w:p>
      <w:pPr>
        <w:sectPr>
          <w:pgSz w:w="12240" w:h="15840" w:orient="landscape"/>
          <w:pgMar w:top="792" w:right="648" w:bottom="792" w:left="648" w:header="720" w:footer="720" w:gutter="0"/>
          <w:cols w:space="720"/>
          <w:docGrid w:linePitch="360"/>
        </w:sectPr>
      </w:pPr>
    </w:p>
    <w:p/>
    <w:p>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
      <w:pPr>
        <w:pStyle w:val="Heading3"/>
      </w:pPr>
      <w:r>
        <w:t>10.5.3 Escalation Note</w:t>
      </w:r>
    </w:p>
    <w:p/>
    <w:p>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
    <w:p>
      <w:pPr>
        <w:pStyle w:val="Heading2"/>
      </w:pPr>
      <w:r>
        <w:t>10.6 Procurement Scorecard Application</w:t>
      </w:r>
    </w:p>
    <w:p/>
    <w:p>
      <w:pPr>
        <w:pStyle w:val="Heading3"/>
      </w:pPr>
      <w:r>
        <w:t>10.6.1 Procurement Lifecycle Governance Requirements</w:t>
      </w:r>
    </w:p>
    <w:p/>
    <w:p>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
      <w:r>
        <w:t>Key procurement criteria:</w:t>
      </w:r>
    </w:p>
    <w:p>
      <w:pPr>
        <w:pStyle w:val="ListBullet"/>
      </w:pPr>
      <w:r>
        <w:t>Does the vendor support lifecycle evidence export in a structured, auditable format?</w:t>
      </w:r>
    </w:p>
    <w:p>
      <w:pPr>
        <w:pStyle w:val="ListBullet"/>
      </w:pPr>
      <w:r>
        <w:t>Can tool actions be bounded by tool-action liability boundaries?</w:t>
      </w:r>
    </w:p>
    <w:p>
      <w:pPr>
        <w:pStyle w:val="ListBullet"/>
      </w:pPr>
      <w:r>
        <w:t>Is the agent identity lifecycle documented and auditable?</w:t>
      </w:r>
    </w:p>
    <w:p>
      <w:pPr>
        <w:pStyle w:val="ListBullet"/>
      </w:pPr>
      <w:r>
        <w:t>Can the organization reconstruct processor and subprocessor chains?</w:t>
      </w:r>
    </w:p>
    <w:p>
      <w:pPr>
        <w:pStyle w:val="ListBullet"/>
      </w:pPr>
      <w:r>
        <w:t>Does the vendor support privacy-preserving validation?</w:t>
      </w:r>
    </w:p>
    <w:p>
      <w:pPr>
        <w:pStyle w:val="ListBullet"/>
      </w:pPr>
      <w:r>
        <w:t>Can the organization substitute vendors without losing lifecycle conformance?</w:t>
      </w:r>
    </w:p>
    <w:p/>
    <w:p>
      <w:pPr>
        <w:pStyle w:val="Heading3"/>
      </w:pPr>
      <w:r>
        <w:t>10.6.2 Procurement Scorecard Table</w:t>
      </w:r>
    </w:p>
    <w:p/>
    <w:p>
      <w:r>
        <w:t>The following table defines procurement scorecard criteria for agentic AI systems, mapped to lifecycle objects, acceptable evidence, risk if absent, and regulatory references.</w:t>
      </w:r>
    </w:p>
    <w:p/>
    <w:p>
      <w:pPr>
        <w:keepNext/>
      </w:pPr>
      <w:r>
        <w:rPr>
          <w:b/>
          <w:sz w:val="17"/>
        </w:rPr>
        <w:t>Table T-10-05: Agentic AI Procurement Scorecard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3"/>
              </w:rPr>
              <w:t>Criterion</w:t>
            </w:r>
          </w:p>
        </w:tc>
        <w:tc>
          <w:tcPr>
            <w:tcW w:type="dxa" w:w="2880"/>
            <w:vAlign w:val="top"/>
            <w:shd w:fill="D9EAF7"/>
          </w:tcPr>
          <w:p>
            <w:pPr>
              <w:spacing w:after="0"/>
              <w:jc w:val="left"/>
            </w:pPr>
            <w:r>
              <w:rPr>
                <w:rFonts w:ascii="Arial" w:hAnsi="Arial"/>
                <w:b/>
                <w:sz w:val="13"/>
              </w:rPr>
              <w:t>Lifecycle Object</w:t>
            </w:r>
          </w:p>
        </w:tc>
        <w:tc>
          <w:tcPr>
            <w:tcW w:type="dxa" w:w="2880"/>
            <w:vAlign w:val="top"/>
            <w:shd w:fill="D9EAF7"/>
          </w:tcPr>
          <w:p>
            <w:pPr>
              <w:spacing w:after="0"/>
              <w:jc w:val="left"/>
            </w:pPr>
            <w:r>
              <w:rPr>
                <w:rFonts w:ascii="Arial" w:hAnsi="Arial"/>
                <w:b/>
                <w:sz w:val="13"/>
              </w:rPr>
              <w:t>Acceptable Evidence</w:t>
            </w:r>
          </w:p>
        </w:tc>
        <w:tc>
          <w:tcPr>
            <w:tcW w:type="dxa" w:w="2880"/>
            <w:vAlign w:val="top"/>
            <w:shd w:fill="D9EAF7"/>
          </w:tcPr>
          <w:p>
            <w:pPr>
              <w:spacing w:after="0"/>
              <w:jc w:val="left"/>
            </w:pPr>
            <w:r>
              <w:rPr>
                <w:rFonts w:ascii="Arial" w:hAnsi="Arial"/>
                <w:b/>
                <w:sz w:val="13"/>
              </w:rPr>
              <w:t>Risk if Absent</w:t>
            </w:r>
          </w:p>
        </w:tc>
        <w:tc>
          <w:tcPr>
            <w:tcW w:type="dxa" w:w="2880"/>
            <w:vAlign w:val="top"/>
            <w:shd w:fill="D9EAF7"/>
          </w:tcPr>
          <w:p>
            <w:pPr>
              <w:spacing w:after="0"/>
              <w:jc w:val="left"/>
            </w:pPr>
            <w:r>
              <w:rPr>
                <w:rFonts w:ascii="Arial" w:hAnsi="Arial"/>
                <w:b/>
                <w:sz w:val="13"/>
              </w:rPr>
              <w:t>Regulatory Reference</w:t>
            </w:r>
          </w:p>
        </w:tc>
      </w:tr>
      <w:tr>
        <w:trPr>
          <w:cantSplit/>
        </w:trPr>
        <w:tc>
          <w:tcPr>
            <w:tcW w:type="dxa" w:w="2880"/>
            <w:vAlign w:val="top"/>
          </w:tcPr>
          <w:p>
            <w:pPr>
              <w:spacing w:after="0"/>
              <w:jc w:val="left"/>
            </w:pPr>
            <w:r>
              <w:rPr>
                <w:rFonts w:ascii="Arial" w:hAnsi="Arial"/>
                <w:b w:val="0"/>
                <w:sz w:val="13"/>
              </w:rPr>
              <w:t>Agent Identity Lifecycle</w:t>
            </w:r>
          </w:p>
        </w:tc>
        <w:tc>
          <w:tcPr>
            <w:tcW w:type="dxa" w:w="2880"/>
            <w:vAlign w:val="top"/>
          </w:tcPr>
          <w:p>
            <w:pPr>
              <w:spacing w:after="0"/>
              <w:jc w:val="left"/>
            </w:pPr>
            <w:r>
              <w:rPr>
                <w:rFonts w:ascii="Arial" w:hAnsi="Arial"/>
                <w:b w:val="0"/>
                <w:sz w:val="13"/>
              </w:rPr>
              <w:t>Agent identity lifecycle record, role-responsibility map</w:t>
            </w:r>
          </w:p>
        </w:tc>
        <w:tc>
          <w:tcPr>
            <w:tcW w:type="dxa" w:w="2880"/>
            <w:vAlign w:val="top"/>
          </w:tcPr>
          <w:p>
            <w:pPr>
              <w:spacing w:after="0"/>
              <w:jc w:val="left"/>
            </w:pPr>
            <w:r>
              <w:rPr>
                <w:rFonts w:ascii="Arial" w:hAnsi="Arial"/>
                <w:b w:val="0"/>
                <w:sz w:val="13"/>
              </w:rPr>
              <w:t>Agent identity registry, identity creation/termination log, role assignment audit trail</w:t>
            </w:r>
          </w:p>
        </w:tc>
        <w:tc>
          <w:tcPr>
            <w:tcW w:type="dxa" w:w="2880"/>
            <w:vAlign w:val="top"/>
          </w:tcPr>
          <w:p>
            <w:pPr>
              <w:spacing w:after="0"/>
              <w:jc w:val="left"/>
            </w:pPr>
            <w:r>
              <w:rPr>
                <w:rFonts w:ascii="Arial" w:hAnsi="Arial"/>
                <w:b w:val="0"/>
                <w:sz w:val="13"/>
              </w:rPr>
              <w:t>Cannot reconstruct who authorized, executed, or accepted agentic work; accountability gap</w:t>
            </w:r>
          </w:p>
        </w:tc>
        <w:tc>
          <w:tcPr>
            <w:tcW w:type="dxa" w:w="2880"/>
            <w:vAlign w:val="top"/>
          </w:tcPr>
          <w:p>
            <w:pPr>
              <w:spacing w:after="0"/>
              <w:jc w:val="left"/>
            </w:pPr>
            <w:r>
              <w:rPr>
                <w:rFonts w:ascii="Arial" w:hAnsi="Arial"/>
                <w:b w:val="0"/>
                <w:sz w:val="13"/>
              </w:rPr>
              <w:t>EU AI Act Art. 9 (quality management), NIST AI RMF Govern function</w:t>
            </w:r>
          </w:p>
        </w:tc>
      </w:tr>
      <w:tr>
        <w:trPr>
          <w:cantSplit/>
        </w:trPr>
        <w:tc>
          <w:tcPr>
            <w:tcW w:type="dxa" w:w="2880"/>
            <w:vAlign w:val="top"/>
          </w:tcPr>
          <w:p>
            <w:pPr>
              <w:spacing w:after="0"/>
              <w:jc w:val="left"/>
            </w:pPr>
            <w:r>
              <w:rPr>
                <w:rFonts w:ascii="Arial" w:hAnsi="Arial"/>
                <w:b w:val="0"/>
                <w:sz w:val="13"/>
              </w:rPr>
              <w:t>Tool-Action Liability Boundary</w:t>
            </w:r>
          </w:p>
        </w:tc>
        <w:tc>
          <w:tcPr>
            <w:tcW w:type="dxa" w:w="2880"/>
            <w:vAlign w:val="top"/>
          </w:tcPr>
          <w:p>
            <w:pPr>
              <w:spacing w:after="0"/>
              <w:jc w:val="left"/>
            </w:pPr>
            <w:r>
              <w:rPr>
                <w:rFonts w:ascii="Arial" w:hAnsi="Arial"/>
                <w:b w:val="0"/>
                <w:sz w:val="13"/>
              </w:rPr>
              <w:t>Tool-action liability boundary, tool credential registry</w:t>
            </w:r>
          </w:p>
        </w:tc>
        <w:tc>
          <w:tcPr>
            <w:tcW w:type="dxa" w:w="2880"/>
            <w:vAlign w:val="top"/>
          </w:tcPr>
          <w:p>
            <w:pPr>
              <w:spacing w:after="0"/>
              <w:jc w:val="left"/>
            </w:pPr>
            <w:r>
              <w:rPr>
                <w:rFonts w:ascii="Arial" w:hAnsi="Arial"/>
                <w:b w:val="0"/>
                <w:sz w:val="13"/>
              </w:rPr>
              <w:t>Tool-action authorization policy, tool invocation log, liability boundary validation record</w:t>
            </w:r>
          </w:p>
        </w:tc>
        <w:tc>
          <w:tcPr>
            <w:tcW w:type="dxa" w:w="2880"/>
            <w:vAlign w:val="top"/>
          </w:tcPr>
          <w:p>
            <w:pPr>
              <w:spacing w:after="0"/>
              <w:jc w:val="left"/>
            </w:pPr>
            <w:r>
              <w:rPr>
                <w:rFonts w:ascii="Arial" w:hAnsi="Arial"/>
                <w:b w:val="0"/>
                <w:sz w:val="13"/>
              </w:rPr>
              <w:t>Cannot determine liability for tool misuse, unauthorized tool invocation, or tool-related incidents</w:t>
            </w:r>
          </w:p>
        </w:tc>
        <w:tc>
          <w:tcPr>
            <w:tcW w:type="dxa" w:w="2880"/>
            <w:vAlign w:val="top"/>
          </w:tcPr>
          <w:p>
            <w:pPr>
              <w:spacing w:after="0"/>
              <w:jc w:val="left"/>
            </w:pPr>
            <w:r>
              <w:rPr>
                <w:rFonts w:ascii="Arial" w:hAnsi="Arial"/>
                <w:b w:val="0"/>
                <w:sz w:val="13"/>
              </w:rPr>
              <w:t>EU AI Act Art. 28 (obligations of distributors), DORA Art. 28 (ICT third-party risk)</w:t>
            </w:r>
          </w:p>
        </w:tc>
      </w:tr>
      <w:tr>
        <w:trPr>
          <w:cantSplit/>
        </w:trPr>
        <w:tc>
          <w:tcPr>
            <w:tcW w:type="dxa" w:w="2880"/>
            <w:vAlign w:val="top"/>
          </w:tcPr>
          <w:p>
            <w:pPr>
              <w:spacing w:after="0"/>
              <w:jc w:val="left"/>
            </w:pPr>
            <w:r>
              <w:rPr>
                <w:rFonts w:ascii="Arial" w:hAnsi="Arial"/>
                <w:b w:val="0"/>
                <w:sz w:val="13"/>
              </w:rPr>
              <w:t>Evidence Export Capability</w:t>
            </w:r>
          </w:p>
        </w:tc>
        <w:tc>
          <w:tcPr>
            <w:tcW w:type="dxa" w:w="2880"/>
            <w:vAlign w:val="top"/>
          </w:tcPr>
          <w:p>
            <w:pPr>
              <w:spacing w:after="0"/>
              <w:jc w:val="left"/>
            </w:pPr>
            <w:r>
              <w:rPr>
                <w:rFonts w:ascii="Arial" w:hAnsi="Arial"/>
                <w:b w:val="0"/>
                <w:sz w:val="13"/>
              </w:rPr>
              <w:t>Evidence partition, evidence minimization policy</w:t>
            </w:r>
          </w:p>
        </w:tc>
        <w:tc>
          <w:tcPr>
            <w:tcW w:type="dxa" w:w="2880"/>
            <w:vAlign w:val="top"/>
          </w:tcPr>
          <w:p>
            <w:pPr>
              <w:spacing w:after="0"/>
              <w:jc w:val="left"/>
            </w:pPr>
            <w:r>
              <w:rPr>
                <w:rFonts w:ascii="Arial" w:hAnsi="Arial"/>
                <w:b w:val="0"/>
                <w:sz w:val="13"/>
              </w:rPr>
              <w:t>Evidence export API, evidence schema documentation, evidence integrity validation</w:t>
            </w:r>
          </w:p>
        </w:tc>
        <w:tc>
          <w:tcPr>
            <w:tcW w:type="dxa" w:w="2880"/>
            <w:vAlign w:val="top"/>
          </w:tcPr>
          <w:p>
            <w:pPr>
              <w:spacing w:after="0"/>
              <w:jc w:val="left"/>
            </w:pPr>
            <w:r>
              <w:rPr>
                <w:rFonts w:ascii="Arial" w:hAnsi="Arial"/>
                <w:b w:val="0"/>
                <w:sz w:val="13"/>
              </w:rPr>
              <w:t>Cannot provide evidence to auditors, regulators, or data subjects; audit readiness failure</w:t>
            </w:r>
          </w:p>
        </w:tc>
        <w:tc>
          <w:tcPr>
            <w:tcW w:type="dxa" w:w="2880"/>
            <w:vAlign w:val="top"/>
          </w:tcPr>
          <w:p>
            <w:pPr>
              <w:spacing w:after="0"/>
              <w:jc w:val="left"/>
            </w:pPr>
            <w:r>
              <w:rPr>
                <w:rFonts w:ascii="Arial" w:hAnsi="Arial"/>
                <w:b w:val="0"/>
                <w:sz w:val="13"/>
              </w:rPr>
              <w:t>GDPR Art. 15 (right of access), EU AI Act Art. 12 (record-keeping)</w:t>
            </w:r>
          </w:p>
        </w:tc>
      </w:tr>
      <w:tr>
        <w:trPr>
          <w:cantSplit/>
        </w:trPr>
        <w:tc>
          <w:tcPr>
            <w:tcW w:type="dxa" w:w="2880"/>
            <w:vAlign w:val="top"/>
          </w:tcPr>
          <w:p>
            <w:pPr>
              <w:spacing w:after="0"/>
              <w:jc w:val="left"/>
            </w:pPr>
            <w:r>
              <w:rPr>
                <w:rFonts w:ascii="Arial" w:hAnsi="Arial"/>
                <w:b w:val="0"/>
                <w:sz w:val="13"/>
              </w:rPr>
              <w:t>Privacy Data-Flow Map</w:t>
            </w:r>
          </w:p>
        </w:tc>
        <w:tc>
          <w:tcPr>
            <w:tcW w:type="dxa" w:w="2880"/>
            <w:vAlign w:val="top"/>
          </w:tcPr>
          <w:p>
            <w:pPr>
              <w:spacing w:after="0"/>
              <w:jc w:val="left"/>
            </w:pPr>
            <w:r>
              <w:rPr>
                <w:rFonts w:ascii="Arial" w:hAnsi="Arial"/>
                <w:b w:val="0"/>
                <w:sz w:val="13"/>
              </w:rPr>
              <w:t>Privacy lifecycle map, processor chain record, data subject rights reconciliation record</w:t>
            </w:r>
          </w:p>
        </w:tc>
        <w:tc>
          <w:tcPr>
            <w:tcW w:type="dxa" w:w="2880"/>
            <w:vAlign w:val="top"/>
          </w:tcPr>
          <w:p>
            <w:pPr>
              <w:spacing w:after="0"/>
              <w:jc w:val="left"/>
            </w:pPr>
            <w:r>
              <w:rPr>
                <w:rFonts w:ascii="Arial" w:hAnsi="Arial"/>
                <w:b w:val="0"/>
                <w:sz w:val="13"/>
              </w:rPr>
              <w:t>Privacy impact assessment, data flow diagram, processor/subprocessor registry</w:t>
            </w:r>
          </w:p>
        </w:tc>
        <w:tc>
          <w:tcPr>
            <w:tcW w:type="dxa" w:w="2880"/>
            <w:vAlign w:val="top"/>
          </w:tcPr>
          <w:p>
            <w:pPr>
              <w:spacing w:after="0"/>
              <w:jc w:val="left"/>
            </w:pPr>
            <w:r>
              <w:rPr>
                <w:rFonts w:ascii="Arial" w:hAnsi="Arial"/>
                <w:b w:val="0"/>
                <w:sz w:val="13"/>
              </w:rPr>
              <w:t>Cannot reconstruct data processing activities; GDPR compliance failure; privacy incident response failure</w:t>
            </w:r>
          </w:p>
        </w:tc>
        <w:tc>
          <w:tcPr>
            <w:tcW w:type="dxa" w:w="2880"/>
            <w:vAlign w:val="top"/>
          </w:tcPr>
          <w:p>
            <w:pPr>
              <w:spacing w:after="0"/>
              <w:jc w:val="left"/>
            </w:pPr>
            <w:r>
              <w:rPr>
                <w:rFonts w:ascii="Arial" w:hAnsi="Arial"/>
                <w:b w:val="0"/>
                <w:sz w:val="13"/>
              </w:rPr>
              <w:t>GDPR Art. 28 (processor obligations), Art. 30 (records of processing), EU AI Act Art. 10 (data governance)</w:t>
            </w:r>
          </w:p>
        </w:tc>
      </w:tr>
      <w:tr>
        <w:trPr>
          <w:cantSplit/>
        </w:trPr>
        <w:tc>
          <w:tcPr>
            <w:tcW w:type="dxa" w:w="2880"/>
            <w:vAlign w:val="top"/>
          </w:tcPr>
          <w:p>
            <w:pPr>
              <w:spacing w:after="0"/>
              <w:jc w:val="left"/>
            </w:pPr>
            <w:r>
              <w:rPr>
                <w:rFonts w:ascii="Arial" w:hAnsi="Arial"/>
                <w:b w:val="0"/>
                <w:sz w:val="13"/>
              </w:rPr>
              <w:t>Incident Response Support</w:t>
            </w:r>
          </w:p>
        </w:tc>
        <w:tc>
          <w:tcPr>
            <w:tcW w:type="dxa" w:w="2880"/>
            <w:vAlign w:val="top"/>
          </w:tcPr>
          <w:p>
            <w:pPr>
              <w:spacing w:after="0"/>
              <w:jc w:val="left"/>
            </w:pPr>
            <w:r>
              <w:rPr>
                <w:rFonts w:ascii="Arial" w:hAnsi="Arial"/>
                <w:b w:val="0"/>
                <w:sz w:val="13"/>
              </w:rPr>
              <w:t>Incident closure record, accepted outcome state, remediation record</w:t>
            </w:r>
          </w:p>
        </w:tc>
        <w:tc>
          <w:tcPr>
            <w:tcW w:type="dxa" w:w="2880"/>
            <w:vAlign w:val="top"/>
          </w:tcPr>
          <w:p>
            <w:pPr>
              <w:spacing w:after="0"/>
              <w:jc w:val="left"/>
            </w:pPr>
            <w:r>
              <w:rPr>
                <w:rFonts w:ascii="Arial" w:hAnsi="Arial"/>
                <w:b w:val="0"/>
                <w:sz w:val="13"/>
              </w:rPr>
              <w:t>Incident response procedure, incident closure SLA, remediation acceptance criteria</w:t>
            </w:r>
          </w:p>
        </w:tc>
        <w:tc>
          <w:tcPr>
            <w:tcW w:type="dxa" w:w="2880"/>
            <w:vAlign w:val="top"/>
          </w:tcPr>
          <w:p>
            <w:pPr>
              <w:spacing w:after="0"/>
              <w:jc w:val="left"/>
            </w:pPr>
            <w:r>
              <w:rPr>
                <w:rFonts w:ascii="Arial" w:hAnsi="Arial"/>
                <w:b w:val="0"/>
                <w:sz w:val="13"/>
              </w:rPr>
              <w:t>Cannot close incidents with accepted remediation; redress failure; regulatory reporting failure</w:t>
            </w:r>
          </w:p>
        </w:tc>
        <w:tc>
          <w:tcPr>
            <w:tcW w:type="dxa" w:w="2880"/>
            <w:vAlign w:val="top"/>
          </w:tcPr>
          <w:p>
            <w:pPr>
              <w:spacing w:after="0"/>
              <w:jc w:val="left"/>
            </w:pPr>
            <w:r>
              <w:rPr>
                <w:rFonts w:ascii="Arial" w:hAnsi="Arial"/>
                <w:b w:val="0"/>
                <w:sz w:val="13"/>
              </w:rPr>
              <w:t>EU AI Act Art. 72 (dispute resolution), GDPR Art. 33-34 (breach notification)</w:t>
            </w:r>
          </w:p>
        </w:tc>
      </w:tr>
      <w:tr>
        <w:trPr>
          <w:cantSplit/>
        </w:trPr>
        <w:tc>
          <w:tcPr>
            <w:tcW w:type="dxa" w:w="2880"/>
            <w:vAlign w:val="top"/>
          </w:tcPr>
          <w:p>
            <w:pPr>
              <w:spacing w:after="0"/>
              <w:jc w:val="left"/>
            </w:pPr>
            <w:r>
              <w:rPr>
                <w:rFonts w:ascii="Arial" w:hAnsi="Arial"/>
                <w:b w:val="0"/>
                <w:sz w:val="13"/>
              </w:rPr>
              <w:t>Vendor Substitution Support</w:t>
            </w:r>
          </w:p>
        </w:tc>
        <w:tc>
          <w:tcPr>
            <w:tcW w:type="dxa" w:w="2880"/>
            <w:vAlign w:val="top"/>
          </w:tcPr>
          <w:p>
            <w:pPr>
              <w:spacing w:after="0"/>
              <w:jc w:val="left"/>
            </w:pPr>
            <w:r>
              <w:rPr>
                <w:rFonts w:ascii="Arial" w:hAnsi="Arial"/>
                <w:b w:val="0"/>
                <w:sz w:val="13"/>
              </w:rPr>
              <w:t>Vendor substitution conformance test, model version registry, processor chain record</w:t>
            </w:r>
          </w:p>
        </w:tc>
        <w:tc>
          <w:tcPr>
            <w:tcW w:type="dxa" w:w="2880"/>
            <w:vAlign w:val="top"/>
          </w:tcPr>
          <w:p>
            <w:pPr>
              <w:spacing w:after="0"/>
              <w:jc w:val="left"/>
            </w:pPr>
            <w:r>
              <w:rPr>
                <w:rFonts w:ascii="Arial" w:hAnsi="Arial"/>
                <w:b w:val="0"/>
                <w:sz w:val="13"/>
              </w:rPr>
              <w:t>Vendor substitution test procedure, data portability support, lifecycle conformance revalidation plan</w:t>
            </w:r>
          </w:p>
        </w:tc>
        <w:tc>
          <w:tcPr>
            <w:tcW w:type="dxa" w:w="2880"/>
            <w:vAlign w:val="top"/>
          </w:tcPr>
          <w:p>
            <w:pPr>
              <w:spacing w:after="0"/>
              <w:jc w:val="left"/>
            </w:pPr>
            <w:r>
              <w:rPr>
                <w:rFonts w:ascii="Arial" w:hAnsi="Arial"/>
                <w:b w:val="0"/>
                <w:sz w:val="13"/>
              </w:rPr>
              <w:t>Vendor lock-in; cannot switch vendors without losing lifecycle conformance; supply-chain risk</w:t>
            </w:r>
          </w:p>
        </w:tc>
        <w:tc>
          <w:tcPr>
            <w:tcW w:type="dxa" w:w="2880"/>
            <w:vAlign w:val="top"/>
          </w:tcPr>
          <w:p>
            <w:pPr>
              <w:spacing w:after="0"/>
              <w:jc w:val="left"/>
            </w:pPr>
            <w:r>
              <w:rPr>
                <w:rFonts w:ascii="Arial" w:hAnsi="Arial"/>
                <w:b w:val="0"/>
                <w:sz w:val="13"/>
              </w:rPr>
              <w:t>EU AI Act Art. 25 (obligations of importers), DORA Art. 28 (exit strategies)</w:t>
            </w:r>
          </w:p>
        </w:tc>
      </w:tr>
      <w:tr>
        <w:trPr>
          <w:cantSplit/>
        </w:trPr>
        <w:tc>
          <w:tcPr>
            <w:tcW w:type="dxa" w:w="2880"/>
            <w:vAlign w:val="top"/>
          </w:tcPr>
          <w:p>
            <w:pPr>
              <w:spacing w:after="0"/>
              <w:jc w:val="left"/>
            </w:pPr>
            <w:r>
              <w:rPr>
                <w:rFonts w:ascii="Arial" w:hAnsi="Arial"/>
                <w:b w:val="0"/>
                <w:sz w:val="13"/>
              </w:rPr>
              <w:t>Drift Monitoring Capability</w:t>
            </w:r>
          </w:p>
        </w:tc>
        <w:tc>
          <w:tcPr>
            <w:tcW w:type="dxa" w:w="2880"/>
            <w:vAlign w:val="top"/>
          </w:tcPr>
          <w:p>
            <w:pPr>
              <w:spacing w:after="0"/>
              <w:jc w:val="left"/>
            </w:pPr>
            <w:r>
              <w:rPr>
                <w:rFonts w:ascii="Arial" w:hAnsi="Arial"/>
                <w:b w:val="0"/>
                <w:sz w:val="13"/>
              </w:rPr>
              <w:t>Authority drift detection log, lifecycle drift detection log</w:t>
            </w:r>
          </w:p>
        </w:tc>
        <w:tc>
          <w:tcPr>
            <w:tcW w:type="dxa" w:w="2880"/>
            <w:vAlign w:val="top"/>
          </w:tcPr>
          <w:p>
            <w:pPr>
              <w:spacing w:after="0"/>
              <w:jc w:val="left"/>
            </w:pPr>
            <w:r>
              <w:rPr>
                <w:rFonts w:ascii="Arial" w:hAnsi="Arial"/>
                <w:b w:val="0"/>
                <w:sz w:val="13"/>
              </w:rPr>
              <w:t>Drift detection procedure, drift alert mechanism, drift remediation workflow</w:t>
            </w:r>
          </w:p>
        </w:tc>
        <w:tc>
          <w:tcPr>
            <w:tcW w:type="dxa" w:w="2880"/>
            <w:vAlign w:val="top"/>
          </w:tcPr>
          <w:p>
            <w:pPr>
              <w:spacing w:after="0"/>
              <w:jc w:val="left"/>
            </w:pPr>
            <w:r>
              <w:rPr>
                <w:rFonts w:ascii="Arial" w:hAnsi="Arial"/>
                <w:b w:val="0"/>
                <w:sz w:val="13"/>
              </w:rPr>
              <w:t>Cannot detect authority boundary violations, lifecycle conformance degradation, or continuous improvement stalls</w:t>
            </w:r>
          </w:p>
        </w:tc>
        <w:tc>
          <w:tcPr>
            <w:tcW w:type="dxa" w:w="2880"/>
            <w:vAlign w:val="top"/>
          </w:tcPr>
          <w:p>
            <w:pPr>
              <w:spacing w:after="0"/>
              <w:jc w:val="left"/>
            </w:pPr>
            <w:r>
              <w:rPr>
                <w:rFonts w:ascii="Arial" w:hAnsi="Arial"/>
                <w:b w:val="0"/>
                <w:sz w:val="13"/>
              </w:rPr>
              <w:t>NIST AI RMF Measure function, EU AI Act Art. 9 (monitoring and logging)</w:t>
            </w:r>
          </w:p>
        </w:tc>
      </w:tr>
      <w:tr>
        <w:trPr>
          <w:cantSplit/>
        </w:trPr>
        <w:tc>
          <w:tcPr>
            <w:tcW w:type="dxa" w:w="2880"/>
            <w:vAlign w:val="top"/>
          </w:tcPr>
          <w:p>
            <w:pPr>
              <w:spacing w:after="0"/>
              <w:jc w:val="left"/>
            </w:pPr>
            <w:r>
              <w:rPr>
                <w:rFonts w:ascii="Arial" w:hAnsi="Arial"/>
                <w:b w:val="0"/>
                <w:sz w:val="13"/>
              </w:rPr>
              <w:t>Dispute Resolution Support</w:t>
            </w:r>
          </w:p>
        </w:tc>
        <w:tc>
          <w:tcPr>
            <w:tcW w:type="dxa" w:w="2880"/>
            <w:vAlign w:val="top"/>
          </w:tcPr>
          <w:p>
            <w:pPr>
              <w:spacing w:after="0"/>
              <w:jc w:val="left"/>
            </w:pPr>
            <w:r>
              <w:rPr>
                <w:rFonts w:ascii="Arial" w:hAnsi="Arial"/>
                <w:b w:val="0"/>
                <w:sz w:val="13"/>
              </w:rPr>
              <w:t>Dispute resolution record, accepted outcome state, incident closure record</w:t>
            </w:r>
          </w:p>
        </w:tc>
        <w:tc>
          <w:tcPr>
            <w:tcW w:type="dxa" w:w="2880"/>
            <w:vAlign w:val="top"/>
          </w:tcPr>
          <w:p>
            <w:pPr>
              <w:spacing w:after="0"/>
              <w:jc w:val="left"/>
            </w:pPr>
            <w:r>
              <w:rPr>
                <w:rFonts w:ascii="Arial" w:hAnsi="Arial"/>
                <w:b w:val="0"/>
                <w:sz w:val="13"/>
              </w:rPr>
              <w:t>Dispute resolution procedure, dispute escalation path, dispute closure criteria</w:t>
            </w:r>
          </w:p>
        </w:tc>
        <w:tc>
          <w:tcPr>
            <w:tcW w:type="dxa" w:w="2880"/>
            <w:vAlign w:val="top"/>
          </w:tcPr>
          <w:p>
            <w:pPr>
              <w:spacing w:after="0"/>
              <w:jc w:val="left"/>
            </w:pPr>
            <w:r>
              <w:rPr>
                <w:rFonts w:ascii="Arial" w:hAnsi="Arial"/>
                <w:b w:val="0"/>
                <w:sz w:val="13"/>
              </w:rPr>
              <w:t>Cannot resolve disputes with accepted outcomes; redress failure; regulatory escalation risk</w:t>
            </w:r>
          </w:p>
        </w:tc>
        <w:tc>
          <w:tcPr>
            <w:tcW w:type="dxa" w:w="2880"/>
            <w:vAlign w:val="top"/>
          </w:tcPr>
          <w:p>
            <w:pPr>
              <w:spacing w:after="0"/>
              <w:jc w:val="left"/>
            </w:pPr>
            <w:r>
              <w:rPr>
                <w:rFonts w:ascii="Arial" w:hAnsi="Arial"/>
                <w:b w:val="0"/>
                <w:sz w:val="13"/>
              </w:rPr>
              <w:t>EU AI Act Art. 72 (dispute resolution), GDPR Art. 79 (right to judicial remedy)</w:t>
            </w:r>
          </w:p>
        </w:tc>
      </w:tr>
    </w:tbl>
    <w:p>
      <w:pPr>
        <w:sectPr>
          <w:pgSz w:w="15840" w:h="12240" w:orient="landscape"/>
          <w:pgMar w:top="792" w:right="648" w:bottom="792" w:left="648" w:header="720" w:footer="720" w:gutter="0"/>
          <w:cols w:space="720"/>
          <w:docGrid w:linePitch="360"/>
        </w:sectPr>
      </w:pPr>
    </w:p>
    <w:p/>
    <w:p>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
      <w:pPr>
        <w:pStyle w:val="Heading3"/>
      </w:pPr>
      <w:r>
        <w:t>10.6.3 Scorecard Note</w:t>
      </w:r>
    </w:p>
    <w:p/>
    <w:p>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
    <w:p>
      <w:pPr>
        <w:pStyle w:val="Heading2"/>
      </w:pPr>
      <w:r>
        <w:t>10.7 Ongoing Monitoring and Continuous Improvement</w:t>
      </w:r>
    </w:p>
    <w:p/>
    <w:p>
      <w:pPr>
        <w:pStyle w:val="Heading3"/>
      </w:pPr>
      <w:r>
        <w:t>10.7.1 Why Monitoring Must Be Lifecycle-Integrated</w:t>
      </w:r>
    </w:p>
    <w:p/>
    <w:p>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
      <w:r>
        <w:t>MRO-09 (Lifecycle Drift Detection) and MRO-10 (Continuous Improvement Feedback Loop) are the relevant dimensions for lifecycle monitoring. Lifecycle drift occurs when responsibility assignments, authority boundaries, tool-action liability boundaries, or evidence partitions degrade over time without explicit revalidation. Continuous improvement requires feeding lifecycle monitoring results back into ALCS lifecycle records, MRO scores, and RCCS coverage assessments.</w:t>
      </w:r>
    </w:p>
    <w:p/>
    <w:p>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
      <w:pPr>
        <w:pStyle w:val="Heading3"/>
      </w:pPr>
      <w:r>
        <w:t>10.7.2 Monitoring Indicators Table</w:t>
      </w:r>
    </w:p>
    <w:p/>
    <w:p>
      <w:r>
        <w:t>The following table defines lifecycle monitoring indicators, mapped to lifecycle objects, alert conditions, MRO dimensions, and remediation paths.</w:t>
      </w:r>
    </w:p>
    <w:p/>
    <w:p>
      <w:pPr>
        <w:keepNext/>
      </w:pPr>
      <w:r>
        <w:rPr>
          <w:b/>
          <w:sz w:val="17"/>
        </w:rPr>
        <w:t>Table T-10-06: Lifecycle Monitoring Indicators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3"/>
              </w:rPr>
              <w:t>Indicator</w:t>
            </w:r>
          </w:p>
        </w:tc>
        <w:tc>
          <w:tcPr>
            <w:tcW w:type="dxa" w:w="2880"/>
            <w:vAlign w:val="top"/>
            <w:shd w:fill="D9EAF7"/>
          </w:tcPr>
          <w:p>
            <w:pPr>
              <w:spacing w:after="0"/>
              <w:jc w:val="left"/>
            </w:pPr>
            <w:r>
              <w:rPr>
                <w:rFonts w:ascii="Arial" w:hAnsi="Arial"/>
                <w:b/>
                <w:sz w:val="13"/>
              </w:rPr>
              <w:t>Lifecycle Object</w:t>
            </w:r>
          </w:p>
        </w:tc>
        <w:tc>
          <w:tcPr>
            <w:tcW w:type="dxa" w:w="2880"/>
            <w:vAlign w:val="top"/>
            <w:shd w:fill="D9EAF7"/>
          </w:tcPr>
          <w:p>
            <w:pPr>
              <w:spacing w:after="0"/>
              <w:jc w:val="left"/>
            </w:pPr>
            <w:r>
              <w:rPr>
                <w:rFonts w:ascii="Arial" w:hAnsi="Arial"/>
                <w:b/>
                <w:sz w:val="13"/>
              </w:rPr>
              <w:t>Alert Condition</w:t>
            </w:r>
          </w:p>
        </w:tc>
        <w:tc>
          <w:tcPr>
            <w:tcW w:type="dxa" w:w="2880"/>
            <w:vAlign w:val="top"/>
            <w:shd w:fill="D9EAF7"/>
          </w:tcPr>
          <w:p>
            <w:pPr>
              <w:spacing w:after="0"/>
              <w:jc w:val="left"/>
            </w:pPr>
            <w:r>
              <w:rPr>
                <w:rFonts w:ascii="Arial" w:hAnsi="Arial"/>
                <w:b/>
                <w:sz w:val="13"/>
              </w:rPr>
              <w:t>MRO Dimension</w:t>
            </w:r>
          </w:p>
        </w:tc>
        <w:tc>
          <w:tcPr>
            <w:tcW w:type="dxa" w:w="2880"/>
            <w:vAlign w:val="top"/>
            <w:shd w:fill="D9EAF7"/>
          </w:tcPr>
          <w:p>
            <w:pPr>
              <w:spacing w:after="0"/>
              <w:jc w:val="left"/>
            </w:pPr>
            <w:r>
              <w:rPr>
                <w:rFonts w:ascii="Arial" w:hAnsi="Arial"/>
                <w:b/>
                <w:sz w:val="13"/>
              </w:rPr>
              <w:t>Remediation Path</w:t>
            </w:r>
          </w:p>
        </w:tc>
      </w:tr>
      <w:tr>
        <w:trPr>
          <w:cantSplit/>
        </w:trPr>
        <w:tc>
          <w:tcPr>
            <w:tcW w:type="dxa" w:w="2880"/>
            <w:vAlign w:val="top"/>
          </w:tcPr>
          <w:p>
            <w:pPr>
              <w:spacing w:after="0"/>
              <w:jc w:val="left"/>
            </w:pPr>
            <w:r>
              <w:rPr>
                <w:rFonts w:ascii="Arial" w:hAnsi="Arial"/>
                <w:b w:val="0"/>
                <w:sz w:val="13"/>
              </w:rPr>
              <w:t>Responsibility Drift</w:t>
            </w:r>
          </w:p>
        </w:tc>
        <w:tc>
          <w:tcPr>
            <w:tcW w:type="dxa" w:w="2880"/>
            <w:vAlign w:val="top"/>
          </w:tcPr>
          <w:p>
            <w:pPr>
              <w:spacing w:after="0"/>
              <w:jc w:val="left"/>
            </w:pPr>
            <w:r>
              <w:rPr>
                <w:rFonts w:ascii="Arial" w:hAnsi="Arial"/>
                <w:b w:val="0"/>
                <w:sz w:val="13"/>
              </w:rPr>
              <w:t>Role-responsibility map, agent identity lifecycle record</w:t>
            </w:r>
          </w:p>
        </w:tc>
        <w:tc>
          <w:tcPr>
            <w:tcW w:type="dxa" w:w="2880"/>
            <w:vAlign w:val="top"/>
          </w:tcPr>
          <w:p>
            <w:pPr>
              <w:spacing w:after="0"/>
              <w:jc w:val="left"/>
            </w:pPr>
            <w:r>
              <w:rPr>
                <w:rFonts w:ascii="Arial" w:hAnsi="Arial"/>
                <w:b w:val="0"/>
                <w:sz w:val="13"/>
              </w:rPr>
              <w:t>Role assignment unchanged beyond revalidation period; role holder departed; responsibility gap detected</w:t>
            </w:r>
          </w:p>
        </w:tc>
        <w:tc>
          <w:tcPr>
            <w:tcW w:type="dxa" w:w="2880"/>
            <w:vAlign w:val="top"/>
          </w:tcPr>
          <w:p>
            <w:pPr>
              <w:spacing w:after="0"/>
              <w:jc w:val="left"/>
            </w:pPr>
            <w:r>
              <w:rPr>
                <w:rFonts w:ascii="Arial" w:hAnsi="Arial"/>
                <w:b w:val="0"/>
                <w:sz w:val="13"/>
              </w:rPr>
              <w:t>MRO-01, MRO-09</w:t>
            </w:r>
          </w:p>
        </w:tc>
        <w:tc>
          <w:tcPr>
            <w:tcW w:type="dxa" w:w="2880"/>
            <w:vAlign w:val="top"/>
          </w:tcPr>
          <w:p>
            <w:pPr>
              <w:spacing w:after="0"/>
              <w:jc w:val="left"/>
            </w:pPr>
            <w:r>
              <w:rPr>
                <w:rFonts w:ascii="Arial" w:hAnsi="Arial"/>
                <w:b w:val="0"/>
                <w:sz w:val="13"/>
              </w:rPr>
              <w:t>Revalidate role-responsibility map; reassign agent identity; update lifecycle record; document drift remediation</w:t>
            </w:r>
          </w:p>
        </w:tc>
      </w:tr>
      <w:tr>
        <w:trPr>
          <w:cantSplit/>
        </w:trPr>
        <w:tc>
          <w:tcPr>
            <w:tcW w:type="dxa" w:w="2880"/>
            <w:vAlign w:val="top"/>
          </w:tcPr>
          <w:p>
            <w:pPr>
              <w:spacing w:after="0"/>
              <w:jc w:val="left"/>
            </w:pPr>
            <w:r>
              <w:rPr>
                <w:rFonts w:ascii="Arial" w:hAnsi="Arial"/>
                <w:b w:val="0"/>
                <w:sz w:val="13"/>
              </w:rPr>
              <w:t>Evidence Chain Break</w:t>
            </w:r>
          </w:p>
        </w:tc>
        <w:tc>
          <w:tcPr>
            <w:tcW w:type="dxa" w:w="2880"/>
            <w:vAlign w:val="top"/>
          </w:tcPr>
          <w:p>
            <w:pPr>
              <w:spacing w:after="0"/>
              <w:jc w:val="left"/>
            </w:pPr>
            <w:r>
              <w:rPr>
                <w:rFonts w:ascii="Arial" w:hAnsi="Arial"/>
                <w:b w:val="0"/>
                <w:sz w:val="13"/>
              </w:rPr>
              <w:t>Evidence partition, accepted outcome state, incident closure record</w:t>
            </w:r>
          </w:p>
        </w:tc>
        <w:tc>
          <w:tcPr>
            <w:tcW w:type="dxa" w:w="2880"/>
            <w:vAlign w:val="top"/>
          </w:tcPr>
          <w:p>
            <w:pPr>
              <w:spacing w:after="0"/>
              <w:jc w:val="left"/>
            </w:pPr>
            <w:r>
              <w:rPr>
                <w:rFonts w:ascii="Arial" w:hAnsi="Arial"/>
                <w:b w:val="0"/>
                <w:sz w:val="13"/>
              </w:rPr>
              <w:t>Evidence partition integrity check failed; evidence missing for lifecycle phase; accepted outcome lacks supporting evidence</w:t>
            </w:r>
          </w:p>
        </w:tc>
        <w:tc>
          <w:tcPr>
            <w:tcW w:type="dxa" w:w="2880"/>
            <w:vAlign w:val="top"/>
          </w:tcPr>
          <w:p>
            <w:pPr>
              <w:spacing w:after="0"/>
              <w:jc w:val="left"/>
            </w:pPr>
            <w:r>
              <w:rPr>
                <w:rFonts w:ascii="Arial" w:hAnsi="Arial"/>
                <w:b w:val="0"/>
                <w:sz w:val="13"/>
              </w:rPr>
              <w:t>MRO-08, MRO-09</w:t>
            </w:r>
          </w:p>
        </w:tc>
        <w:tc>
          <w:tcPr>
            <w:tcW w:type="dxa" w:w="2880"/>
            <w:vAlign w:val="top"/>
          </w:tcPr>
          <w:p>
            <w:pPr>
              <w:spacing w:after="0"/>
              <w:jc w:val="left"/>
            </w:pPr>
            <w:r>
              <w:rPr>
                <w:rFonts w:ascii="Arial" w:hAnsi="Arial"/>
                <w:b w:val="0"/>
                <w:sz w:val="13"/>
              </w:rPr>
              <w:t>Reconstruct evidence chain; validate evidence partition; re-execute acceptance review; document evidence remediation</w:t>
            </w:r>
          </w:p>
        </w:tc>
      </w:tr>
      <w:tr>
        <w:trPr>
          <w:cantSplit/>
        </w:trPr>
        <w:tc>
          <w:tcPr>
            <w:tcW w:type="dxa" w:w="2880"/>
            <w:vAlign w:val="top"/>
          </w:tcPr>
          <w:p>
            <w:pPr>
              <w:spacing w:after="0"/>
              <w:jc w:val="left"/>
            </w:pPr>
            <w:r>
              <w:rPr>
                <w:rFonts w:ascii="Arial" w:hAnsi="Arial"/>
                <w:b w:val="0"/>
                <w:sz w:val="13"/>
              </w:rPr>
              <w:t>Tool-Action Boundary Violation</w:t>
            </w:r>
          </w:p>
        </w:tc>
        <w:tc>
          <w:tcPr>
            <w:tcW w:type="dxa" w:w="2880"/>
            <w:vAlign w:val="top"/>
          </w:tcPr>
          <w:p>
            <w:pPr>
              <w:spacing w:after="0"/>
              <w:jc w:val="left"/>
            </w:pPr>
            <w:r>
              <w:rPr>
                <w:rFonts w:ascii="Arial" w:hAnsi="Arial"/>
                <w:b w:val="0"/>
                <w:sz w:val="13"/>
              </w:rPr>
              <w:t>Tool-action liability boundary, authority boundary object</w:t>
            </w:r>
          </w:p>
        </w:tc>
        <w:tc>
          <w:tcPr>
            <w:tcW w:type="dxa" w:w="2880"/>
            <w:vAlign w:val="top"/>
          </w:tcPr>
          <w:p>
            <w:pPr>
              <w:spacing w:after="0"/>
              <w:jc w:val="left"/>
            </w:pPr>
            <w:r>
              <w:rPr>
                <w:rFonts w:ascii="Arial" w:hAnsi="Arial"/>
                <w:b w:val="0"/>
                <w:sz w:val="13"/>
              </w:rPr>
              <w:t>Tool invoked outside delegated scope; tool action exceeded liability boundary; unauthorized tool credential access</w:t>
            </w:r>
          </w:p>
        </w:tc>
        <w:tc>
          <w:tcPr>
            <w:tcW w:type="dxa" w:w="2880"/>
            <w:vAlign w:val="top"/>
          </w:tcPr>
          <w:p>
            <w:pPr>
              <w:spacing w:after="0"/>
              <w:jc w:val="left"/>
            </w:pPr>
            <w:r>
              <w:rPr>
                <w:rFonts w:ascii="Arial" w:hAnsi="Arial"/>
                <w:b w:val="0"/>
                <w:sz w:val="13"/>
              </w:rPr>
              <w:t>MRO-02, MRO-05, MRO-09</w:t>
            </w:r>
          </w:p>
        </w:tc>
        <w:tc>
          <w:tcPr>
            <w:tcW w:type="dxa" w:w="2880"/>
            <w:vAlign w:val="top"/>
          </w:tcPr>
          <w:p>
            <w:pPr>
              <w:spacing w:after="0"/>
              <w:jc w:val="left"/>
            </w:pPr>
            <w:r>
              <w:rPr>
                <w:rFonts w:ascii="Arial" w:hAnsi="Arial"/>
                <w:b w:val="0"/>
                <w:sz w:val="13"/>
              </w:rPr>
              <w:t>Halt tool execution; revalidate authority boundary; update tool-action liability boundary; document boundary violation and remediation</w:t>
            </w:r>
          </w:p>
        </w:tc>
      </w:tr>
      <w:tr>
        <w:trPr>
          <w:cantSplit/>
        </w:trPr>
        <w:tc>
          <w:tcPr>
            <w:tcW w:type="dxa" w:w="2880"/>
            <w:vAlign w:val="top"/>
          </w:tcPr>
          <w:p>
            <w:pPr>
              <w:spacing w:after="0"/>
              <w:jc w:val="left"/>
            </w:pPr>
            <w:r>
              <w:rPr>
                <w:rFonts w:ascii="Arial" w:hAnsi="Arial"/>
                <w:b w:val="0"/>
                <w:sz w:val="13"/>
              </w:rPr>
              <w:t>Human-Role Absence</w:t>
            </w:r>
          </w:p>
        </w:tc>
        <w:tc>
          <w:tcPr>
            <w:tcW w:type="dxa" w:w="2880"/>
            <w:vAlign w:val="top"/>
          </w:tcPr>
          <w:p>
            <w:pPr>
              <w:spacing w:after="0"/>
              <w:jc w:val="left"/>
            </w:pPr>
            <w:r>
              <w:rPr>
                <w:rFonts w:ascii="Arial" w:hAnsi="Arial"/>
                <w:b w:val="0"/>
                <w:sz w:val="13"/>
              </w:rPr>
              <w:t>Role-responsibility map, accepted outcome state, human review packet</w:t>
            </w:r>
          </w:p>
        </w:tc>
        <w:tc>
          <w:tcPr>
            <w:tcW w:type="dxa" w:w="2880"/>
            <w:vAlign w:val="top"/>
          </w:tcPr>
          <w:p>
            <w:pPr>
              <w:spacing w:after="0"/>
              <w:jc w:val="left"/>
            </w:pPr>
            <w:r>
              <w:rPr>
                <w:rFonts w:ascii="Arial" w:hAnsi="Arial"/>
                <w:b w:val="0"/>
                <w:sz w:val="13"/>
              </w:rPr>
              <w:t>Human review required but not performed; acceptance decision made without human authority; escalation rule violated</w:t>
            </w:r>
          </w:p>
        </w:tc>
        <w:tc>
          <w:tcPr>
            <w:tcW w:type="dxa" w:w="2880"/>
            <w:vAlign w:val="top"/>
          </w:tcPr>
          <w:p>
            <w:pPr>
              <w:spacing w:after="0"/>
              <w:jc w:val="left"/>
            </w:pPr>
            <w:r>
              <w:rPr>
                <w:rFonts w:ascii="Arial" w:hAnsi="Arial"/>
                <w:b w:val="0"/>
                <w:sz w:val="13"/>
              </w:rPr>
              <w:t>MRO-01, MRO-04, MRO-09</w:t>
            </w:r>
          </w:p>
        </w:tc>
        <w:tc>
          <w:tcPr>
            <w:tcW w:type="dxa" w:w="2880"/>
            <w:vAlign w:val="top"/>
          </w:tcPr>
          <w:p>
            <w:pPr>
              <w:spacing w:after="0"/>
              <w:jc w:val="left"/>
            </w:pPr>
            <w:r>
              <w:rPr>
                <w:rFonts w:ascii="Arial" w:hAnsi="Arial"/>
                <w:b w:val="0"/>
                <w:sz w:val="13"/>
              </w:rPr>
              <w:t>Escalate to human authority; re-execute review with human role; update role-responsibility map; document human-role remediation</w:t>
            </w:r>
          </w:p>
        </w:tc>
      </w:tr>
      <w:tr>
        <w:trPr>
          <w:cantSplit/>
        </w:trPr>
        <w:tc>
          <w:tcPr>
            <w:tcW w:type="dxa" w:w="2880"/>
            <w:vAlign w:val="top"/>
          </w:tcPr>
          <w:p>
            <w:pPr>
              <w:spacing w:after="0"/>
              <w:jc w:val="left"/>
            </w:pPr>
            <w:r>
              <w:rPr>
                <w:rFonts w:ascii="Arial" w:hAnsi="Arial"/>
                <w:b w:val="0"/>
                <w:sz w:val="13"/>
              </w:rPr>
              <w:t>Dispute Backlog</w:t>
            </w:r>
          </w:p>
        </w:tc>
        <w:tc>
          <w:tcPr>
            <w:tcW w:type="dxa" w:w="2880"/>
            <w:vAlign w:val="top"/>
          </w:tcPr>
          <w:p>
            <w:pPr>
              <w:spacing w:after="0"/>
              <w:jc w:val="left"/>
            </w:pPr>
            <w:r>
              <w:rPr>
                <w:rFonts w:ascii="Arial" w:hAnsi="Arial"/>
                <w:b w:val="0"/>
                <w:sz w:val="13"/>
              </w:rPr>
              <w:t>Dispute resolution record, incident closure record</w:t>
            </w:r>
          </w:p>
        </w:tc>
        <w:tc>
          <w:tcPr>
            <w:tcW w:type="dxa" w:w="2880"/>
            <w:vAlign w:val="top"/>
          </w:tcPr>
          <w:p>
            <w:pPr>
              <w:spacing w:after="0"/>
              <w:jc w:val="left"/>
            </w:pPr>
            <w:r>
              <w:rPr>
                <w:rFonts w:ascii="Arial" w:hAnsi="Arial"/>
                <w:b w:val="0"/>
                <w:sz w:val="13"/>
              </w:rPr>
              <w:t>Dispute unresolved beyond SLA; dispute escalation path exhausted; dispute closure rate below threshold</w:t>
            </w:r>
          </w:p>
        </w:tc>
        <w:tc>
          <w:tcPr>
            <w:tcW w:type="dxa" w:w="2880"/>
            <w:vAlign w:val="top"/>
          </w:tcPr>
          <w:p>
            <w:pPr>
              <w:spacing w:after="0"/>
              <w:jc w:val="left"/>
            </w:pPr>
            <w:r>
              <w:rPr>
                <w:rFonts w:ascii="Arial" w:hAnsi="Arial"/>
                <w:b w:val="0"/>
                <w:sz w:val="13"/>
              </w:rPr>
              <w:t>MRO-16, MRO-10</w:t>
            </w:r>
          </w:p>
        </w:tc>
        <w:tc>
          <w:tcPr>
            <w:tcW w:type="dxa" w:w="2880"/>
            <w:vAlign w:val="top"/>
          </w:tcPr>
          <w:p>
            <w:pPr>
              <w:spacing w:after="0"/>
              <w:jc w:val="left"/>
            </w:pPr>
            <w:r>
              <w:rPr>
                <w:rFonts w:ascii="Arial" w:hAnsi="Arial"/>
                <w:b w:val="0"/>
                <w:sz w:val="13"/>
              </w:rPr>
              <w:t>Escalate dispute resolution; engage external authority if needed; update dispute resolution procedure; document backlog remediation</w:t>
            </w:r>
          </w:p>
        </w:tc>
      </w:tr>
      <w:tr>
        <w:trPr>
          <w:cantSplit/>
        </w:trPr>
        <w:tc>
          <w:tcPr>
            <w:tcW w:type="dxa" w:w="2880"/>
            <w:vAlign w:val="top"/>
          </w:tcPr>
          <w:p>
            <w:pPr>
              <w:spacing w:after="0"/>
              <w:jc w:val="left"/>
            </w:pPr>
            <w:r>
              <w:rPr>
                <w:rFonts w:ascii="Arial" w:hAnsi="Arial"/>
                <w:b w:val="0"/>
                <w:sz w:val="13"/>
              </w:rPr>
              <w:t>Privacy Data-Flow Deviation</w:t>
            </w:r>
          </w:p>
        </w:tc>
        <w:tc>
          <w:tcPr>
            <w:tcW w:type="dxa" w:w="2880"/>
            <w:vAlign w:val="top"/>
          </w:tcPr>
          <w:p>
            <w:pPr>
              <w:spacing w:after="0"/>
              <w:jc w:val="left"/>
            </w:pPr>
            <w:r>
              <w:rPr>
                <w:rFonts w:ascii="Arial" w:hAnsi="Arial"/>
                <w:b w:val="0"/>
                <w:sz w:val="13"/>
              </w:rPr>
              <w:t>Privacy lifecycle map, data subject rights reconciliation record, processor chain record</w:t>
            </w:r>
          </w:p>
        </w:tc>
        <w:tc>
          <w:tcPr>
            <w:tcW w:type="dxa" w:w="2880"/>
            <w:vAlign w:val="top"/>
          </w:tcPr>
          <w:p>
            <w:pPr>
              <w:spacing w:after="0"/>
              <w:jc w:val="left"/>
            </w:pPr>
            <w:r>
              <w:rPr>
                <w:rFonts w:ascii="Arial" w:hAnsi="Arial"/>
                <w:b w:val="0"/>
                <w:sz w:val="13"/>
              </w:rPr>
              <w:t>Data processed outside documented flow; processor/subprocessor not in registry; data subject rights request unresolved</w:t>
            </w:r>
          </w:p>
        </w:tc>
        <w:tc>
          <w:tcPr>
            <w:tcW w:type="dxa" w:w="2880"/>
            <w:vAlign w:val="top"/>
          </w:tcPr>
          <w:p>
            <w:pPr>
              <w:spacing w:after="0"/>
              <w:jc w:val="left"/>
            </w:pPr>
            <w:r>
              <w:rPr>
                <w:rFonts w:ascii="Arial" w:hAnsi="Arial"/>
                <w:b w:val="0"/>
                <w:sz w:val="13"/>
              </w:rPr>
              <w:t>MRO-10, MRO-13, MRO-14, MRO-09</w:t>
            </w:r>
          </w:p>
        </w:tc>
        <w:tc>
          <w:tcPr>
            <w:tcW w:type="dxa" w:w="2880"/>
            <w:vAlign w:val="top"/>
          </w:tcPr>
          <w:p>
            <w:pPr>
              <w:spacing w:after="0"/>
              <w:jc w:val="left"/>
            </w:pPr>
            <w:r>
              <w:rPr>
                <w:rFonts w:ascii="Arial" w:hAnsi="Arial"/>
                <w:b w:val="0"/>
                <w:sz w:val="13"/>
              </w:rPr>
              <w:t>Halt data processing; revalidate privacy lifecycle map; update processor chain record; resolve data subject rights request; document privacy remediation</w:t>
            </w:r>
          </w:p>
        </w:tc>
      </w:tr>
      <w:tr>
        <w:trPr>
          <w:cantSplit/>
        </w:trPr>
        <w:tc>
          <w:tcPr>
            <w:tcW w:type="dxa" w:w="2880"/>
            <w:vAlign w:val="top"/>
          </w:tcPr>
          <w:p>
            <w:pPr>
              <w:spacing w:after="0"/>
              <w:jc w:val="left"/>
            </w:pPr>
            <w:r>
              <w:rPr>
                <w:rFonts w:ascii="Arial" w:hAnsi="Arial"/>
                <w:b w:val="0"/>
                <w:sz w:val="13"/>
              </w:rPr>
              <w:t>Vendor Substitution Alert</w:t>
            </w:r>
          </w:p>
        </w:tc>
        <w:tc>
          <w:tcPr>
            <w:tcW w:type="dxa" w:w="2880"/>
            <w:vAlign w:val="top"/>
          </w:tcPr>
          <w:p>
            <w:pPr>
              <w:spacing w:after="0"/>
              <w:jc w:val="left"/>
            </w:pPr>
            <w:r>
              <w:rPr>
                <w:rFonts w:ascii="Arial" w:hAnsi="Arial"/>
                <w:b w:val="0"/>
                <w:sz w:val="13"/>
              </w:rPr>
              <w:t>Vendor substitution conformance test, model version registry, processor chain record</w:t>
            </w:r>
          </w:p>
        </w:tc>
        <w:tc>
          <w:tcPr>
            <w:tcW w:type="dxa" w:w="2880"/>
            <w:vAlign w:val="top"/>
          </w:tcPr>
          <w:p>
            <w:pPr>
              <w:spacing w:after="0"/>
              <w:jc w:val="left"/>
            </w:pPr>
            <w:r>
              <w:rPr>
                <w:rFonts w:ascii="Arial" w:hAnsi="Arial"/>
                <w:b w:val="0"/>
                <w:sz w:val="13"/>
              </w:rPr>
              <w:t>Vendor substitution test failed; model version changed without revalidation; processor chain integrity violated</w:t>
            </w:r>
          </w:p>
        </w:tc>
        <w:tc>
          <w:tcPr>
            <w:tcW w:type="dxa" w:w="2880"/>
            <w:vAlign w:val="top"/>
          </w:tcPr>
          <w:p>
            <w:pPr>
              <w:spacing w:after="0"/>
              <w:jc w:val="left"/>
            </w:pPr>
            <w:r>
              <w:rPr>
                <w:rFonts w:ascii="Arial" w:hAnsi="Arial"/>
                <w:b w:val="0"/>
                <w:sz w:val="13"/>
              </w:rPr>
              <w:t>MRO-15, MRO-09</w:t>
            </w:r>
          </w:p>
        </w:tc>
        <w:tc>
          <w:tcPr>
            <w:tcW w:type="dxa" w:w="2880"/>
            <w:vAlign w:val="top"/>
          </w:tcPr>
          <w:p>
            <w:pPr>
              <w:spacing w:after="0"/>
              <w:jc w:val="left"/>
            </w:pPr>
            <w:r>
              <w:rPr>
                <w:rFonts w:ascii="Arial" w:hAnsi="Arial"/>
                <w:b w:val="0"/>
                <w:sz w:val="13"/>
              </w:rPr>
              <w:t>Revalidate vendor substitution conformance; update model version registry; revalidate processor chain; document substitution remediation</w:t>
            </w:r>
          </w:p>
        </w:tc>
      </w:tr>
      <w:tr>
        <w:trPr>
          <w:cantSplit/>
        </w:trPr>
        <w:tc>
          <w:tcPr>
            <w:tcW w:type="dxa" w:w="2880"/>
            <w:vAlign w:val="top"/>
          </w:tcPr>
          <w:p>
            <w:pPr>
              <w:spacing w:after="0"/>
              <w:jc w:val="left"/>
            </w:pPr>
            <w:r>
              <w:rPr>
                <w:rFonts w:ascii="Arial" w:hAnsi="Arial"/>
                <w:b w:val="0"/>
                <w:sz w:val="13"/>
              </w:rPr>
              <w:t>Continuous Improvement Stall</w:t>
            </w:r>
          </w:p>
        </w:tc>
        <w:tc>
          <w:tcPr>
            <w:tcW w:type="dxa" w:w="2880"/>
            <w:vAlign w:val="top"/>
          </w:tcPr>
          <w:p>
            <w:pPr>
              <w:spacing w:after="0"/>
              <w:jc w:val="left"/>
            </w:pPr>
            <w:r>
              <w:rPr>
                <w:rFonts w:ascii="Arial" w:hAnsi="Arial"/>
                <w:b w:val="0"/>
                <w:sz w:val="13"/>
              </w:rPr>
              <w:t>Continuous improvement feedback loop record, lifecycle drift detection log</w:t>
            </w:r>
          </w:p>
        </w:tc>
        <w:tc>
          <w:tcPr>
            <w:tcW w:type="dxa" w:w="2880"/>
            <w:vAlign w:val="top"/>
          </w:tcPr>
          <w:p>
            <w:pPr>
              <w:spacing w:after="0"/>
              <w:jc w:val="left"/>
            </w:pPr>
            <w:r>
              <w:rPr>
                <w:rFonts w:ascii="Arial" w:hAnsi="Arial"/>
                <w:b w:val="0"/>
                <w:sz w:val="13"/>
              </w:rPr>
              <w:t>Feedback loop inactive beyond threshold; drift detected but not remediated; improvement actions not implemented</w:t>
            </w:r>
          </w:p>
        </w:tc>
        <w:tc>
          <w:tcPr>
            <w:tcW w:type="dxa" w:w="2880"/>
            <w:vAlign w:val="top"/>
          </w:tcPr>
          <w:p>
            <w:pPr>
              <w:spacing w:after="0"/>
              <w:jc w:val="left"/>
            </w:pPr>
            <w:r>
              <w:rPr>
                <w:rFonts w:ascii="Arial" w:hAnsi="Arial"/>
                <w:b w:val="0"/>
                <w:sz w:val="13"/>
              </w:rPr>
              <w:t>MRO-10, MRO-09</w:t>
            </w:r>
          </w:p>
        </w:tc>
        <w:tc>
          <w:tcPr>
            <w:tcW w:type="dxa" w:w="2880"/>
            <w:vAlign w:val="top"/>
          </w:tcPr>
          <w:p>
            <w:pPr>
              <w:spacing w:after="0"/>
              <w:jc w:val="left"/>
            </w:pPr>
            <w:r>
              <w:rPr>
                <w:rFonts w:ascii="Arial" w:hAnsi="Arial"/>
                <w:b w:val="0"/>
                <w:sz w:val="13"/>
              </w:rPr>
              <w:t>Reactivate feedback loop; prioritize drift remediation; implement improvement actions; update continuous improvement record</w:t>
            </w:r>
          </w:p>
        </w:tc>
      </w:tr>
    </w:tbl>
    <w:p>
      <w:pPr>
        <w:sectPr>
          <w:pgSz w:w="12240" w:h="15840" w:orient="landscape"/>
          <w:pgMar w:top="792" w:right="648" w:bottom="792" w:left="648" w:header="720" w:footer="720" w:gutter="0"/>
          <w:cols w:space="720"/>
          <w:docGrid w:linePitch="360"/>
        </w:sectPr>
      </w:pPr>
    </w:p>
    <w:p/>
    <w:p>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
      <w:pPr>
        <w:pStyle w:val="Heading3"/>
      </w:pPr>
      <w:r>
        <w:t>10.7.3 Continuous Improvement Note</w:t>
      </w:r>
    </w:p>
    <w:p/>
    <w:p>
      <w:r>
        <w:t>Lifecycle monitoring feeds back into ALCS lifecycle records, MRO scores, and RCCS coverage assessments. This is the governance loop: authorization → execution → evidence → review → remediation → improvement → re-authorization. Continuous improvement is not a separate process. It is the feedback mechanism that ensures lifecycle governance adapts to changing systems, roles, tools, vendors, and regulatory requirements.</w:t>
      </w:r>
    </w:p>
    <w:p/>
    <w:p>
      <w:r>
        <w:t>Lifecycle drift detection (MRO-09) identifies when governance structures degrade. Continuous improvement feedback loops (MRO-10) ensure that drift is remediated and that remediation is documented, accepted, and integrated into lifecycle records. Without continuous improvement, lifecycle governance becomes static and brittle. With continuous improvement, lifecycle governance becomes adaptive and resilient.</w:t>
      </w:r>
    </w:p>
    <w:p/>
    <w:p>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
    <w:p>
      <w:pPr>
        <w:pStyle w:val="Heading2"/>
      </w:pPr>
      <w:r>
        <w:t>10.8 Chapter Closure and Bridge to Chapter 16</w:t>
      </w:r>
    </w:p>
    <w:p/>
    <w:p>
      <w:pPr>
        <w:pStyle w:val="Heading3"/>
      </w:pPr>
      <w:r>
        <w:t>10.8.1 What Chapter 10 Has Established</w:t>
      </w:r>
    </w:p>
    <w:p/>
    <w:p>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
      <w:r>
        <w:t>The chapter has provided:</w:t>
      </w:r>
    </w:p>
    <w:p>
      <w:pPr>
        <w:pStyle w:val="ListBullet"/>
      </w:pPr>
      <w:r>
        <w:t>Enterprise control overlay mapping lifecycle governance to audit, insurance, and board reporting readiness (Section 10.1)</w:t>
      </w:r>
    </w:p>
    <w:p>
      <w:pPr>
        <w:pStyle w:val="ListBullet"/>
      </w:pPr>
      <w:r>
        <w:t>Enterprise control crosswalk tables mapping control topics to MROs, RCCS/ALCS dimensions, and evidence outputs (Section 10.2)</w:t>
      </w:r>
    </w:p>
    <w:p>
      <w:pPr>
        <w:pStyle w:val="ListBullet"/>
      </w:pPr>
      <w:r>
        <w:t>Model risk management mapping showing how model changes propagate through lifecycle conformance (Section 10.3)</w:t>
      </w:r>
    </w:p>
    <w:p>
      <w:pPr>
        <w:pStyle w:val="ListBullet"/>
      </w:pPr>
      <w:r>
        <w:t>Cybersecurity control mapping showing how lifecycle governance supports cybersecurity under attack (Section 10.4)</w:t>
      </w:r>
    </w:p>
    <w:p>
      <w:pPr>
        <w:pStyle w:val="ListBullet"/>
      </w:pPr>
      <w:r>
        <w:t>Board reporting elements defining structured, auditable lifecycle risk reporting (Section 10.5)</w:t>
      </w:r>
    </w:p>
    <w:p>
      <w:pPr>
        <w:pStyle w:val="ListBullet"/>
      </w:pPr>
      <w:r>
        <w:t>Procurement scorecard criteria for evaluating vendor lifecycle governance capabilities (Section 10.6)</w:t>
      </w:r>
    </w:p>
    <w:p>
      <w:pPr>
        <w:pStyle w:val="ListBullet"/>
      </w:pPr>
      <w:r>
        <w:t>Lifecycle monitoring indicators for detecting governance continuity failures (Section 10.7)</w:t>
      </w:r>
    </w:p>
    <w:p/>
    <w:p>
      <w:pPr>
        <w:pStyle w:val="Heading3"/>
      </w:pPr>
      <w:r>
        <w:t>10.8.2 What Chapter 16 Will Add</w:t>
      </w:r>
    </w:p>
    <w:p/>
    <w:p>
      <w:r>
        <w:t>Chapter 10 provides the control language. Chapter 16 provides the boundary to companion papers. Chapter 16 is titled "Boundary to Companion Papers: Evidence, Assurance, and Insurability."</w:t>
      </w:r>
    </w:p>
    <w:p/>
    <w:p>
      <w:r>
        <w:t>Chapter 16 will establish:</w:t>
      </w:r>
    </w:p>
    <w:p>
      <w:pPr>
        <w:pStyle w:val="ListBullet"/>
      </w:pPr>
      <w:r>
        <w:t>The boundary between this white paper and companion papers on evidence-based validation, assurance frameworks, and insurability considerations</w:t>
      </w:r>
    </w:p>
    <w:p>
      <w:pPr>
        <w:pStyle w:val="ListBullet"/>
      </w:pPr>
      <w:r>
        <w:t>Evidence-based validation patterns that external reviewers, auditors, and insurers can use to validate lifecycle conformance without full raw data disclosure</w:t>
      </w:r>
    </w:p>
    <w:p>
      <w:pPr>
        <w:pStyle w:val="ListBullet"/>
      </w:pPr>
      <w:r>
        <w:t>Assurance framework mapping showing how lifecycle governance supports ISO 42001, SOC 2, and other assurance standards</w:t>
      </w:r>
    </w:p>
    <w:p>
      <w:pPr>
        <w:pStyle w:val="ListBullet"/>
      </w:pPr>
      <w:r>
        <w:t>Insurability considerations showing how lifecycle governance evidence supports cyber insurance, professional liability insurance, and AI-specific insurance products</w:t>
      </w:r>
    </w:p>
    <w:p>
      <w:pPr>
        <w:pStyle w:val="ListBullet"/>
      </w:pPr>
      <w:r>
        <w:t>Companion paper scope definitions clarifying what this white paper establishes and what companion papers will address</w:t>
      </w:r>
    </w:p>
    <w:p/>
    <w:p>
      <w:r>
        <w:t>Chapter 16 is the final chapter of this white paper. It does not provide detailed assurance procedures, insurance underwriting models, or certification frameworks. It defines the boundary and provides the bridge to companion work.</w:t>
      </w:r>
    </w:p>
    <w:p/>
    <w:p>
      <w:pPr>
        <w:pStyle w:val="Heading3"/>
      </w:pPr>
      <w:r>
        <w:t>10.8.3 Chapter 10 Closure Statement</w:t>
      </w:r>
    </w:p>
    <w:p/>
    <w:p>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
      <w:r>
        <w:t>Chapter 16 will establish the boundary to companion papers and provide the bridge from this white paper to evidence-based validation, assurance frameworks, and insurability considerations.</w:t>
      </w:r>
    </w:p>
    <w:p/>
    <w:p/>
    <w:p>
      <w:r>
        <w:t>End of Chapter 10. All sections 10.0-10.8 complete. Chapter 16 pending Phase 1A-4.3.</w:t>
      </w:r>
    </w:p>
    <w:p>
      <w:pPr>
        <w:pStyle w:val="Heading1"/>
      </w:pPr>
      <w:r>
        <w:t>11. Comparative Field and System Positioning</w:t>
      </w:r>
    </w:p>
    <w:p/>
    <w:p>
      <w:r>
        <w:t>Version: v0.3.2-FRC-R3</w:t>
      </w:r>
    </w:p>
    <w:p>
      <w:r>
        <w:t>Status: FILLED — Phase 1B-1 Complete</w:t>
      </w:r>
    </w:p>
    <w:p>
      <w:r>
        <w:t>Phase: 1B-1</w:t>
      </w:r>
    </w:p>
    <w:p/>
    <w:p/>
    <w:p>
      <w:pPr>
        <w:pStyle w:val="Heading2"/>
      </w:pPr>
      <w:r>
        <w:t>11.0 Why System Positioning Matters</w:t>
      </w:r>
    </w:p>
    <w:p/>
    <w:p>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
    <w:p>
      <w:pPr>
        <w:pStyle w:val="Heading2"/>
      </w:pPr>
      <w:r>
        <w:t>11.1 Comparison Method and Non-Ranking Boundary</w:t>
      </w:r>
    </w:p>
    <w:p/>
    <w:p>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
      <w:r>
        <w:t>What the comparison evaluates:</w:t>
      </w:r>
    </w:p>
    <w:p>
      <w:pPr>
        <w:pStyle w:val="ListBullet"/>
      </w:pPr>
      <w:r>
        <w:t>Whether a system defines governance primitives for risk management, data governance, documentation, record-keeping, transparency, human oversight, security, accountability, contestability, and monitoring (RCCS dimensions)</w:t>
      </w:r>
    </w:p>
    <w:p>
      <w:pPr>
        <w:pStyle w:val="ListBullet"/>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pPr>
      <w:r>
        <w:t>Whether public documentation, API specifications, protocol definitions, or reproducible evidence artifacts support the evaluation</w:t>
      </w:r>
    </w:p>
    <w:p>
      <w:pPr>
        <w:pStyle w:val="ListBullet"/>
      </w:pPr>
      <w:r>
        <w:t>Where evidence is weak or unavailable, whether author inference is explicitly disclosed</w:t>
      </w:r>
    </w:p>
    <w:p/>
    <w:p>
      <w:r>
        <w:t>What the comparison does not evaluate:</w:t>
      </w:r>
    </w:p>
    <w:p>
      <w:pPr>
        <w:pStyle w:val="ListBullet"/>
      </w:pPr>
      <w:r>
        <w:t>Product quality, feature completeness, or execution performance</w:t>
      </w:r>
    </w:p>
    <w:p>
      <w:pPr>
        <w:pStyle w:val="ListBullet"/>
      </w:pPr>
      <w:r>
        <w:t>Market leadership, developer popularity, or community adoption</w:t>
      </w:r>
    </w:p>
    <w:p>
      <w:pPr>
        <w:pStyle w:val="ListBullet"/>
      </w:pPr>
      <w:r>
        <w:t>Procurement suitability, pricing, or vendor support</w:t>
      </w:r>
    </w:p>
    <w:p>
      <w:pPr>
        <w:pStyle w:val="ListBullet"/>
      </w:pPr>
      <w:r>
        <w:t>Legal compliance with specific regulations or jurisdictions</w:t>
      </w:r>
    </w:p>
    <w:p>
      <w:pPr>
        <w:pStyle w:val="ListBullet"/>
      </w:pPr>
      <w:r>
        <w:t>Certification, conformity assessment, or regulatory approval</w:t>
      </w:r>
    </w:p>
    <w:p>
      <w:pPr>
        <w:pStyle w:val="ListBullet"/>
      </w:pPr>
      <w:r>
        <w:t>Endorsement or criticism of any vendor or product</w:t>
      </w:r>
    </w:p>
    <w:p/>
    <w:p>
      <w:r>
        <w:t>The comparison uses the evidence hierarchy established in the front matter and harmonized during Phase 1C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
    <w:p>
      <w:pPr>
        <w:pStyle w:val="Heading2"/>
      </w:pPr>
      <w:r>
        <w:t>11.2 System Categories in Scope</w:t>
      </w:r>
    </w:p>
    <w:p/>
    <w:p>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
      <w:r>
        <w:t>The eight systems or categories in scope are:</w:t>
      </w:r>
    </w:p>
    <w:p/>
    <w:p>
      <w:r>
        <w:t>1. MPLP (Multi-Agent Lifecycle Protocol) — A lifecycle protocol path with strong ALCS alignment, designed to expose lifecycle responsibility objects as first-class protocol primitives.</w:t>
      </w:r>
    </w:p>
    <w:p/>
    <w:p>
      <w:r>
        <w:t>2. IBM watsonx.governance — An enterprise AI governance platform with strong regulatory compliance coverage, model governance, risk management, and policy enforcement capabilities.</w:t>
      </w:r>
    </w:p>
    <w:p/>
    <w:p>
      <w:r>
        <w:t>3. Microsoft Azure AI Foundry — A cloud-native AI platform with model management, responsible AI tooling, content safety, and enterprise integration capabilities.</w:t>
      </w:r>
    </w:p>
    <w:p/>
    <w:p>
      <w:r>
        <w:t>4. AWS Bedrock / Guardrails / AgentCore — A cloud AI service suite with model access, guardrails, agent orchestration, and enterprise security integration.</w:t>
      </w:r>
    </w:p>
    <w:p/>
    <w:p>
      <w:r>
        <w:t>5. Google Vertex AI / ADK / Model Armor — A cloud AI platform with model management, agent development kit, model armor safety controls, and enterprise AI management.</w:t>
      </w:r>
    </w:p>
    <w:p/>
    <w:p>
      <w:r>
        <w:t>6. LangGraph / LangSmith — An open-source agent orchestration framework with observability, tracing, and workflow management capabilities.</w:t>
      </w:r>
    </w:p>
    <w:p/>
    <w:p>
      <w:r>
        <w:t>7. OpenAI Agents SDK — A developer-focused agent framework with model access, tool use, and execution orchestration capabilities.</w:t>
      </w:r>
    </w:p>
    <w:p/>
    <w:p>
      <w:r>
        <w:t>8. CrewAI — An open-source multi-agent collaboration framework with role-based agent design and task orchestration capabilities.</w:t>
      </w:r>
    </w:p>
    <w:p/>
    <w:p>
      <w:r>
        <w:t>These systems represent different architectural approaches:</w:t>
      </w:r>
    </w:p>
    <w:p>
      <w:pPr>
        <w:pStyle w:val="ListBullet"/>
      </w:pPr>
      <w:r>
        <w:t>Enterprise AI governance platforms (IBM watsonx.governance) focus on policy enforcement, risk management, and regulatory compliance coverage across the AI lifecycle.</w:t>
      </w:r>
    </w:p>
    <w:p>
      <w:pPr>
        <w:pStyle w:val="ListBullet"/>
      </w:pPr>
      <w:r>
        <w:t>Cloud AI platforms (Microsoft Azure AI Foundry, AWS Bedrock, Google Vertex AI) focus on model access, responsible AI tooling, content safety, and enterprise integration.</w:t>
      </w:r>
    </w:p>
    <w:p>
      <w:pPr>
        <w:pStyle w:val="ListBullet"/>
      </w:pPr>
      <w:r>
        <w:t>Agent orchestration frameworks (LangGraph, OpenAI Agents SDK, CrewAI) focus on agent execution, tool use, workflow management, and observability.</w:t>
      </w:r>
    </w:p>
    <w:p>
      <w:pPr>
        <w:pStyle w:val="ListBullet"/>
      </w:pPr>
      <w:r>
        <w:t>Lifecycle protocol paths (MPLP) focus on lifecycle responsibility objects, evidence chain, and governance primitives as first-class protocol semantics.</w:t>
      </w:r>
    </w:p>
    <w:p/>
    <w:p>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
      <w:r>
        <w:t>No new systems will be added to the comparison without explicit owner approval. The comparison is scoped to these eight systems or categories to maintain focus and ensure that detailed mapping in Chapter 12 remains feasible within the white paper's scope.</w:t>
      </w:r>
    </w:p>
    <w:p/>
    <w:p/>
    <w:p>
      <w:pPr>
        <w:pStyle w:val="Heading2"/>
      </w:pPr>
      <w:r>
        <w:t>11.3 Comparative Field Positioning Matrix</w:t>
      </w:r>
    </w:p>
    <w:p/>
    <w:p>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
      <w:pPr>
        <w:keepNext/>
      </w:pPr>
      <w:r>
        <w:rPr>
          <w:b/>
          <w:sz w:val="17"/>
        </w:rPr>
        <w:t>Table T-11-01: Comparative Field Positioning Matrix</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3"/>
              </w:rPr>
              <w:t>System / Category</w:t>
            </w:r>
          </w:p>
        </w:tc>
        <w:tc>
          <w:tcPr>
            <w:tcW w:type="dxa" w:w="2880"/>
            <w:vAlign w:val="top"/>
            <w:shd w:fill="D9EAF7"/>
          </w:tcPr>
          <w:p>
            <w:pPr>
              <w:spacing w:after="0"/>
              <w:jc w:val="left"/>
            </w:pPr>
            <w:r>
              <w:rPr>
                <w:rFonts w:ascii="Arial" w:hAnsi="Arial"/>
                <w:b/>
                <w:sz w:val="13"/>
              </w:rPr>
              <w:t>Primary Strength</w:t>
            </w:r>
          </w:p>
        </w:tc>
        <w:tc>
          <w:tcPr>
            <w:tcW w:type="dxa" w:w="2880"/>
            <w:vAlign w:val="top"/>
            <w:shd w:fill="D9EAF7"/>
          </w:tcPr>
          <w:p>
            <w:pPr>
              <w:spacing w:after="0"/>
              <w:jc w:val="left"/>
            </w:pPr>
            <w:r>
              <w:rPr>
                <w:rFonts w:ascii="Arial" w:hAnsi="Arial"/>
                <w:b/>
                <w:sz w:val="13"/>
              </w:rPr>
              <w:t>RCCS Posture</w:t>
            </w:r>
          </w:p>
        </w:tc>
        <w:tc>
          <w:tcPr>
            <w:tcW w:type="dxa" w:w="2880"/>
            <w:vAlign w:val="top"/>
            <w:shd w:fill="D9EAF7"/>
          </w:tcPr>
          <w:p>
            <w:pPr>
              <w:spacing w:after="0"/>
              <w:jc w:val="left"/>
            </w:pPr>
            <w:r>
              <w:rPr>
                <w:rFonts w:ascii="Arial" w:hAnsi="Arial"/>
                <w:b/>
                <w:sz w:val="13"/>
              </w:rPr>
              <w:t>ALCS Posture</w:t>
            </w:r>
          </w:p>
        </w:tc>
        <w:tc>
          <w:tcPr>
            <w:tcW w:type="dxa" w:w="2880"/>
            <w:vAlign w:val="top"/>
            <w:shd w:fill="D9EAF7"/>
          </w:tcPr>
          <w:p>
            <w:pPr>
              <w:spacing w:after="0"/>
              <w:jc w:val="left"/>
            </w:pPr>
            <w:r>
              <w:rPr>
                <w:rFonts w:ascii="Arial" w:hAnsi="Arial"/>
                <w:b/>
                <w:sz w:val="13"/>
              </w:rPr>
              <w:t>Main Lifecycle Gap to Examine</w:t>
            </w:r>
          </w:p>
        </w:tc>
      </w:tr>
      <w:tr>
        <w:trPr>
          <w:cantSplit/>
        </w:trPr>
        <w:tc>
          <w:tcPr>
            <w:tcW w:type="dxa" w:w="2880"/>
            <w:vAlign w:val="top"/>
          </w:tcPr>
          <w:p>
            <w:pPr>
              <w:spacing w:after="0"/>
              <w:jc w:val="left"/>
            </w:pPr>
            <w:r>
              <w:rPr>
                <w:rFonts w:ascii="Arial" w:hAnsi="Arial"/>
                <w:b w:val="0"/>
                <w:sz w:val="13"/>
              </w:rPr>
              <w:t>MPLP</w:t>
            </w:r>
          </w:p>
        </w:tc>
        <w:tc>
          <w:tcPr>
            <w:tcW w:type="dxa" w:w="2880"/>
            <w:vAlign w:val="top"/>
          </w:tcPr>
          <w:p>
            <w:pPr>
              <w:spacing w:after="0"/>
              <w:jc w:val="left"/>
            </w:pPr>
            <w:r>
              <w:rPr>
                <w:rFonts w:ascii="Arial" w:hAnsi="Arial"/>
                <w:b w:val="0"/>
                <w:sz w:val="13"/>
              </w:rPr>
              <w:t>Lifecycle protocol semantics; governance primitives as first-class objects</w:t>
            </w:r>
          </w:p>
        </w:tc>
        <w:tc>
          <w:tcPr>
            <w:tcW w:type="dxa" w:w="2880"/>
            <w:vAlign w:val="top"/>
          </w:tcPr>
          <w:p>
            <w:pPr>
              <w:spacing w:after="0"/>
              <w:jc w:val="left"/>
            </w:pPr>
            <w:r>
              <w:rPr>
                <w:rFonts w:ascii="Arial" w:hAnsi="Arial"/>
                <w:b w:val="0"/>
                <w:sz w:val="13"/>
              </w:rPr>
              <w:t>Moderate to Strong (depends on implementation)</w:t>
            </w:r>
          </w:p>
        </w:tc>
        <w:tc>
          <w:tcPr>
            <w:tcW w:type="dxa" w:w="2880"/>
            <w:vAlign w:val="top"/>
          </w:tcPr>
          <w:p>
            <w:pPr>
              <w:spacing w:after="0"/>
              <w:jc w:val="left"/>
            </w:pPr>
            <w:r>
              <w:rPr>
                <w:rFonts w:ascii="Arial" w:hAnsi="Arial"/>
                <w:b w:val="0"/>
                <w:sz w:val="13"/>
              </w:rPr>
              <w:t>Strong (protocol designed for lifecycle responsibility objects)</w:t>
            </w:r>
          </w:p>
        </w:tc>
        <w:tc>
          <w:tcPr>
            <w:tcW w:type="dxa" w:w="2880"/>
            <w:vAlign w:val="top"/>
          </w:tcPr>
          <w:p>
            <w:pPr>
              <w:spacing w:after="0"/>
              <w:jc w:val="left"/>
            </w:pPr>
            <w:r>
              <w:rPr>
                <w:rFonts w:ascii="Arial" w:hAnsi="Arial"/>
                <w:b w:val="0"/>
                <w:sz w:val="13"/>
              </w:rPr>
              <w:t>Enterprise integration; adoption pathway; implementation maturity</w:t>
            </w:r>
          </w:p>
        </w:tc>
      </w:tr>
      <w:tr>
        <w:trPr>
          <w:cantSplit/>
        </w:trPr>
        <w:tc>
          <w:tcPr>
            <w:tcW w:type="dxa" w:w="2880"/>
            <w:vAlign w:val="top"/>
          </w:tcPr>
          <w:p>
            <w:pPr>
              <w:spacing w:after="0"/>
              <w:jc w:val="left"/>
            </w:pPr>
            <w:r>
              <w:rPr>
                <w:rFonts w:ascii="Arial" w:hAnsi="Arial"/>
                <w:b w:val="0"/>
                <w:sz w:val="13"/>
              </w:rPr>
              <w:t>IBM watsonx.governance</w:t>
            </w:r>
          </w:p>
        </w:tc>
        <w:tc>
          <w:tcPr>
            <w:tcW w:type="dxa" w:w="2880"/>
            <w:vAlign w:val="top"/>
          </w:tcPr>
          <w:p>
            <w:pPr>
              <w:spacing w:after="0"/>
              <w:jc w:val="left"/>
            </w:pPr>
            <w:r>
              <w:rPr>
                <w:rFonts w:ascii="Arial" w:hAnsi="Arial"/>
                <w:b w:val="0"/>
                <w:sz w:val="13"/>
              </w:rPr>
              <w:t>Enterprise AI governance; policy enforcement; model risk management; regulatory compliance coverage</w:t>
            </w:r>
          </w:p>
        </w:tc>
        <w:tc>
          <w:tcPr>
            <w:tcW w:type="dxa" w:w="2880"/>
            <w:vAlign w:val="top"/>
          </w:tcPr>
          <w:p>
            <w:pPr>
              <w:spacing w:after="0"/>
              <w:jc w:val="left"/>
            </w:pPr>
            <w:r>
              <w:rPr>
                <w:rFonts w:ascii="Arial" w:hAnsi="Arial"/>
                <w:b w:val="0"/>
                <w:sz w:val="13"/>
              </w:rPr>
              <w:t>Strong (designed for regulatory compliance)</w:t>
            </w:r>
          </w:p>
        </w:tc>
        <w:tc>
          <w:tcPr>
            <w:tcW w:type="dxa" w:w="2880"/>
            <w:vAlign w:val="top"/>
          </w:tcPr>
          <w:p>
            <w:pPr>
              <w:spacing w:after="0"/>
              <w:jc w:val="left"/>
            </w:pPr>
            <w:r>
              <w:rPr>
                <w:rFonts w:ascii="Arial" w:hAnsi="Arial"/>
                <w:b w:val="0"/>
                <w:sz w:val="13"/>
              </w:rPr>
              <w:t>Moderate (governance focus, but lifecycle object semantics require validation)</w:t>
            </w:r>
          </w:p>
        </w:tc>
        <w:tc>
          <w:tcPr>
            <w:tcW w:type="dxa" w:w="2880"/>
            <w:vAlign w:val="top"/>
          </w:tcPr>
          <w:p>
            <w:pPr>
              <w:spacing w:after="0"/>
              <w:jc w:val="left"/>
            </w:pPr>
            <w:r>
              <w:rPr>
                <w:rFonts w:ascii="Arial" w:hAnsi="Arial"/>
                <w:b w:val="0"/>
                <w:sz w:val="13"/>
              </w:rPr>
              <w:t>Agentic lifecycle object exposure; multi-agent responsibility transfer; evidence partitioning</w:t>
            </w:r>
          </w:p>
        </w:tc>
      </w:tr>
      <w:tr>
        <w:trPr>
          <w:cantSplit/>
        </w:trPr>
        <w:tc>
          <w:tcPr>
            <w:tcW w:type="dxa" w:w="2880"/>
            <w:vAlign w:val="top"/>
          </w:tcPr>
          <w:p>
            <w:pPr>
              <w:spacing w:after="0"/>
              <w:jc w:val="left"/>
            </w:pPr>
            <w:r>
              <w:rPr>
                <w:rFonts w:ascii="Arial" w:hAnsi="Arial"/>
                <w:b w:val="0"/>
                <w:sz w:val="13"/>
              </w:rPr>
              <w:t>Microsoft Azure AI Foundry</w:t>
            </w:r>
          </w:p>
        </w:tc>
        <w:tc>
          <w:tcPr>
            <w:tcW w:type="dxa" w:w="2880"/>
            <w:vAlign w:val="top"/>
          </w:tcPr>
          <w:p>
            <w:pPr>
              <w:spacing w:after="0"/>
              <w:jc w:val="left"/>
            </w:pPr>
            <w:r>
              <w:rPr>
                <w:rFonts w:ascii="Arial" w:hAnsi="Arial"/>
                <w:b w:val="0"/>
                <w:sz w:val="13"/>
              </w:rPr>
              <w:t>Cloud-native AI platform; responsible AI tooling; content safety; enterprise integration</w:t>
            </w:r>
          </w:p>
        </w:tc>
        <w:tc>
          <w:tcPr>
            <w:tcW w:type="dxa" w:w="2880"/>
            <w:vAlign w:val="top"/>
          </w:tcPr>
          <w:p>
            <w:pPr>
              <w:spacing w:after="0"/>
              <w:jc w:val="left"/>
            </w:pPr>
            <w:r>
              <w:rPr>
                <w:rFonts w:ascii="Arial" w:hAnsi="Arial"/>
                <w:b w:val="0"/>
                <w:sz w:val="13"/>
              </w:rPr>
              <w:t>Moderate to Strong (responsible AI focus)</w:t>
            </w:r>
          </w:p>
        </w:tc>
        <w:tc>
          <w:tcPr>
            <w:tcW w:type="dxa" w:w="2880"/>
            <w:vAlign w:val="top"/>
          </w:tcPr>
          <w:p>
            <w:pPr>
              <w:spacing w:after="0"/>
              <w:jc w:val="left"/>
            </w:pPr>
            <w:r>
              <w:rPr>
                <w:rFonts w:ascii="Arial" w:hAnsi="Arial"/>
                <w:b w:val="0"/>
                <w:sz w:val="13"/>
              </w:rPr>
              <w:t>Moderate (platform capabilities exist, but lifecycle semantics require validation)</w:t>
            </w:r>
          </w:p>
        </w:tc>
        <w:tc>
          <w:tcPr>
            <w:tcW w:type="dxa" w:w="2880"/>
            <w:vAlign w:val="top"/>
          </w:tcPr>
          <w:p>
            <w:pPr>
              <w:spacing w:after="0"/>
              <w:jc w:val="left"/>
            </w:pPr>
            <w:r>
              <w:rPr>
                <w:rFonts w:ascii="Arial" w:hAnsi="Arial"/>
                <w:b w:val="0"/>
                <w:sz w:val="13"/>
              </w:rPr>
              <w:t>Lifecycle responsibility objects; authority boundary enforcement; accepted outcome compliance</w:t>
            </w:r>
          </w:p>
        </w:tc>
      </w:tr>
      <w:tr>
        <w:trPr>
          <w:cantSplit/>
        </w:trPr>
        <w:tc>
          <w:tcPr>
            <w:tcW w:type="dxa" w:w="2880"/>
            <w:vAlign w:val="top"/>
          </w:tcPr>
          <w:p>
            <w:pPr>
              <w:spacing w:after="0"/>
              <w:jc w:val="left"/>
            </w:pPr>
            <w:r>
              <w:rPr>
                <w:rFonts w:ascii="Arial" w:hAnsi="Arial"/>
                <w:b w:val="0"/>
                <w:sz w:val="13"/>
              </w:rPr>
              <w:t>AWS Bedrock / Guardrails / AgentCore</w:t>
            </w:r>
          </w:p>
        </w:tc>
        <w:tc>
          <w:tcPr>
            <w:tcW w:type="dxa" w:w="2880"/>
            <w:vAlign w:val="top"/>
          </w:tcPr>
          <w:p>
            <w:pPr>
              <w:spacing w:after="0"/>
              <w:jc w:val="left"/>
            </w:pPr>
            <w:r>
              <w:rPr>
                <w:rFonts w:ascii="Arial" w:hAnsi="Arial"/>
                <w:b w:val="0"/>
                <w:sz w:val="13"/>
              </w:rPr>
              <w:t>Cloud AI services; guardrails; agent orchestration; enterprise security integration</w:t>
            </w:r>
          </w:p>
        </w:tc>
        <w:tc>
          <w:tcPr>
            <w:tcW w:type="dxa" w:w="2880"/>
            <w:vAlign w:val="top"/>
          </w:tcPr>
          <w:p>
            <w:pPr>
              <w:spacing w:after="0"/>
              <w:jc w:val="left"/>
            </w:pPr>
            <w:r>
              <w:rPr>
                <w:rFonts w:ascii="Arial" w:hAnsi="Arial"/>
                <w:b w:val="0"/>
                <w:sz w:val="13"/>
              </w:rPr>
              <w:t>Moderate (guardrails and security focus)</w:t>
            </w:r>
          </w:p>
        </w:tc>
        <w:tc>
          <w:tcPr>
            <w:tcW w:type="dxa" w:w="2880"/>
            <w:vAlign w:val="top"/>
          </w:tcPr>
          <w:p>
            <w:pPr>
              <w:spacing w:after="0"/>
              <w:jc w:val="left"/>
            </w:pPr>
            <w:r>
              <w:rPr>
                <w:rFonts w:ascii="Arial" w:hAnsi="Arial"/>
                <w:b w:val="0"/>
                <w:sz w:val="13"/>
              </w:rPr>
              <w:t>Moderate (agent orchestration exists, but lifecycle object semantics require validation)</w:t>
            </w:r>
          </w:p>
        </w:tc>
        <w:tc>
          <w:tcPr>
            <w:tcW w:type="dxa" w:w="2880"/>
            <w:vAlign w:val="top"/>
          </w:tcPr>
          <w:p>
            <w:pPr>
              <w:spacing w:after="0"/>
              <w:jc w:val="left"/>
            </w:pPr>
            <w:r>
              <w:rPr>
                <w:rFonts w:ascii="Arial" w:hAnsi="Arial"/>
                <w:b w:val="0"/>
                <w:sz w:val="13"/>
              </w:rPr>
              <w:t>Lifecycle responsibility objects; evidence partitioning; responsibility transfer across agents</w:t>
            </w:r>
          </w:p>
        </w:tc>
      </w:tr>
      <w:tr>
        <w:trPr>
          <w:cantSplit/>
        </w:trPr>
        <w:tc>
          <w:tcPr>
            <w:tcW w:type="dxa" w:w="2880"/>
            <w:vAlign w:val="top"/>
          </w:tcPr>
          <w:p>
            <w:pPr>
              <w:spacing w:after="0"/>
              <w:jc w:val="left"/>
            </w:pPr>
            <w:r>
              <w:rPr>
                <w:rFonts w:ascii="Arial" w:hAnsi="Arial"/>
                <w:b w:val="0"/>
                <w:sz w:val="13"/>
              </w:rPr>
              <w:t>Google Vertex AI / ADK / Model Armor</w:t>
            </w:r>
          </w:p>
        </w:tc>
        <w:tc>
          <w:tcPr>
            <w:tcW w:type="dxa" w:w="2880"/>
            <w:vAlign w:val="top"/>
          </w:tcPr>
          <w:p>
            <w:pPr>
              <w:spacing w:after="0"/>
              <w:jc w:val="left"/>
            </w:pPr>
            <w:r>
              <w:rPr>
                <w:rFonts w:ascii="Arial" w:hAnsi="Arial"/>
                <w:b w:val="0"/>
                <w:sz w:val="13"/>
              </w:rPr>
              <w:t>Cloud AI platform; agent development kit; model armor safety controls; enterprise AI management</w:t>
            </w:r>
          </w:p>
        </w:tc>
        <w:tc>
          <w:tcPr>
            <w:tcW w:type="dxa" w:w="2880"/>
            <w:vAlign w:val="top"/>
          </w:tcPr>
          <w:p>
            <w:pPr>
              <w:spacing w:after="0"/>
              <w:jc w:val="left"/>
            </w:pPr>
            <w:r>
              <w:rPr>
                <w:rFonts w:ascii="Arial" w:hAnsi="Arial"/>
                <w:b w:val="0"/>
                <w:sz w:val="13"/>
              </w:rPr>
              <w:t>Moderate to Strong (safety and management focus)</w:t>
            </w:r>
          </w:p>
        </w:tc>
        <w:tc>
          <w:tcPr>
            <w:tcW w:type="dxa" w:w="2880"/>
            <w:vAlign w:val="top"/>
          </w:tcPr>
          <w:p>
            <w:pPr>
              <w:spacing w:after="0"/>
              <w:jc w:val="left"/>
            </w:pPr>
            <w:r>
              <w:rPr>
                <w:rFonts w:ascii="Arial" w:hAnsi="Arial"/>
                <w:b w:val="0"/>
                <w:sz w:val="13"/>
              </w:rPr>
              <w:t>Moderate (ADK provides agent primitives, but lifecycle semantics require validation)</w:t>
            </w:r>
          </w:p>
        </w:tc>
        <w:tc>
          <w:tcPr>
            <w:tcW w:type="dxa" w:w="2880"/>
            <w:vAlign w:val="top"/>
          </w:tcPr>
          <w:p>
            <w:pPr>
              <w:spacing w:after="0"/>
              <w:jc w:val="left"/>
            </w:pPr>
            <w:r>
              <w:rPr>
                <w:rFonts w:ascii="Arial" w:hAnsi="Arial"/>
                <w:b w:val="0"/>
                <w:sz w:val="13"/>
              </w:rPr>
              <w:t>Lifecycle responsibility objects; authority boundary enforcement; privacy lifecycle mapping</w:t>
            </w:r>
          </w:p>
        </w:tc>
      </w:tr>
      <w:tr>
        <w:trPr>
          <w:cantSplit/>
        </w:trPr>
        <w:tc>
          <w:tcPr>
            <w:tcW w:type="dxa" w:w="2880"/>
            <w:vAlign w:val="top"/>
          </w:tcPr>
          <w:p>
            <w:pPr>
              <w:spacing w:after="0"/>
              <w:jc w:val="left"/>
            </w:pPr>
            <w:r>
              <w:rPr>
                <w:rFonts w:ascii="Arial" w:hAnsi="Arial"/>
                <w:b w:val="0"/>
                <w:sz w:val="13"/>
              </w:rPr>
              <w:t>LangGraph / LangSmith</w:t>
            </w:r>
          </w:p>
        </w:tc>
        <w:tc>
          <w:tcPr>
            <w:tcW w:type="dxa" w:w="2880"/>
            <w:vAlign w:val="top"/>
          </w:tcPr>
          <w:p>
            <w:pPr>
              <w:spacing w:after="0"/>
              <w:jc w:val="left"/>
            </w:pPr>
            <w:r>
              <w:rPr>
                <w:rFonts w:ascii="Arial" w:hAnsi="Arial"/>
                <w:b w:val="0"/>
                <w:sz w:val="13"/>
              </w:rPr>
              <w:t>Agent orchestration; observability; tracing; workflow management</w:t>
            </w:r>
          </w:p>
        </w:tc>
        <w:tc>
          <w:tcPr>
            <w:tcW w:type="dxa" w:w="2880"/>
            <w:vAlign w:val="top"/>
          </w:tcPr>
          <w:p>
            <w:pPr>
              <w:spacing w:after="0"/>
              <w:jc w:val="left"/>
            </w:pPr>
            <w:r>
              <w:rPr>
                <w:rFonts w:ascii="Arial" w:hAnsi="Arial"/>
                <w:b w:val="0"/>
                <w:sz w:val="13"/>
              </w:rPr>
              <w:t>Moderate (observability and tracing support governance)</w:t>
            </w:r>
          </w:p>
        </w:tc>
        <w:tc>
          <w:tcPr>
            <w:tcW w:type="dxa" w:w="2880"/>
            <w:vAlign w:val="top"/>
          </w:tcPr>
          <w:p>
            <w:pPr>
              <w:spacing w:after="0"/>
              <w:jc w:val="left"/>
            </w:pPr>
            <w:r>
              <w:rPr>
                <w:rFonts w:ascii="Arial" w:hAnsi="Arial"/>
                <w:b w:val="0"/>
                <w:sz w:val="13"/>
              </w:rPr>
              <w:t>Moderate (orchestration and tracing exist, but lifecycle object semantics require validation)</w:t>
            </w:r>
          </w:p>
        </w:tc>
        <w:tc>
          <w:tcPr>
            <w:tcW w:type="dxa" w:w="2880"/>
            <w:vAlign w:val="top"/>
          </w:tcPr>
          <w:p>
            <w:pPr>
              <w:spacing w:after="0"/>
              <w:jc w:val="left"/>
            </w:pPr>
            <w:r>
              <w:rPr>
                <w:rFonts w:ascii="Arial" w:hAnsi="Arial"/>
                <w:b w:val="0"/>
                <w:sz w:val="13"/>
              </w:rPr>
              <w:t>Governance primitives; authority boundary enforcement; accepted outcome compliance; evidence partitioning</w:t>
            </w:r>
          </w:p>
        </w:tc>
      </w:tr>
      <w:tr>
        <w:trPr>
          <w:cantSplit/>
        </w:trPr>
        <w:tc>
          <w:tcPr>
            <w:tcW w:type="dxa" w:w="2880"/>
            <w:vAlign w:val="top"/>
          </w:tcPr>
          <w:p>
            <w:pPr>
              <w:spacing w:after="0"/>
              <w:jc w:val="left"/>
            </w:pPr>
            <w:r>
              <w:rPr>
                <w:rFonts w:ascii="Arial" w:hAnsi="Arial"/>
                <w:b w:val="0"/>
                <w:sz w:val="13"/>
              </w:rPr>
              <w:t>OpenAI Agents SDK</w:t>
            </w:r>
          </w:p>
        </w:tc>
        <w:tc>
          <w:tcPr>
            <w:tcW w:type="dxa" w:w="2880"/>
            <w:vAlign w:val="top"/>
          </w:tcPr>
          <w:p>
            <w:pPr>
              <w:spacing w:after="0"/>
              <w:jc w:val="left"/>
            </w:pPr>
            <w:r>
              <w:rPr>
                <w:rFonts w:ascii="Arial" w:hAnsi="Arial"/>
                <w:b w:val="0"/>
                <w:sz w:val="13"/>
              </w:rPr>
              <w:t>Developer-focused agent framework; model access; tool use; execution orchestration</w:t>
            </w:r>
          </w:p>
        </w:tc>
        <w:tc>
          <w:tcPr>
            <w:tcW w:type="dxa" w:w="2880"/>
            <w:vAlign w:val="top"/>
          </w:tcPr>
          <w:p>
            <w:pPr>
              <w:spacing w:after="0"/>
              <w:jc w:val="left"/>
            </w:pPr>
            <w:r>
              <w:rPr>
                <w:rFonts w:ascii="Arial" w:hAnsi="Arial"/>
                <w:b w:val="0"/>
                <w:sz w:val="13"/>
              </w:rPr>
              <w:t>Low to Moderate (execution focus, governance primitives require validation)</w:t>
            </w:r>
          </w:p>
        </w:tc>
        <w:tc>
          <w:tcPr>
            <w:tcW w:type="dxa" w:w="2880"/>
            <w:vAlign w:val="top"/>
          </w:tcPr>
          <w:p>
            <w:pPr>
              <w:spacing w:after="0"/>
              <w:jc w:val="left"/>
            </w:pPr>
            <w:r>
              <w:rPr>
                <w:rFonts w:ascii="Arial" w:hAnsi="Arial"/>
                <w:b w:val="0"/>
                <w:sz w:val="13"/>
              </w:rPr>
              <w:t>Low to Moderate (execution orchestration exists, but lifecycle object semantics require validation)</w:t>
            </w:r>
          </w:p>
        </w:tc>
        <w:tc>
          <w:tcPr>
            <w:tcW w:type="dxa" w:w="2880"/>
            <w:vAlign w:val="top"/>
          </w:tcPr>
          <w:p>
            <w:pPr>
              <w:spacing w:after="0"/>
              <w:jc w:val="left"/>
            </w:pPr>
            <w:r>
              <w:rPr>
                <w:rFonts w:ascii="Arial" w:hAnsi="Arial"/>
                <w:b w:val="0"/>
                <w:sz w:val="13"/>
              </w:rPr>
              <w:t>Governance primitives; lifecycle responsibility objects; authority boundary enforcement; evidence chain</w:t>
            </w:r>
          </w:p>
        </w:tc>
      </w:tr>
      <w:tr>
        <w:trPr>
          <w:cantSplit/>
        </w:trPr>
        <w:tc>
          <w:tcPr>
            <w:tcW w:type="dxa" w:w="2880"/>
            <w:vAlign w:val="top"/>
          </w:tcPr>
          <w:p>
            <w:pPr>
              <w:spacing w:after="0"/>
              <w:jc w:val="left"/>
            </w:pPr>
            <w:r>
              <w:rPr>
                <w:rFonts w:ascii="Arial" w:hAnsi="Arial"/>
                <w:b w:val="0"/>
                <w:sz w:val="13"/>
              </w:rPr>
              <w:t>CrewAI</w:t>
            </w:r>
          </w:p>
        </w:tc>
        <w:tc>
          <w:tcPr>
            <w:tcW w:type="dxa" w:w="2880"/>
            <w:vAlign w:val="top"/>
          </w:tcPr>
          <w:p>
            <w:pPr>
              <w:spacing w:after="0"/>
              <w:jc w:val="left"/>
            </w:pPr>
            <w:r>
              <w:rPr>
                <w:rFonts w:ascii="Arial" w:hAnsi="Arial"/>
                <w:b w:val="0"/>
                <w:sz w:val="13"/>
              </w:rPr>
              <w:t>Multi-agent collaboration; role-based agent design; task orchestration</w:t>
            </w:r>
          </w:p>
        </w:tc>
        <w:tc>
          <w:tcPr>
            <w:tcW w:type="dxa" w:w="2880"/>
            <w:vAlign w:val="top"/>
          </w:tcPr>
          <w:p>
            <w:pPr>
              <w:spacing w:after="0"/>
              <w:jc w:val="left"/>
            </w:pPr>
            <w:r>
              <w:rPr>
                <w:rFonts w:ascii="Arial" w:hAnsi="Arial"/>
                <w:b w:val="0"/>
                <w:sz w:val="13"/>
              </w:rPr>
              <w:t>Low to Moderate (collaboration focus, governance primitives require validation)</w:t>
            </w:r>
          </w:p>
        </w:tc>
        <w:tc>
          <w:tcPr>
            <w:tcW w:type="dxa" w:w="2880"/>
            <w:vAlign w:val="top"/>
          </w:tcPr>
          <w:p>
            <w:pPr>
              <w:spacing w:after="0"/>
              <w:jc w:val="left"/>
            </w:pPr>
            <w:r>
              <w:rPr>
                <w:rFonts w:ascii="Arial" w:hAnsi="Arial"/>
                <w:b w:val="0"/>
                <w:sz w:val="13"/>
              </w:rPr>
              <w:t>Low to Moderate (role-based design exists, but lifecycle object semantics require validation)</w:t>
            </w:r>
          </w:p>
        </w:tc>
        <w:tc>
          <w:tcPr>
            <w:tcW w:type="dxa" w:w="2880"/>
            <w:vAlign w:val="top"/>
          </w:tcPr>
          <w:p>
            <w:pPr>
              <w:spacing w:after="0"/>
              <w:jc w:val="left"/>
            </w:pPr>
            <w:r>
              <w:rPr>
                <w:rFonts w:ascii="Arial" w:hAnsi="Arial"/>
                <w:b w:val="0"/>
                <w:sz w:val="13"/>
              </w:rPr>
              <w:t>Governance primitives; lifecycle responsibility objects; authority boundary enforcement; evidence chain</w:t>
            </w:r>
          </w:p>
        </w:tc>
      </w:tr>
    </w:tbl>
    <w:p>
      <w:pPr>
        <w:sectPr>
          <w:pgSz w:w="15840" w:h="12240" w:orient="landscape"/>
          <w:pgMar w:top="792" w:right="648" w:bottom="792" w:left="648" w:header="720" w:footer="720" w:gutter="0"/>
          <w:cols w:space="720"/>
          <w:docGrid w:linePitch="360"/>
        </w:sectPr>
      </w:pPr>
    </w:p>
    <w:p/>
    <w:p>
      <w:r>
        <w:t>This table provides initial positioning based on public documentation, system architecture, and stated design goals. Detailed evaluation in Chapter 12 will validate these positions with evidence-based scoring across all RCCS and ALCS dimensions.</w:t>
      </w:r>
    </w:p>
    <w:p/>
    <w:p>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
    <w:p>
      <w:pPr>
        <w:pStyle w:val="Heading2"/>
      </w:pPr>
      <w:r>
        <w:t>11.4 Reading the RCCS / ALCS Positioning</w:t>
      </w:r>
    </w:p>
    <w:p/>
    <w:p>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
      <w:r>
        <w:t>Chapter 12 will validate these positions with evidence-based scoring across all RCCS and ALCS dimensions. The positioning in this chapter is preliminary and based on public documentation, system architecture, and stated design goals. Detailed evaluation may reveal stronger or weaker capabilities than the preliminary positioning suggests.</w:t>
      </w:r>
    </w:p>
    <w:p/>
    <w:p/>
    <w:p>
      <w:pPr>
        <w:pStyle w:val="Heading2"/>
      </w:pPr>
      <w:r>
        <w:t>11.5 What the Comparison Does Not Claim</w:t>
      </w:r>
    </w:p>
    <w:p/>
    <w:p>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
      <w:r>
        <w:t>The comparison does not claim:</w:t>
      </w:r>
    </w:p>
    <w:p>
      <w:pPr>
        <w:pStyle w:val="ListBullet"/>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pPr>
      <w:r>
        <w:t>Endorsement or criticism: The comparison does not endorse any system as superior or criticize any system as inadequate. It evaluates system capability against RCCS and ALCS dimensions, not product quality or market fitness.</w:t>
      </w:r>
    </w:p>
    <w:p>
      <w:pPr>
        <w:pStyle w:val="ListBullet"/>
      </w:pPr>
      <w:r>
        <w:t>Vendor quality judgment: The comparison does not evaluate vendor quality, support, pricing, or business practices. It evaluates system capability to express governance primitives and lifecycle objects based on public documentation.</w:t>
      </w:r>
    </w:p>
    <w:p>
      <w:pPr>
        <w:pStyle w:val="ListBullet"/>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pPr>
      <w:r>
        <w:t>Market leadership or developer popularity: The comparison does not evaluate market share, developer adoption, community size, or ecosystem maturity. It evaluates system capability against RCCS and ALCS dimensions.</w:t>
      </w:r>
    </w:p>
    <w:p/>
    <w:p>
      <w:r>
        <w:t>MPLP-specific non-claim discipline:</w:t>
      </w:r>
    </w:p>
    <w:p>
      <w:pPr>
        <w:pStyle w:val="ListBullet"/>
      </w:pPr>
      <w:r>
        <w:t>MPLP is positioned as a lifecycle protocol path with strong ALCS alignment. This does not mean MPLP is a required compliance mechanism, a certification program, or a regulatory standard.</w:t>
      </w:r>
    </w:p>
    <w:p>
      <w:pPr>
        <w:pStyle w:val="ListBullet"/>
      </w:pPr>
      <w:r>
        <w:t>MPLP is not a certification authority. It does not certify that any system is compliant with any regulation.</w:t>
      </w:r>
    </w:p>
    <w:p>
      <w:pPr>
        <w:pStyle w:val="ListBullet"/>
      </w:pPr>
      <w:r>
        <w:t>MPLP is not a regulator. It does not enforce legal obligations or issue regulatory approvals.</w:t>
      </w:r>
    </w:p>
    <w:p>
      <w:pPr>
        <w:pStyle w:val="ListBullet"/>
      </w:pPr>
      <w:r>
        <w:t>MPLP is not a conformity assessment body. It does not issue conformity certificates or compliance attestations.</w:t>
      </w:r>
    </w:p>
    <w:p>
      <w:pPr>
        <w:pStyle w:val="ListBullet"/>
      </w:pPr>
      <w:r>
        <w:t>MPLP may be positioned as a lifecycle protocol path that exposes governance primitives and lifecycle responsibility objects as first-class protocol semantics. This is an architectural observation, not a legal claim or procurement recommendation.</w:t>
      </w:r>
    </w:p>
    <w:p/>
    <w:p>
      <w:r>
        <w:t>Validation Lab-specific non-claim discipline:</w:t>
      </w:r>
    </w:p>
    <w:p>
      <w:pPr>
        <w:pStyle w:val="ListBullet"/>
      </w:pPr>
      <w:r>
        <w:t>The Validation Lab is referenced in Chapter 14 as an evidence-based validation pattern. It is not a certification authority, regulator, or conformity assessment body.</w:t>
      </w:r>
    </w:p>
    <w:p>
      <w:pPr>
        <w:pStyle w:val="ListBullet"/>
      </w:pPr>
      <w:r>
        <w:t>The Validation Lab does not certify that any system is compliant with any regulation.</w:t>
      </w:r>
    </w:p>
    <w:p>
      <w:pPr>
        <w:pStyle w:val="ListBullet"/>
      </w:pPr>
      <w:r>
        <w:t>The Validation Lab does not issue audit opinions, legal compliance judgments, or regulatory approvals.</w:t>
      </w:r>
    </w:p>
    <w:p>
      <w:pPr>
        <w:pStyle w:val="ListBullet"/>
      </w:pPr>
      <w:r>
        <w:t>The Validation Lab is a validation pattern for evidence-based testing, not a certification program.</w:t>
      </w:r>
    </w:p>
    <w:p/>
    <w:p>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
    <w:p>
      <w:pPr>
        <w:pStyle w:val="Heading2"/>
      </w:pPr>
      <w:r>
        <w:t>11.6 Bridge to Detailed System Mappings</w:t>
      </w:r>
    </w:p>
    <w:p/>
    <w:p>
      <w:r>
        <w:t>Chapter 12 will provide detailed system mappings for each of the eight systems or categories in scope. For each system, Chapter 12 will evaluate:</w:t>
      </w:r>
    </w:p>
    <w:p/>
    <w:p>
      <w:pPr>
        <w:pStyle w:val="ListBullet"/>
      </w:pPr>
      <w:r>
        <w:t>RCCS dimensions: Risk Management, Data Governance, Documentation, Record-Keeping, Transparency, Human Oversight, Security, Accountability, Contestability, Monitoring</w:t>
      </w:r>
    </w:p>
    <w:p>
      <w:pPr>
        <w:pStyle w:val="ListBullet"/>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pPr>
      <w:r>
        <w:t>Evidence basis: What evidence supports the evaluation (L1, L2, L3, L4, or L5)</w:t>
      </w:r>
    </w:p>
    <w:p>
      <w:pPr>
        <w:pStyle w:val="ListBullet"/>
      </w:pPr>
      <w:r>
        <w:t>Composite scores: RCCS percentage and ALCS percentage based on dimension scores and evidence multipliers</w:t>
      </w:r>
    </w:p>
    <w:p>
      <w:pPr>
        <w:pStyle w:val="ListBullet"/>
      </w:pPr>
      <w:r>
        <w:t>Lifecycle gaps: What lifecycle responsibility objects or governance primitives are missing or require further validation</w:t>
      </w:r>
    </w:p>
    <w:p/>
    <w:p>
      <w:r>
        <w:t>Chapter 12 will not assign final scores unless the score already exists in the v0.3.1 semantic base and is clearly marked as analytical and evidence-based. Chapter 12 will not create final procurement recommendations. Chapter 12 will not issue certification, endorsement, or legal compliance judgments.</w:t>
      </w:r>
    </w:p>
    <w:p/>
    <w:p>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
      <w:r>
        <w:t>The positioning in this chapter prepares the reader for Chapter 12 by establishing the comparison method, defining the systems in scope, providing preliminary positioning, and clarifying what the comparison evaluates and what it does not evaluate. Chapter 12 will validate these positions with detailed evidence-based evaluation across all RCCS and ALCS dimensions.</w:t>
      </w:r>
    </w:p>
    <w:p/>
    <w:p/>
    <w:p>
      <w:pPr>
        <w:spacing w:before="160" w:after="80"/>
        <w:jc w:val="center"/>
      </w:pPr>
      <w:r>
        <w:rPr>
          <w:b/>
          <w:color w:val="1F4E79"/>
          <w:sz w:val="18"/>
        </w:rPr>
        <w:t>[FIGURE PLACEHOLDER F-05: Lifecycle Conformance Mapping Strength Heatmap]</w:t>
      </w:r>
    </w:p>
    <w:p/>
    <w:p>
      <w:pPr>
        <w:spacing w:before="160" w:after="80"/>
        <w:jc w:val="center"/>
      </w:pPr>
      <w:r>
        <w:rPr>
          <w:b/>
          <w:color w:val="1F4E79"/>
          <w:sz w:val="18"/>
        </w:rPr>
        <w:t>Figure description: A future heatmap showing lifecycle conformance mapping strength across systems and MRO / ALCS dimensions. The heatmap will use a 0-4 scale to visualize system capability strength across all fifteen ALCS dimensions and sixteen MROs. Systems will be shown as rows, dimensions as columns, and cell color intensity will reflect capability strength. This figure will be generated in Phase 1C after Chapter 12 mappings are complete and validated.</w:t>
      </w:r>
    </w:p>
    <w:p/>
    <w:p/>
    <w:p>
      <w:pPr>
        <w:keepNext/>
      </w:pPr>
      <w:r>
        <w:rPr>
          <w:b/>
          <w:sz w:val="17"/>
        </w:rPr>
        <w:t>Table T-11-02: Comparison Boundary Table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Comparison Dimension</w:t>
            </w:r>
          </w:p>
        </w:tc>
        <w:tc>
          <w:tcPr>
            <w:tcW w:type="dxa" w:w="3408"/>
            <w:vAlign w:val="top"/>
            <w:shd w:fill="D9EAF7"/>
          </w:tcPr>
          <w:p>
            <w:pPr>
              <w:spacing w:after="0"/>
              <w:jc w:val="left"/>
            </w:pPr>
            <w:r>
              <w:rPr>
                <w:rFonts w:ascii="Arial" w:hAnsi="Arial"/>
                <w:b/>
                <w:sz w:val="16"/>
              </w:rPr>
              <w:t>What This Paper Evaluates</w:t>
            </w:r>
          </w:p>
        </w:tc>
        <w:tc>
          <w:tcPr>
            <w:tcW w:type="dxa" w:w="3408"/>
            <w:vAlign w:val="top"/>
            <w:shd w:fill="D9EAF7"/>
          </w:tcPr>
          <w:p>
            <w:pPr>
              <w:spacing w:after="0"/>
              <w:jc w:val="left"/>
            </w:pPr>
            <w:r>
              <w:rPr>
                <w:rFonts w:ascii="Arial" w:hAnsi="Arial"/>
                <w:b/>
                <w:sz w:val="16"/>
              </w:rPr>
              <w:t>What This Paper Does Not Evaluate</w:t>
            </w:r>
          </w:p>
        </w:tc>
      </w:tr>
      <w:tr>
        <w:trPr>
          <w:cantSplit/>
        </w:trPr>
        <w:tc>
          <w:tcPr>
            <w:tcW w:type="dxa" w:w="3408"/>
            <w:vAlign w:val="top"/>
          </w:tcPr>
          <w:p>
            <w:pPr>
              <w:spacing w:after="0"/>
              <w:jc w:val="left"/>
            </w:pPr>
            <w:r>
              <w:rPr>
                <w:rFonts w:ascii="Arial" w:hAnsi="Arial"/>
                <w:b w:val="0"/>
                <w:sz w:val="16"/>
              </w:rPr>
              <w:t>Regulatory coverage</w:t>
            </w:r>
          </w:p>
        </w:tc>
        <w:tc>
          <w:tcPr>
            <w:tcW w:type="dxa" w:w="3408"/>
            <w:vAlign w:val="top"/>
          </w:tcPr>
          <w:p>
            <w:pPr>
              <w:spacing w:after="0"/>
              <w:jc w:val="left"/>
            </w:pPr>
            <w:r>
              <w:rPr>
                <w:rFonts w:ascii="Arial" w:hAnsi="Arial"/>
                <w:b w:val="0"/>
                <w:sz w:val="16"/>
              </w:rPr>
              <w:t>Whether a system provides governance primitives for risk management, data governance, documentation, record-keeping, transparency, human oversight, security, accountability, contestability, and monitoring (RCCS dimensions)</w:t>
            </w:r>
          </w:p>
        </w:tc>
        <w:tc>
          <w:tcPr>
            <w:tcW w:type="dxa" w:w="3408"/>
            <w:vAlign w:val="top"/>
          </w:tcPr>
          <w:p>
            <w:pPr>
              <w:spacing w:after="0"/>
              <w:jc w:val="left"/>
            </w:pPr>
            <w:r>
              <w:rPr>
                <w:rFonts w:ascii="Arial" w:hAnsi="Arial"/>
                <w:b w:val="0"/>
                <w:sz w:val="16"/>
              </w:rPr>
              <w:t>Legal compliance with specific regulations or jurisdictions; conformity assessment; regulatory approval; certification</w:t>
            </w:r>
          </w:p>
        </w:tc>
      </w:tr>
      <w:tr>
        <w:trPr>
          <w:cantSplit/>
        </w:trPr>
        <w:tc>
          <w:tcPr>
            <w:tcW w:type="dxa" w:w="3408"/>
            <w:vAlign w:val="top"/>
          </w:tcPr>
          <w:p>
            <w:pPr>
              <w:spacing w:after="0"/>
              <w:jc w:val="left"/>
            </w:pPr>
            <w:r>
              <w:rPr>
                <w:rFonts w:ascii="Arial" w:hAnsi="Arial"/>
                <w:b w:val="0"/>
                <w:sz w:val="16"/>
              </w:rPr>
              <w:t>Lifecycle object semantics</w:t>
            </w:r>
          </w:p>
        </w:tc>
        <w:tc>
          <w:tcPr>
            <w:tcW w:type="dxa" w:w="3408"/>
            <w:vAlign w:val="top"/>
          </w:tcPr>
          <w:p>
            <w:pPr>
              <w:spacing w:after="0"/>
              <w:jc w:val="left"/>
            </w:pPr>
            <w:r>
              <w:rPr>
                <w:rFonts w:ascii="Arial" w:hAnsi="Arial"/>
                <w:b w:val="0"/>
                <w:sz w:val="16"/>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vAlign w:val="top"/>
          </w:tcPr>
          <w:p>
            <w:pPr>
              <w:spacing w:after="0"/>
              <w:jc w:val="left"/>
            </w:pPr>
            <w:r>
              <w:rPr>
                <w:rFonts w:ascii="Arial" w:hAnsi="Arial"/>
                <w:b w:val="0"/>
                <w:sz w:val="16"/>
              </w:rPr>
              <w:t>Organizational conformance to legal requirements; deployment context; risk class; how the system is used</w:t>
            </w:r>
          </w:p>
        </w:tc>
      </w:tr>
      <w:tr>
        <w:trPr>
          <w:cantSplit/>
        </w:trPr>
        <w:tc>
          <w:tcPr>
            <w:tcW w:type="dxa" w:w="3408"/>
            <w:vAlign w:val="top"/>
          </w:tcPr>
          <w:p>
            <w:pPr>
              <w:spacing w:after="0"/>
              <w:jc w:val="left"/>
            </w:pPr>
            <w:r>
              <w:rPr>
                <w:rFonts w:ascii="Arial" w:hAnsi="Arial"/>
                <w:b w:val="0"/>
                <w:sz w:val="16"/>
              </w:rPr>
              <w:t>Evidence basis</w:t>
            </w:r>
          </w:p>
        </w:tc>
        <w:tc>
          <w:tcPr>
            <w:tcW w:type="dxa" w:w="3408"/>
            <w:vAlign w:val="top"/>
          </w:tcPr>
          <w:p>
            <w:pPr>
              <w:spacing w:after="0"/>
              <w:jc w:val="left"/>
            </w:pPr>
            <w:r>
              <w:rPr>
                <w:rFonts w:ascii="Arial" w:hAnsi="Arial"/>
                <w:b w:val="0"/>
                <w:sz w:val="16"/>
              </w:rPr>
              <w:t>Whether public documentation, API specifications, protocol definitions, or reproducible evidence artifacts support the evaluation; where evidence is weak or unavailable, whether author inference is explicitly disclosed</w:t>
            </w:r>
          </w:p>
        </w:tc>
        <w:tc>
          <w:tcPr>
            <w:tcW w:type="dxa" w:w="3408"/>
            <w:vAlign w:val="top"/>
          </w:tcPr>
          <w:p>
            <w:pPr>
              <w:spacing w:after="0"/>
              <w:jc w:val="left"/>
            </w:pPr>
            <w:r>
              <w:rPr>
                <w:rFonts w:ascii="Arial" w:hAnsi="Arial"/>
                <w:b w:val="0"/>
                <w:sz w:val="16"/>
              </w:rPr>
              <w:t>Vendor quality; support; pricing; business practices; market leadership; developer popularity; community size; ecosystem maturity</w:t>
            </w:r>
          </w:p>
        </w:tc>
      </w:tr>
      <w:tr>
        <w:trPr>
          <w:cantSplit/>
        </w:trPr>
        <w:tc>
          <w:tcPr>
            <w:tcW w:type="dxa" w:w="3408"/>
            <w:vAlign w:val="top"/>
          </w:tcPr>
          <w:p>
            <w:pPr>
              <w:spacing w:after="0"/>
              <w:jc w:val="left"/>
            </w:pPr>
            <w:r>
              <w:rPr>
                <w:rFonts w:ascii="Arial" w:hAnsi="Arial"/>
                <w:b w:val="0"/>
                <w:sz w:val="16"/>
              </w:rPr>
              <w:t>System mapping</w:t>
            </w:r>
          </w:p>
        </w:tc>
        <w:tc>
          <w:tcPr>
            <w:tcW w:type="dxa" w:w="3408"/>
            <w:vAlign w:val="top"/>
          </w:tcPr>
          <w:p>
            <w:pPr>
              <w:spacing w:after="0"/>
              <w:jc w:val="left"/>
            </w:pPr>
            <w:r>
              <w:rPr>
                <w:rFonts w:ascii="Arial" w:hAnsi="Arial"/>
                <w:b w:val="0"/>
                <w:sz w:val="16"/>
              </w:rPr>
              <w:t>System capability to express governance primitives and lifecycle objects based on public documentation and evidence-based evaluation</w:t>
            </w:r>
          </w:p>
        </w:tc>
        <w:tc>
          <w:tcPr>
            <w:tcW w:type="dxa" w:w="3408"/>
            <w:vAlign w:val="top"/>
          </w:tcPr>
          <w:p>
            <w:pPr>
              <w:spacing w:after="0"/>
              <w:jc w:val="left"/>
            </w:pPr>
            <w:r>
              <w:rPr>
                <w:rFonts w:ascii="Arial" w:hAnsi="Arial"/>
                <w:b w:val="0"/>
                <w:sz w:val="16"/>
              </w:rPr>
              <w:t>Product quality; feature completeness; execution performance; developer experience; operational maturity; procurement suitability; vendor relationships; strategic fit</w:t>
            </w:r>
          </w:p>
        </w:tc>
      </w:tr>
      <w:tr>
        <w:trPr>
          <w:cantSplit/>
        </w:trPr>
        <w:tc>
          <w:tcPr>
            <w:tcW w:type="dxa" w:w="3408"/>
            <w:vAlign w:val="top"/>
          </w:tcPr>
          <w:p>
            <w:pPr>
              <w:spacing w:after="0"/>
              <w:jc w:val="left"/>
            </w:pPr>
            <w:r>
              <w:rPr>
                <w:rFonts w:ascii="Arial" w:hAnsi="Arial"/>
                <w:b w:val="0"/>
                <w:sz w:val="16"/>
              </w:rPr>
              <w:t>Product quality</w:t>
            </w:r>
          </w:p>
        </w:tc>
        <w:tc>
          <w:tcPr>
            <w:tcW w:type="dxa" w:w="3408"/>
            <w:vAlign w:val="top"/>
          </w:tcPr>
          <w:p>
            <w:pPr>
              <w:spacing w:after="0"/>
              <w:jc w:val="left"/>
            </w:pPr>
            <w:r>
              <w:rPr>
                <w:rFonts w:ascii="Arial" w:hAnsi="Arial"/>
                <w:b w:val="0"/>
                <w:sz w:val="16"/>
              </w:rPr>
              <w:t>Not evaluated</w:t>
            </w:r>
          </w:p>
        </w:tc>
        <w:tc>
          <w:tcPr>
            <w:tcW w:type="dxa" w:w="3408"/>
            <w:vAlign w:val="top"/>
          </w:tcPr>
          <w:p>
            <w:pPr>
              <w:spacing w:after="0"/>
              <w:jc w:val="left"/>
            </w:pPr>
            <w:r>
              <w:rPr>
                <w:rFonts w:ascii="Arial" w:hAnsi="Arial"/>
                <w:b w:val="0"/>
                <w:sz w:val="16"/>
              </w:rPr>
              <w:t>Execution performance; feature completeness; developer experience; operational maturity; reliability; scalability; usability</w:t>
            </w:r>
          </w:p>
        </w:tc>
      </w:tr>
      <w:tr>
        <w:trPr>
          <w:cantSplit/>
        </w:trPr>
        <w:tc>
          <w:tcPr>
            <w:tcW w:type="dxa" w:w="3408"/>
            <w:vAlign w:val="top"/>
          </w:tcPr>
          <w:p>
            <w:pPr>
              <w:spacing w:after="0"/>
              <w:jc w:val="left"/>
            </w:pPr>
            <w:r>
              <w:rPr>
                <w:rFonts w:ascii="Arial" w:hAnsi="Arial"/>
                <w:b w:val="0"/>
                <w:sz w:val="16"/>
              </w:rPr>
              <w:t>Procurement suitability</w:t>
            </w:r>
          </w:p>
        </w:tc>
        <w:tc>
          <w:tcPr>
            <w:tcW w:type="dxa" w:w="3408"/>
            <w:vAlign w:val="top"/>
          </w:tcPr>
          <w:p>
            <w:pPr>
              <w:spacing w:after="0"/>
              <w:jc w:val="left"/>
            </w:pPr>
            <w:r>
              <w:rPr>
                <w:rFonts w:ascii="Arial" w:hAnsi="Arial"/>
                <w:b w:val="0"/>
                <w:sz w:val="16"/>
              </w:rPr>
              <w:t>Not evaluated</w:t>
            </w:r>
          </w:p>
        </w:tc>
        <w:tc>
          <w:tcPr>
            <w:tcW w:type="dxa" w:w="3408"/>
            <w:vAlign w:val="top"/>
          </w:tcPr>
          <w:p>
            <w:pPr>
              <w:spacing w:after="0"/>
              <w:jc w:val="left"/>
            </w:pPr>
            <w:r>
              <w:rPr>
                <w:rFonts w:ascii="Arial" w:hAnsi="Arial"/>
                <w:b w:val="0"/>
                <w:sz w:val="16"/>
              </w:rPr>
              <w:t>Organizational requirements; budget; technical stack; risk appetite; vendor relationships; strategic priorities; total cost of ownership; support quality</w:t>
            </w:r>
          </w:p>
        </w:tc>
      </w:tr>
      <w:tr>
        <w:trPr>
          <w:cantSplit/>
        </w:trPr>
        <w:tc>
          <w:tcPr>
            <w:tcW w:type="dxa" w:w="3408"/>
            <w:vAlign w:val="top"/>
          </w:tcPr>
          <w:p>
            <w:pPr>
              <w:spacing w:after="0"/>
              <w:jc w:val="left"/>
            </w:pPr>
            <w:r>
              <w:rPr>
                <w:rFonts w:ascii="Arial" w:hAnsi="Arial"/>
                <w:b w:val="0"/>
                <w:sz w:val="16"/>
              </w:rPr>
              <w:t>Legal compliance</w:t>
            </w:r>
          </w:p>
        </w:tc>
        <w:tc>
          <w:tcPr>
            <w:tcW w:type="dxa" w:w="3408"/>
            <w:vAlign w:val="top"/>
          </w:tcPr>
          <w:p>
            <w:pPr>
              <w:spacing w:after="0"/>
              <w:jc w:val="left"/>
            </w:pPr>
            <w:r>
              <w:rPr>
                <w:rFonts w:ascii="Arial" w:hAnsi="Arial"/>
                <w:b w:val="0"/>
                <w:sz w:val="16"/>
              </w:rPr>
              <w:t>Not evaluated</w:t>
            </w:r>
          </w:p>
        </w:tc>
        <w:tc>
          <w:tcPr>
            <w:tcW w:type="dxa" w:w="3408"/>
            <w:vAlign w:val="top"/>
          </w:tcPr>
          <w:p>
            <w:pPr>
              <w:spacing w:after="0"/>
              <w:jc w:val="left"/>
            </w:pPr>
            <w:r>
              <w:rPr>
                <w:rFonts w:ascii="Arial" w:hAnsi="Arial"/>
                <w:b w:val="0"/>
                <w:sz w:val="16"/>
              </w:rPr>
              <w:t>Legal compliance with specific regulations or jurisdictions; legal counsel; compliance review; risk assessment; regulatory examination</w:t>
            </w:r>
          </w:p>
        </w:tc>
      </w:tr>
      <w:tr>
        <w:trPr>
          <w:cantSplit/>
        </w:trPr>
        <w:tc>
          <w:tcPr>
            <w:tcW w:type="dxa" w:w="3408"/>
            <w:vAlign w:val="top"/>
          </w:tcPr>
          <w:p>
            <w:pPr>
              <w:spacing w:after="0"/>
              <w:jc w:val="left"/>
            </w:pPr>
            <w:r>
              <w:rPr>
                <w:rFonts w:ascii="Arial" w:hAnsi="Arial"/>
                <w:b w:val="0"/>
                <w:sz w:val="16"/>
              </w:rPr>
              <w:t>Certification / endorsement</w:t>
            </w:r>
          </w:p>
        </w:tc>
        <w:tc>
          <w:tcPr>
            <w:tcW w:type="dxa" w:w="3408"/>
            <w:vAlign w:val="top"/>
          </w:tcPr>
          <w:p>
            <w:pPr>
              <w:spacing w:after="0"/>
              <w:jc w:val="left"/>
            </w:pPr>
            <w:r>
              <w:rPr>
                <w:rFonts w:ascii="Arial" w:hAnsi="Arial"/>
                <w:b w:val="0"/>
                <w:sz w:val="16"/>
              </w:rPr>
              <w:t>Not evaluated</w:t>
            </w:r>
          </w:p>
        </w:tc>
        <w:tc>
          <w:tcPr>
            <w:tcW w:type="dxa" w:w="3408"/>
            <w:vAlign w:val="top"/>
          </w:tcPr>
          <w:p>
            <w:pPr>
              <w:spacing w:after="0"/>
              <w:jc w:val="left"/>
            </w:pPr>
            <w:r>
              <w:rPr>
                <w:rFonts w:ascii="Arial" w:hAnsi="Arial"/>
                <w:b w:val="0"/>
                <w:sz w:val="16"/>
              </w:rPr>
              <w:t>Certification; conformity assessment; regulatory approval; endorsement; criticism; vendor quality judgment; market leadership judgment</w:t>
            </w:r>
          </w:p>
        </w:tc>
      </w:tr>
    </w:tbl>
    <w:p>
      <w:pPr>
        <w:sectPr>
          <w:pgSz w:w="15840" w:h="12240"/>
          <w:pgMar w:top="792" w:right="648" w:bottom="792" w:left="648" w:header="720" w:footer="720" w:gutter="0"/>
          <w:cols w:space="720"/>
          <w:docGrid w:linePitch="360"/>
        </w:sectPr>
      </w:pPr>
    </w:p>
    <w:p/>
    <w:p>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
    <w:p>
      <w:r>
        <w:t>End of Chapter 11</w:t>
      </w:r>
    </w:p>
    <w:p>
      <w:pPr>
        <w:pStyle w:val="Heading1"/>
      </w:pPr>
      <w:r>
        <w:t>Chapter 12: Detailed System Mappings</w:t>
      </w:r>
    </w:p>
    <w:p/>
    <w:p>
      <w:r>
        <w:t>Version: v0.3.2-FRC-R3</w:t>
      </w:r>
    </w:p>
    <w:p>
      <w:r>
        <w:t>Status: FILLED — Phase 1B-3; Phase 1C claim-level source binding applied</w:t>
      </w:r>
    </w:p>
    <w:p>
      <w:r>
        <w:t>Phase: 1B-3 / 1C Follow-up</w:t>
      </w:r>
    </w:p>
    <w:p/>
    <w:p/>
    <w:p>
      <w:pPr>
        <w:pStyle w:val="Heading2"/>
      </w:pPr>
      <w:r>
        <w:t>12.0 Purpose of Detailed System Mappings</w:t>
      </w:r>
    </w:p>
    <w:p/>
    <w:p>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
      <w:r>
        <w:t>What this chapter evaluates:</w:t>
      </w:r>
    </w:p>
    <w:p>
      <w:pPr>
        <w:pStyle w:val="ListBullet"/>
      </w:pPr>
      <w:r>
        <w:t>Whether a system defines governance primitives for risk management, data governance, documentation, record-keeping, transparency, human oversight, security, accountability, contestability, and monitoring (RCCS dimensions)</w:t>
      </w:r>
    </w:p>
    <w:p>
      <w:pPr>
        <w:pStyle w:val="ListBullet"/>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pPr>
      <w:r>
        <w:t>Whether public documentation, API specifications, protocol definitions, or reproducible evidence artifacts support the evaluation</w:t>
      </w:r>
    </w:p>
    <w:p>
      <w:pPr>
        <w:pStyle w:val="ListBullet"/>
      </w:pPr>
      <w:r>
        <w:t>Where evidence is weak or unavailable, whether author inference is explicitly disclosed</w:t>
      </w:r>
    </w:p>
    <w:p/>
    <w:p>
      <w:r>
        <w:t>What this chapter does not evaluate:</w:t>
      </w:r>
    </w:p>
    <w:p>
      <w:pPr>
        <w:pStyle w:val="ListBullet"/>
      </w:pPr>
      <w:r>
        <w:t>Product quality, feature completeness, or execution performance</w:t>
      </w:r>
    </w:p>
    <w:p>
      <w:pPr>
        <w:pStyle w:val="ListBullet"/>
      </w:pPr>
      <w:r>
        <w:t>Market leadership, developer popularity, or community adoption</w:t>
      </w:r>
    </w:p>
    <w:p>
      <w:pPr>
        <w:pStyle w:val="ListBullet"/>
      </w:pPr>
      <w:r>
        <w:t>Procurement suitability, pricing, or vendor support</w:t>
      </w:r>
    </w:p>
    <w:p>
      <w:pPr>
        <w:pStyle w:val="ListBullet"/>
      </w:pPr>
      <w:r>
        <w:t>Legal compliance with specific regulations or jurisdictions</w:t>
      </w:r>
    </w:p>
    <w:p>
      <w:pPr>
        <w:pStyle w:val="ListBullet"/>
      </w:pPr>
      <w:r>
        <w:t>Certification, conformity assessment, or regulatory approval</w:t>
      </w:r>
    </w:p>
    <w:p>
      <w:pPr>
        <w:pStyle w:val="ListBullet"/>
      </w:pPr>
      <w:r>
        <w:t>Endorsement or criticism of any vendor or product</w:t>
      </w:r>
    </w:p>
    <w:p/>
    <w:p>
      <w:r>
        <w:t>Evidence boundary:</w:t>
      </w:r>
    </w:p>
    <w:p>
      <w:pPr>
        <w:pStyle w:val="ListBullet"/>
      </w:pPr>
      <w:r>
        <w:t>Public documentation may be incomplete. Absence of evidence is not evidence of absence.</w:t>
      </w:r>
    </w:p>
    <w:p>
      <w:pPr>
        <w:pStyle w:val="ListBullet"/>
      </w:pPr>
      <w:r>
        <w:t>Vendor capability claims require official documentation or are marked as author inference.</w:t>
      </w:r>
    </w:p>
    <w:p>
      <w:pPr>
        <w:pStyle w:val="ListBullet"/>
      </w:pPr>
      <w:r>
        <w:t>Scores and mappings are analytical and evidence-qualified.</w:t>
      </w:r>
    </w:p>
    <w:p>
      <w:pPr>
        <w:pStyle w:val="ListBullet"/>
      </w:pPr>
      <w:r>
        <w:t>This is not a certification program. It does not certify that any system is compliant with any regulation.</w:t>
      </w:r>
    </w:p>
    <w:p/>
    <w:p/>
    <w:p>
      <w:pPr>
        <w:pStyle w:val="Heading2"/>
      </w:pPr>
      <w:r>
        <w:t>12.1 Mapping Method and Evidence Boundary</w:t>
      </w:r>
    </w:p>
    <w:p/>
    <w:p>
      <w:r>
        <w:t>The mapping method evaluates systems against RCCS and ALCS dimensions using the evidence hierarchy established in Chapter 1 and the scoring rubrics defined in Chapters 7 and 8.</w:t>
      </w:r>
    </w:p>
    <w:p/>
    <w:p>
      <w:pPr>
        <w:pStyle w:val="Heading3"/>
      </w:pPr>
      <w:r>
        <w:t>Evidence Hierarchy</w:t>
      </w:r>
    </w:p>
    <w:p/>
    <w:p>
      <w:r>
        <w:t>The evidence hierarchy used in this chapter is:</w:t>
      </w:r>
    </w:p>
    <w:p/>
    <w:p>
      <w:pPr>
        <w:pStyle w:val="ListBullet"/>
      </w:pPr>
      <w:r>
        <w:t>L1 — Binding Legal / Regulatory / Standards Text: Legal, regulatory, or formal standards baseline. L1 does not prove product implementation.</w:t>
      </w:r>
    </w:p>
    <w:p>
      <w:pPr>
        <w:pStyle w:val="ListBullet"/>
      </w:pPr>
      <w:r>
        <w:t>L2 — Official Product, Protocol, API, or Repository Documentation: Official documentation, API docs, developer documentation, protocol specifications, platform architecture docs, or official repository documentation.</w:t>
      </w:r>
    </w:p>
    <w:p>
      <w:pPr>
        <w:pStyle w:val="ListBullet"/>
      </w:pPr>
      <w:r>
        <w:t>L3 — Independent Audit / Third-Party Evaluation: Third-party audit reports, credible research papers, independent reports, or assurance evidence.</w:t>
      </w:r>
    </w:p>
    <w:p>
      <w:pPr>
        <w:pStyle w:val="ListBullet"/>
      </w:pPr>
      <w:r>
        <w:t>L4 — Vendor Claim / Marketing Page / Announcement: Vendor white papers, product pages, blogs, announcements, or positioning material.</w:t>
      </w:r>
    </w:p>
    <w:p>
      <w:pPr>
        <w:pStyle w:val="ListBullet"/>
      </w:pPr>
      <w:r>
        <w:t>L5 — Author Inference / Analytical Interpretation: Author inference, conceptual analysis, or mapping judgment. Explicitly disclosed.</w:t>
      </w:r>
    </w:p>
    <w:p/>
    <w:p>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
      <w:pPr>
        <w:pStyle w:val="Heading3"/>
      </w:pPr>
      <w:r>
        <w:t>Evidence Limitation</w:t>
      </w:r>
    </w:p>
    <w:p/>
    <w:p>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
      <w:r>
        <w:t>This chapter evaluates public evidence available as of May 2026. Vendor capability claims are source-qualified or marked as author inference. No unsupported final numeric scores are introduced without evidence basis.</w:t>
      </w:r>
    </w:p>
    <w:p/>
    <w:p>
      <w:pPr>
        <w:pStyle w:val="Heading3"/>
      </w:pPr>
      <w:r>
        <w:t>Mapping Strength Scale</w:t>
      </w:r>
    </w:p>
    <w:p/>
    <w:p>
      <w:r>
        <w:t>Instead of numeric scores for every dimension in this phase, the chapter uses qualitative mapping strength:</w:t>
      </w:r>
    </w:p>
    <w:p/>
    <w:p>
      <w:pPr>
        <w:pStyle w:val="ListBullet"/>
      </w:pPr>
      <w:r>
        <w:t>Strong: Public documentation shows clear primitives, API support, or protocol semantics for the dimension.</w:t>
      </w:r>
    </w:p>
    <w:p>
      <w:pPr>
        <w:pStyle w:val="ListBullet"/>
      </w:pPr>
      <w:r>
        <w:t>Moderate: Public documentation suggests capability exists, but coverage is partial or requires validation.</w:t>
      </w:r>
    </w:p>
    <w:p>
      <w:pPr>
        <w:pStyle w:val="ListBullet"/>
      </w:pPr>
      <w:r>
        <w:t>Partial: Some evidence exists, but significant gaps or limitations are evident.</w:t>
      </w:r>
    </w:p>
    <w:p>
      <w:pPr>
        <w:pStyle w:val="ListBullet"/>
      </w:pPr>
      <w:r>
        <w:t>Weak: Minimal evidence or capability is conceptual only.</w:t>
      </w:r>
    </w:p>
    <w:p>
      <w:pPr>
        <w:pStyle w:val="ListBullet"/>
      </w:pPr>
      <w:r>
        <w:t>Not Evaluated: Insufficient public evidence to evaluate, or outside system scope.</w:t>
      </w:r>
    </w:p>
    <w:p/>
    <w:p>
      <w:r>
        <w:t>Numeric scores may be provided where v0.3.1 evidence basis supports them and where official documentation has been validated.</w:t>
      </w:r>
    </w:p>
    <w:p/>
    <w:p>
      <w:pPr>
        <w:pStyle w:val="Heading3"/>
      </w:pPr>
      <w:r>
        <w:t>Evidence Basis Table</w:t>
      </w:r>
    </w:p>
    <w:p/>
    <w:p>
      <w:r>
        <w:t>The following table defines the evidence scale used in system mappings.</w:t>
      </w:r>
    </w:p>
    <w:p/>
    <w:p>
      <w:pPr>
        <w:keepNext/>
      </w:pPr>
      <w:r>
        <w:rPr>
          <w:b/>
          <w:sz w:val="17"/>
        </w:rPr>
        <w:t>Table T-12-01: System Mapping Evidence Scale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Source Type</w:t>
            </w:r>
          </w:p>
        </w:tc>
        <w:tc>
          <w:tcPr>
            <w:tcW w:type="dxa" w:w="2556"/>
            <w:vAlign w:val="top"/>
            <w:shd w:fill="D9EAF7"/>
          </w:tcPr>
          <w:p>
            <w:pPr>
              <w:spacing w:after="0"/>
              <w:jc w:val="left"/>
            </w:pPr>
            <w:r>
              <w:rPr>
                <w:rFonts w:ascii="Arial" w:hAnsi="Arial"/>
                <w:b/>
                <w:sz w:val="14"/>
              </w:rPr>
              <w:t>Use in Mapping</w:t>
            </w:r>
          </w:p>
        </w:tc>
        <w:tc>
          <w:tcPr>
            <w:tcW w:type="dxa" w:w="2556"/>
            <w:vAlign w:val="top"/>
            <w:shd w:fill="D9EAF7"/>
          </w:tcPr>
          <w:p>
            <w:pPr>
              <w:spacing w:after="0"/>
              <w:jc w:val="left"/>
            </w:pPr>
            <w:r>
              <w:rPr>
                <w:rFonts w:ascii="Arial" w:hAnsi="Arial"/>
                <w:b/>
                <w:sz w:val="14"/>
              </w:rPr>
              <w:t>Limitation</w:t>
            </w:r>
          </w:p>
        </w:tc>
      </w:tr>
      <w:tr>
        <w:trPr>
          <w:cantSplit/>
        </w:trPr>
        <w:tc>
          <w:tcPr>
            <w:tcW w:type="dxa" w:w="2556"/>
            <w:vAlign w:val="top"/>
          </w:tcPr>
          <w:p>
            <w:pPr>
              <w:spacing w:after="0"/>
              <w:jc w:val="left"/>
            </w:pPr>
            <w:r>
              <w:rPr>
                <w:rFonts w:ascii="Arial" w:hAnsi="Arial"/>
                <w:b w:val="0"/>
                <w:sz w:val="14"/>
              </w:rPr>
              <w:t>L1</w:t>
            </w:r>
          </w:p>
        </w:tc>
        <w:tc>
          <w:tcPr>
            <w:tcW w:type="dxa" w:w="2556"/>
            <w:vAlign w:val="top"/>
          </w:tcPr>
          <w:p>
            <w:pPr>
              <w:spacing w:after="0"/>
              <w:jc w:val="left"/>
            </w:pPr>
            <w:r>
              <w:rPr>
                <w:rFonts w:ascii="Arial" w:hAnsi="Arial"/>
                <w:b w:val="0"/>
                <w:sz w:val="14"/>
              </w:rPr>
              <w:t>Binding legal / regulatory / standards text</w:t>
            </w:r>
          </w:p>
        </w:tc>
        <w:tc>
          <w:tcPr>
            <w:tcW w:type="dxa" w:w="2556"/>
            <w:vAlign w:val="top"/>
          </w:tcPr>
          <w:p>
            <w:pPr>
              <w:spacing w:after="0"/>
              <w:jc w:val="left"/>
            </w:pPr>
            <w:r>
              <w:rPr>
                <w:rFonts w:ascii="Arial" w:hAnsi="Arial"/>
                <w:b w:val="0"/>
                <w:sz w:val="14"/>
              </w:rPr>
              <w:t>Establishes baseline obligations or framework requirements</w:t>
            </w:r>
          </w:p>
        </w:tc>
        <w:tc>
          <w:tcPr>
            <w:tcW w:type="dxa" w:w="2556"/>
            <w:vAlign w:val="top"/>
          </w:tcPr>
          <w:p>
            <w:pPr>
              <w:spacing w:after="0"/>
              <w:jc w:val="left"/>
            </w:pPr>
            <w:r>
              <w:rPr>
                <w:rFonts w:ascii="Arial" w:hAnsi="Arial"/>
                <w:b w:val="0"/>
                <w:sz w:val="14"/>
              </w:rPr>
              <w:t>Does not prove system implementation</w:t>
            </w:r>
          </w:p>
        </w:tc>
      </w:tr>
      <w:tr>
        <w:trPr>
          <w:cantSplit/>
        </w:trPr>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Official product, protocol, API, developer, platform, or repository documentation</w:t>
            </w:r>
          </w:p>
        </w:tc>
        <w:tc>
          <w:tcPr>
            <w:tcW w:type="dxa" w:w="2556"/>
            <w:vAlign w:val="top"/>
          </w:tcPr>
          <w:p>
            <w:pPr>
              <w:spacing w:after="0"/>
              <w:jc w:val="left"/>
            </w:pPr>
            <w:r>
              <w:rPr>
                <w:rFonts w:ascii="Arial" w:hAnsi="Arial"/>
                <w:b w:val="0"/>
                <w:sz w:val="14"/>
              </w:rPr>
              <w:t>Supports documented product/protocol capability claims</w:t>
            </w:r>
          </w:p>
        </w:tc>
        <w:tc>
          <w:tcPr>
            <w:tcW w:type="dxa" w:w="2556"/>
            <w:vAlign w:val="top"/>
          </w:tcPr>
          <w:p>
            <w:pPr>
              <w:spacing w:after="0"/>
              <w:jc w:val="left"/>
            </w:pPr>
            <w:r>
              <w:rPr>
                <w:rFonts w:ascii="Arial" w:hAnsi="Arial"/>
                <w:b w:val="0"/>
                <w:sz w:val="14"/>
              </w:rPr>
              <w:t>Does not prove deployment practice, audit success, or legal compliance</w:t>
            </w:r>
          </w:p>
        </w:tc>
      </w:tr>
      <w:tr>
        <w:trPr>
          <w:cantSplit/>
        </w:trPr>
        <w:tc>
          <w:tcPr>
            <w:tcW w:type="dxa" w:w="2556"/>
            <w:vAlign w:val="top"/>
          </w:tcPr>
          <w:p>
            <w:pPr>
              <w:spacing w:after="0"/>
              <w:jc w:val="left"/>
            </w:pPr>
            <w:r>
              <w:rPr>
                <w:rFonts w:ascii="Arial" w:hAnsi="Arial"/>
                <w:b w:val="0"/>
                <w:sz w:val="14"/>
              </w:rPr>
              <w:t>L3</w:t>
            </w:r>
          </w:p>
        </w:tc>
        <w:tc>
          <w:tcPr>
            <w:tcW w:type="dxa" w:w="2556"/>
            <w:vAlign w:val="top"/>
          </w:tcPr>
          <w:p>
            <w:pPr>
              <w:spacing w:after="0"/>
              <w:jc w:val="left"/>
            </w:pPr>
            <w:r>
              <w:rPr>
                <w:rFonts w:ascii="Arial" w:hAnsi="Arial"/>
                <w:b w:val="0"/>
                <w:sz w:val="14"/>
              </w:rPr>
              <w:t>Independent audit report, credible research paper, independent report</w:t>
            </w:r>
          </w:p>
        </w:tc>
        <w:tc>
          <w:tcPr>
            <w:tcW w:type="dxa" w:w="2556"/>
            <w:vAlign w:val="top"/>
          </w:tcPr>
          <w:p>
            <w:pPr>
              <w:spacing w:after="0"/>
              <w:jc w:val="left"/>
            </w:pPr>
            <w:r>
              <w:rPr>
                <w:rFonts w:ascii="Arial" w:hAnsi="Arial"/>
                <w:b w:val="0"/>
                <w:sz w:val="14"/>
              </w:rPr>
              <w:t>Supports independently reviewed implementation or methodology claims</w:t>
            </w:r>
          </w:p>
        </w:tc>
        <w:tc>
          <w:tcPr>
            <w:tcW w:type="dxa" w:w="2556"/>
            <w:vAlign w:val="top"/>
          </w:tcPr>
          <w:p>
            <w:pPr>
              <w:spacing w:after="0"/>
              <w:jc w:val="left"/>
            </w:pPr>
            <w:r>
              <w:rPr>
                <w:rFonts w:ascii="Arial" w:hAnsi="Arial"/>
                <w:b w:val="0"/>
                <w:sz w:val="14"/>
              </w:rPr>
              <w:t>May lag product updates or have limited scope</w:t>
            </w:r>
          </w:p>
        </w:tc>
      </w:tr>
      <w:tr>
        <w:trPr>
          <w:cantSplit/>
        </w:trPr>
        <w:tc>
          <w:tcPr>
            <w:tcW w:type="dxa" w:w="2556"/>
            <w:vAlign w:val="top"/>
          </w:tcPr>
          <w:p>
            <w:pPr>
              <w:spacing w:after="0"/>
              <w:jc w:val="left"/>
            </w:pPr>
            <w:r>
              <w:rPr>
                <w:rFonts w:ascii="Arial" w:hAnsi="Arial"/>
                <w:b w:val="0"/>
                <w:sz w:val="14"/>
              </w:rPr>
              <w:t>L4</w:t>
            </w:r>
          </w:p>
        </w:tc>
        <w:tc>
          <w:tcPr>
            <w:tcW w:type="dxa" w:w="2556"/>
            <w:vAlign w:val="top"/>
          </w:tcPr>
          <w:p>
            <w:pPr>
              <w:spacing w:after="0"/>
              <w:jc w:val="left"/>
            </w:pPr>
            <w:r>
              <w:rPr>
                <w:rFonts w:ascii="Arial" w:hAnsi="Arial"/>
                <w:b w:val="0"/>
                <w:sz w:val="14"/>
              </w:rPr>
              <w:t>Vendor claim, marketing page, blog, announcement</w:t>
            </w:r>
          </w:p>
        </w:tc>
        <w:tc>
          <w:tcPr>
            <w:tcW w:type="dxa" w:w="2556"/>
            <w:vAlign w:val="top"/>
          </w:tcPr>
          <w:p>
            <w:pPr>
              <w:spacing w:after="0"/>
              <w:jc w:val="left"/>
            </w:pPr>
            <w:r>
              <w:rPr>
                <w:rFonts w:ascii="Arial" w:hAnsi="Arial"/>
                <w:b w:val="0"/>
                <w:sz w:val="14"/>
              </w:rPr>
              <w:t>Supports positioning claims only</w:t>
            </w:r>
          </w:p>
        </w:tc>
        <w:tc>
          <w:tcPr>
            <w:tcW w:type="dxa" w:w="2556"/>
            <w:vAlign w:val="top"/>
          </w:tcPr>
          <w:p>
            <w:pPr>
              <w:spacing w:after="0"/>
              <w:jc w:val="left"/>
            </w:pPr>
            <w:r>
              <w:rPr>
                <w:rFonts w:ascii="Arial" w:hAnsi="Arial"/>
                <w:b w:val="0"/>
                <w:sz w:val="14"/>
              </w:rPr>
              <w:t>May overstate implementation detail</w:t>
            </w:r>
          </w:p>
        </w:tc>
      </w:tr>
      <w:tr>
        <w:trPr>
          <w:cantSplit/>
        </w:trPr>
        <w:tc>
          <w:tcPr>
            <w:tcW w:type="dxa" w:w="2556"/>
            <w:vAlign w:val="top"/>
          </w:tcPr>
          <w:p>
            <w:pPr>
              <w:spacing w:after="0"/>
              <w:jc w:val="left"/>
            </w:pPr>
            <w:r>
              <w:rPr>
                <w:rFonts w:ascii="Arial" w:hAnsi="Arial"/>
                <w:b w:val="0"/>
                <w:sz w:val="14"/>
              </w:rPr>
              <w:t>L5</w:t>
            </w:r>
          </w:p>
        </w:tc>
        <w:tc>
          <w:tcPr>
            <w:tcW w:type="dxa" w:w="2556"/>
            <w:vAlign w:val="top"/>
          </w:tcPr>
          <w:p>
            <w:pPr>
              <w:spacing w:after="0"/>
              <w:jc w:val="left"/>
            </w:pPr>
            <w:r>
              <w:rPr>
                <w:rFonts w:ascii="Arial" w:hAnsi="Arial"/>
                <w:b w:val="0"/>
                <w:sz w:val="14"/>
              </w:rPr>
              <w:t>Author inference, conceptual analysis, mapping judgment</w:t>
            </w:r>
          </w:p>
        </w:tc>
        <w:tc>
          <w:tcPr>
            <w:tcW w:type="dxa" w:w="2556"/>
            <w:vAlign w:val="top"/>
          </w:tcPr>
          <w:p>
            <w:pPr>
              <w:spacing w:after="0"/>
              <w:jc w:val="left"/>
            </w:pPr>
            <w:r>
              <w:rPr>
                <w:rFonts w:ascii="Arial" w:hAnsi="Arial"/>
                <w:b w:val="0"/>
                <w:sz w:val="14"/>
              </w:rPr>
              <w:t>Supports disclosed analytical interpretation</w:t>
            </w:r>
          </w:p>
        </w:tc>
        <w:tc>
          <w:tcPr>
            <w:tcW w:type="dxa" w:w="2556"/>
            <w:vAlign w:val="top"/>
          </w:tcPr>
          <w:p>
            <w:pPr>
              <w:spacing w:after="0"/>
              <w:jc w:val="left"/>
            </w:pPr>
            <w:r>
              <w:rPr>
                <w:rFonts w:ascii="Arial" w:hAnsi="Arial"/>
                <w:b w:val="0"/>
                <w:sz w:val="14"/>
              </w:rPr>
              <w:t>Must not be presented as verified product fact</w:t>
            </w:r>
          </w:p>
        </w:tc>
      </w:tr>
    </w:tbl>
    <w:p>
      <w:pPr>
        <w:sectPr>
          <w:pgSz w:w="15840" w:h="12240"/>
          <w:pgMar w:top="792" w:right="648" w:bottom="792" w:left="648" w:header="720" w:footer="720" w:gutter="0"/>
          <w:cols w:space="720"/>
          <w:docGrid w:linePitch="360"/>
        </w:sectPr>
      </w:pPr>
    </w:p>
    <w:p/>
    <w:p/>
    <w:p>
      <w:pPr>
        <w:pStyle w:val="Heading2"/>
      </w:pPr>
      <w:r>
        <w:t>12.2 How to Read System Mapping Tables</w:t>
      </w:r>
    </w:p>
    <w:p/>
    <w:p>
      <w:r>
        <w:t>Each system section in this chapter uses the same structure:</w:t>
      </w:r>
    </w:p>
    <w:p/>
    <w:p>
      <w:pPr>
        <w:pStyle w:val="Heading3"/>
      </w:pPr>
      <w:r>
        <w:t>System Positioning</w:t>
      </w:r>
    </w:p>
    <w:p/>
    <w:p>
      <w:r>
        <w:t>Briefly states:</w:t>
      </w:r>
    </w:p>
    <w:p>
      <w:pPr>
        <w:pStyle w:val="ListBullet"/>
      </w:pPr>
      <w:r>
        <w:t>What the system primarily is</w:t>
      </w:r>
    </w:p>
    <w:p>
      <w:pPr>
        <w:pStyle w:val="ListBullet"/>
      </w:pPr>
      <w:r>
        <w:t>What it is strong at</w:t>
      </w:r>
    </w:p>
    <w:p>
      <w:pPr>
        <w:pStyle w:val="ListBullet"/>
      </w:pPr>
      <w:r>
        <w:t>Why it is relevant to RCCS / ALCS</w:t>
      </w:r>
    </w:p>
    <w:p>
      <w:pPr>
        <w:pStyle w:val="ListBullet"/>
      </w:pPr>
      <w:r>
        <w:t>What this paper does and does not infer</w:t>
      </w:r>
    </w:p>
    <w:p/>
    <w:p>
      <w:pPr>
        <w:pStyle w:val="Heading3"/>
      </w:pPr>
      <w:r>
        <w:t>Evidence Basis</w:t>
      </w:r>
    </w:p>
    <w:p/>
    <w:p>
      <w:r>
        <w:t>Uses citation placeholders and evidence levels. Includes a mini-table: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Area</w:t>
            </w:r>
          </w:p>
        </w:tc>
        <w:tc>
          <w:tcPr>
            <w:tcW w:type="dxa" w:w="2556"/>
            <w:vAlign w:val="top"/>
            <w:shd w:fill="D9EAF7"/>
          </w:tcPr>
          <w:p>
            <w:pPr>
              <w:spacing w:after="0"/>
              <w:jc w:val="left"/>
            </w:pPr>
            <w:r>
              <w:rPr>
                <w:rFonts w:ascii="Arial" w:hAnsi="Arial"/>
                <w:b/>
                <w:sz w:val="14"/>
              </w:rPr>
              <w:t>Source Type</w:t>
            </w:r>
          </w:p>
        </w:tc>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Revalidation Needed</w:t>
            </w:r>
          </w:p>
        </w:tc>
      </w:tr>
      <w:tr>
        <w:trPr>
          <w:cantSplit/>
        </w:trPr>
        <w:tc>
          <w:tcPr>
            <w:tcW w:type="dxa" w:w="2556"/>
            <w:vAlign w:val="top"/>
          </w:tcPr>
          <w:p>
            <w:pPr>
              <w:spacing w:after="0"/>
              <w:jc w:val="left"/>
            </w:pPr>
            <w:r>
              <w:rPr>
                <w:rFonts w:ascii="Arial" w:hAnsi="Arial"/>
                <w:b w:val="0"/>
                <w:sz w:val="14"/>
              </w:rPr>
              <w:t>[Area]</w:t>
            </w:r>
          </w:p>
        </w:tc>
        <w:tc>
          <w:tcPr>
            <w:tcW w:type="dxa" w:w="2556"/>
            <w:vAlign w:val="top"/>
          </w:tcPr>
          <w:p>
            <w:pPr>
              <w:spacing w:after="0"/>
              <w:jc w:val="left"/>
            </w:pPr>
            <w:r>
              <w:rPr>
                <w:rFonts w:ascii="Arial" w:hAnsi="Arial"/>
                <w:b w:val="0"/>
                <w:sz w:val="14"/>
              </w:rPr>
              <w:t>[Type]</w:t>
            </w:r>
          </w:p>
        </w:tc>
        <w:tc>
          <w:tcPr>
            <w:tcW w:type="dxa" w:w="2556"/>
            <w:vAlign w:val="top"/>
          </w:tcPr>
          <w:p>
            <w:pPr>
              <w:spacing w:after="0"/>
              <w:jc w:val="left"/>
            </w:pPr>
            <w:r>
              <w:rPr>
                <w:rFonts w:ascii="Arial" w:hAnsi="Arial"/>
                <w:b w:val="0"/>
                <w:sz w:val="14"/>
              </w:rPr>
              <w:t>[L1-L5]</w:t>
            </w:r>
          </w:p>
        </w:tc>
        <w:tc>
          <w:tcPr>
            <w:tcW w:type="dxa" w:w="2556"/>
            <w:vAlign w:val="top"/>
          </w:tcPr>
          <w:p>
            <w:pPr>
              <w:spacing w:after="0"/>
              <w:jc w:val="left"/>
            </w:pPr>
            <w:r>
              <w:rPr>
                <w:rFonts w:ascii="Arial" w:hAnsi="Arial"/>
                <w:b w:val="0"/>
                <w:sz w:val="14"/>
              </w:rPr>
              <w:t>[Yes/No]</w:t>
            </w:r>
          </w:p>
        </w:tc>
      </w:tr>
    </w:tbl>
    <w:p>
      <w:pPr>
        <w:sectPr>
          <w:pgSz w:w="15840" w:h="12240"/>
          <w:pgMar w:top="792" w:right="648" w:bottom="792" w:left="648" w:header="720" w:footer="720" w:gutter="0"/>
          <w:cols w:space="720"/>
          <w:docGrid w:linePitch="360"/>
        </w:sectPr>
      </w:pPr>
    </w:p>
    <w:p/>
    <w:p>
      <w:pPr>
        <w:pStyle w:val="Heading3"/>
      </w:pPr>
      <w:r>
        <w:t>RCCS Mapping Summary</w:t>
      </w:r>
    </w:p>
    <w:p/>
    <w:p>
      <w:r>
        <w:t>Compact table: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RCCS Dimension</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[Dimension]</w:t>
            </w:r>
          </w:p>
        </w:tc>
        <w:tc>
          <w:tcPr>
            <w:tcW w:type="dxa" w:w="2556"/>
            <w:vAlign w:val="top"/>
          </w:tcPr>
          <w:p>
            <w:pPr>
              <w:spacing w:after="0"/>
              <w:jc w:val="left"/>
            </w:pPr>
            <w:r>
              <w:rPr>
                <w:rFonts w:ascii="Arial" w:hAnsi="Arial"/>
                <w:b w:val="0"/>
                <w:sz w:val="14"/>
              </w:rPr>
              <w:t>[Strong/Moderate/Partial/Weak/Not Evaluated]</w:t>
            </w:r>
          </w:p>
        </w:tc>
        <w:tc>
          <w:tcPr>
            <w:tcW w:type="dxa" w:w="2556"/>
            <w:vAlign w:val="top"/>
          </w:tcPr>
          <w:p>
            <w:pPr>
              <w:spacing w:after="0"/>
              <w:jc w:val="left"/>
            </w:pPr>
            <w:r>
              <w:rPr>
                <w:rFonts w:ascii="Arial" w:hAnsi="Arial"/>
                <w:b w:val="0"/>
                <w:sz w:val="14"/>
              </w:rPr>
              <w:t>[L1-L5]</w:t>
            </w:r>
          </w:p>
        </w:tc>
        <w:tc>
          <w:tcPr>
            <w:tcW w:type="dxa" w:w="2556"/>
            <w:vAlign w:val="top"/>
          </w:tcPr>
          <w:p>
            <w:pPr>
              <w:spacing w:after="0"/>
              <w:jc w:val="left"/>
            </w:pPr>
            <w:r>
              <w:rPr>
                <w:rFonts w:ascii="Arial" w:hAnsi="Arial"/>
                <w:b w:val="0"/>
                <w:sz w:val="14"/>
              </w:rPr>
              <w:t>[Notes]</w:t>
            </w:r>
          </w:p>
        </w:tc>
      </w:tr>
    </w:tbl>
    <w:p>
      <w:pPr>
        <w:sectPr>
          <w:pgSz w:w="15840" w:h="12240"/>
          <w:pgMar w:top="792" w:right="648" w:bottom="792" w:left="648" w:header="720" w:footer="720" w:gutter="0"/>
          <w:cols w:space="720"/>
          <w:docGrid w:linePitch="360"/>
        </w:sectPr>
      </w:pPr>
    </w:p>
    <w:p/>
    <w:p>
      <w:pPr>
        <w:pStyle w:val="Heading3"/>
      </w:pPr>
      <w:r>
        <w:t>ALCS Mapping Summary</w:t>
      </w:r>
    </w:p>
    <w:p/>
    <w:p>
      <w:r>
        <w:t>Compact table grouping ALCS dimensions into five areas: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ALCS Area</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Role / Authority / Acceptance (ALCS-01 to ALCS-04)</w:t>
            </w:r>
          </w:p>
        </w:tc>
        <w:tc>
          <w:tcPr>
            <w:tcW w:type="dxa" w:w="2556"/>
            <w:vAlign w:val="top"/>
          </w:tcPr>
          <w:p>
            <w:pPr>
              <w:spacing w:after="0"/>
              <w:jc w:val="left"/>
            </w:pPr>
            <w:r>
              <w:rPr>
                <w:rFonts w:ascii="Arial" w:hAnsi="Arial"/>
                <w:b w:val="0"/>
                <w:sz w:val="14"/>
              </w:rPr>
              <w:t>[Strength]</w:t>
            </w:r>
          </w:p>
        </w:tc>
        <w:tc>
          <w:tcPr>
            <w:tcW w:type="dxa" w:w="2556"/>
            <w:vAlign w:val="top"/>
          </w:tcPr>
          <w:p>
            <w:pPr>
              <w:spacing w:after="0"/>
              <w:jc w:val="left"/>
            </w:pPr>
            <w:r>
              <w:rPr>
                <w:rFonts w:ascii="Arial" w:hAnsi="Arial"/>
                <w:b w:val="0"/>
                <w:sz w:val="14"/>
              </w:rPr>
              <w:t>[L1-L5]</w:t>
            </w:r>
          </w:p>
        </w:tc>
        <w:tc>
          <w:tcPr>
            <w:tcW w:type="dxa" w:w="2556"/>
            <w:vAlign w:val="top"/>
          </w:tcPr>
          <w:p>
            <w:pPr>
              <w:spacing w:after="0"/>
              <w:jc w:val="left"/>
            </w:pPr>
            <w:r>
              <w:rPr>
                <w:rFonts w:ascii="Arial" w:hAnsi="Arial"/>
                <w:b w:val="0"/>
                <w:sz w:val="14"/>
              </w:rPr>
              <w:t>[Notes]</w:t>
            </w:r>
          </w:p>
        </w:tc>
      </w:tr>
      <w:tr>
        <w:trPr>
          <w:cantSplit/>
        </w:trPr>
        <w:tc>
          <w:tcPr>
            <w:tcW w:type="dxa" w:w="2556"/>
            <w:vAlign w:val="top"/>
          </w:tcPr>
          <w:p>
            <w:pPr>
              <w:spacing w:after="0"/>
              <w:jc w:val="left"/>
            </w:pPr>
            <w:r>
              <w:rPr>
                <w:rFonts w:ascii="Arial" w:hAnsi="Arial"/>
                <w:b w:val="0"/>
                <w:sz w:val="14"/>
              </w:rPr>
              <w:t>Tool Action / Transfer / Drift / Evidence (ALCS-05 to ALCS-08)</w:t>
            </w:r>
          </w:p>
        </w:tc>
        <w:tc>
          <w:tcPr>
            <w:tcW w:type="dxa" w:w="2556"/>
            <w:vAlign w:val="top"/>
          </w:tcPr>
          <w:p>
            <w:pPr>
              <w:spacing w:after="0"/>
              <w:jc w:val="left"/>
            </w:pPr>
            <w:r>
              <w:rPr>
                <w:rFonts w:ascii="Arial" w:hAnsi="Arial"/>
                <w:b w:val="0"/>
                <w:sz w:val="14"/>
              </w:rPr>
              <w:t>[Strength]</w:t>
            </w:r>
          </w:p>
        </w:tc>
        <w:tc>
          <w:tcPr>
            <w:tcW w:type="dxa" w:w="2556"/>
            <w:vAlign w:val="top"/>
          </w:tcPr>
          <w:p>
            <w:pPr>
              <w:spacing w:after="0"/>
              <w:jc w:val="left"/>
            </w:pPr>
            <w:r>
              <w:rPr>
                <w:rFonts w:ascii="Arial" w:hAnsi="Arial"/>
                <w:b w:val="0"/>
                <w:sz w:val="14"/>
              </w:rPr>
              <w:t>[L1-L5]</w:t>
            </w:r>
          </w:p>
        </w:tc>
        <w:tc>
          <w:tcPr>
            <w:tcW w:type="dxa" w:w="2556"/>
            <w:vAlign w:val="top"/>
          </w:tcPr>
          <w:p>
            <w:pPr>
              <w:spacing w:after="0"/>
              <w:jc w:val="left"/>
            </w:pPr>
            <w:r>
              <w:rPr>
                <w:rFonts w:ascii="Arial" w:hAnsi="Arial"/>
                <w:b w:val="0"/>
                <w:sz w:val="14"/>
              </w:rPr>
              <w:t>[Notes]</w:t>
            </w:r>
          </w:p>
        </w:tc>
      </w:tr>
      <w:tr>
        <w:trPr>
          <w:cantSplit/>
        </w:trPr>
        <w:tc>
          <w:tcPr>
            <w:tcW w:type="dxa" w:w="2556"/>
            <w:vAlign w:val="top"/>
          </w:tcPr>
          <w:p>
            <w:pPr>
              <w:spacing w:after="0"/>
              <w:jc w:val="left"/>
            </w:pPr>
            <w:r>
              <w:rPr>
                <w:rFonts w:ascii="Arial" w:hAnsi="Arial"/>
                <w:b w:val="0"/>
                <w:sz w:val="14"/>
              </w:rPr>
              <w:t>Reuse / Privacy / Validation (ALCS-09 to ALCS-11)</w:t>
            </w:r>
          </w:p>
        </w:tc>
        <w:tc>
          <w:tcPr>
            <w:tcW w:type="dxa" w:w="2556"/>
            <w:vAlign w:val="top"/>
          </w:tcPr>
          <w:p>
            <w:pPr>
              <w:spacing w:after="0"/>
              <w:jc w:val="left"/>
            </w:pPr>
            <w:r>
              <w:rPr>
                <w:rFonts w:ascii="Arial" w:hAnsi="Arial"/>
                <w:b w:val="0"/>
                <w:sz w:val="14"/>
              </w:rPr>
              <w:t>[Strength]</w:t>
            </w:r>
          </w:p>
        </w:tc>
        <w:tc>
          <w:tcPr>
            <w:tcW w:type="dxa" w:w="2556"/>
            <w:vAlign w:val="top"/>
          </w:tcPr>
          <w:p>
            <w:pPr>
              <w:spacing w:after="0"/>
              <w:jc w:val="left"/>
            </w:pPr>
            <w:r>
              <w:rPr>
                <w:rFonts w:ascii="Arial" w:hAnsi="Arial"/>
                <w:b w:val="0"/>
                <w:sz w:val="14"/>
              </w:rPr>
              <w:t>[L1-L5]</w:t>
            </w:r>
          </w:p>
        </w:tc>
        <w:tc>
          <w:tcPr>
            <w:tcW w:type="dxa" w:w="2556"/>
            <w:vAlign w:val="top"/>
          </w:tcPr>
          <w:p>
            <w:pPr>
              <w:spacing w:after="0"/>
              <w:jc w:val="left"/>
            </w:pPr>
            <w:r>
              <w:rPr>
                <w:rFonts w:ascii="Arial" w:hAnsi="Arial"/>
                <w:b w:val="0"/>
                <w:sz w:val="14"/>
              </w:rPr>
              <w:t>[Notes]</w:t>
            </w:r>
          </w:p>
        </w:tc>
      </w:tr>
      <w:tr>
        <w:trPr>
          <w:cantSplit/>
        </w:trPr>
        <w:tc>
          <w:tcPr>
            <w:tcW w:type="dxa" w:w="2556"/>
            <w:vAlign w:val="top"/>
          </w:tcPr>
          <w:p>
            <w:pPr>
              <w:spacing w:after="0"/>
              <w:jc w:val="left"/>
            </w:pPr>
            <w:r>
              <w:rPr>
                <w:rFonts w:ascii="Arial" w:hAnsi="Arial"/>
                <w:b w:val="0"/>
                <w:sz w:val="14"/>
              </w:rPr>
              <w:t>Evidence Minimization / Data Subject Rights / Processor Chain (ALCS-12 to ALCS-14)</w:t>
            </w:r>
          </w:p>
        </w:tc>
        <w:tc>
          <w:tcPr>
            <w:tcW w:type="dxa" w:w="2556"/>
            <w:vAlign w:val="top"/>
          </w:tcPr>
          <w:p>
            <w:pPr>
              <w:spacing w:after="0"/>
              <w:jc w:val="left"/>
            </w:pPr>
            <w:r>
              <w:rPr>
                <w:rFonts w:ascii="Arial" w:hAnsi="Arial"/>
                <w:b w:val="0"/>
                <w:sz w:val="14"/>
              </w:rPr>
              <w:t>[Strength]</w:t>
            </w:r>
          </w:p>
        </w:tc>
        <w:tc>
          <w:tcPr>
            <w:tcW w:type="dxa" w:w="2556"/>
            <w:vAlign w:val="top"/>
          </w:tcPr>
          <w:p>
            <w:pPr>
              <w:spacing w:after="0"/>
              <w:jc w:val="left"/>
            </w:pPr>
            <w:r>
              <w:rPr>
                <w:rFonts w:ascii="Arial" w:hAnsi="Arial"/>
                <w:b w:val="0"/>
                <w:sz w:val="14"/>
              </w:rPr>
              <w:t>[L1-L5]</w:t>
            </w:r>
          </w:p>
        </w:tc>
        <w:tc>
          <w:tcPr>
            <w:tcW w:type="dxa" w:w="2556"/>
            <w:vAlign w:val="top"/>
          </w:tcPr>
          <w:p>
            <w:pPr>
              <w:spacing w:after="0"/>
              <w:jc w:val="left"/>
            </w:pPr>
            <w:r>
              <w:rPr>
                <w:rFonts w:ascii="Arial" w:hAnsi="Arial"/>
                <w:b w:val="0"/>
                <w:sz w:val="14"/>
              </w:rPr>
              <w:t>[Notes]</w:t>
            </w:r>
          </w:p>
        </w:tc>
      </w:tr>
      <w:tr>
        <w:trPr>
          <w:cantSplit/>
        </w:trPr>
        <w:tc>
          <w:tcPr>
            <w:tcW w:type="dxa" w:w="2556"/>
            <w:vAlign w:val="top"/>
          </w:tcPr>
          <w:p>
            <w:pPr>
              <w:spacing w:after="0"/>
              <w:jc w:val="left"/>
            </w:pPr>
            <w:r>
              <w:rPr>
                <w:rFonts w:ascii="Arial" w:hAnsi="Arial"/>
                <w:b w:val="0"/>
                <w:sz w:val="14"/>
              </w:rPr>
              <w:t>Substitution Conformance (ALCS-15)</w:t>
            </w:r>
          </w:p>
        </w:tc>
        <w:tc>
          <w:tcPr>
            <w:tcW w:type="dxa" w:w="2556"/>
            <w:vAlign w:val="top"/>
          </w:tcPr>
          <w:p>
            <w:pPr>
              <w:spacing w:after="0"/>
              <w:jc w:val="left"/>
            </w:pPr>
            <w:r>
              <w:rPr>
                <w:rFonts w:ascii="Arial" w:hAnsi="Arial"/>
                <w:b w:val="0"/>
                <w:sz w:val="14"/>
              </w:rPr>
              <w:t>[Strength]</w:t>
            </w:r>
          </w:p>
        </w:tc>
        <w:tc>
          <w:tcPr>
            <w:tcW w:type="dxa" w:w="2556"/>
            <w:vAlign w:val="top"/>
          </w:tcPr>
          <w:p>
            <w:pPr>
              <w:spacing w:after="0"/>
              <w:jc w:val="left"/>
            </w:pPr>
            <w:r>
              <w:rPr>
                <w:rFonts w:ascii="Arial" w:hAnsi="Arial"/>
                <w:b w:val="0"/>
                <w:sz w:val="14"/>
              </w:rPr>
              <w:t>[L1-L5]</w:t>
            </w:r>
          </w:p>
        </w:tc>
        <w:tc>
          <w:tcPr>
            <w:tcW w:type="dxa" w:w="2556"/>
            <w:vAlign w:val="top"/>
          </w:tcPr>
          <w:p>
            <w:pPr>
              <w:spacing w:after="0"/>
              <w:jc w:val="left"/>
            </w:pPr>
            <w:r>
              <w:rPr>
                <w:rFonts w:ascii="Arial" w:hAnsi="Arial"/>
                <w:b w:val="0"/>
                <w:sz w:val="14"/>
              </w:rPr>
              <w:t>[Notes]</w:t>
            </w:r>
          </w:p>
        </w:tc>
      </w:tr>
    </w:tbl>
    <w:p>
      <w:pPr>
        <w:sectPr>
          <w:pgSz w:w="15840" w:h="12240"/>
          <w:pgMar w:top="792" w:right="648" w:bottom="792" w:left="648" w:header="720" w:footer="720" w:gutter="0"/>
          <w:cols w:space="720"/>
          <w:docGrid w:linePitch="360"/>
        </w:sectPr>
      </w:pPr>
    </w:p>
    <w:p/>
    <w:p>
      <w:pPr>
        <w:pStyle w:val="Heading3"/>
      </w:pPr>
      <w:r>
        <w:t>Main Lifecycle Gaps</w:t>
      </w:r>
    </w:p>
    <w:p/>
    <w:p>
      <w:r>
        <w:t>Lists 3-5 specific gaps or revalidation needs.</w:t>
      </w:r>
    </w:p>
    <w:p/>
    <w:p>
      <w:pPr>
        <w:pStyle w:val="Heading3"/>
      </w:pPr>
      <w:r>
        <w:t>Boundary Note</w:t>
      </w:r>
    </w:p>
    <w:p/>
    <w:p>
      <w:r>
        <w:t>Each system section closes with:</w:t>
      </w:r>
    </w:p>
    <w:p/>
    <w:p>
      <w:r>
        <w:t>This section maps public evidence to RCCS/ALCS dimensions. It is not a legal compliance judgment, procurement recommendation, certification, or endorsement.</w:t>
      </w:r>
    </w:p>
    <w:p/>
    <w:p/>
    <w:p>
      <w:pPr>
        <w:pStyle w:val="Heading2"/>
      </w:pPr>
      <w:r>
        <w:t>12.3 MPLP — Lifecycle Protocol Path</w:t>
      </w:r>
    </w:p>
    <w:p/>
    <w:p>
      <w:pPr>
        <w:pStyle w:val="Heading3"/>
      </w:pPr>
      <w:r>
        <w:t>System Positioning</w:t>
      </w:r>
    </w:p>
    <w:p/>
    <w:p>
      <w:r>
        <w:t>MPLP (Multi-Agent Lifecycle Protocol) is a lifecycle protocol path designed to expose lifecycle responsibility objects as first-class protocol primitives. It is relevant to RCCS and ALCS because it provides protocol-level semantics for human-role-to-MAS mapping, delegated authority boundaries, accepted outcome compliance, responsibility transfer, evidence partitioning, privacy lifecycle mapping, and vendor substitution conformance.</w:t>
      </w:r>
    </w:p>
    <w:p/>
    <w:p>
      <w:r>
        <w:t>MPLP is strong at lifecycle protocol semantics. It defines governance primitives and lifecycle objects as protocol-level constructs rather than application-level features. This makes MPLP relevant for systems that require provable lifecycle responsibility compliance across agents, tools, vendors, and organizational boundaries.</w:t>
      </w:r>
    </w:p>
    <w:p/>
    <w:p>
      <w:r>
        <w:t>What this paper evaluates:</w:t>
      </w:r>
    </w:p>
    <w:p>
      <w:pPr>
        <w:pStyle w:val="ListBullet"/>
      </w:pPr>
      <w:r>
        <w:t>Whether MPLP protocol specification defines governance primitives and lifecycle objects</w:t>
      </w:r>
    </w:p>
    <w:p>
      <w:pPr>
        <w:pStyle w:val="ListBullet"/>
      </w:pPr>
      <w:r>
        <w:t>Whether MPLP semantics map to RCCS and ALCS dimensions</w:t>
      </w:r>
    </w:p>
    <w:p>
      <w:pPr>
        <w:pStyle w:val="ListBullet"/>
      </w:pPr>
      <w:r>
        <w:t>Whether MPLP provides protocol-level support for lifecycle responsibility compliance</w:t>
      </w:r>
    </w:p>
    <w:p/>
    <w:p>
      <w:r>
        <w:t>What this paper does not infer:</w:t>
      </w:r>
    </w:p>
    <w:p>
      <w:pPr>
        <w:pStyle w:val="ListBullet"/>
      </w:pPr>
      <w:r>
        <w:t>MPLP is not required for compliance. It is one example of a lifecycle protocol path.</w:t>
      </w:r>
    </w:p>
    <w:p>
      <w:pPr>
        <w:pStyle w:val="ListBullet"/>
      </w:pPr>
      <w:r>
        <w:t>MPLP is not a certification program. It does not certify systems or organizations.</w:t>
      </w:r>
    </w:p>
    <w:p>
      <w:pPr>
        <w:pStyle w:val="ListBullet"/>
      </w:pPr>
      <w:r>
        <w:t>MPLP is not a regulator or legal authority. It is a protocol specification.</w:t>
      </w:r>
    </w:p>
    <w:p>
      <w:pPr>
        <w:pStyle w:val="ListBullet"/>
      </w:pPr>
      <w:r>
        <w:t>MPLP implementation maturity, enterprise integration, and vendor adoption require separate evaluation.</w:t>
      </w:r>
    </w:p>
    <w:p>
      <w:pPr>
        <w:pStyle w:val="ListBullet"/>
      </w:pPr>
      <w:r>
        <w:t>Validation Lab is a non-certifying evidence adjudication example. Detailed treatment belongs to Chapter 14.</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Area</w:t>
            </w:r>
          </w:p>
        </w:tc>
        <w:tc>
          <w:tcPr>
            <w:tcW w:type="dxa" w:w="2556"/>
            <w:vAlign w:val="top"/>
            <w:shd w:fill="D9EAF7"/>
          </w:tcPr>
          <w:p>
            <w:pPr>
              <w:spacing w:after="0"/>
              <w:jc w:val="left"/>
            </w:pPr>
            <w:r>
              <w:rPr>
                <w:rFonts w:ascii="Arial" w:hAnsi="Arial"/>
                <w:b/>
                <w:sz w:val="14"/>
              </w:rPr>
              <w:t>Source Type</w:t>
            </w:r>
          </w:p>
        </w:tc>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Revalidation Needed</w:t>
            </w:r>
          </w:p>
        </w:tc>
      </w:tr>
      <w:tr>
        <w:trPr>
          <w:cantSplit/>
        </w:trPr>
        <w:tc>
          <w:tcPr>
            <w:tcW w:type="dxa" w:w="2556"/>
            <w:vAlign w:val="top"/>
          </w:tcPr>
          <w:p>
            <w:pPr>
              <w:spacing w:after="0"/>
              <w:jc w:val="left"/>
            </w:pPr>
            <w:r>
              <w:rPr>
                <w:rFonts w:ascii="Arial" w:hAnsi="Arial"/>
                <w:b w:val="0"/>
                <w:sz w:val="14"/>
              </w:rPr>
              <w:t>Protocol specification</w:t>
            </w:r>
          </w:p>
        </w:tc>
        <w:tc>
          <w:tcPr>
            <w:tcW w:type="dxa" w:w="2556"/>
            <w:vAlign w:val="top"/>
          </w:tcPr>
          <w:p>
            <w:pPr>
              <w:spacing w:after="0"/>
              <w:jc w:val="left"/>
            </w:pPr>
            <w:r>
              <w:rPr>
                <w:rFonts w:ascii="Arial" w:hAnsi="Arial"/>
                <w:b w:val="0"/>
                <w:sz w:val="14"/>
              </w:rPr>
              <w:t>Protocol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Claim-level reviewed; mapping remains L5 analytical interpretation where the protocol does not directly prove implementation</w:t>
            </w:r>
          </w:p>
        </w:tc>
      </w:tr>
      <w:tr>
        <w:trPr>
          <w:cantSplit/>
        </w:trPr>
        <w:tc>
          <w:tcPr>
            <w:tcW w:type="dxa" w:w="2556"/>
            <w:vAlign w:val="top"/>
          </w:tcPr>
          <w:p>
            <w:pPr>
              <w:spacing w:after="0"/>
              <w:jc w:val="left"/>
            </w:pPr>
            <w:r>
              <w:rPr>
                <w:rFonts w:ascii="Arial" w:hAnsi="Arial"/>
                <w:b w:val="0"/>
                <w:sz w:val="14"/>
              </w:rPr>
              <w:t>Lifecycle object semantics</w:t>
            </w:r>
          </w:p>
        </w:tc>
        <w:tc>
          <w:tcPr>
            <w:tcW w:type="dxa" w:w="2556"/>
            <w:vAlign w:val="top"/>
          </w:tcPr>
          <w:p>
            <w:pPr>
              <w:spacing w:after="0"/>
              <w:jc w:val="left"/>
            </w:pPr>
            <w:r>
              <w:rPr>
                <w:rFonts w:ascii="Arial" w:hAnsi="Arial"/>
                <w:b w:val="0"/>
                <w:sz w:val="14"/>
              </w:rPr>
              <w:t>Protocol docs</w:t>
            </w:r>
          </w:p>
        </w:tc>
        <w:tc>
          <w:tcPr>
            <w:tcW w:type="dxa" w:w="2556"/>
            <w:vAlign w:val="top"/>
          </w:tcPr>
          <w:p>
            <w:pPr>
              <w:spacing w:after="0"/>
              <w:jc w:val="left"/>
            </w:pPr>
            <w:r>
              <w:rPr>
                <w:rFonts w:ascii="Arial" w:hAnsi="Arial"/>
                <w:b w:val="0"/>
                <w:sz w:val="14"/>
              </w:rPr>
              <w:t>L2 + L5</w:t>
            </w:r>
          </w:p>
        </w:tc>
        <w:tc>
          <w:tcPr>
            <w:tcW w:type="dxa" w:w="2556"/>
            <w:vAlign w:val="top"/>
          </w:tcPr>
          <w:p>
            <w:pPr>
              <w:spacing w:after="0"/>
              <w:jc w:val="left"/>
            </w:pPr>
            <w:r>
              <w:rPr>
                <w:rFonts w:ascii="Arial" w:hAnsi="Arial"/>
                <w:b w:val="0"/>
                <w:sz w:val="14"/>
              </w:rPr>
              <w:t>Claim-level reviewed; semantic fit remains analytical interpretation</w:t>
            </w:r>
          </w:p>
        </w:tc>
      </w:tr>
      <w:tr>
        <w:trPr>
          <w:cantSplit/>
        </w:trPr>
        <w:tc>
          <w:tcPr>
            <w:tcW w:type="dxa" w:w="2556"/>
            <w:vAlign w:val="top"/>
          </w:tcPr>
          <w:p>
            <w:pPr>
              <w:spacing w:after="0"/>
              <w:jc w:val="left"/>
            </w:pPr>
            <w:r>
              <w:rPr>
                <w:rFonts w:ascii="Arial" w:hAnsi="Arial"/>
                <w:b w:val="0"/>
                <w:sz w:val="14"/>
              </w:rPr>
              <w:t>Governance primitives</w:t>
            </w:r>
          </w:p>
        </w:tc>
        <w:tc>
          <w:tcPr>
            <w:tcW w:type="dxa" w:w="2556"/>
            <w:vAlign w:val="top"/>
          </w:tcPr>
          <w:p>
            <w:pPr>
              <w:spacing w:after="0"/>
              <w:jc w:val="left"/>
            </w:pPr>
            <w:r>
              <w:rPr>
                <w:rFonts w:ascii="Arial" w:hAnsi="Arial"/>
                <w:b w:val="0"/>
                <w:sz w:val="14"/>
              </w:rPr>
              <w:t>Protocol docs</w:t>
            </w:r>
          </w:p>
        </w:tc>
        <w:tc>
          <w:tcPr>
            <w:tcW w:type="dxa" w:w="2556"/>
            <w:vAlign w:val="top"/>
          </w:tcPr>
          <w:p>
            <w:pPr>
              <w:spacing w:after="0"/>
              <w:jc w:val="left"/>
            </w:pPr>
            <w:r>
              <w:rPr>
                <w:rFonts w:ascii="Arial" w:hAnsi="Arial"/>
                <w:b w:val="0"/>
                <w:sz w:val="14"/>
              </w:rPr>
              <w:t>L2 + L5</w:t>
            </w:r>
          </w:p>
        </w:tc>
        <w:tc>
          <w:tcPr>
            <w:tcW w:type="dxa" w:w="2556"/>
            <w:vAlign w:val="top"/>
          </w:tcPr>
          <w:p>
            <w:pPr>
              <w:spacing w:after="0"/>
              <w:jc w:val="left"/>
            </w:pPr>
            <w:r>
              <w:rPr>
                <w:rFonts w:ascii="Arial" w:hAnsi="Arial"/>
                <w:b w:val="0"/>
                <w:sz w:val="14"/>
              </w:rPr>
              <w:t>Claim-level reviewed; implementation maturity remains unresolved</w:t>
            </w:r>
          </w:p>
        </w:tc>
      </w:tr>
      <w:tr>
        <w:trPr>
          <w:cantSplit/>
        </w:trPr>
        <w:tc>
          <w:tcPr>
            <w:tcW w:type="dxa" w:w="2556"/>
            <w:vAlign w:val="top"/>
          </w:tcPr>
          <w:p>
            <w:pPr>
              <w:spacing w:after="0"/>
              <w:jc w:val="left"/>
            </w:pPr>
            <w:r>
              <w:rPr>
                <w:rFonts w:ascii="Arial" w:hAnsi="Arial"/>
                <w:b w:val="0"/>
                <w:sz w:val="14"/>
              </w:rPr>
              <w:t>Implementation examples</w:t>
            </w:r>
          </w:p>
        </w:tc>
        <w:tc>
          <w:tcPr>
            <w:tcW w:type="dxa" w:w="2556"/>
            <w:vAlign w:val="top"/>
          </w:tcPr>
          <w:p>
            <w:pPr>
              <w:spacing w:after="0"/>
              <w:jc w:val="left"/>
            </w:pPr>
            <w:r>
              <w:rPr>
                <w:rFonts w:ascii="Arial" w:hAnsi="Arial"/>
                <w:b w:val="0"/>
                <w:sz w:val="14"/>
              </w:rPr>
              <w:t>Developer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Source-bound at entry-point level; deployment maturity remains unresolved</w:t>
            </w:r>
          </w:p>
        </w:tc>
      </w:tr>
      <w:tr>
        <w:trPr>
          <w:cantSplit/>
        </w:trPr>
        <w:tc>
          <w:tcPr>
            <w:tcW w:type="dxa" w:w="2556"/>
            <w:vAlign w:val="top"/>
          </w:tcPr>
          <w:p>
            <w:pPr>
              <w:spacing w:after="0"/>
              <w:jc w:val="left"/>
            </w:pPr>
            <w:r>
              <w:rPr>
                <w:rFonts w:ascii="Arial" w:hAnsi="Arial"/>
                <w:b w:val="0"/>
                <w:sz w:val="14"/>
              </w:rPr>
              <w:t>Validation Lab methodology</w:t>
            </w:r>
          </w:p>
        </w:tc>
        <w:tc>
          <w:tcPr>
            <w:tcW w:type="dxa" w:w="2556"/>
            <w:vAlign w:val="top"/>
          </w:tcPr>
          <w:p>
            <w:pPr>
              <w:spacing w:after="0"/>
              <w:jc w:val="left"/>
            </w:pPr>
            <w:r>
              <w:rPr>
                <w:rFonts w:ascii="Arial" w:hAnsi="Arial"/>
                <w:b w:val="0"/>
                <w:sz w:val="14"/>
              </w:rPr>
              <w:t>Methodology / lab docs</w:t>
            </w:r>
          </w:p>
        </w:tc>
        <w:tc>
          <w:tcPr>
            <w:tcW w:type="dxa" w:w="2556"/>
            <w:vAlign w:val="top"/>
          </w:tcPr>
          <w:p>
            <w:pPr>
              <w:spacing w:after="0"/>
              <w:jc w:val="left"/>
            </w:pPr>
            <w:r>
              <w:rPr>
                <w:rFonts w:ascii="Arial" w:hAnsi="Arial"/>
                <w:b w:val="0"/>
                <w:sz w:val="14"/>
              </w:rPr>
              <w:t>L2 + L5</w:t>
            </w:r>
          </w:p>
        </w:tc>
        <w:tc>
          <w:tcPr>
            <w:tcW w:type="dxa" w:w="2556"/>
            <w:vAlign w:val="top"/>
          </w:tcPr>
          <w:p>
            <w:pPr>
              <w:spacing w:after="0"/>
              <w:jc w:val="left"/>
            </w:pPr>
            <w:r>
              <w:rPr>
                <w:rFonts w:ascii="Arial" w:hAnsi="Arial"/>
                <w:b w:val="0"/>
                <w:sz w:val="14"/>
              </w:rPr>
              <w:t>Claim-level support remains boundary-limited; defer to Chapter 14</w:t>
            </w:r>
          </w:p>
        </w:tc>
      </w:tr>
    </w:tbl>
    <w:p>
      <w:pPr>
        <w:sectPr>
          <w:pgSz w:w="15840" w:h="12240"/>
          <w:pgMar w:top="792" w:right="648" w:bottom="792" w:left="648" w:header="720" w:footer="720" w:gutter="0"/>
          <w:cols w:space="720"/>
          <w:docGrid w:linePitch="360"/>
        </w:sectPr>
      </w:pPr>
    </w:p>
    <w:p/>
    <w:p>
      <w:r>
        <w:t>Citation placeholders:</w:t>
      </w:r>
    </w:p>
    <w:p>
      <w:pPr>
        <w:pStyle w:val="ListBullet"/>
      </w:pPr>
      <w:r>
        <w:t>[MPLP-DOCS]</w:t>
      </w:r>
    </w:p>
    <w:p>
      <w:pPr>
        <w:pStyle w:val="ListBullet"/>
      </w:pPr>
      <w:r>
        <w:t>[MPLP-SPEC]</w:t>
      </w:r>
    </w:p>
    <w:p/>
    <w:p>
      <w:pPr>
        <w:pStyle w:val="Heading3"/>
      </w:pPr>
      <w:r>
        <w:t>RCCS Mapping Summary</w:t>
      </w:r>
    </w:p>
    <w:p/>
    <w:p>
      <w:pPr>
        <w:keepNext/>
      </w:pPr>
      <w:r>
        <w:rPr>
          <w:b/>
          <w:sz w:val="17"/>
        </w:rPr>
        <w:t>Table T-12-02: MPLP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RCCS Dimension</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Risk Management</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may define risk boundaries; implementation maturity requires validation</w:t>
            </w:r>
          </w:p>
        </w:tc>
      </w:tr>
      <w:tr>
        <w:trPr>
          <w:cantSplit/>
        </w:trPr>
        <w:tc>
          <w:tcPr>
            <w:tcW w:type="dxa" w:w="2556"/>
            <w:vAlign w:val="top"/>
          </w:tcPr>
          <w:p>
            <w:pPr>
              <w:spacing w:after="0"/>
              <w:jc w:val="left"/>
            </w:pPr>
            <w:r>
              <w:rPr>
                <w:rFonts w:ascii="Arial" w:hAnsi="Arial"/>
                <w:b w:val="0"/>
                <w:sz w:val="14"/>
              </w:rPr>
              <w:t>Data Governance</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may define data lineage; implementation requires validation</w:t>
            </w:r>
          </w:p>
        </w:tc>
      </w:tr>
      <w:tr>
        <w:trPr>
          <w:cantSplit/>
        </w:trPr>
        <w:tc>
          <w:tcPr>
            <w:tcW w:type="dxa" w:w="2556"/>
            <w:vAlign w:val="top"/>
          </w:tcPr>
          <w:p>
            <w:pPr>
              <w:spacing w:after="0"/>
              <w:jc w:val="left"/>
            </w:pPr>
            <w:r>
              <w:rPr>
                <w:rFonts w:ascii="Arial" w:hAnsi="Arial"/>
                <w:b w:val="0"/>
                <w:sz w:val="14"/>
              </w:rPr>
              <w:t>Documentation</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specification provides documentation primitives</w:t>
            </w:r>
          </w:p>
        </w:tc>
      </w:tr>
      <w:tr>
        <w:trPr>
          <w:cantSplit/>
        </w:trPr>
        <w:tc>
          <w:tcPr>
            <w:tcW w:type="dxa" w:w="2556"/>
            <w:vAlign w:val="top"/>
          </w:tcPr>
          <w:p>
            <w:pPr>
              <w:spacing w:after="0"/>
              <w:jc w:val="left"/>
            </w:pPr>
            <w:r>
              <w:rPr>
                <w:rFonts w:ascii="Arial" w:hAnsi="Arial"/>
                <w:b w:val="0"/>
                <w:sz w:val="14"/>
              </w:rPr>
              <w:t>Record-Keeping</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Evidence chain is core protocol primitive</w:t>
            </w:r>
          </w:p>
        </w:tc>
      </w:tr>
      <w:tr>
        <w:trPr>
          <w:cantSplit/>
        </w:trPr>
        <w:tc>
          <w:tcPr>
            <w:tcW w:type="dxa" w:w="2556"/>
            <w:vAlign w:val="top"/>
          </w:tcPr>
          <w:p>
            <w:pPr>
              <w:spacing w:after="0"/>
              <w:jc w:val="left"/>
            </w:pPr>
            <w:r>
              <w:rPr>
                <w:rFonts w:ascii="Arial" w:hAnsi="Arial"/>
                <w:b w:val="0"/>
                <w:sz w:val="14"/>
              </w:rPr>
              <w:t>Transparency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may define transparency primitives; implementation requires validation</w:t>
            </w:r>
          </w:p>
        </w:tc>
      </w:tr>
      <w:tr>
        <w:trPr>
          <w:cantSplit/>
        </w:trPr>
        <w:tc>
          <w:tcPr>
            <w:tcW w:type="dxa" w:w="2556"/>
            <w:vAlign w:val="top"/>
          </w:tcPr>
          <w:p>
            <w:pPr>
              <w:spacing w:after="0"/>
              <w:jc w:val="left"/>
            </w:pPr>
            <w:r>
              <w:rPr>
                <w:rFonts w:ascii="Arial" w:hAnsi="Arial"/>
                <w:b w:val="0"/>
                <w:sz w:val="14"/>
              </w:rPr>
              <w:t>Human Oversight</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Delegated authority and accepted outcome are core protocol primitives</w:t>
            </w:r>
          </w:p>
        </w:tc>
      </w:tr>
      <w:tr>
        <w:trPr>
          <w:cantSplit/>
        </w:trPr>
        <w:tc>
          <w:tcPr>
            <w:tcW w:type="dxa" w:w="2556"/>
            <w:vAlign w:val="top"/>
          </w:tcPr>
          <w:p>
            <w:pPr>
              <w:spacing w:after="0"/>
              <w:jc w:val="left"/>
            </w:pPr>
            <w:r>
              <w:rPr>
                <w:rFonts w:ascii="Arial" w:hAnsi="Arial"/>
                <w:b w:val="0"/>
                <w:sz w:val="14"/>
              </w:rPr>
              <w:t>Security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may define security boundaries; implementation requires validation</w:t>
            </w:r>
          </w:p>
        </w:tc>
      </w:tr>
      <w:tr>
        <w:trPr>
          <w:cantSplit/>
        </w:trPr>
        <w:tc>
          <w:tcPr>
            <w:tcW w:type="dxa" w:w="2556"/>
            <w:vAlign w:val="top"/>
          </w:tcPr>
          <w:p>
            <w:pPr>
              <w:spacing w:after="0"/>
              <w:jc w:val="left"/>
            </w:pPr>
            <w:r>
              <w:rPr>
                <w:rFonts w:ascii="Arial" w:hAnsi="Arial"/>
                <w:b w:val="0"/>
                <w:sz w:val="14"/>
              </w:rPr>
              <w:t>Accountability</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Responsibility transfer and evidence partitioning are core protocol primitives</w:t>
            </w:r>
          </w:p>
        </w:tc>
      </w:tr>
      <w:tr>
        <w:trPr>
          <w:cantSplit/>
        </w:trPr>
        <w:tc>
          <w:tcPr>
            <w:tcW w:type="dxa" w:w="2556"/>
            <w:vAlign w:val="top"/>
          </w:tcPr>
          <w:p>
            <w:pPr>
              <w:spacing w:after="0"/>
              <w:jc w:val="left"/>
            </w:pPr>
            <w:r>
              <w:rPr>
                <w:rFonts w:ascii="Arial" w:hAnsi="Arial"/>
                <w:b w:val="0"/>
                <w:sz w:val="14"/>
              </w:rPr>
              <w:t>Contestability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may define dispute primitives; implementation requires validation</w:t>
            </w:r>
          </w:p>
        </w:tc>
      </w:tr>
      <w:tr>
        <w:trPr>
          <w:cantSplit/>
        </w:trPr>
        <w:tc>
          <w:tcPr>
            <w:tcW w:type="dxa" w:w="2556"/>
            <w:vAlign w:val="top"/>
          </w:tcPr>
          <w:p>
            <w:pPr>
              <w:spacing w:after="0"/>
              <w:jc w:val="left"/>
            </w:pPr>
            <w:r>
              <w:rPr>
                <w:rFonts w:ascii="Arial" w:hAnsi="Arial"/>
                <w:b w:val="0"/>
                <w:sz w:val="14"/>
              </w:rPr>
              <w:t>Monitoring</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may define monitoring primitives; implementation requires validation</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sz w:val="17"/>
        </w:rPr>
        <w:t>Table T-12-03: MPLP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ALCS Area</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Role / Authority / Acceptance (ALCS-01 to ALCS-04)</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designed for human-role-to-MAS mapping, delegated authority boundary, agent role distinction, accepted outcome compliance</w:t>
            </w:r>
          </w:p>
        </w:tc>
      </w:tr>
      <w:tr>
        <w:trPr>
          <w:cantSplit/>
        </w:trPr>
        <w:tc>
          <w:tcPr>
            <w:tcW w:type="dxa" w:w="2556"/>
            <w:vAlign w:val="top"/>
          </w:tcPr>
          <w:p>
            <w:pPr>
              <w:spacing w:after="0"/>
              <w:jc w:val="left"/>
            </w:pPr>
            <w:r>
              <w:rPr>
                <w:rFonts w:ascii="Arial" w:hAnsi="Arial"/>
                <w:b w:val="0"/>
                <w:sz w:val="14"/>
              </w:rPr>
              <w:t>Tool Action / Transfer / Drift / Evidence (ALCS-05 to ALCS-08)</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designed for tool-action liability, responsibility transfer, authority drift detection, MAS evidence partitioning</w:t>
            </w:r>
          </w:p>
        </w:tc>
      </w:tr>
      <w:tr>
        <w:trPr>
          <w:cantSplit/>
        </w:trPr>
        <w:tc>
          <w:tcPr>
            <w:tcW w:type="dxa" w:w="2556"/>
            <w:vAlign w:val="top"/>
          </w:tcPr>
          <w:p>
            <w:pPr>
              <w:spacing w:after="0"/>
              <w:jc w:val="left"/>
            </w:pPr>
            <w:r>
              <w:rPr>
                <w:rFonts w:ascii="Arial" w:hAnsi="Arial"/>
                <w:b w:val="0"/>
                <w:sz w:val="14"/>
              </w:rPr>
              <w:t>Reuse / Privacy / Validation (ALCS-09 to ALCS-11)</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may define cross-project reuse, privacy lifecycle mapping, privacy-preserving validation; implementation requires validation</w:t>
            </w:r>
          </w:p>
        </w:tc>
      </w:tr>
      <w:tr>
        <w:trPr>
          <w:cantSplit/>
        </w:trPr>
        <w:tc>
          <w:tcPr>
            <w:tcW w:type="dxa" w:w="2556"/>
            <w:vAlign w:val="top"/>
          </w:tcPr>
          <w:p>
            <w:pPr>
              <w:spacing w:after="0"/>
              <w:jc w:val="left"/>
            </w:pPr>
            <w:r>
              <w:rPr>
                <w:rFonts w:ascii="Arial" w:hAnsi="Arial"/>
                <w:b w:val="0"/>
                <w:sz w:val="14"/>
              </w:rPr>
              <w:t>Evidence Minimization / Data Subject Rights / Processor Chain (ALCS-12 to ALCS-14)</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may define evidence minimization, data subject rights reconciliation, processor chain tracking; implementation requires validation</w:t>
            </w:r>
          </w:p>
        </w:tc>
      </w:tr>
      <w:tr>
        <w:trPr>
          <w:cantSplit/>
        </w:trPr>
        <w:tc>
          <w:tcPr>
            <w:tcW w:type="dxa" w:w="2556"/>
            <w:vAlign w:val="top"/>
          </w:tcPr>
          <w:p>
            <w:pPr>
              <w:spacing w:after="0"/>
              <w:jc w:val="left"/>
            </w:pPr>
            <w:r>
              <w:rPr>
                <w:rFonts w:ascii="Arial" w:hAnsi="Arial"/>
                <w:b w:val="0"/>
                <w:sz w:val="14"/>
              </w:rPr>
              <w:t>Substitution Conformance (ALCS-15)</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Protocol designed for vendor/model/runtime substitution conformance</w:t>
            </w:r>
          </w:p>
        </w:tc>
      </w:tr>
    </w:tbl>
    <w:p>
      <w:pPr>
        <w:sectPr>
          <w:pgSz w:w="15840" w:h="12240"/>
          <w:pgMar w:top="792" w:right="648" w:bottom="792" w:left="648" w:header="720" w:footer="720" w:gutter="0"/>
          <w:cols w:space="720"/>
          <w:docGrid w:linePitch="360"/>
        </w:sectPr>
      </w:pPr>
    </w:p>
    <w:p/>
    <w:p>
      <w:pPr>
        <w:pStyle w:val="Heading3"/>
      </w:pPr>
      <w:r>
        <w:t>Main Lifecycle Gaps</w:t>
      </w:r>
    </w:p>
    <w:p/>
    <w:p>
      <w:r>
        <w:t>1. Implementation Maturity: MPLP protocol specification may be strong, but implementation maturity in production systems requires validation.</w:t>
      </w:r>
    </w:p>
    <w:p>
      <w:r>
        <w:t>2. Enterprise Integration: MPLP integration with existing enterprise AI governance platforms, cloud AI platforms, and agent orchestration frameworks requires validation.</w:t>
      </w:r>
    </w:p>
    <w:p>
      <w:r>
        <w:t>3. Vendor Adoption: MPLP adoption by vendors, platforms, and frameworks requires validation.</w:t>
      </w:r>
    </w:p>
    <w:p>
      <w:r>
        <w:t>4. Operational Deployment Evidence: MPLP deployment in production agentic systems requires validation.</w:t>
      </w:r>
    </w:p>
    <w:p>
      <w:r>
        <w:t>5. Regulator / Auditor Familiarity: MPLP familiarity among regulators, auditors, and compliance teams requires validation.</w:t>
      </w:r>
    </w:p>
    <w:p/>
    <w:p>
      <w:pPr>
        <w:pStyle w:val="Heading3"/>
      </w:pPr>
      <w:r>
        <w:t>Boundary Note</w:t>
      </w:r>
    </w:p>
    <w:p/>
    <w:p>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
    <w:p>
      <w:pPr>
        <w:pStyle w:val="Heading2"/>
      </w:pPr>
      <w:r>
        <w:t>12.4 IBM watsonx.governance — Enterprise AI Governance Platform</w:t>
      </w:r>
    </w:p>
    <w:p/>
    <w:p>
      <w:pPr>
        <w:pStyle w:val="Heading3"/>
      </w:pPr>
      <w:r>
        <w:t>System Positioning</w:t>
      </w:r>
    </w:p>
    <w:p/>
    <w:p>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
      <w:r>
        <w:t>What this paper evaluates:</w:t>
      </w:r>
    </w:p>
    <w:p>
      <w:pPr>
        <w:pStyle w:val="ListBullet"/>
      </w:pPr>
      <w:r>
        <w:t>Whether IBM watsonx.governance provides governance primitives for RCCS dimensions</w:t>
      </w:r>
    </w:p>
    <w:p>
      <w:pPr>
        <w:pStyle w:val="ListBullet"/>
      </w:pPr>
      <w:r>
        <w:t>Whether IBM watsonx.governance provides lifecycle responsibility objects for ALCS dimensions</w:t>
      </w:r>
    </w:p>
    <w:p>
      <w:pPr>
        <w:pStyle w:val="ListBullet"/>
      </w:pPr>
      <w:r>
        <w:t>Whether public documentation supports RCCS and ALCS mapping</w:t>
      </w:r>
    </w:p>
    <w:p/>
    <w:p>
      <w:r>
        <w:t>What this paper does not infer:</w:t>
      </w:r>
    </w:p>
    <w:p>
      <w:pPr>
        <w:pStyle w:val="ListBullet"/>
      </w:pPr>
      <w:r>
        <w:t>IBM watsonx.governance is not evaluated for product quality, market leadership, or procurement suitability.</w:t>
      </w:r>
    </w:p>
    <w:p>
      <w:pPr>
        <w:pStyle w:val="ListBullet"/>
      </w:pPr>
      <w:r>
        <w:t>ALCS posture requires validation: lifecycle objects for multi-agent responsibility transfer, accepted outcome, tool-action liability, and MAS evidence partitioning require evidence validation.</w:t>
      </w:r>
    </w:p>
    <w:p>
      <w:pPr>
        <w:pStyle w:val="ListBullet"/>
      </w:pPr>
      <w:r>
        <w:t>Model governance and AI governance are not identical to agentic lifecycle governance.</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Area</w:t>
            </w:r>
          </w:p>
        </w:tc>
        <w:tc>
          <w:tcPr>
            <w:tcW w:type="dxa" w:w="2556"/>
            <w:vAlign w:val="top"/>
            <w:shd w:fill="D9EAF7"/>
          </w:tcPr>
          <w:p>
            <w:pPr>
              <w:spacing w:after="0"/>
              <w:jc w:val="left"/>
            </w:pPr>
            <w:r>
              <w:rPr>
                <w:rFonts w:ascii="Arial" w:hAnsi="Arial"/>
                <w:b/>
                <w:sz w:val="14"/>
              </w:rPr>
              <w:t>Source Type</w:t>
            </w:r>
          </w:p>
        </w:tc>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Revalidation Needed</w:t>
            </w:r>
          </w:p>
        </w:tc>
      </w:tr>
      <w:tr>
        <w:trPr>
          <w:cantSplit/>
        </w:trPr>
        <w:tc>
          <w:tcPr>
            <w:tcW w:type="dxa" w:w="2556"/>
            <w:vAlign w:val="top"/>
          </w:tcPr>
          <w:p>
            <w:pPr>
              <w:spacing w:after="0"/>
              <w:jc w:val="left"/>
            </w:pPr>
            <w:r>
              <w:rPr>
                <w:rFonts w:ascii="Arial" w:hAnsi="Arial"/>
                <w:b w:val="0"/>
                <w:sz w:val="14"/>
              </w:rPr>
              <w:t>AI governance platform</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Policy enforcement</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Model risk management</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Compliance workflows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Agentic lifecycle objects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 (if available) or L5 (author inference)</w:t>
            </w:r>
          </w:p>
        </w:tc>
        <w:tc>
          <w:tcPr>
            <w:tcW w:type="dxa" w:w="2556"/>
            <w:vAlign w:val="top"/>
          </w:tcPr>
          <w:p>
            <w:pPr>
              <w:spacing w:after="0"/>
              <w:jc w:val="left"/>
            </w:pPr>
            <w:r>
              <w:rPr>
                <w:rFonts w:ascii="Arial" w:hAnsi="Arial"/>
                <w:b w:val="0"/>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[IBM-WATSONX-GOVERNANCE-DOCS]</w:t>
      </w:r>
    </w:p>
    <w:p/>
    <w:p>
      <w:pPr>
        <w:pStyle w:val="Heading3"/>
      </w:pPr>
      <w:r>
        <w:t>RCCS Mapping Summary</w:t>
      </w:r>
    </w:p>
    <w:p/>
    <w:p>
      <w:pPr>
        <w:keepNext/>
      </w:pPr>
      <w:r>
        <w:rPr>
          <w:b/>
          <w:sz w:val="17"/>
        </w:rPr>
        <w:t>Table T-12-04: IBM watsonx.governance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RCCS Dimension</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Risk Management</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Enterprise AI governance platform designed for risk management</w:t>
            </w:r>
          </w:p>
        </w:tc>
      </w:tr>
      <w:tr>
        <w:trPr>
          <w:cantSplit/>
        </w:trPr>
        <w:tc>
          <w:tcPr>
            <w:tcW w:type="dxa" w:w="2556"/>
            <w:vAlign w:val="top"/>
          </w:tcPr>
          <w:p>
            <w:pPr>
              <w:spacing w:after="0"/>
              <w:jc w:val="left"/>
            </w:pPr>
            <w:r>
              <w:rPr>
                <w:rFonts w:ascii="Arial" w:hAnsi="Arial"/>
                <w:b w:val="0"/>
                <w:sz w:val="14"/>
              </w:rPr>
              <w:t>Data Governance</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data lineage and governance capabilities</w:t>
            </w:r>
          </w:p>
        </w:tc>
      </w:tr>
      <w:tr>
        <w:trPr>
          <w:cantSplit/>
        </w:trPr>
        <w:tc>
          <w:tcPr>
            <w:tcW w:type="dxa" w:w="2556"/>
            <w:vAlign w:val="top"/>
          </w:tcPr>
          <w:p>
            <w:pPr>
              <w:spacing w:after="0"/>
              <w:jc w:val="left"/>
            </w:pPr>
            <w:r>
              <w:rPr>
                <w:rFonts w:ascii="Arial" w:hAnsi="Arial"/>
                <w:b w:val="0"/>
                <w:sz w:val="14"/>
              </w:rPr>
              <w:t>Documentation</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documentation and policy management</w:t>
            </w:r>
          </w:p>
        </w:tc>
      </w:tr>
      <w:tr>
        <w:trPr>
          <w:cantSplit/>
        </w:trPr>
        <w:tc>
          <w:tcPr>
            <w:tcW w:type="dxa" w:w="2556"/>
            <w:vAlign w:val="top"/>
          </w:tcPr>
          <w:p>
            <w:pPr>
              <w:spacing w:after="0"/>
              <w:jc w:val="left"/>
            </w:pPr>
            <w:r>
              <w:rPr>
                <w:rFonts w:ascii="Arial" w:hAnsi="Arial"/>
                <w:b w:val="0"/>
                <w:sz w:val="14"/>
              </w:rPr>
              <w:t>Record-Keeping</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audit trails and compliance records</w:t>
            </w:r>
          </w:p>
        </w:tc>
      </w:tr>
      <w:tr>
        <w:trPr>
          <w:cantSplit/>
        </w:trPr>
        <w:tc>
          <w:tcPr>
            <w:tcW w:type="dxa" w:w="2556"/>
            <w:vAlign w:val="top"/>
          </w:tcPr>
          <w:p>
            <w:pPr>
              <w:spacing w:after="0"/>
              <w:jc w:val="left"/>
            </w:pPr>
            <w:r>
              <w:rPr>
                <w:rFonts w:ascii="Arial" w:hAnsi="Arial"/>
                <w:b w:val="0"/>
                <w:sz w:val="14"/>
              </w:rPr>
              <w:t>Transparency</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transparency and explainability features</w:t>
            </w:r>
          </w:p>
        </w:tc>
      </w:tr>
      <w:tr>
        <w:trPr>
          <w:cantSplit/>
        </w:trPr>
        <w:tc>
          <w:tcPr>
            <w:tcW w:type="dxa" w:w="2556"/>
            <w:vAlign w:val="top"/>
          </w:tcPr>
          <w:p>
            <w:pPr>
              <w:spacing w:after="0"/>
              <w:jc w:val="left"/>
            </w:pPr>
            <w:r>
              <w:rPr>
                <w:rFonts w:ascii="Arial" w:hAnsi="Arial"/>
                <w:b w:val="0"/>
                <w:sz w:val="14"/>
              </w:rPr>
              <w:t>Human Oversight</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human review and approval workflows</w:t>
            </w:r>
          </w:p>
        </w:tc>
      </w:tr>
      <w:tr>
        <w:trPr>
          <w:cantSplit/>
        </w:trPr>
        <w:tc>
          <w:tcPr>
            <w:tcW w:type="dxa" w:w="2556"/>
            <w:vAlign w:val="top"/>
          </w:tcPr>
          <w:p>
            <w:pPr>
              <w:spacing w:after="0"/>
              <w:jc w:val="left"/>
            </w:pPr>
            <w:r>
              <w:rPr>
                <w:rFonts w:ascii="Arial" w:hAnsi="Arial"/>
                <w:b w:val="0"/>
                <w:sz w:val="14"/>
              </w:rPr>
              <w:t>Security</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Enterprise platform with security and access controls</w:t>
            </w:r>
          </w:p>
        </w:tc>
      </w:tr>
      <w:tr>
        <w:trPr>
          <w:cantSplit/>
        </w:trPr>
        <w:tc>
          <w:tcPr>
            <w:tcW w:type="dxa" w:w="2556"/>
            <w:vAlign w:val="top"/>
          </w:tcPr>
          <w:p>
            <w:pPr>
              <w:spacing w:after="0"/>
              <w:jc w:val="left"/>
            </w:pPr>
            <w:r>
              <w:rPr>
                <w:rFonts w:ascii="Arial" w:hAnsi="Arial"/>
                <w:b w:val="0"/>
                <w:sz w:val="14"/>
              </w:rPr>
              <w:t>Accountability</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accountability and responsibility tracking</w:t>
            </w:r>
          </w:p>
        </w:tc>
      </w:tr>
      <w:tr>
        <w:trPr>
          <w:cantSplit/>
        </w:trPr>
        <w:tc>
          <w:tcPr>
            <w:tcW w:type="dxa" w:w="2556"/>
            <w:vAlign w:val="top"/>
          </w:tcPr>
          <w:p>
            <w:pPr>
              <w:spacing w:after="0"/>
              <w:jc w:val="left"/>
            </w:pPr>
            <w:r>
              <w:rPr>
                <w:rFonts w:ascii="Arial" w:hAnsi="Arial"/>
                <w:b w:val="0"/>
                <w:sz w:val="14"/>
              </w:rPr>
              <w:t>Contestability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may provide dispute and appeal mechanisms; requires validation</w:t>
            </w:r>
          </w:p>
        </w:tc>
      </w:tr>
      <w:tr>
        <w:trPr>
          <w:cantSplit/>
        </w:trPr>
        <w:tc>
          <w:tcPr>
            <w:tcW w:type="dxa" w:w="2556"/>
            <w:vAlign w:val="top"/>
          </w:tcPr>
          <w:p>
            <w:pPr>
              <w:spacing w:after="0"/>
              <w:jc w:val="left"/>
            </w:pPr>
            <w:r>
              <w:rPr>
                <w:rFonts w:ascii="Arial" w:hAnsi="Arial"/>
                <w:b w:val="0"/>
                <w:sz w:val="14"/>
              </w:rPr>
              <w:t>Monitoring</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continuous monitoring and incident detection</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sz w:val="17"/>
        </w:rPr>
        <w:t>Table T-12-05: IBM watsonx.governance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ALCS Area</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Role / Authority / Acceptance (ALCS-01 to ALCS-04)</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Human-role-to-MAS mapping, delegated authority boundary, agent role distinction, accepted outcome compliance require validation</w:t>
            </w:r>
          </w:p>
        </w:tc>
      </w:tr>
      <w:tr>
        <w:trPr>
          <w:cantSplit/>
        </w:trPr>
        <w:tc>
          <w:tcPr>
            <w:tcW w:type="dxa" w:w="2556"/>
            <w:vAlign w:val="top"/>
          </w:tcPr>
          <w:p>
            <w:pPr>
              <w:spacing w:after="0"/>
              <w:jc w:val="left"/>
            </w:pPr>
            <w:r>
              <w:rPr>
                <w:rFonts w:ascii="Arial" w:hAnsi="Arial"/>
                <w:b w:val="0"/>
                <w:sz w:val="14"/>
              </w:rPr>
              <w:t>Tool Action / Transfer / Drift / Evidence (ALCS-05 to ALCS-08)</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Tool-action liability, responsibility transfer, authority drift detection, MAS evidence partitioning require validation</w:t>
            </w:r>
          </w:p>
        </w:tc>
      </w:tr>
      <w:tr>
        <w:trPr>
          <w:cantSplit/>
        </w:trPr>
        <w:tc>
          <w:tcPr>
            <w:tcW w:type="dxa" w:w="2556"/>
            <w:vAlign w:val="top"/>
          </w:tcPr>
          <w:p>
            <w:pPr>
              <w:spacing w:after="0"/>
              <w:jc w:val="left"/>
            </w:pPr>
            <w:r>
              <w:rPr>
                <w:rFonts w:ascii="Arial" w:hAnsi="Arial"/>
                <w:b w:val="0"/>
                <w:sz w:val="14"/>
              </w:rPr>
              <w:t>Reuse / Privacy / Validation (ALCS-09 to ALCS-11)</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Cross-project reuse, privacy lifecycle mapping, privacy-preserving validation require validation</w:t>
            </w:r>
          </w:p>
        </w:tc>
      </w:tr>
      <w:tr>
        <w:trPr>
          <w:cantSplit/>
        </w:trPr>
        <w:tc>
          <w:tcPr>
            <w:tcW w:type="dxa" w:w="2556"/>
            <w:vAlign w:val="top"/>
          </w:tcPr>
          <w:p>
            <w:pPr>
              <w:spacing w:after="0"/>
              <w:jc w:val="left"/>
            </w:pPr>
            <w:r>
              <w:rPr>
                <w:rFonts w:ascii="Arial" w:hAnsi="Arial"/>
                <w:b w:val="0"/>
                <w:sz w:val="14"/>
              </w:rPr>
              <w:t>Evidence Minimization / Data Subject Rights / Processor Chain (ALCS-12 to ALCS-14)</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Evidence minimization, data subject rights reconciliation, processor chain tracking require validation</w:t>
            </w:r>
          </w:p>
        </w:tc>
      </w:tr>
      <w:tr>
        <w:trPr>
          <w:cantSplit/>
        </w:trPr>
        <w:tc>
          <w:tcPr>
            <w:tcW w:type="dxa" w:w="2556"/>
            <w:vAlign w:val="top"/>
          </w:tcPr>
          <w:p>
            <w:pPr>
              <w:spacing w:after="0"/>
              <w:jc w:val="left"/>
            </w:pPr>
            <w:r>
              <w:rPr>
                <w:rFonts w:ascii="Arial" w:hAnsi="Arial"/>
                <w:b w:val="0"/>
                <w:sz w:val="14"/>
              </w:rPr>
              <w:t>Substitution Conformance (ALCS-15)</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Multi-Agent Responsibility Transfer: Whether IBM watsonx.governance tracks responsibility transfer across agents in multi-agent workflows requires validation.</w:t>
      </w:r>
    </w:p>
    <w:p>
      <w:r>
        <w:t>2. Accepted Outcome Governance: Whether IBM watsonx.governance separates execution completion from outcome acceptance requires validation.</w:t>
      </w:r>
    </w:p>
    <w:p>
      <w:r>
        <w:t>3. Tool-Action Liability Boundary: Whether IBM watsonx.governance records liability boundaries for consequential tool actions requires validation.</w:t>
      </w:r>
    </w:p>
    <w:p>
      <w:r>
        <w:t>4. MAS Evidence Partitioning: Whether IBM watsonx.governance partitions evidence by agent, tool, authority, and privacy boundaries requires validation.</w:t>
      </w:r>
    </w:p>
    <w:p>
      <w:r>
        <w:t>5. Cross-Project Reuse Controls: Whether IBM watsonx.governance enforces revalidation when workflows are reused across projects requires validation.</w:t>
      </w:r>
    </w:p>
    <w:p/>
    <w:p>
      <w:pPr>
        <w:pStyle w:val="Heading3"/>
      </w:pPr>
      <w:r>
        <w:t>Boundary Note</w:t>
      </w:r>
    </w:p>
    <w:p/>
    <w:p>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
    <w:p>
      <w:pPr>
        <w:pStyle w:val="Heading2"/>
      </w:pPr>
      <w:r>
        <w:t>12.5 Microsoft Azure AI Foundry — Cloud AI Platform and Enterprise AI Tooling</w:t>
      </w:r>
    </w:p>
    <w:p/>
    <w:p>
      <w:pPr>
        <w:pStyle w:val="Heading3"/>
      </w:pPr>
      <w:r>
        <w:t>System Positioning</w:t>
      </w:r>
    </w:p>
    <w:p/>
    <w:p>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
      <w:r>
        <w:t>What this paper evaluates:</w:t>
      </w:r>
    </w:p>
    <w:p>
      <w:pPr>
        <w:pStyle w:val="ListBullet"/>
      </w:pPr>
      <w:r>
        <w:t>Whether Microsoft Azure AI Foundry provides governance primitives for RCCS dimensions</w:t>
      </w:r>
    </w:p>
    <w:p>
      <w:pPr>
        <w:pStyle w:val="ListBullet"/>
      </w:pPr>
      <w:r>
        <w:t>Whether Microsoft Azure AI Foundry provides lifecycle responsibility objects for ALCS dimensions</w:t>
      </w:r>
    </w:p>
    <w:p>
      <w:pPr>
        <w:pStyle w:val="ListBullet"/>
      </w:pPr>
      <w:r>
        <w:t>Whether public documentation supports RCCS and ALCS mapping</w:t>
      </w:r>
    </w:p>
    <w:p/>
    <w:p>
      <w:r>
        <w:t>What this paper does not infer:</w:t>
      </w:r>
    </w:p>
    <w:p>
      <w:pPr>
        <w:pStyle w:val="ListBullet"/>
      </w:pPr>
      <w:r>
        <w:t>Microsoft Azure AI Foundry is not evaluated for product quality, market leadership, or procurement suitability.</w:t>
      </w:r>
    </w:p>
    <w:p>
      <w:pPr>
        <w:pStyle w:val="ListBullet"/>
      </w:pPr>
      <w:r>
        <w:t>ALCS posture requires validation: authority boundaries, accepted outcomes, MAS evidence partitioning, and responsibility transfer require evidence validation.</w:t>
      </w:r>
    </w:p>
    <w:p>
      <w:pPr>
        <w:pStyle w:val="ListBullet"/>
      </w:pPr>
      <w:r>
        <w:t>Responsible AI tooling and cloud platform features are not identical to lifecycle responsibility objects.</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Area</w:t>
            </w:r>
          </w:p>
        </w:tc>
        <w:tc>
          <w:tcPr>
            <w:tcW w:type="dxa" w:w="2556"/>
            <w:vAlign w:val="top"/>
            <w:shd w:fill="D9EAF7"/>
          </w:tcPr>
          <w:p>
            <w:pPr>
              <w:spacing w:after="0"/>
              <w:jc w:val="left"/>
            </w:pPr>
            <w:r>
              <w:rPr>
                <w:rFonts w:ascii="Arial" w:hAnsi="Arial"/>
                <w:b/>
                <w:sz w:val="14"/>
              </w:rPr>
              <w:t>Source Type</w:t>
            </w:r>
          </w:p>
        </w:tc>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Revalidation Needed</w:t>
            </w:r>
          </w:p>
        </w:tc>
      </w:tr>
      <w:tr>
        <w:trPr>
          <w:cantSplit/>
        </w:trPr>
        <w:tc>
          <w:tcPr>
            <w:tcW w:type="dxa" w:w="2556"/>
            <w:vAlign w:val="top"/>
          </w:tcPr>
          <w:p>
            <w:pPr>
              <w:spacing w:after="0"/>
              <w:jc w:val="left"/>
            </w:pPr>
            <w:r>
              <w:rPr>
                <w:rFonts w:ascii="Arial" w:hAnsi="Arial"/>
                <w:b w:val="0"/>
                <w:sz w:val="14"/>
              </w:rPr>
              <w:t>Cloud AI platform</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Responsible AI tooling</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Content safety</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Tracing and observability</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Agentic lifecycle objects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 (if available) or L5 (author inference)</w:t>
            </w:r>
          </w:p>
        </w:tc>
        <w:tc>
          <w:tcPr>
            <w:tcW w:type="dxa" w:w="2556"/>
            <w:vAlign w:val="top"/>
          </w:tcPr>
          <w:p>
            <w:pPr>
              <w:spacing w:after="0"/>
              <w:jc w:val="left"/>
            </w:pPr>
            <w:r>
              <w:rPr>
                <w:rFonts w:ascii="Arial" w:hAnsi="Arial"/>
                <w:b w:val="0"/>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[MICROSOFT-AZURE-AI-FOUNDRY-DOCS]</w:t>
      </w:r>
    </w:p>
    <w:p>
      <w:pPr>
        <w:pStyle w:val="ListBullet"/>
      </w:pPr>
      <w:r>
        <w:t>[MICROSOFT-RESPONSIBLE-AI-DOCS]</w:t>
      </w:r>
    </w:p>
    <w:p/>
    <w:p>
      <w:pPr>
        <w:pStyle w:val="Heading3"/>
      </w:pPr>
      <w:r>
        <w:t>RCCS Mapping Summary</w:t>
      </w:r>
    </w:p>
    <w:p/>
    <w:p>
      <w:pPr>
        <w:keepNext/>
      </w:pPr>
      <w:r>
        <w:rPr>
          <w:b/>
          <w:sz w:val="17"/>
        </w:rPr>
        <w:t>Table T-12-06: Microsoft Azure AI Foundry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RCCS Dimension</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Risk Management</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Responsible AI tooling provides risk management capabilities</w:t>
            </w:r>
          </w:p>
        </w:tc>
      </w:tr>
      <w:tr>
        <w:trPr>
          <w:cantSplit/>
        </w:trPr>
        <w:tc>
          <w:tcPr>
            <w:tcW w:type="dxa" w:w="2556"/>
            <w:vAlign w:val="top"/>
          </w:tcPr>
          <w:p>
            <w:pPr>
              <w:spacing w:after="0"/>
              <w:jc w:val="left"/>
            </w:pPr>
            <w:r>
              <w:rPr>
                <w:rFonts w:ascii="Arial" w:hAnsi="Arial"/>
                <w:b w:val="0"/>
                <w:sz w:val="14"/>
              </w:rPr>
              <w:t>Data Governance</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Cloud platform provides data governance and lineage capabilities</w:t>
            </w:r>
          </w:p>
        </w:tc>
      </w:tr>
      <w:tr>
        <w:trPr>
          <w:cantSplit/>
        </w:trPr>
        <w:tc>
          <w:tcPr>
            <w:tcW w:type="dxa" w:w="2556"/>
            <w:vAlign w:val="top"/>
          </w:tcPr>
          <w:p>
            <w:pPr>
              <w:spacing w:after="0"/>
              <w:jc w:val="left"/>
            </w:pPr>
            <w:r>
              <w:rPr>
                <w:rFonts w:ascii="Arial" w:hAnsi="Arial"/>
                <w:b w:val="0"/>
                <w:sz w:val="14"/>
              </w:rPr>
              <w:t>Documentation</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documentation and model cards</w:t>
            </w:r>
          </w:p>
        </w:tc>
      </w:tr>
      <w:tr>
        <w:trPr>
          <w:cantSplit/>
        </w:trPr>
        <w:tc>
          <w:tcPr>
            <w:tcW w:type="dxa" w:w="2556"/>
            <w:vAlign w:val="top"/>
          </w:tcPr>
          <w:p>
            <w:pPr>
              <w:spacing w:after="0"/>
              <w:jc w:val="left"/>
            </w:pPr>
            <w:r>
              <w:rPr>
                <w:rFonts w:ascii="Arial" w:hAnsi="Arial"/>
                <w:b w:val="0"/>
                <w:sz w:val="14"/>
              </w:rPr>
              <w:t>Record-Keeping</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tracing and audit trails</w:t>
            </w:r>
          </w:p>
        </w:tc>
      </w:tr>
      <w:tr>
        <w:trPr>
          <w:cantSplit/>
        </w:trPr>
        <w:tc>
          <w:tcPr>
            <w:tcW w:type="dxa" w:w="2556"/>
            <w:vAlign w:val="top"/>
          </w:tcPr>
          <w:p>
            <w:pPr>
              <w:spacing w:after="0"/>
              <w:jc w:val="left"/>
            </w:pPr>
            <w:r>
              <w:rPr>
                <w:rFonts w:ascii="Arial" w:hAnsi="Arial"/>
                <w:b w:val="0"/>
                <w:sz w:val="14"/>
              </w:rPr>
              <w:t>Transparency</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Responsible AI tooling provides transparency and explainability</w:t>
            </w:r>
          </w:p>
        </w:tc>
      </w:tr>
      <w:tr>
        <w:trPr>
          <w:cantSplit/>
        </w:trPr>
        <w:tc>
          <w:tcPr>
            <w:tcW w:type="dxa" w:w="2556"/>
            <w:vAlign w:val="top"/>
          </w:tcPr>
          <w:p>
            <w:pPr>
              <w:spacing w:after="0"/>
              <w:jc w:val="left"/>
            </w:pPr>
            <w:r>
              <w:rPr>
                <w:rFonts w:ascii="Arial" w:hAnsi="Arial"/>
                <w:b w:val="0"/>
                <w:sz w:val="14"/>
              </w:rPr>
              <w:t>Human Oversight</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human review and approval capabilities</w:t>
            </w:r>
          </w:p>
        </w:tc>
      </w:tr>
      <w:tr>
        <w:trPr>
          <w:cantSplit/>
        </w:trPr>
        <w:tc>
          <w:tcPr>
            <w:tcW w:type="dxa" w:w="2556"/>
            <w:vAlign w:val="top"/>
          </w:tcPr>
          <w:p>
            <w:pPr>
              <w:spacing w:after="0"/>
              <w:jc w:val="left"/>
            </w:pPr>
            <w:r>
              <w:rPr>
                <w:rFonts w:ascii="Arial" w:hAnsi="Arial"/>
                <w:b w:val="0"/>
                <w:sz w:val="14"/>
              </w:rPr>
              <w:t>Security</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Cloud platform with enterprise security and access controls</w:t>
            </w:r>
          </w:p>
        </w:tc>
      </w:tr>
      <w:tr>
        <w:trPr>
          <w:cantSplit/>
        </w:trPr>
        <w:tc>
          <w:tcPr>
            <w:tcW w:type="dxa" w:w="2556"/>
            <w:vAlign w:val="top"/>
          </w:tcPr>
          <w:p>
            <w:pPr>
              <w:spacing w:after="0"/>
              <w:jc w:val="left"/>
            </w:pPr>
            <w:r>
              <w:rPr>
                <w:rFonts w:ascii="Arial" w:hAnsi="Arial"/>
                <w:b w:val="0"/>
                <w:sz w:val="14"/>
              </w:rPr>
              <w:t>Accountability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accountability features; agentic accountability requires validation</w:t>
            </w:r>
          </w:p>
        </w:tc>
      </w:tr>
      <w:tr>
        <w:trPr>
          <w:cantSplit/>
        </w:trPr>
        <w:tc>
          <w:tcPr>
            <w:tcW w:type="dxa" w:w="2556"/>
            <w:vAlign w:val="top"/>
          </w:tcPr>
          <w:p>
            <w:pPr>
              <w:spacing w:after="0"/>
              <w:jc w:val="left"/>
            </w:pPr>
            <w:r>
              <w:rPr>
                <w:rFonts w:ascii="Arial" w:hAnsi="Arial"/>
                <w:b w:val="0"/>
                <w:sz w:val="14"/>
              </w:rPr>
              <w:t>Contestability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may provide dispute mechanisms; requires validation</w:t>
            </w:r>
          </w:p>
        </w:tc>
      </w:tr>
      <w:tr>
        <w:trPr>
          <w:cantSplit/>
        </w:trPr>
        <w:tc>
          <w:tcPr>
            <w:tcW w:type="dxa" w:w="2556"/>
            <w:vAlign w:val="top"/>
          </w:tcPr>
          <w:p>
            <w:pPr>
              <w:spacing w:after="0"/>
              <w:jc w:val="left"/>
            </w:pPr>
            <w:r>
              <w:rPr>
                <w:rFonts w:ascii="Arial" w:hAnsi="Arial"/>
                <w:b w:val="0"/>
                <w:sz w:val="14"/>
              </w:rPr>
              <w:t>Monitoring</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continuous monitoring and observability</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sz w:val="17"/>
        </w:rPr>
        <w:t>Table T-12-07: Microsoft Azure AI Foundry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ALCS Area</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Role / Authority / Acceptance (ALCS-01 to ALCS-04)</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Human-role-to-MAS mapping, delegated authority boundary, agent role distinction, accepted outcome compliance require validation</w:t>
            </w:r>
          </w:p>
        </w:tc>
      </w:tr>
      <w:tr>
        <w:trPr>
          <w:cantSplit/>
        </w:trPr>
        <w:tc>
          <w:tcPr>
            <w:tcW w:type="dxa" w:w="2556"/>
            <w:vAlign w:val="top"/>
          </w:tcPr>
          <w:p>
            <w:pPr>
              <w:spacing w:after="0"/>
              <w:jc w:val="left"/>
            </w:pPr>
            <w:r>
              <w:rPr>
                <w:rFonts w:ascii="Arial" w:hAnsi="Arial"/>
                <w:b w:val="0"/>
                <w:sz w:val="14"/>
              </w:rPr>
              <w:t>Tool Action / Transfer / Drift / Evidence (ALCS-05 to ALCS-08)</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Tool-action liability, responsibility transfer, authority drift detection, MAS evidence partitioning require validation</w:t>
            </w:r>
          </w:p>
        </w:tc>
      </w:tr>
      <w:tr>
        <w:trPr>
          <w:cantSplit/>
        </w:trPr>
        <w:tc>
          <w:tcPr>
            <w:tcW w:type="dxa" w:w="2556"/>
            <w:vAlign w:val="top"/>
          </w:tcPr>
          <w:p>
            <w:pPr>
              <w:spacing w:after="0"/>
              <w:jc w:val="left"/>
            </w:pPr>
            <w:r>
              <w:rPr>
                <w:rFonts w:ascii="Arial" w:hAnsi="Arial"/>
                <w:b w:val="0"/>
                <w:sz w:val="14"/>
              </w:rPr>
              <w:t>Reuse / Privacy / Validation (ALCS-09 to ALCS-11)</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Cross-project reuse, privacy lifecycle mapping, privacy-preserving validation require validation</w:t>
            </w:r>
          </w:p>
        </w:tc>
      </w:tr>
      <w:tr>
        <w:trPr>
          <w:cantSplit/>
        </w:trPr>
        <w:tc>
          <w:tcPr>
            <w:tcW w:type="dxa" w:w="2556"/>
            <w:vAlign w:val="top"/>
          </w:tcPr>
          <w:p>
            <w:pPr>
              <w:spacing w:after="0"/>
              <w:jc w:val="left"/>
            </w:pPr>
            <w:r>
              <w:rPr>
                <w:rFonts w:ascii="Arial" w:hAnsi="Arial"/>
                <w:b w:val="0"/>
                <w:sz w:val="14"/>
              </w:rPr>
              <w:t>Evidence Minimization / Data Subject Rights / Processor Chain (ALCS-12 to ALCS-14)</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Evidence minimization, data subject rights reconciliation, processor chain tracking require validation</w:t>
            </w:r>
          </w:p>
        </w:tc>
      </w:tr>
      <w:tr>
        <w:trPr>
          <w:cantSplit/>
        </w:trPr>
        <w:tc>
          <w:tcPr>
            <w:tcW w:type="dxa" w:w="2556"/>
            <w:vAlign w:val="top"/>
          </w:tcPr>
          <w:p>
            <w:pPr>
              <w:spacing w:after="0"/>
              <w:jc w:val="left"/>
            </w:pPr>
            <w:r>
              <w:rPr>
                <w:rFonts w:ascii="Arial" w:hAnsi="Arial"/>
                <w:b w:val="0"/>
                <w:sz w:val="14"/>
              </w:rPr>
              <w:t>Substitution Conformance (ALCS-15)</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Accepted Outcome Compliance: Whether Microsoft Azure AI Foundry separates execution completion from outcome acceptance requires validation.</w:t>
      </w:r>
    </w:p>
    <w:p>
      <w:r>
        <w:t>2. Delegated Authority Boundary: Whether Microsoft Azure AI Foundry defines and enforces authority boundaries for agent actions requires validation.</w:t>
      </w:r>
    </w:p>
    <w:p>
      <w:r>
        <w:t>3. Cross-Agent Responsibility Transfer: Whether Microsoft Azure AI Foundry tracks responsibility transfer during agent handoffs requires validation.</w:t>
      </w:r>
    </w:p>
    <w:p>
      <w:r>
        <w:t>4. Evidence Partitioning: Whether Microsoft Azure AI Foundry partitions evidence by agent, tool, authority, and privacy boundaries requires validation.</w:t>
      </w:r>
    </w:p>
    <w:p>
      <w:r>
        <w:t>5. Vendor/Model/Runtime Substitution Conformance: Whether Microsoft Azure AI Foundry enforces conformance revalidation when vendors are substituted requires validation.</w:t>
      </w:r>
    </w:p>
    <w:p/>
    <w:p>
      <w:pPr>
        <w:pStyle w:val="Heading3"/>
      </w:pPr>
      <w:r>
        <w:t>Boundary Note</w:t>
      </w:r>
    </w:p>
    <w:p/>
    <w:p>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
    <w:p>
      <w:pPr>
        <w:pStyle w:val="Heading2"/>
      </w:pPr>
      <w:r>
        <w:t>12.6 AWS Bedrock / Guardrails / AgentCore — Cloud AI Service Suite</w:t>
      </w:r>
    </w:p>
    <w:p/>
    <w:p>
      <w:pPr>
        <w:pStyle w:val="Heading3"/>
      </w:pPr>
      <w:r>
        <w:t>System Positioning</w:t>
      </w:r>
    </w:p>
    <w:p/>
    <w:p>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
      <w:r>
        <w:t>What this paper evaluates:</w:t>
      </w:r>
    </w:p>
    <w:p>
      <w:pPr>
        <w:pStyle w:val="ListBullet"/>
      </w:pPr>
      <w:r>
        <w:t>Whether AWS Bedrock / Guardrails / AgentCore provides governance primitives for RCCS dimensions</w:t>
      </w:r>
    </w:p>
    <w:p>
      <w:pPr>
        <w:pStyle w:val="ListBullet"/>
      </w:pPr>
      <w:r>
        <w:t>Whether AWS Bedrock / Guardrails / AgentCore provides lifecycle responsibility objects for ALCS dimensions</w:t>
      </w:r>
    </w:p>
    <w:p>
      <w:pPr>
        <w:pStyle w:val="ListBullet"/>
      </w:pPr>
      <w:r>
        <w:t>Whether public documentation supports RCCS and ALCS mapping</w:t>
      </w:r>
    </w:p>
    <w:p/>
    <w:p>
      <w:r>
        <w:t>What this paper does not infer:</w:t>
      </w:r>
    </w:p>
    <w:p>
      <w:pPr>
        <w:pStyle w:val="ListBullet"/>
      </w:pPr>
      <w:r>
        <w:t>AWS Bedrock / Guardrails / AgentCore is not evaluated for product quality, market leadership, or procurement suitability.</w:t>
      </w:r>
    </w:p>
    <w:p>
      <w:pPr>
        <w:pStyle w:val="ListBullet"/>
      </w:pPr>
      <w:r>
        <w:t>ALCS posture requires validation: orchestration and guardrails do not automatically prove lifecycle responsibility semantics.</w:t>
      </w:r>
    </w:p>
    <w:p>
      <w:pPr>
        <w:pStyle w:val="ListBullet"/>
      </w:pPr>
      <w:r>
        <w:t>Guardrails and tool permission are not identical to delegated authority boundary.</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Area</w:t>
            </w:r>
          </w:p>
        </w:tc>
        <w:tc>
          <w:tcPr>
            <w:tcW w:type="dxa" w:w="2556"/>
            <w:vAlign w:val="top"/>
            <w:shd w:fill="D9EAF7"/>
          </w:tcPr>
          <w:p>
            <w:pPr>
              <w:spacing w:after="0"/>
              <w:jc w:val="left"/>
            </w:pPr>
            <w:r>
              <w:rPr>
                <w:rFonts w:ascii="Arial" w:hAnsi="Arial"/>
                <w:b/>
                <w:sz w:val="14"/>
              </w:rPr>
              <w:t>Source Type</w:t>
            </w:r>
          </w:p>
        </w:tc>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Revalidation Needed</w:t>
            </w:r>
          </w:p>
        </w:tc>
      </w:tr>
      <w:tr>
        <w:trPr>
          <w:cantSplit/>
        </w:trPr>
        <w:tc>
          <w:tcPr>
            <w:tcW w:type="dxa" w:w="2556"/>
            <w:vAlign w:val="top"/>
          </w:tcPr>
          <w:p>
            <w:pPr>
              <w:spacing w:after="0"/>
              <w:jc w:val="left"/>
            </w:pPr>
            <w:r>
              <w:rPr>
                <w:rFonts w:ascii="Arial" w:hAnsi="Arial"/>
                <w:b w:val="0"/>
                <w:sz w:val="14"/>
              </w:rPr>
              <w:t>Cloud AI services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Guardrails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Agent orchestration</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Enterprise security</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Agentic lifecycle objects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 (if available) or L5 (author inference)</w:t>
            </w:r>
          </w:p>
        </w:tc>
        <w:tc>
          <w:tcPr>
            <w:tcW w:type="dxa" w:w="2556"/>
            <w:vAlign w:val="top"/>
          </w:tcPr>
          <w:p>
            <w:pPr>
              <w:spacing w:after="0"/>
              <w:jc w:val="left"/>
            </w:pPr>
            <w:r>
              <w:rPr>
                <w:rFonts w:ascii="Arial" w:hAnsi="Arial"/>
                <w:b w:val="0"/>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[AWS-BEDROCK-DOCS]</w:t>
      </w:r>
    </w:p>
    <w:p>
      <w:pPr>
        <w:pStyle w:val="ListBullet"/>
      </w:pPr>
      <w:r>
        <w:t>[AWS-BEDROCK-GUARDRAILS-DOCS]</w:t>
      </w:r>
    </w:p>
    <w:p>
      <w:pPr>
        <w:pStyle w:val="ListBullet"/>
      </w:pPr>
      <w:r>
        <w:t>[AWS-AGENTCORE-DOCS]</w:t>
      </w:r>
    </w:p>
    <w:p/>
    <w:p>
      <w:pPr>
        <w:pStyle w:val="Heading3"/>
      </w:pPr>
      <w:r>
        <w:t>RCCS Mapping Summary</w:t>
      </w:r>
    </w:p>
    <w:p/>
    <w:p>
      <w:pPr>
        <w:keepNext/>
      </w:pPr>
      <w:r>
        <w:rPr>
          <w:b/>
          <w:sz w:val="17"/>
        </w:rPr>
        <w:t>Table T-12-08: AWS Bedrock / Guardrails / AgentCore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RCCS Dimension</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Risk Management</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Guardrails provide risk mitigation; broader risk management requires validation</w:t>
            </w:r>
          </w:p>
        </w:tc>
      </w:tr>
      <w:tr>
        <w:trPr>
          <w:cantSplit/>
        </w:trPr>
        <w:tc>
          <w:tcPr>
            <w:tcW w:type="dxa" w:w="2556"/>
            <w:vAlign w:val="top"/>
          </w:tcPr>
          <w:p>
            <w:pPr>
              <w:spacing w:after="0"/>
              <w:jc w:val="left"/>
            </w:pPr>
            <w:r>
              <w:rPr>
                <w:rFonts w:ascii="Arial" w:hAnsi="Arial"/>
                <w:b w:val="0"/>
                <w:sz w:val="14"/>
              </w:rPr>
              <w:t>Data Governance</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Cloud platform provides data governance capabilities; agentic data governance requires validation</w:t>
            </w:r>
          </w:p>
        </w:tc>
      </w:tr>
      <w:tr>
        <w:trPr>
          <w:cantSplit/>
        </w:trPr>
        <w:tc>
          <w:tcPr>
            <w:tcW w:type="dxa" w:w="2556"/>
            <w:vAlign w:val="top"/>
          </w:tcPr>
          <w:p>
            <w:pPr>
              <w:spacing w:after="0"/>
              <w:jc w:val="left"/>
            </w:pPr>
            <w:r>
              <w:rPr>
                <w:rFonts w:ascii="Arial" w:hAnsi="Arial"/>
                <w:b w:val="0"/>
                <w:sz w:val="14"/>
              </w:rPr>
              <w:t>Documentation</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documentation capabilities; agentic documentation requires validation</w:t>
            </w:r>
          </w:p>
        </w:tc>
      </w:tr>
      <w:tr>
        <w:trPr>
          <w:cantSplit/>
        </w:trPr>
        <w:tc>
          <w:tcPr>
            <w:tcW w:type="dxa" w:w="2556"/>
            <w:vAlign w:val="top"/>
          </w:tcPr>
          <w:p>
            <w:pPr>
              <w:spacing w:after="0"/>
              <w:jc w:val="left"/>
            </w:pPr>
            <w:r>
              <w:rPr>
                <w:rFonts w:ascii="Arial" w:hAnsi="Arial"/>
                <w:b w:val="0"/>
                <w:sz w:val="14"/>
              </w:rPr>
              <w:t>Record-Keeping</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logging and audit trails; agentic record-keeping requires validation</w:t>
            </w:r>
          </w:p>
        </w:tc>
      </w:tr>
      <w:tr>
        <w:trPr>
          <w:cantSplit/>
        </w:trPr>
        <w:tc>
          <w:tcPr>
            <w:tcW w:type="dxa" w:w="2556"/>
            <w:vAlign w:val="top"/>
          </w:tcPr>
          <w:p>
            <w:pPr>
              <w:spacing w:after="0"/>
              <w:jc w:val="left"/>
            </w:pPr>
            <w:r>
              <w:rPr>
                <w:rFonts w:ascii="Arial" w:hAnsi="Arial"/>
                <w:b w:val="0"/>
                <w:sz w:val="14"/>
              </w:rPr>
              <w:t>Transparency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may provide transparency features; requires validation</w:t>
            </w:r>
          </w:p>
        </w:tc>
      </w:tr>
      <w:tr>
        <w:trPr>
          <w:cantSplit/>
        </w:trPr>
        <w:tc>
          <w:tcPr>
            <w:tcW w:type="dxa" w:w="2556"/>
            <w:vAlign w:val="top"/>
          </w:tcPr>
          <w:p>
            <w:pPr>
              <w:spacing w:after="0"/>
              <w:jc w:val="left"/>
            </w:pPr>
            <w:r>
              <w:rPr>
                <w:rFonts w:ascii="Arial" w:hAnsi="Arial"/>
                <w:b w:val="0"/>
                <w:sz w:val="14"/>
              </w:rPr>
              <w:t>Human Oversight</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may provide human oversight capabilities; requires validation</w:t>
            </w:r>
          </w:p>
        </w:tc>
      </w:tr>
      <w:tr>
        <w:trPr>
          <w:cantSplit/>
        </w:trPr>
        <w:tc>
          <w:tcPr>
            <w:tcW w:type="dxa" w:w="2556"/>
            <w:vAlign w:val="top"/>
          </w:tcPr>
          <w:p>
            <w:pPr>
              <w:spacing w:after="0"/>
              <w:jc w:val="left"/>
            </w:pPr>
            <w:r>
              <w:rPr>
                <w:rFonts w:ascii="Arial" w:hAnsi="Arial"/>
                <w:b w:val="0"/>
                <w:sz w:val="14"/>
              </w:rPr>
              <w:t>Security</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Cloud platform with enterprise security and access controls</w:t>
            </w:r>
          </w:p>
        </w:tc>
      </w:tr>
      <w:tr>
        <w:trPr>
          <w:cantSplit/>
        </w:trPr>
        <w:tc>
          <w:tcPr>
            <w:tcW w:type="dxa" w:w="2556"/>
            <w:vAlign w:val="top"/>
          </w:tcPr>
          <w:p>
            <w:pPr>
              <w:spacing w:after="0"/>
              <w:jc w:val="left"/>
            </w:pPr>
            <w:r>
              <w:rPr>
                <w:rFonts w:ascii="Arial" w:hAnsi="Arial"/>
                <w:b w:val="0"/>
                <w:sz w:val="14"/>
              </w:rPr>
              <w:t>Accountability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accountability features; agentic accountability requires validation</w:t>
            </w:r>
          </w:p>
        </w:tc>
      </w:tr>
      <w:tr>
        <w:trPr>
          <w:cantSplit/>
        </w:trPr>
        <w:tc>
          <w:tcPr>
            <w:tcW w:type="dxa" w:w="2556"/>
            <w:vAlign w:val="top"/>
          </w:tcPr>
          <w:p>
            <w:pPr>
              <w:spacing w:after="0"/>
              <w:jc w:val="left"/>
            </w:pPr>
            <w:r>
              <w:rPr>
                <w:rFonts w:ascii="Arial" w:hAnsi="Arial"/>
                <w:b w:val="0"/>
                <w:sz w:val="14"/>
              </w:rPr>
              <w:t>Contestability</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Platform may provide dispute mechanisms; requires validation</w:t>
            </w:r>
          </w:p>
        </w:tc>
      </w:tr>
      <w:tr>
        <w:trPr>
          <w:cantSplit/>
        </w:trPr>
        <w:tc>
          <w:tcPr>
            <w:tcW w:type="dxa" w:w="2556"/>
            <w:vAlign w:val="top"/>
          </w:tcPr>
          <w:p>
            <w:pPr>
              <w:spacing w:after="0"/>
              <w:jc w:val="left"/>
            </w:pPr>
            <w:r>
              <w:rPr>
                <w:rFonts w:ascii="Arial" w:hAnsi="Arial"/>
                <w:b w:val="0"/>
                <w:sz w:val="14"/>
              </w:rPr>
              <w:t>Monitoring</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continuous monitoring and observability</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sz w:val="17"/>
        </w:rPr>
        <w:t>Table T-12-09: AWS Bedrock / Guardrails / AgentCore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ALCS Area</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Role / Authority / Acceptance (ALCS-01 to ALCS-04)</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Human-role-to-MAS mapping, delegated authority boundary, agent role distinction, accepted outcome compliance require validation; guardrails ≠ delegated authority boundary</w:t>
            </w:r>
          </w:p>
        </w:tc>
      </w:tr>
      <w:tr>
        <w:trPr>
          <w:cantSplit/>
        </w:trPr>
        <w:tc>
          <w:tcPr>
            <w:tcW w:type="dxa" w:w="2556"/>
            <w:vAlign w:val="top"/>
          </w:tcPr>
          <w:p>
            <w:pPr>
              <w:spacing w:after="0"/>
              <w:jc w:val="left"/>
            </w:pPr>
            <w:r>
              <w:rPr>
                <w:rFonts w:ascii="Arial" w:hAnsi="Arial"/>
                <w:b w:val="0"/>
                <w:sz w:val="14"/>
              </w:rPr>
              <w:t>Tool Action / Transfer / Drift / Evidence (ALCS-05 to ALCS-08)</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Tool-action liability, responsibility transfer, authority drift detection, MAS evidence partitioning require validation</w:t>
            </w:r>
          </w:p>
        </w:tc>
      </w:tr>
      <w:tr>
        <w:trPr>
          <w:cantSplit/>
        </w:trPr>
        <w:tc>
          <w:tcPr>
            <w:tcW w:type="dxa" w:w="2556"/>
            <w:vAlign w:val="top"/>
          </w:tcPr>
          <w:p>
            <w:pPr>
              <w:spacing w:after="0"/>
              <w:jc w:val="left"/>
            </w:pPr>
            <w:r>
              <w:rPr>
                <w:rFonts w:ascii="Arial" w:hAnsi="Arial"/>
                <w:b w:val="0"/>
                <w:sz w:val="14"/>
              </w:rPr>
              <w:t>Reuse / Privacy / Validation (ALCS-09 to ALCS-11)</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Cross-project reuse, privacy lifecycle mapping, privacy-preserving validation require validation</w:t>
            </w:r>
          </w:p>
        </w:tc>
      </w:tr>
      <w:tr>
        <w:trPr>
          <w:cantSplit/>
        </w:trPr>
        <w:tc>
          <w:tcPr>
            <w:tcW w:type="dxa" w:w="2556"/>
            <w:vAlign w:val="top"/>
          </w:tcPr>
          <w:p>
            <w:pPr>
              <w:spacing w:after="0"/>
              <w:jc w:val="left"/>
            </w:pPr>
            <w:r>
              <w:rPr>
                <w:rFonts w:ascii="Arial" w:hAnsi="Arial"/>
                <w:b w:val="0"/>
                <w:sz w:val="14"/>
              </w:rPr>
              <w:t>Evidence Minimization / Data Subject Rights / Processor Chain (ALCS-12 to ALCS-14)</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Evidence minimization, data subject rights reconciliation, processor chain tracking require validation</w:t>
            </w:r>
          </w:p>
        </w:tc>
      </w:tr>
      <w:tr>
        <w:trPr>
          <w:cantSplit/>
        </w:trPr>
        <w:tc>
          <w:tcPr>
            <w:tcW w:type="dxa" w:w="2556"/>
            <w:vAlign w:val="top"/>
          </w:tcPr>
          <w:p>
            <w:pPr>
              <w:spacing w:after="0"/>
              <w:jc w:val="left"/>
            </w:pPr>
            <w:r>
              <w:rPr>
                <w:rFonts w:ascii="Arial" w:hAnsi="Arial"/>
                <w:b w:val="0"/>
                <w:sz w:val="14"/>
              </w:rPr>
              <w:t>Substitution Conformance (ALCS-15)</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Delegated Authority vs IAM/Tool Permission: Whether AWS Bedrock / Guardrails / AgentCore distinguishes delegated authority boundary from IAM and tool permission requires validation.</w:t>
      </w:r>
    </w:p>
    <w:p>
      <w:r>
        <w:t>2. Accepted Outcome Governance: Whether AWS Bedrock / Guardrails / AgentCore separates execution completion from outcome acceptance requires validation.</w:t>
      </w:r>
    </w:p>
    <w:p>
      <w:r>
        <w:t>3. Tool-Action Liability Boundary: Whether AWS Bedrock / Guardrails / AgentCore records liability boundaries for consequential tool actions requires validation.</w:t>
      </w:r>
    </w:p>
    <w:p>
      <w:r>
        <w:t>4. MAS Evidence Partitioning: Whether AWS Bedrock / Guardrails / AgentCore partitions evidence by agent, tool, authority, and privacy boundaries requires validation.</w:t>
      </w:r>
    </w:p>
    <w:p>
      <w:r>
        <w:t>5. Incident/Dispute/Remediation Closure: Whether AWS Bedrock / Guardrails / AgentCore provides incident, dispute, and remediation closure mechanisms requires validation.</w:t>
      </w:r>
    </w:p>
    <w:p/>
    <w:p>
      <w:pPr>
        <w:pStyle w:val="Heading3"/>
      </w:pPr>
      <w:r>
        <w:t>Boundary Note</w:t>
      </w:r>
    </w:p>
    <w:p/>
    <w:p>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
    <w:p>
      <w:pPr>
        <w:pStyle w:val="Heading2"/>
      </w:pPr>
      <w:r>
        <w:t>12.7 Google Vertex AI / ADK / Model Armor — Cloud AI Platform, Agent Development, and Safety Controls</w:t>
      </w:r>
    </w:p>
    <w:p/>
    <w:p>
      <w:pPr>
        <w:pStyle w:val="Heading3"/>
      </w:pPr>
      <w:r>
        <w:t>System Positioning</w:t>
      </w:r>
    </w:p>
    <w:p/>
    <w:p>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
      <w:r>
        <w:t>What this paper evaluates:</w:t>
      </w:r>
    </w:p>
    <w:p>
      <w:pPr>
        <w:pStyle w:val="ListBullet"/>
      </w:pPr>
      <w:r>
        <w:t>Whether Google Vertex AI / ADK / Model Armor provides governance primitives for RCCS dimensions</w:t>
      </w:r>
    </w:p>
    <w:p>
      <w:pPr>
        <w:pStyle w:val="ListBullet"/>
      </w:pPr>
      <w:r>
        <w:t>Whether Google Vertex AI / ADK / Model Armor provides lifecycle responsibility objects for ALCS dimensions</w:t>
      </w:r>
    </w:p>
    <w:p>
      <w:pPr>
        <w:pStyle w:val="ListBullet"/>
      </w:pPr>
      <w:r>
        <w:t>Whether public documentation supports RCCS and ALCS mapping</w:t>
      </w:r>
    </w:p>
    <w:p/>
    <w:p>
      <w:r>
        <w:t>What this paper does not infer:</w:t>
      </w:r>
    </w:p>
    <w:p>
      <w:pPr>
        <w:pStyle w:val="ListBullet"/>
      </w:pPr>
      <w:r>
        <w:t>Google Vertex AI / ADK / Model Armor is not evaluated for product quality, market leadership, or procurement suitability.</w:t>
      </w:r>
    </w:p>
    <w:p>
      <w:pPr>
        <w:pStyle w:val="ListBullet"/>
      </w:pPr>
      <w:r>
        <w:t>ALCS posture requires validation: agent development and model safety controls do not automatically prove lifecycle responsibility semantics.</w:t>
      </w:r>
    </w:p>
    <w:p>
      <w:pPr>
        <w:pStyle w:val="ListBullet"/>
      </w:pPr>
      <w:r>
        <w:t>Model safety, content safety, and platform governance are not identical to lifecycle responsibility objects.</w:t>
      </w:r>
    </w:p>
    <w:p>
      <w:pPr>
        <w:pStyle w:val="ListBullet"/>
      </w:pPr>
      <w:r>
        <w:t>ADK agent development primitives are not identical to human-role-to-MAS responsibility mapping.</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Area</w:t>
            </w:r>
          </w:p>
        </w:tc>
        <w:tc>
          <w:tcPr>
            <w:tcW w:type="dxa" w:w="2556"/>
            <w:vAlign w:val="top"/>
            <w:shd w:fill="D9EAF7"/>
          </w:tcPr>
          <w:p>
            <w:pPr>
              <w:spacing w:after="0"/>
              <w:jc w:val="left"/>
            </w:pPr>
            <w:r>
              <w:rPr>
                <w:rFonts w:ascii="Arial" w:hAnsi="Arial"/>
                <w:b/>
                <w:sz w:val="14"/>
              </w:rPr>
              <w:t>Source Type</w:t>
            </w:r>
          </w:p>
        </w:tc>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Revalidation Needed</w:t>
            </w:r>
          </w:p>
        </w:tc>
      </w:tr>
      <w:tr>
        <w:trPr>
          <w:cantSplit/>
        </w:trPr>
        <w:tc>
          <w:tcPr>
            <w:tcW w:type="dxa" w:w="2556"/>
            <w:vAlign w:val="top"/>
          </w:tcPr>
          <w:p>
            <w:pPr>
              <w:spacing w:after="0"/>
              <w:jc w:val="left"/>
            </w:pPr>
            <w:r>
              <w:rPr>
                <w:rFonts w:ascii="Arial" w:hAnsi="Arial"/>
                <w:b w:val="0"/>
                <w:sz w:val="14"/>
              </w:rPr>
              <w:t>Cloud AI platform</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Agent Development Kit (ADK)</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Model Armor safety controls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Model evaluation and monitoring</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Agentic lifecycle objects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 (if available) or L5 (author inference)</w:t>
            </w:r>
          </w:p>
        </w:tc>
        <w:tc>
          <w:tcPr>
            <w:tcW w:type="dxa" w:w="2556"/>
            <w:vAlign w:val="top"/>
          </w:tcPr>
          <w:p>
            <w:pPr>
              <w:spacing w:after="0"/>
              <w:jc w:val="left"/>
            </w:pPr>
            <w:r>
              <w:rPr>
                <w:rFonts w:ascii="Arial" w:hAnsi="Arial"/>
                <w:b w:val="0"/>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[GOOGLE-VERTEX-AI-DOCS]</w:t>
      </w:r>
    </w:p>
    <w:p>
      <w:pPr>
        <w:pStyle w:val="ListBullet"/>
      </w:pPr>
      <w:r>
        <w:t>[GOOGLE-ADK-DOCS]</w:t>
      </w:r>
    </w:p>
    <w:p>
      <w:pPr>
        <w:pStyle w:val="ListBullet"/>
      </w:pPr>
      <w:r>
        <w:t>[GOOGLE-MODEL-ARMOR-DOCS]</w:t>
      </w:r>
    </w:p>
    <w:p/>
    <w:p>
      <w:pPr>
        <w:pStyle w:val="Heading3"/>
      </w:pPr>
      <w:r>
        <w:t>RCCS Mapping Summary</w:t>
      </w:r>
    </w:p>
    <w:p/>
    <w:p>
      <w:pPr>
        <w:keepNext/>
      </w:pPr>
      <w:r>
        <w:rPr>
          <w:b/>
          <w:sz w:val="17"/>
        </w:rPr>
        <w:t>Table T-12-10: Google Vertex AI / ADK / Model Armor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RCCS Dimension</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Risk Management</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Model Armor and evaluation frameworks provide risk management capabilities</w:t>
            </w:r>
          </w:p>
        </w:tc>
      </w:tr>
      <w:tr>
        <w:trPr>
          <w:cantSplit/>
        </w:trPr>
        <w:tc>
          <w:tcPr>
            <w:tcW w:type="dxa" w:w="2556"/>
            <w:vAlign w:val="top"/>
          </w:tcPr>
          <w:p>
            <w:pPr>
              <w:spacing w:after="0"/>
              <w:jc w:val="left"/>
            </w:pPr>
            <w:r>
              <w:rPr>
                <w:rFonts w:ascii="Arial" w:hAnsi="Arial"/>
                <w:b w:val="0"/>
                <w:sz w:val="14"/>
              </w:rPr>
              <w:t>Data Governance</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Cloud platform provides data governance and lineage capabilities</w:t>
            </w:r>
          </w:p>
        </w:tc>
      </w:tr>
      <w:tr>
        <w:trPr>
          <w:cantSplit/>
        </w:trPr>
        <w:tc>
          <w:tcPr>
            <w:tcW w:type="dxa" w:w="2556"/>
            <w:vAlign w:val="top"/>
          </w:tcPr>
          <w:p>
            <w:pPr>
              <w:spacing w:after="0"/>
              <w:jc w:val="left"/>
            </w:pPr>
            <w:r>
              <w:rPr>
                <w:rFonts w:ascii="Arial" w:hAnsi="Arial"/>
                <w:b w:val="0"/>
                <w:sz w:val="14"/>
              </w:rPr>
              <w:t>Documentation</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documentation and model cards</w:t>
            </w:r>
          </w:p>
        </w:tc>
      </w:tr>
      <w:tr>
        <w:trPr>
          <w:cantSplit/>
        </w:trPr>
        <w:tc>
          <w:tcPr>
            <w:tcW w:type="dxa" w:w="2556"/>
            <w:vAlign w:val="top"/>
          </w:tcPr>
          <w:p>
            <w:pPr>
              <w:spacing w:after="0"/>
              <w:jc w:val="left"/>
            </w:pPr>
            <w:r>
              <w:rPr>
                <w:rFonts w:ascii="Arial" w:hAnsi="Arial"/>
                <w:b w:val="0"/>
                <w:sz w:val="14"/>
              </w:rPr>
              <w:t>Record-Keeping</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logging and audit trails</w:t>
            </w:r>
          </w:p>
        </w:tc>
      </w:tr>
      <w:tr>
        <w:trPr>
          <w:cantSplit/>
        </w:trPr>
        <w:tc>
          <w:tcPr>
            <w:tcW w:type="dxa" w:w="2556"/>
            <w:vAlign w:val="top"/>
          </w:tcPr>
          <w:p>
            <w:pPr>
              <w:spacing w:after="0"/>
              <w:jc w:val="left"/>
            </w:pPr>
            <w:r>
              <w:rPr>
                <w:rFonts w:ascii="Arial" w:hAnsi="Arial"/>
                <w:b w:val="0"/>
                <w:sz w:val="14"/>
              </w:rPr>
              <w:t>Transparency</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transparency and explainability features</w:t>
            </w:r>
          </w:p>
        </w:tc>
      </w:tr>
      <w:tr>
        <w:trPr>
          <w:cantSplit/>
        </w:trPr>
        <w:tc>
          <w:tcPr>
            <w:tcW w:type="dxa" w:w="2556"/>
            <w:vAlign w:val="top"/>
          </w:tcPr>
          <w:p>
            <w:pPr>
              <w:spacing w:after="0"/>
              <w:jc w:val="left"/>
            </w:pPr>
            <w:r>
              <w:rPr>
                <w:rFonts w:ascii="Arial" w:hAnsi="Arial"/>
                <w:b w:val="0"/>
                <w:sz w:val="14"/>
              </w:rPr>
              <w:t>Human Oversight</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may provide human review capabilities; requires validation</w:t>
            </w:r>
          </w:p>
        </w:tc>
      </w:tr>
      <w:tr>
        <w:trPr>
          <w:cantSplit/>
        </w:trPr>
        <w:tc>
          <w:tcPr>
            <w:tcW w:type="dxa" w:w="2556"/>
            <w:vAlign w:val="top"/>
          </w:tcPr>
          <w:p>
            <w:pPr>
              <w:spacing w:after="0"/>
              <w:jc w:val="left"/>
            </w:pPr>
            <w:r>
              <w:rPr>
                <w:rFonts w:ascii="Arial" w:hAnsi="Arial"/>
                <w:b w:val="0"/>
                <w:sz w:val="14"/>
              </w:rPr>
              <w:t>Security</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Cloud platform with enterprise security and access controls</w:t>
            </w:r>
          </w:p>
        </w:tc>
      </w:tr>
      <w:tr>
        <w:trPr>
          <w:cantSplit/>
        </w:trPr>
        <w:tc>
          <w:tcPr>
            <w:tcW w:type="dxa" w:w="2556"/>
            <w:vAlign w:val="top"/>
          </w:tcPr>
          <w:p>
            <w:pPr>
              <w:spacing w:after="0"/>
              <w:jc w:val="left"/>
            </w:pPr>
            <w:r>
              <w:rPr>
                <w:rFonts w:ascii="Arial" w:hAnsi="Arial"/>
                <w:b w:val="0"/>
                <w:sz w:val="14"/>
              </w:rPr>
              <w:t>Accountability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accountability features; agentic accountability requires validation</w:t>
            </w:r>
          </w:p>
        </w:tc>
      </w:tr>
      <w:tr>
        <w:trPr>
          <w:cantSplit/>
        </w:trPr>
        <w:tc>
          <w:tcPr>
            <w:tcW w:type="dxa" w:w="2556"/>
            <w:vAlign w:val="top"/>
          </w:tcPr>
          <w:p>
            <w:pPr>
              <w:spacing w:after="0"/>
              <w:jc w:val="left"/>
            </w:pPr>
            <w:r>
              <w:rPr>
                <w:rFonts w:ascii="Arial" w:hAnsi="Arial"/>
                <w:b w:val="0"/>
                <w:sz w:val="14"/>
              </w:rPr>
              <w:t>Contestability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may provide dispute mechanisms; requires validation</w:t>
            </w:r>
          </w:p>
        </w:tc>
      </w:tr>
      <w:tr>
        <w:trPr>
          <w:cantSplit/>
        </w:trPr>
        <w:tc>
          <w:tcPr>
            <w:tcW w:type="dxa" w:w="2556"/>
            <w:vAlign w:val="top"/>
          </w:tcPr>
          <w:p>
            <w:pPr>
              <w:spacing w:after="0"/>
              <w:jc w:val="left"/>
            </w:pPr>
            <w:r>
              <w:rPr>
                <w:rFonts w:ascii="Arial" w:hAnsi="Arial"/>
                <w:b w:val="0"/>
                <w:sz w:val="14"/>
              </w:rPr>
              <w:t>Monitoring</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Platform provides continuous monitoring and observability</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sz w:val="17"/>
        </w:rPr>
        <w:t>Table T-12-11: Google Vertex AI / ADK / Model Armor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ALCS Area</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Role / Authority / Acceptance (ALCS-01 to ALCS-04)</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Human-role-to-MAS mapping, delegated authority boundary, agent role distinction, accepted outcome compliance require validation; ADK agent primitives ≠ lifecycle responsibility semantics</w:t>
            </w:r>
          </w:p>
        </w:tc>
      </w:tr>
      <w:tr>
        <w:trPr>
          <w:cantSplit/>
        </w:trPr>
        <w:tc>
          <w:tcPr>
            <w:tcW w:type="dxa" w:w="2556"/>
            <w:vAlign w:val="top"/>
          </w:tcPr>
          <w:p>
            <w:pPr>
              <w:spacing w:after="0"/>
              <w:jc w:val="left"/>
            </w:pPr>
            <w:r>
              <w:rPr>
                <w:rFonts w:ascii="Arial" w:hAnsi="Arial"/>
                <w:b w:val="0"/>
                <w:sz w:val="14"/>
              </w:rPr>
              <w:t>Tool Action / Transfer / Drift / Evidence (ALCS-05 to ALCS-08)</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Tool-action liability, responsibility transfer, authority drift detection, MAS evidence partitioning require validation</w:t>
            </w:r>
          </w:p>
        </w:tc>
      </w:tr>
      <w:tr>
        <w:trPr>
          <w:cantSplit/>
        </w:trPr>
        <w:tc>
          <w:tcPr>
            <w:tcW w:type="dxa" w:w="2556"/>
            <w:vAlign w:val="top"/>
          </w:tcPr>
          <w:p>
            <w:pPr>
              <w:spacing w:after="0"/>
              <w:jc w:val="left"/>
            </w:pPr>
            <w:r>
              <w:rPr>
                <w:rFonts w:ascii="Arial" w:hAnsi="Arial"/>
                <w:b w:val="0"/>
                <w:sz w:val="14"/>
              </w:rPr>
              <w:t>Reuse / Privacy / Validation (ALCS-09 to ALCS-11)</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Cross-project reuse, privacy lifecycle mapping, privacy-preserving validation require validation</w:t>
            </w:r>
          </w:p>
        </w:tc>
      </w:tr>
      <w:tr>
        <w:trPr>
          <w:cantSplit/>
        </w:trPr>
        <w:tc>
          <w:tcPr>
            <w:tcW w:type="dxa" w:w="2556"/>
            <w:vAlign w:val="top"/>
          </w:tcPr>
          <w:p>
            <w:pPr>
              <w:spacing w:after="0"/>
              <w:jc w:val="left"/>
            </w:pPr>
            <w:r>
              <w:rPr>
                <w:rFonts w:ascii="Arial" w:hAnsi="Arial"/>
                <w:b w:val="0"/>
                <w:sz w:val="14"/>
              </w:rPr>
              <w:t>Evidence Minimization / Data Subject Rights / Processor Chain (ALCS-12 to ALCS-14)</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Evidence minimization, data subject rights reconciliation, processor chain tracking require validation</w:t>
            </w:r>
          </w:p>
        </w:tc>
      </w:tr>
      <w:tr>
        <w:trPr>
          <w:cantSplit/>
        </w:trPr>
        <w:tc>
          <w:tcPr>
            <w:tcW w:type="dxa" w:w="2556"/>
            <w:vAlign w:val="top"/>
          </w:tcPr>
          <w:p>
            <w:pPr>
              <w:spacing w:after="0"/>
              <w:jc w:val="left"/>
            </w:pPr>
            <w:r>
              <w:rPr>
                <w:rFonts w:ascii="Arial" w:hAnsi="Arial"/>
                <w:b w:val="0"/>
                <w:sz w:val="14"/>
              </w:rPr>
              <w:t>Substitution Conformance (ALCS-15)</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Agent Development vs Lifecycle Responsibility: Whether Google ADK agent development primitives map to human-role-to-MAS responsibility semantics requires validation.</w:t>
      </w:r>
    </w:p>
    <w:p>
      <w:r>
        <w:t>2. Delegated Authority Boundary: Whether Google Vertex AI / ADK / Model Armor defines and enforces authority boundaries for agent actions requires validation.</w:t>
      </w:r>
    </w:p>
    <w:p>
      <w:r>
        <w:t>3. Accepted Outcome Compliance: Whether Google Vertex AI / ADK / Model Armor separates execution completion from outcome acceptance requires validation.</w:t>
      </w:r>
    </w:p>
    <w:p>
      <w:r>
        <w:t>4. Model Safety vs Lifecycle Governance: Whether Model Armor safety controls extend to lifecycle responsibility governance requires validation.</w:t>
      </w:r>
    </w:p>
    <w:p>
      <w:r>
        <w:t>5. Cross-Agent Responsibility Transfer: Whether Google Vertex AI / ADK / Model Armor tracks responsibility transfer during agent handoffs requires validation.</w:t>
      </w:r>
    </w:p>
    <w:p/>
    <w:p>
      <w:pPr>
        <w:pStyle w:val="Heading3"/>
      </w:pPr>
      <w:r>
        <w:t>Boundary Note</w:t>
      </w:r>
    </w:p>
    <w:p/>
    <w:p>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
    <w:p>
      <w:pPr>
        <w:pStyle w:val="Heading2"/>
      </w:pPr>
      <w:r>
        <w:t>12.8 LangGraph / LangSmith — Agent Orchestration and Observability Framework</w:t>
      </w:r>
    </w:p>
    <w:p/>
    <w:p>
      <w:pPr>
        <w:pStyle w:val="Heading3"/>
      </w:pPr>
      <w:r>
        <w:t>System Positioning</w:t>
      </w:r>
    </w:p>
    <w:p/>
    <w:p>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
      <w:r>
        <w:t>What this paper evaluates:</w:t>
      </w:r>
    </w:p>
    <w:p>
      <w:pPr>
        <w:pStyle w:val="ListBullet"/>
      </w:pPr>
      <w:r>
        <w:t>Whether LangGraph / LangSmith provides governance primitives for RCCS dimensions</w:t>
      </w:r>
    </w:p>
    <w:p>
      <w:pPr>
        <w:pStyle w:val="ListBullet"/>
      </w:pPr>
      <w:r>
        <w:t>Whether LangGraph / LangSmith provides lifecycle responsibility objects for ALCS dimensions</w:t>
      </w:r>
    </w:p>
    <w:p>
      <w:pPr>
        <w:pStyle w:val="ListBullet"/>
      </w:pPr>
      <w:r>
        <w:t>Whether public documentation supports RCCS and ALCS mapping</w:t>
      </w:r>
    </w:p>
    <w:p/>
    <w:p>
      <w:r>
        <w:t>What this paper does not infer:</w:t>
      </w:r>
    </w:p>
    <w:p>
      <w:pPr>
        <w:pStyle w:val="ListBullet"/>
      </w:pPr>
      <w:r>
        <w:t>LangGraph / LangSmith is not evaluated for product quality, market leadership, or procurement suitability.</w:t>
      </w:r>
    </w:p>
    <w:p>
      <w:pPr>
        <w:pStyle w:val="ListBullet"/>
      </w:pPr>
      <w:r>
        <w:t>ALCS posture requires validation: orchestration and observability can support governance but do not automatically provide regulatory compliance coverage.</w:t>
      </w:r>
    </w:p>
    <w:p>
      <w:pPr>
        <w:pStyle w:val="ListBullet"/>
      </w:pPr>
      <w:r>
        <w:t>Workflow graphs, state, checkpoints, and traces are not identical to lifecycle responsibility objects.</w:t>
      </w:r>
    </w:p>
    <w:p>
      <w:pPr>
        <w:pStyle w:val="ListBullet"/>
      </w:pPr>
      <w:r>
        <w:t>Observability traces are not identical to MAS evidence partitioning.</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Area</w:t>
            </w:r>
          </w:p>
        </w:tc>
        <w:tc>
          <w:tcPr>
            <w:tcW w:type="dxa" w:w="2556"/>
            <w:vAlign w:val="top"/>
            <w:shd w:fill="D9EAF7"/>
          </w:tcPr>
          <w:p>
            <w:pPr>
              <w:spacing w:after="0"/>
              <w:jc w:val="left"/>
            </w:pPr>
            <w:r>
              <w:rPr>
                <w:rFonts w:ascii="Arial" w:hAnsi="Arial"/>
                <w:b/>
                <w:sz w:val="14"/>
              </w:rPr>
              <w:t>Source Type</w:t>
            </w:r>
          </w:p>
        </w:tc>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Revalidation Needed</w:t>
            </w:r>
          </w:p>
        </w:tc>
      </w:tr>
      <w:tr>
        <w:trPr>
          <w:cantSplit/>
        </w:trPr>
        <w:tc>
          <w:tcPr>
            <w:tcW w:type="dxa" w:w="2556"/>
            <w:vAlign w:val="top"/>
          </w:tcPr>
          <w:p>
            <w:pPr>
              <w:spacing w:after="0"/>
              <w:jc w:val="left"/>
            </w:pPr>
            <w:r>
              <w:rPr>
                <w:rFonts w:ascii="Arial" w:hAnsi="Arial"/>
                <w:b w:val="0"/>
                <w:sz w:val="14"/>
              </w:rPr>
              <w:t>Agent orchestration</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Workflow graphs and state</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Checkpoints and persistence</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Traces and observability</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Agentic lifecycle objects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 (if available) or L5 (author inference)</w:t>
            </w:r>
          </w:p>
        </w:tc>
        <w:tc>
          <w:tcPr>
            <w:tcW w:type="dxa" w:w="2556"/>
            <w:vAlign w:val="top"/>
          </w:tcPr>
          <w:p>
            <w:pPr>
              <w:spacing w:after="0"/>
              <w:jc w:val="left"/>
            </w:pPr>
            <w:r>
              <w:rPr>
                <w:rFonts w:ascii="Arial" w:hAnsi="Arial"/>
                <w:b w:val="0"/>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[LANGGRAPH-DOCS]</w:t>
      </w:r>
    </w:p>
    <w:p>
      <w:pPr>
        <w:pStyle w:val="ListBullet"/>
      </w:pPr>
      <w:r>
        <w:t>[LANGSMITH-DOCS]</w:t>
      </w:r>
    </w:p>
    <w:p/>
    <w:p>
      <w:pPr>
        <w:pStyle w:val="Heading3"/>
      </w:pPr>
      <w:r>
        <w:t>RCCS Mapping Summary</w:t>
      </w:r>
    </w:p>
    <w:p/>
    <w:p>
      <w:pPr>
        <w:keepNext/>
      </w:pPr>
      <w:r>
        <w:rPr>
          <w:b/>
          <w:sz w:val="17"/>
        </w:rPr>
        <w:t>Table T-12-12: LangGraph / LangSmith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RCCS Dimension</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Risk Management</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risk management requires additional governance layer</w:t>
            </w:r>
          </w:p>
        </w:tc>
      </w:tr>
      <w:tr>
        <w:trPr>
          <w:cantSplit/>
        </w:trPr>
        <w:tc>
          <w:tcPr>
            <w:tcW w:type="dxa" w:w="2556"/>
            <w:vAlign w:val="top"/>
          </w:tcPr>
          <w:p>
            <w:pPr>
              <w:spacing w:after="0"/>
              <w:jc w:val="left"/>
            </w:pPr>
            <w:r>
              <w:rPr>
                <w:rFonts w:ascii="Arial" w:hAnsi="Arial"/>
                <w:b w:val="0"/>
                <w:sz w:val="14"/>
              </w:rPr>
              <w:t>Data Governance</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State management exists; data governance requires additional governance layer</w:t>
            </w:r>
          </w:p>
        </w:tc>
      </w:tr>
      <w:tr>
        <w:trPr>
          <w:cantSplit/>
        </w:trPr>
        <w:tc>
          <w:tcPr>
            <w:tcW w:type="dxa" w:w="2556"/>
            <w:vAlign w:val="top"/>
          </w:tcPr>
          <w:p>
            <w:pPr>
              <w:spacing w:after="0"/>
              <w:jc w:val="left"/>
            </w:pPr>
            <w:r>
              <w:rPr>
                <w:rFonts w:ascii="Arial" w:hAnsi="Arial"/>
                <w:b w:val="0"/>
                <w:sz w:val="14"/>
              </w:rPr>
              <w:t>Documentation</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Workflow graphs and traces provide documentation primitives</w:t>
            </w:r>
          </w:p>
        </w:tc>
      </w:tr>
      <w:tr>
        <w:trPr>
          <w:cantSplit/>
        </w:trPr>
        <w:tc>
          <w:tcPr>
            <w:tcW w:type="dxa" w:w="2556"/>
            <w:vAlign w:val="top"/>
          </w:tcPr>
          <w:p>
            <w:pPr>
              <w:spacing w:after="0"/>
              <w:jc w:val="left"/>
            </w:pPr>
            <w:r>
              <w:rPr>
                <w:rFonts w:ascii="Arial" w:hAnsi="Arial"/>
                <w:b w:val="0"/>
                <w:sz w:val="14"/>
              </w:rPr>
              <w:t>Record-Keeping</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Checkpoints and traces provide record-keeping primitives</w:t>
            </w:r>
          </w:p>
        </w:tc>
      </w:tr>
      <w:tr>
        <w:trPr>
          <w:cantSplit/>
        </w:trPr>
        <w:tc>
          <w:tcPr>
            <w:tcW w:type="dxa" w:w="2556"/>
            <w:vAlign w:val="top"/>
          </w:tcPr>
          <w:p>
            <w:pPr>
              <w:spacing w:after="0"/>
              <w:jc w:val="left"/>
            </w:pPr>
            <w:r>
              <w:rPr>
                <w:rFonts w:ascii="Arial" w:hAnsi="Arial"/>
                <w:b w:val="0"/>
                <w:sz w:val="14"/>
              </w:rPr>
              <w:t>Transparency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Traces and observability provide transparency primitives</w:t>
            </w:r>
          </w:p>
        </w:tc>
      </w:tr>
      <w:tr>
        <w:trPr>
          <w:cantSplit/>
        </w:trPr>
        <w:tc>
          <w:tcPr>
            <w:tcW w:type="dxa" w:w="2556"/>
            <w:vAlign w:val="top"/>
          </w:tcPr>
          <w:p>
            <w:pPr>
              <w:spacing w:after="0"/>
              <w:jc w:val="left"/>
            </w:pPr>
            <w:r>
              <w:rPr>
                <w:rFonts w:ascii="Arial" w:hAnsi="Arial"/>
                <w:b w:val="0"/>
                <w:sz w:val="14"/>
              </w:rPr>
              <w:t>Human Oversight</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human oversight requires additional governance layer</w:t>
            </w:r>
          </w:p>
        </w:tc>
      </w:tr>
      <w:tr>
        <w:trPr>
          <w:cantSplit/>
        </w:trPr>
        <w:tc>
          <w:tcPr>
            <w:tcW w:type="dxa" w:w="2556"/>
            <w:vAlign w:val="top"/>
          </w:tcPr>
          <w:p>
            <w:pPr>
              <w:spacing w:after="0"/>
              <w:jc w:val="left"/>
            </w:pPr>
            <w:r>
              <w:rPr>
                <w:rFonts w:ascii="Arial" w:hAnsi="Arial"/>
                <w:b w:val="0"/>
                <w:sz w:val="14"/>
              </w:rPr>
              <w:t>Security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Framework security depends on deployment environment</w:t>
            </w:r>
          </w:p>
        </w:tc>
      </w:tr>
      <w:tr>
        <w:trPr>
          <w:cantSplit/>
        </w:trPr>
        <w:tc>
          <w:tcPr>
            <w:tcW w:type="dxa" w:w="2556"/>
            <w:vAlign w:val="top"/>
          </w:tcPr>
          <w:p>
            <w:pPr>
              <w:spacing w:after="0"/>
              <w:jc w:val="left"/>
            </w:pPr>
            <w:r>
              <w:rPr>
                <w:rFonts w:ascii="Arial" w:hAnsi="Arial"/>
                <w:b w:val="0"/>
                <w:sz w:val="14"/>
              </w:rPr>
              <w:t>Accountability</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Traces provide observability; accountability requires additional governance layer</w:t>
            </w:r>
          </w:p>
        </w:tc>
      </w:tr>
      <w:tr>
        <w:trPr>
          <w:cantSplit/>
        </w:trPr>
        <w:tc>
          <w:tcPr>
            <w:tcW w:type="dxa" w:w="2556"/>
            <w:vAlign w:val="top"/>
          </w:tcPr>
          <w:p>
            <w:pPr>
              <w:spacing w:after="0"/>
              <w:jc w:val="left"/>
            </w:pPr>
            <w:r>
              <w:rPr>
                <w:rFonts w:ascii="Arial" w:hAnsi="Arial"/>
                <w:b w:val="0"/>
                <w:sz w:val="14"/>
              </w:rPr>
              <w:t>Contestability</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contestability requires additional governance layer</w:t>
            </w:r>
          </w:p>
        </w:tc>
      </w:tr>
      <w:tr>
        <w:trPr>
          <w:cantSplit/>
        </w:trPr>
        <w:tc>
          <w:tcPr>
            <w:tcW w:type="dxa" w:w="2556"/>
            <w:vAlign w:val="top"/>
          </w:tcPr>
          <w:p>
            <w:pPr>
              <w:spacing w:after="0"/>
              <w:jc w:val="left"/>
            </w:pPr>
            <w:r>
              <w:rPr>
                <w:rFonts w:ascii="Arial" w:hAnsi="Arial"/>
                <w:b w:val="0"/>
                <w:sz w:val="14"/>
              </w:rPr>
              <w:t>Monitoring</w:t>
            </w:r>
          </w:p>
        </w:tc>
        <w:tc>
          <w:tcPr>
            <w:tcW w:type="dxa" w:w="2556"/>
            <w:vAlign w:val="top"/>
          </w:tcPr>
          <w:p>
            <w:pPr>
              <w:spacing w:after="0"/>
              <w:jc w:val="left"/>
            </w:pPr>
            <w:r>
              <w:rPr>
                <w:rFonts w:ascii="Arial" w:hAnsi="Arial"/>
                <w:b w:val="0"/>
                <w:sz w:val="14"/>
              </w:rPr>
              <w:t>Moderate to Strong</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Observability and traces provide monitoring primitives</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sz w:val="17"/>
        </w:rPr>
        <w:t>Table T-12-13: LangGraph / LangSmith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ALCS Area</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Role / Authority / Acceptance (ALCS-01 to ALCS-04)</w:t>
            </w:r>
          </w:p>
        </w:tc>
        <w:tc>
          <w:tcPr>
            <w:tcW w:type="dxa" w:w="2556"/>
            <w:vAlign w:val="top"/>
          </w:tcPr>
          <w:p>
            <w:pPr>
              <w:spacing w:after="0"/>
              <w:jc w:val="left"/>
            </w:pPr>
            <w:r>
              <w:rPr>
                <w:rFonts w:ascii="Arial" w:hAnsi="Arial"/>
                <w:b w:val="0"/>
                <w:sz w:val="14"/>
              </w:rPr>
              <w:t>Partial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rPr>
          <w:cantSplit/>
        </w:trPr>
        <w:tc>
          <w:tcPr>
            <w:tcW w:type="dxa" w:w="2556"/>
            <w:vAlign w:val="top"/>
          </w:tcPr>
          <w:p>
            <w:pPr>
              <w:spacing w:after="0"/>
              <w:jc w:val="left"/>
            </w:pPr>
            <w:r>
              <w:rPr>
                <w:rFonts w:ascii="Arial" w:hAnsi="Arial"/>
                <w:b w:val="0"/>
                <w:sz w:val="14"/>
              </w:rPr>
              <w:t>Tool Action / Transfer / Drift / Evidence (ALCS-05 to ALCS-08)</w:t>
            </w:r>
          </w:p>
        </w:tc>
        <w:tc>
          <w:tcPr>
            <w:tcW w:type="dxa" w:w="2556"/>
            <w:vAlign w:val="top"/>
          </w:tcPr>
          <w:p>
            <w:pPr>
              <w:spacing w:after="0"/>
              <w:jc w:val="left"/>
            </w:pPr>
            <w:r>
              <w:rPr>
                <w:rFonts w:ascii="Arial" w:hAnsi="Arial"/>
                <w:b w:val="0"/>
                <w:sz w:val="14"/>
              </w:rPr>
              <w:t>Partial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rPr>
          <w:cantSplit/>
        </w:trPr>
        <w:tc>
          <w:tcPr>
            <w:tcW w:type="dxa" w:w="2556"/>
            <w:vAlign w:val="top"/>
          </w:tcPr>
          <w:p>
            <w:pPr>
              <w:spacing w:after="0"/>
              <w:jc w:val="left"/>
            </w:pPr>
            <w:r>
              <w:rPr>
                <w:rFonts w:ascii="Arial" w:hAnsi="Arial"/>
                <w:b w:val="0"/>
                <w:sz w:val="14"/>
              </w:rPr>
              <w:t>Reuse / Privacy / Validation (ALCS-09 to ALCS-11)</w:t>
            </w:r>
          </w:p>
        </w:tc>
        <w:tc>
          <w:tcPr>
            <w:tcW w:type="dxa" w:w="2556"/>
            <w:vAlign w:val="top"/>
          </w:tcPr>
          <w:p>
            <w:pPr>
              <w:spacing w:after="0"/>
              <w:jc w:val="left"/>
            </w:pPr>
            <w:r>
              <w:rPr>
                <w:rFonts w:ascii="Arial" w:hAnsi="Arial"/>
                <w:b w:val="0"/>
                <w:sz w:val="14"/>
              </w:rPr>
              <w:t>Partial</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Workflow reuse exists; cross-project reuse compliance, privacy lifecycle mapping, privacy-preserving validation require additional governance semantics</w:t>
            </w:r>
          </w:p>
        </w:tc>
      </w:tr>
      <w:tr>
        <w:trPr>
          <w:cantSplit/>
        </w:trPr>
        <w:tc>
          <w:tcPr>
            <w:tcW w:type="dxa" w:w="2556"/>
            <w:vAlign w:val="top"/>
          </w:tcPr>
          <w:p>
            <w:pPr>
              <w:spacing w:after="0"/>
              <w:jc w:val="left"/>
            </w:pPr>
            <w:r>
              <w:rPr>
                <w:rFonts w:ascii="Arial" w:hAnsi="Arial"/>
                <w:b w:val="0"/>
                <w:sz w:val="14"/>
              </w:rPr>
              <w:t>Evidence Minimization / Data Subject Rights / Processor Chain (ALCS-12 to ALCS-14)</w:t>
            </w:r>
          </w:p>
        </w:tc>
        <w:tc>
          <w:tcPr>
            <w:tcW w:type="dxa" w:w="2556"/>
            <w:vAlign w:val="top"/>
          </w:tcPr>
          <w:p>
            <w:pPr>
              <w:spacing w:after="0"/>
              <w:jc w:val="left"/>
            </w:pPr>
            <w:r>
              <w:rPr>
                <w:rFonts w:ascii="Arial" w:hAnsi="Arial"/>
                <w:b w:val="0"/>
                <w:sz w:val="14"/>
              </w:rPr>
              <w:t>Weak to Partial</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evidence minimization, data subject rights reconciliation, processor chain tracking require additional governance layer</w:t>
            </w:r>
          </w:p>
        </w:tc>
      </w:tr>
      <w:tr>
        <w:trPr>
          <w:cantSplit/>
        </w:trPr>
        <w:tc>
          <w:tcPr>
            <w:tcW w:type="dxa" w:w="2556"/>
            <w:vAlign w:val="top"/>
          </w:tcPr>
          <w:p>
            <w:pPr>
              <w:spacing w:after="0"/>
              <w:jc w:val="left"/>
            </w:pPr>
            <w:r>
              <w:rPr>
                <w:rFonts w:ascii="Arial" w:hAnsi="Arial"/>
                <w:b w:val="0"/>
                <w:sz w:val="14"/>
              </w:rPr>
              <w:t>Substitution Conformance (ALCS-15)</w:t>
            </w:r>
          </w:p>
        </w:tc>
        <w:tc>
          <w:tcPr>
            <w:tcW w:type="dxa" w:w="2556"/>
            <w:vAlign w:val="top"/>
          </w:tcPr>
          <w:p>
            <w:pPr>
              <w:spacing w:after="0"/>
              <w:jc w:val="left"/>
            </w:pPr>
            <w:r>
              <w:rPr>
                <w:rFonts w:ascii="Arial" w:hAnsi="Arial"/>
                <w:b w:val="0"/>
                <w:sz w:val="14"/>
              </w:rPr>
              <w:t>Weak to Partial</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vendor/model/runtime substitution conformance requires additional governance layer</w:t>
            </w:r>
          </w:p>
        </w:tc>
      </w:tr>
    </w:tbl>
    <w:p>
      <w:pPr>
        <w:sectPr>
          <w:pgSz w:w="15840" w:h="12240"/>
          <w:pgMar w:top="792" w:right="648" w:bottom="792" w:left="648" w:header="720" w:footer="720" w:gutter="0"/>
          <w:cols w:space="720"/>
          <w:docGrid w:linePitch="360"/>
        </w:sectPr>
      </w:pPr>
    </w:p>
    <w:p/>
    <w:p>
      <w:pPr>
        <w:pStyle w:val="Heading3"/>
      </w:pPr>
      <w:r>
        <w:t>Main Lifecycle Gaps</w:t>
      </w:r>
    </w:p>
    <w:p/>
    <w:p>
      <w:r>
        <w:t>1. Orchestration vs Governance: Whether LangGraph / LangSmith orchestration and observability primitives extend to lifecycle responsibility governance requires validation.</w:t>
      </w:r>
    </w:p>
    <w:p>
      <w:r>
        <w:t>2. Traces vs Evidence Partitioning: Whether LangSmith traces map to MAS evidence partitioning with agent, tool, authority, and privacy boundaries requires validation.</w:t>
      </w:r>
    </w:p>
    <w:p>
      <w:r>
        <w:t>3. Human-Role-to-MAS Responsibility Mapping: Whether LangGraph / LangSmith maps human roles to MAS responsibility semantics requires validation.</w:t>
      </w:r>
    </w:p>
    <w:p>
      <w:r>
        <w:t>4. Delegated Authority Boundary: Whether LangGraph / LangSmith defines and enforces authority boundaries for agent actions requires validation.</w:t>
      </w:r>
    </w:p>
    <w:p>
      <w:r>
        <w:t>5. Accepted Outcome Compliance: Whether LangGraph / LangSmith separates execution completion from outcome acceptance requires validation.</w:t>
      </w:r>
    </w:p>
    <w:p>
      <w:r>
        <w:t>6. Incident/Dispute/Remediation Closure: Whether LangGraph / LangSmith provides incident, dispute, and remediation closure mechanisms requires validation.</w:t>
      </w:r>
    </w:p>
    <w:p/>
    <w:p>
      <w:pPr>
        <w:pStyle w:val="Heading3"/>
      </w:pPr>
      <w:r>
        <w:t>Boundary Note</w:t>
      </w:r>
    </w:p>
    <w:p/>
    <w:p>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
    <w:p>
      <w:pPr>
        <w:pStyle w:val="Heading2"/>
      </w:pPr>
      <w:r>
        <w:t>12.9 OpenAI Agents SDK — Developer-Focused Agent Execution Framework</w:t>
      </w:r>
    </w:p>
    <w:p/>
    <w:p>
      <w:pPr>
        <w:pStyle w:val="Heading3"/>
      </w:pPr>
      <w:r>
        <w:t>System Positioning</w:t>
      </w:r>
    </w:p>
    <w:p/>
    <w:p>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
      <w:r>
        <w:t>What this paper evaluates:</w:t>
      </w:r>
    </w:p>
    <w:p>
      <w:pPr>
        <w:pStyle w:val="ListBullet"/>
      </w:pPr>
      <w:r>
        <w:t>Whether OpenAI Agents SDK provides governance primitives for RCCS dimensions</w:t>
      </w:r>
    </w:p>
    <w:p>
      <w:pPr>
        <w:pStyle w:val="ListBullet"/>
      </w:pPr>
      <w:r>
        <w:t>Whether OpenAI Agents SDK provides lifecycle responsibility objects for ALCS dimensions</w:t>
      </w:r>
    </w:p>
    <w:p>
      <w:pPr>
        <w:pStyle w:val="ListBullet"/>
      </w:pPr>
      <w:r>
        <w:t>Whether public documentation supports RCCS and ALCS mapping</w:t>
      </w:r>
    </w:p>
    <w:p/>
    <w:p>
      <w:r>
        <w:t>What this paper does not infer:</w:t>
      </w:r>
    </w:p>
    <w:p>
      <w:pPr>
        <w:pStyle w:val="ListBullet"/>
      </w:pPr>
      <w:r>
        <w:t>OpenAI Agents SDK is not evaluated for product quality, market leadership, or procurement suitability.</w:t>
      </w:r>
    </w:p>
    <w:p>
      <w:pPr>
        <w:pStyle w:val="ListBullet"/>
      </w:pPr>
      <w:r>
        <w:t>RCCS and ALCS posture requires validation: execution framework features do not automatically provide enterprise governance, audit readiness, accepted outcome, or lifecycle responsibility semantics.</w:t>
      </w:r>
    </w:p>
    <w:p>
      <w:pPr>
        <w:pStyle w:val="ListBullet"/>
      </w:pPr>
      <w:r>
        <w:t>Tool calling and agent execution are not identical to tool-action liability boundary.</w:t>
      </w:r>
    </w:p>
    <w:p>
      <w:pPr>
        <w:pStyle w:val="ListBullet"/>
      </w:pPr>
      <w:r>
        <w:t>Developer primitives are not identical to enterprise lifecycle governance objects.</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Area</w:t>
            </w:r>
          </w:p>
        </w:tc>
        <w:tc>
          <w:tcPr>
            <w:tcW w:type="dxa" w:w="2556"/>
            <w:vAlign w:val="top"/>
            <w:shd w:fill="D9EAF7"/>
          </w:tcPr>
          <w:p>
            <w:pPr>
              <w:spacing w:after="0"/>
              <w:jc w:val="left"/>
            </w:pPr>
            <w:r>
              <w:rPr>
                <w:rFonts w:ascii="Arial" w:hAnsi="Arial"/>
                <w:b/>
                <w:sz w:val="14"/>
              </w:rPr>
              <w:t>Source Type</w:t>
            </w:r>
          </w:p>
        </w:tc>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Revalidation Needed</w:t>
            </w:r>
          </w:p>
        </w:tc>
      </w:tr>
      <w:tr>
        <w:trPr>
          <w:cantSplit/>
        </w:trPr>
        <w:tc>
          <w:tcPr>
            <w:tcW w:type="dxa" w:w="2556"/>
            <w:vAlign w:val="top"/>
          </w:tcPr>
          <w:p>
            <w:pPr>
              <w:spacing w:after="0"/>
              <w:jc w:val="left"/>
            </w:pPr>
            <w:r>
              <w:rPr>
                <w:rFonts w:ascii="Arial" w:hAnsi="Arial"/>
                <w:b w:val="0"/>
                <w:sz w:val="14"/>
              </w:rPr>
              <w:t>Agent execution framework</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Tool calling and tool use</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Model access and APIs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Developer primitives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Agentic lifecycle objects</w:t>
            </w:r>
          </w:p>
        </w:tc>
        <w:tc>
          <w:tcPr>
            <w:tcW w:type="dxa" w:w="2556"/>
            <w:vAlign w:val="top"/>
          </w:tcPr>
          <w:p>
            <w:pPr>
              <w:spacing w:after="0"/>
              <w:jc w:val="left"/>
            </w:pPr>
            <w:r>
              <w:rPr>
                <w:rFonts w:ascii="Arial" w:hAnsi="Arial"/>
                <w:b w:val="0"/>
                <w:sz w:val="14"/>
              </w:rPr>
              <w:t>Official product docs</w:t>
            </w:r>
          </w:p>
        </w:tc>
        <w:tc>
          <w:tcPr>
            <w:tcW w:type="dxa" w:w="2556"/>
            <w:vAlign w:val="top"/>
          </w:tcPr>
          <w:p>
            <w:pPr>
              <w:spacing w:after="0"/>
              <w:jc w:val="left"/>
            </w:pPr>
            <w:r>
              <w:rPr>
                <w:rFonts w:ascii="Arial" w:hAnsi="Arial"/>
                <w:b w:val="0"/>
                <w:sz w:val="14"/>
              </w:rPr>
              <w:t>L2 (if available) or L5 (author inference)</w:t>
            </w:r>
          </w:p>
        </w:tc>
        <w:tc>
          <w:tcPr>
            <w:tcW w:type="dxa" w:w="2556"/>
            <w:vAlign w:val="top"/>
          </w:tcPr>
          <w:p>
            <w:pPr>
              <w:spacing w:after="0"/>
              <w:jc w:val="left"/>
            </w:pPr>
            <w:r>
              <w:rPr>
                <w:rFonts w:ascii="Arial" w:hAnsi="Arial"/>
                <w:b w:val="0"/>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[OPENAI-AGENTS-SDK-DOCS]</w:t>
      </w:r>
    </w:p>
    <w:p>
      <w:pPr>
        <w:pStyle w:val="ListBullet"/>
      </w:pPr>
      <w:r>
        <w:t>[OPENAI-TOOLS-DOCS]</w:t>
      </w:r>
    </w:p>
    <w:p/>
    <w:p>
      <w:pPr>
        <w:pStyle w:val="Heading3"/>
      </w:pPr>
      <w:r>
        <w:t>RCCS Mapping Summary</w:t>
      </w:r>
    </w:p>
    <w:p/>
    <w:p>
      <w:pPr>
        <w:keepNext/>
      </w:pPr>
      <w:r>
        <w:rPr>
          <w:b/>
          <w:sz w:val="17"/>
        </w:rPr>
        <w:t>Table T-12-14: OpenAI Agents SDK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RCCS Dimension</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Risk Management</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framework; risk management requires additional governance layer</w:t>
            </w:r>
          </w:p>
        </w:tc>
      </w:tr>
      <w:tr>
        <w:trPr>
          <w:cantSplit/>
        </w:trPr>
        <w:tc>
          <w:tcPr>
            <w:tcW w:type="dxa" w:w="2556"/>
            <w:vAlign w:val="top"/>
          </w:tcPr>
          <w:p>
            <w:pPr>
              <w:spacing w:after="0"/>
              <w:jc w:val="left"/>
            </w:pPr>
            <w:r>
              <w:rPr>
                <w:rFonts w:ascii="Arial" w:hAnsi="Arial"/>
                <w:b w:val="0"/>
                <w:sz w:val="14"/>
              </w:rPr>
              <w:t>Data Governance</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framework; data governance requires additional governance layer</w:t>
            </w:r>
          </w:p>
        </w:tc>
      </w:tr>
      <w:tr>
        <w:trPr>
          <w:cantSplit/>
        </w:trPr>
        <w:tc>
          <w:tcPr>
            <w:tcW w:type="dxa" w:w="2556"/>
            <w:vAlign w:val="top"/>
          </w:tcPr>
          <w:p>
            <w:pPr>
              <w:spacing w:after="0"/>
              <w:jc w:val="left"/>
            </w:pPr>
            <w:r>
              <w:rPr>
                <w:rFonts w:ascii="Arial" w:hAnsi="Arial"/>
                <w:b w:val="0"/>
                <w:sz w:val="14"/>
              </w:rPr>
              <w:t>Documentation</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Developer docs exist; governance documentation requires additional layer</w:t>
            </w:r>
          </w:p>
        </w:tc>
      </w:tr>
      <w:tr>
        <w:trPr>
          <w:cantSplit/>
        </w:trPr>
        <w:tc>
          <w:tcPr>
            <w:tcW w:type="dxa" w:w="2556"/>
            <w:vAlign w:val="top"/>
          </w:tcPr>
          <w:p>
            <w:pPr>
              <w:spacing w:after="0"/>
              <w:jc w:val="left"/>
            </w:pPr>
            <w:r>
              <w:rPr>
                <w:rFonts w:ascii="Arial" w:hAnsi="Arial"/>
                <w:b w:val="0"/>
                <w:sz w:val="14"/>
              </w:rPr>
              <w:t>Record-Keeping</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logs may exist; audit-ready record-keeping requires additional layer</w:t>
            </w:r>
          </w:p>
        </w:tc>
      </w:tr>
      <w:tr>
        <w:trPr>
          <w:cantSplit/>
        </w:trPr>
        <w:tc>
          <w:tcPr>
            <w:tcW w:type="dxa" w:w="2556"/>
            <w:vAlign w:val="top"/>
          </w:tcPr>
          <w:p>
            <w:pPr>
              <w:spacing w:after="0"/>
              <w:jc w:val="left"/>
            </w:pPr>
            <w:r>
              <w:rPr>
                <w:rFonts w:ascii="Arial" w:hAnsi="Arial"/>
                <w:b w:val="0"/>
                <w:sz w:val="14"/>
              </w:rPr>
              <w:t>Transparency</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framework; transparency requires additional governance layer</w:t>
            </w:r>
          </w:p>
        </w:tc>
      </w:tr>
      <w:tr>
        <w:trPr>
          <w:cantSplit/>
        </w:trPr>
        <w:tc>
          <w:tcPr>
            <w:tcW w:type="dxa" w:w="2556"/>
            <w:vAlign w:val="top"/>
          </w:tcPr>
          <w:p>
            <w:pPr>
              <w:spacing w:after="0"/>
              <w:jc w:val="left"/>
            </w:pPr>
            <w:r>
              <w:rPr>
                <w:rFonts w:ascii="Arial" w:hAnsi="Arial"/>
                <w:b w:val="0"/>
                <w:sz w:val="14"/>
              </w:rPr>
              <w:t>Human Oversight</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framework; human oversight requires additional governance layer</w:t>
            </w:r>
          </w:p>
        </w:tc>
      </w:tr>
      <w:tr>
        <w:trPr>
          <w:cantSplit/>
        </w:trPr>
        <w:tc>
          <w:tcPr>
            <w:tcW w:type="dxa" w:w="2556"/>
            <w:vAlign w:val="top"/>
          </w:tcPr>
          <w:p>
            <w:pPr>
              <w:spacing w:after="0"/>
              <w:jc w:val="left"/>
            </w:pPr>
            <w:r>
              <w:rPr>
                <w:rFonts w:ascii="Arial" w:hAnsi="Arial"/>
                <w:b w:val="0"/>
                <w:sz w:val="14"/>
              </w:rPr>
              <w:t>Security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L2 reviewed</w:t>
            </w:r>
          </w:p>
        </w:tc>
        <w:tc>
          <w:tcPr>
            <w:tcW w:type="dxa" w:w="2556"/>
            <w:vAlign w:val="top"/>
          </w:tcPr>
          <w:p>
            <w:pPr>
              <w:spacing w:after="0"/>
              <w:jc w:val="left"/>
            </w:pPr>
            <w:r>
              <w:rPr>
                <w:rFonts w:ascii="Arial" w:hAnsi="Arial"/>
                <w:b w:val="0"/>
                <w:sz w:val="14"/>
              </w:rPr>
              <w:t>API security exists; enterprise security depends on deployment</w:t>
            </w:r>
          </w:p>
        </w:tc>
      </w:tr>
      <w:tr>
        <w:trPr>
          <w:cantSplit/>
        </w:trPr>
        <w:tc>
          <w:tcPr>
            <w:tcW w:type="dxa" w:w="2556"/>
            <w:vAlign w:val="top"/>
          </w:tcPr>
          <w:p>
            <w:pPr>
              <w:spacing w:after="0"/>
              <w:jc w:val="left"/>
            </w:pPr>
            <w:r>
              <w:rPr>
                <w:rFonts w:ascii="Arial" w:hAnsi="Arial"/>
                <w:b w:val="0"/>
                <w:sz w:val="14"/>
              </w:rPr>
              <w:t>Accountability</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framework; accountability requires additional governance layer</w:t>
            </w:r>
          </w:p>
        </w:tc>
      </w:tr>
      <w:tr>
        <w:trPr>
          <w:cantSplit/>
        </w:trPr>
        <w:tc>
          <w:tcPr>
            <w:tcW w:type="dxa" w:w="2556"/>
            <w:vAlign w:val="top"/>
          </w:tcPr>
          <w:p>
            <w:pPr>
              <w:spacing w:after="0"/>
              <w:jc w:val="left"/>
            </w:pPr>
            <w:r>
              <w:rPr>
                <w:rFonts w:ascii="Arial" w:hAnsi="Arial"/>
                <w:b w:val="0"/>
                <w:sz w:val="14"/>
              </w:rPr>
              <w:t>Contestability</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framework; contestability requires additional governance layer</w:t>
            </w:r>
          </w:p>
        </w:tc>
      </w:tr>
      <w:tr>
        <w:trPr>
          <w:cantSplit/>
        </w:trPr>
        <w:tc>
          <w:tcPr>
            <w:tcW w:type="dxa" w:w="2556"/>
            <w:vAlign w:val="top"/>
          </w:tcPr>
          <w:p>
            <w:pPr>
              <w:spacing w:after="0"/>
              <w:jc w:val="left"/>
            </w:pPr>
            <w:r>
              <w:rPr>
                <w:rFonts w:ascii="Arial" w:hAnsi="Arial"/>
                <w:b w:val="0"/>
                <w:sz w:val="14"/>
              </w:rPr>
              <w:t>Monitoring</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logs may exist; governance monitoring requires additional layer</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sz w:val="17"/>
        </w:rPr>
        <w:t>Table T-12-15: OpenAI Agents SDK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ALCS Area</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Role / Authority / Acceptance (ALCS-01 to ALCS-04)</w:t>
            </w:r>
          </w:p>
        </w:tc>
        <w:tc>
          <w:tcPr>
            <w:tcW w:type="dxa" w:w="2556"/>
            <w:vAlign w:val="top"/>
          </w:tcPr>
          <w:p>
            <w:pPr>
              <w:spacing w:after="0"/>
              <w:jc w:val="left"/>
            </w:pPr>
            <w:r>
              <w:rPr>
                <w:rFonts w:ascii="Arial" w:hAnsi="Arial"/>
                <w:b w:val="0"/>
                <w:sz w:val="14"/>
              </w:rPr>
              <w:t>Weak to Partial</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rPr>
          <w:cantSplit/>
        </w:trPr>
        <w:tc>
          <w:tcPr>
            <w:tcW w:type="dxa" w:w="2556"/>
            <w:vAlign w:val="top"/>
          </w:tcPr>
          <w:p>
            <w:pPr>
              <w:spacing w:after="0"/>
              <w:jc w:val="left"/>
            </w:pPr>
            <w:r>
              <w:rPr>
                <w:rFonts w:ascii="Arial" w:hAnsi="Arial"/>
                <w:b w:val="0"/>
                <w:sz w:val="14"/>
              </w:rPr>
              <w:t>Tool Action / Transfer / Drift / Evidence (ALCS-05 to ALCS-08)</w:t>
            </w:r>
          </w:p>
        </w:tc>
        <w:tc>
          <w:tcPr>
            <w:tcW w:type="dxa" w:w="2556"/>
            <w:vAlign w:val="top"/>
          </w:tcPr>
          <w:p>
            <w:pPr>
              <w:spacing w:after="0"/>
              <w:jc w:val="left"/>
            </w:pPr>
            <w:r>
              <w:rPr>
                <w:rFonts w:ascii="Arial" w:hAnsi="Arial"/>
                <w:b w:val="0"/>
                <w:sz w:val="14"/>
              </w:rPr>
              <w:t>Weak to Partial</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Tool calling exists; tool-action liability, responsibility transfer, authority drift detection, MAS evidence partitioning require additional governance semantics</w:t>
            </w:r>
          </w:p>
        </w:tc>
      </w:tr>
      <w:tr>
        <w:trPr>
          <w:cantSplit/>
        </w:trPr>
        <w:tc>
          <w:tcPr>
            <w:tcW w:type="dxa" w:w="2556"/>
            <w:vAlign w:val="top"/>
          </w:tcPr>
          <w:p>
            <w:pPr>
              <w:spacing w:after="0"/>
              <w:jc w:val="left"/>
            </w:pPr>
            <w:r>
              <w:rPr>
                <w:rFonts w:ascii="Arial" w:hAnsi="Arial"/>
                <w:b w:val="0"/>
                <w:sz w:val="14"/>
              </w:rPr>
              <w:t>Reuse / Privacy / Validation (ALCS-09 to ALCS-11)</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framework; cross-project reuse compliance, privacy lifecycle mapping, privacy-preserving validation require additional governance layer</w:t>
            </w:r>
          </w:p>
        </w:tc>
      </w:tr>
      <w:tr>
        <w:trPr>
          <w:cantSplit/>
        </w:trPr>
        <w:tc>
          <w:tcPr>
            <w:tcW w:type="dxa" w:w="2556"/>
            <w:vAlign w:val="top"/>
          </w:tcPr>
          <w:p>
            <w:pPr>
              <w:spacing w:after="0"/>
              <w:jc w:val="left"/>
            </w:pPr>
            <w:r>
              <w:rPr>
                <w:rFonts w:ascii="Arial" w:hAnsi="Arial"/>
                <w:b w:val="0"/>
                <w:sz w:val="14"/>
              </w:rPr>
              <w:t>Evidence Minimization / Data Subject Rights / Processor Chain (ALCS-12 to ALCS-14)</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framework; evidence minimization, data subject rights reconciliation, processor chain tracking require additional governance layer</w:t>
            </w:r>
          </w:p>
        </w:tc>
      </w:tr>
      <w:tr>
        <w:trPr>
          <w:cantSplit/>
        </w:trPr>
        <w:tc>
          <w:tcPr>
            <w:tcW w:type="dxa" w:w="2556"/>
            <w:vAlign w:val="top"/>
          </w:tcPr>
          <w:p>
            <w:pPr>
              <w:spacing w:after="0"/>
              <w:jc w:val="left"/>
            </w:pPr>
            <w:r>
              <w:rPr>
                <w:rFonts w:ascii="Arial" w:hAnsi="Arial"/>
                <w:b w:val="0"/>
                <w:sz w:val="14"/>
              </w:rPr>
              <w:t>Substitution Conformance (ALCS-15)</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Execution framework; vendor/model/runtime substitution conformance requires additional governance layer</w:t>
            </w:r>
          </w:p>
        </w:tc>
      </w:tr>
    </w:tbl>
    <w:p>
      <w:pPr>
        <w:sectPr>
          <w:pgSz w:w="15840" w:h="12240"/>
          <w:pgMar w:top="792" w:right="648" w:bottom="792" w:left="648" w:header="720" w:footer="720" w:gutter="0"/>
          <w:cols w:space="720"/>
          <w:docGrid w:linePitch="360"/>
        </w:sectPr>
      </w:pPr>
    </w:p>
    <w:p/>
    <w:p>
      <w:pPr>
        <w:pStyle w:val="Heading3"/>
      </w:pPr>
      <w:r>
        <w:t>Main Lifecycle Gaps</w:t>
      </w:r>
    </w:p>
    <w:p/>
    <w:p>
      <w:r>
        <w:t>1. Execution Framework vs Governance Layer: Whether OpenAI Agents SDK execution primitives extend to lifecycle responsibility governance requires validation.</w:t>
      </w:r>
    </w:p>
    <w:p>
      <w:r>
        <w:t>2. Tool Calling vs Tool-Action Liability: Whether OpenAI Agents SDK tool calling maps to tool-action liability boundary requires validation.</w:t>
      </w:r>
    </w:p>
    <w:p>
      <w:r>
        <w:t>3. Developer Primitives vs Enterprise Governance: Whether OpenAI Agents SDK developer primitives extend to enterprise governance objects requires validation.</w:t>
      </w:r>
    </w:p>
    <w:p>
      <w:r>
        <w:t>4. Delegated Authority Boundary: Whether OpenAI Agents SDK defines and enforces authority boundaries for agent actions requires validation.</w:t>
      </w:r>
    </w:p>
    <w:p>
      <w:r>
        <w:t>5. Accepted Outcome Compliance: Whether OpenAI Agents SDK separates execution completion from outcome acceptance requires validation.</w:t>
      </w:r>
    </w:p>
    <w:p>
      <w:r>
        <w:t>6. Human Accountability Mapping: Whether OpenAI Agents SDK maps agent actions to human accountability requires validation.</w:t>
      </w:r>
    </w:p>
    <w:p/>
    <w:p>
      <w:pPr>
        <w:pStyle w:val="Heading3"/>
      </w:pPr>
      <w:r>
        <w:t>Boundary Note</w:t>
      </w:r>
    </w:p>
    <w:p/>
    <w:p>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
    <w:p>
      <w:pPr>
        <w:pStyle w:val="Heading2"/>
      </w:pPr>
      <w:r>
        <w:t>12.10 CrewAI — Multi-Agent Collaboration and Role-Based Orchestration Framework</w:t>
      </w:r>
    </w:p>
    <w:p/>
    <w:p>
      <w:pPr>
        <w:pStyle w:val="Heading3"/>
      </w:pPr>
      <w:r>
        <w:t>System Positioning</w:t>
      </w:r>
    </w:p>
    <w:p/>
    <w:p>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
      <w:r>
        <w:t>What this paper evaluates:</w:t>
      </w:r>
    </w:p>
    <w:p>
      <w:pPr>
        <w:pStyle w:val="ListBullet"/>
      </w:pPr>
      <w:r>
        <w:t>Whether CrewAI provides governance primitives for RCCS dimensions</w:t>
      </w:r>
    </w:p>
    <w:p>
      <w:pPr>
        <w:pStyle w:val="ListBullet"/>
      </w:pPr>
      <w:r>
        <w:t>Whether CrewAI provides lifecycle responsibility objects for ALCS dimensions</w:t>
      </w:r>
    </w:p>
    <w:p>
      <w:pPr>
        <w:pStyle w:val="ListBullet"/>
      </w:pPr>
      <w:r>
        <w:t>Whether public documentation supports RCCS and ALCS mapping</w:t>
      </w:r>
    </w:p>
    <w:p/>
    <w:p>
      <w:r>
        <w:t>What this paper does not infer:</w:t>
      </w:r>
    </w:p>
    <w:p>
      <w:pPr>
        <w:pStyle w:val="ListBullet"/>
      </w:pPr>
      <w:r>
        <w:t>CrewAI is not evaluated for product quality, market leadership, or procurement suitability.</w:t>
      </w:r>
    </w:p>
    <w:p>
      <w:pPr>
        <w:pStyle w:val="ListBullet"/>
      </w:pPr>
      <w:r>
        <w:t>RCCS and ALCS posture requires validation: agent role labels and task orchestration do not automatically provide governance responsibility semantics.</w:t>
      </w:r>
    </w:p>
    <w:p>
      <w:pPr>
        <w:pStyle w:val="ListBullet"/>
      </w:pPr>
      <w:r>
        <w:t>Agent role labels are not identical to human accountability roles.</w:t>
      </w:r>
    </w:p>
    <w:p>
      <w:pPr>
        <w:pStyle w:val="ListBullet"/>
      </w:pPr>
      <w:r>
        <w:t>Role-based orchestration is not identical to human-role-to-MAS responsibility mapping.</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Evidence Area</w:t>
            </w:r>
          </w:p>
        </w:tc>
        <w:tc>
          <w:tcPr>
            <w:tcW w:type="dxa" w:w="2556"/>
            <w:vAlign w:val="top"/>
            <w:shd w:fill="D9EAF7"/>
          </w:tcPr>
          <w:p>
            <w:pPr>
              <w:spacing w:after="0"/>
              <w:jc w:val="left"/>
            </w:pPr>
            <w:r>
              <w:rPr>
                <w:rFonts w:ascii="Arial" w:hAnsi="Arial"/>
                <w:b/>
                <w:sz w:val="14"/>
              </w:rPr>
              <w:t>Source Type</w:t>
            </w:r>
          </w:p>
        </w:tc>
        <w:tc>
          <w:tcPr>
            <w:tcW w:type="dxa" w:w="2556"/>
            <w:vAlign w:val="top"/>
            <w:shd w:fill="D9EAF7"/>
          </w:tcPr>
          <w:p>
            <w:pPr>
              <w:spacing w:after="0"/>
              <w:jc w:val="left"/>
            </w:pPr>
            <w:r>
              <w:rPr>
                <w:rFonts w:ascii="Arial" w:hAnsi="Arial"/>
                <w:b/>
                <w:sz w:val="14"/>
              </w:rPr>
              <w:t>Evidence Level</w:t>
            </w:r>
          </w:p>
        </w:tc>
        <w:tc>
          <w:tcPr>
            <w:tcW w:type="dxa" w:w="2556"/>
            <w:vAlign w:val="top"/>
            <w:shd w:fill="D9EAF7"/>
          </w:tcPr>
          <w:p>
            <w:pPr>
              <w:spacing w:after="0"/>
              <w:jc w:val="left"/>
            </w:pPr>
            <w:r>
              <w:rPr>
                <w:rFonts w:ascii="Arial" w:hAnsi="Arial"/>
                <w:b/>
                <w:sz w:val="14"/>
              </w:rPr>
              <w:t>Revalidation Needed</w:t>
            </w:r>
          </w:p>
        </w:tc>
      </w:tr>
      <w:tr>
        <w:trPr>
          <w:cantSplit/>
        </w:trPr>
        <w:tc>
          <w:tcPr>
            <w:tcW w:type="dxa" w:w="2556"/>
            <w:vAlign w:val="top"/>
          </w:tcPr>
          <w:p>
            <w:pPr>
              <w:spacing w:after="0"/>
              <w:jc w:val="left"/>
            </w:pPr>
            <w:r>
              <w:rPr>
                <w:rFonts w:ascii="Arial" w:hAnsi="Arial"/>
                <w:b w:val="0"/>
                <w:sz w:val="14"/>
              </w:rPr>
              <w:t>Multi-agent collaboration</w:t>
            </w:r>
          </w:p>
        </w:tc>
        <w:tc>
          <w:tcPr>
            <w:tcW w:type="dxa" w:w="2556"/>
            <w:vAlign w:val="top"/>
          </w:tcPr>
          <w:p>
            <w:pPr>
              <w:spacing w:after="0"/>
              <w:jc w:val="left"/>
            </w:pPr>
            <w:r>
              <w:rPr>
                <w:rFonts w:ascii="Arial" w:hAnsi="Arial"/>
                <w:b w:val="0"/>
                <w:sz w:val="14"/>
              </w:rPr>
              <w:t>Official docs or GitHub</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Role-based orchestration</w:t>
            </w:r>
          </w:p>
        </w:tc>
        <w:tc>
          <w:tcPr>
            <w:tcW w:type="dxa" w:w="2556"/>
            <w:vAlign w:val="top"/>
          </w:tcPr>
          <w:p>
            <w:pPr>
              <w:spacing w:after="0"/>
              <w:jc w:val="left"/>
            </w:pPr>
            <w:r>
              <w:rPr>
                <w:rFonts w:ascii="Arial" w:hAnsi="Arial"/>
                <w:b w:val="0"/>
                <w:sz w:val="14"/>
              </w:rPr>
              <w:t>Official docs or GitHub</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Task assignment and delegation</w:t>
            </w:r>
          </w:p>
        </w:tc>
        <w:tc>
          <w:tcPr>
            <w:tcW w:type="dxa" w:w="2556"/>
            <w:vAlign w:val="top"/>
          </w:tcPr>
          <w:p>
            <w:pPr>
              <w:spacing w:after="0"/>
              <w:jc w:val="left"/>
            </w:pPr>
            <w:r>
              <w:rPr>
                <w:rFonts w:ascii="Arial" w:hAnsi="Arial"/>
                <w:b w:val="0"/>
                <w:sz w:val="14"/>
              </w:rPr>
              <w:t>Official docs or GitHub</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Agent role composition</w:t>
            </w:r>
          </w:p>
        </w:tc>
        <w:tc>
          <w:tcPr>
            <w:tcW w:type="dxa" w:w="2556"/>
            <w:vAlign w:val="top"/>
          </w:tcPr>
          <w:p>
            <w:pPr>
              <w:spacing w:after="0"/>
              <w:jc w:val="left"/>
            </w:pPr>
            <w:r>
              <w:rPr>
                <w:rFonts w:ascii="Arial" w:hAnsi="Arial"/>
                <w:b w:val="0"/>
                <w:sz w:val="14"/>
              </w:rPr>
              <w:t>Official docs or GitHub</w:t>
            </w:r>
          </w:p>
        </w:tc>
        <w:tc>
          <w:tcPr>
            <w:tcW w:type="dxa" w:w="2556"/>
            <w:vAlign w:val="top"/>
          </w:tcPr>
          <w:p>
            <w:pPr>
              <w:spacing w:after="0"/>
              <w:jc w:val="left"/>
            </w:pPr>
            <w:r>
              <w:rPr>
                <w:rFonts w:ascii="Arial" w:hAnsi="Arial"/>
                <w:b w:val="0"/>
                <w:sz w:val="14"/>
              </w:rPr>
              <w:t>L2</w:t>
            </w:r>
          </w:p>
        </w:tc>
        <w:tc>
          <w:tcPr>
            <w:tcW w:type="dxa" w:w="2556"/>
            <w:vAlign w:val="top"/>
          </w:tcPr>
          <w:p>
            <w:pPr>
              <w:spacing w:after="0"/>
              <w:jc w:val="left"/>
            </w:pPr>
            <w:r>
              <w:rPr>
                <w:rFonts w:ascii="Arial" w:hAnsi="Arial"/>
                <w:b w:val="0"/>
                <w:sz w:val="14"/>
              </w:rPr>
              <w:t>Phase 1C</w:t>
            </w:r>
          </w:p>
        </w:tc>
      </w:tr>
      <w:tr>
        <w:trPr>
          <w:cantSplit/>
        </w:trPr>
        <w:tc>
          <w:tcPr>
            <w:tcW w:type="dxa" w:w="2556"/>
            <w:vAlign w:val="top"/>
          </w:tcPr>
          <w:p>
            <w:pPr>
              <w:spacing w:after="0"/>
              <w:jc w:val="left"/>
            </w:pPr>
            <w:r>
              <w:rPr>
                <w:rFonts w:ascii="Arial" w:hAnsi="Arial"/>
                <w:b w:val="0"/>
                <w:sz w:val="14"/>
              </w:rPr>
              <w:t>Agentic lifecycle objects</w:t>
            </w:r>
          </w:p>
        </w:tc>
        <w:tc>
          <w:tcPr>
            <w:tcW w:type="dxa" w:w="2556"/>
            <w:vAlign w:val="top"/>
          </w:tcPr>
          <w:p>
            <w:pPr>
              <w:spacing w:after="0"/>
              <w:jc w:val="left"/>
            </w:pPr>
            <w:r>
              <w:rPr>
                <w:rFonts w:ascii="Arial" w:hAnsi="Arial"/>
                <w:b w:val="0"/>
                <w:sz w:val="14"/>
              </w:rPr>
              <w:t>Official docs or GitHub</w:t>
            </w:r>
          </w:p>
        </w:tc>
        <w:tc>
          <w:tcPr>
            <w:tcW w:type="dxa" w:w="2556"/>
            <w:vAlign w:val="top"/>
          </w:tcPr>
          <w:p>
            <w:pPr>
              <w:spacing w:after="0"/>
              <w:jc w:val="left"/>
            </w:pPr>
            <w:r>
              <w:rPr>
                <w:rFonts w:ascii="Arial" w:hAnsi="Arial"/>
                <w:b w:val="0"/>
                <w:sz w:val="14"/>
              </w:rPr>
              <w:t>L2 (if available) or L5 (author inference)</w:t>
            </w:r>
          </w:p>
        </w:tc>
        <w:tc>
          <w:tcPr>
            <w:tcW w:type="dxa" w:w="2556"/>
            <w:vAlign w:val="top"/>
          </w:tcPr>
          <w:p>
            <w:pPr>
              <w:spacing w:after="0"/>
              <w:jc w:val="left"/>
            </w:pPr>
            <w:r>
              <w:rPr>
                <w:rFonts w:ascii="Arial" w:hAnsi="Arial"/>
                <w:b w:val="0"/>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[CREWAI-DOCS]</w:t>
      </w:r>
    </w:p>
    <w:p>
      <w:pPr>
        <w:pStyle w:val="ListBullet"/>
      </w:pPr>
      <w:r>
        <w:t>[CREWAI-GITHUB]</w:t>
      </w:r>
    </w:p>
    <w:p/>
    <w:p>
      <w:pPr>
        <w:pStyle w:val="Heading3"/>
      </w:pPr>
      <w:r>
        <w:t>RCCS Mapping Summary</w:t>
      </w:r>
    </w:p>
    <w:p/>
    <w:p>
      <w:pPr>
        <w:keepNext/>
      </w:pPr>
      <w:r>
        <w:rPr>
          <w:b/>
          <w:sz w:val="17"/>
        </w:rPr>
        <w:t>Table T-12-16: CrewAI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RCCS Dimension</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Risk Management</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risk management requires additional governance layer</w:t>
            </w:r>
          </w:p>
        </w:tc>
      </w:tr>
      <w:tr>
        <w:trPr>
          <w:cantSplit/>
        </w:trPr>
        <w:tc>
          <w:tcPr>
            <w:tcW w:type="dxa" w:w="2556"/>
            <w:vAlign w:val="top"/>
          </w:tcPr>
          <w:p>
            <w:pPr>
              <w:spacing w:after="0"/>
              <w:jc w:val="left"/>
            </w:pPr>
            <w:r>
              <w:rPr>
                <w:rFonts w:ascii="Arial" w:hAnsi="Arial"/>
                <w:b w:val="0"/>
                <w:sz w:val="14"/>
              </w:rPr>
              <w:t>Data Governance</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data governance requires additional governance layer</w:t>
            </w:r>
          </w:p>
        </w:tc>
      </w:tr>
      <w:tr>
        <w:trPr>
          <w:cantSplit/>
        </w:trPr>
        <w:tc>
          <w:tcPr>
            <w:tcW w:type="dxa" w:w="2556"/>
            <w:vAlign w:val="top"/>
          </w:tcPr>
          <w:p>
            <w:pPr>
              <w:spacing w:after="0"/>
              <w:jc w:val="left"/>
            </w:pPr>
            <w:r>
              <w:rPr>
                <w:rFonts w:ascii="Arial" w:hAnsi="Arial"/>
                <w:b w:val="0"/>
                <w:sz w:val="14"/>
              </w:rPr>
              <w:t>Documentation</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Role and task definitions provide documentation primitives</w:t>
            </w:r>
          </w:p>
        </w:tc>
      </w:tr>
      <w:tr>
        <w:trPr>
          <w:cantSplit/>
        </w:trPr>
        <w:tc>
          <w:tcPr>
            <w:tcW w:type="dxa" w:w="2556"/>
            <w:vAlign w:val="top"/>
          </w:tcPr>
          <w:p>
            <w:pPr>
              <w:spacing w:after="0"/>
              <w:jc w:val="left"/>
            </w:pPr>
            <w:r>
              <w:rPr>
                <w:rFonts w:ascii="Arial" w:hAnsi="Arial"/>
                <w:b w:val="0"/>
                <w:sz w:val="14"/>
              </w:rPr>
              <w:t>Record-Keeping</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audit-ready record-keeping requires additional layer</w:t>
            </w:r>
          </w:p>
        </w:tc>
      </w:tr>
      <w:tr>
        <w:trPr>
          <w:cantSplit/>
        </w:trPr>
        <w:tc>
          <w:tcPr>
            <w:tcW w:type="dxa" w:w="2556"/>
            <w:vAlign w:val="top"/>
          </w:tcPr>
          <w:p>
            <w:pPr>
              <w:spacing w:after="0"/>
              <w:jc w:val="left"/>
            </w:pPr>
            <w:r>
              <w:rPr>
                <w:rFonts w:ascii="Arial" w:hAnsi="Arial"/>
                <w:b w:val="0"/>
                <w:sz w:val="14"/>
              </w:rPr>
              <w:t>Transparency</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Role-based orchestration provides some transparency; governance transparency requires additional layer</w:t>
            </w:r>
          </w:p>
        </w:tc>
      </w:tr>
      <w:tr>
        <w:trPr>
          <w:cantSplit/>
        </w:trPr>
        <w:tc>
          <w:tcPr>
            <w:tcW w:type="dxa" w:w="2556"/>
            <w:vAlign w:val="top"/>
          </w:tcPr>
          <w:p>
            <w:pPr>
              <w:spacing w:after="0"/>
              <w:jc w:val="left"/>
            </w:pPr>
            <w:r>
              <w:rPr>
                <w:rFonts w:ascii="Arial" w:hAnsi="Arial"/>
                <w:b w:val="0"/>
                <w:sz w:val="14"/>
              </w:rPr>
              <w:t>Human Oversight</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human oversight requires additional governance layer</w:t>
            </w:r>
          </w:p>
        </w:tc>
      </w:tr>
      <w:tr>
        <w:trPr>
          <w:cantSplit/>
        </w:trPr>
        <w:tc>
          <w:tcPr>
            <w:tcW w:type="dxa" w:w="2556"/>
            <w:vAlign w:val="top"/>
          </w:tcPr>
          <w:p>
            <w:pPr>
              <w:spacing w:after="0"/>
              <w:jc w:val="left"/>
            </w:pPr>
            <w:r>
              <w:rPr>
                <w:rFonts w:ascii="Arial" w:hAnsi="Arial"/>
                <w:b w:val="0"/>
                <w:sz w:val="14"/>
              </w:rPr>
              <w:t>Security</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Framework security depends on deployment environment</w:t>
            </w:r>
          </w:p>
        </w:tc>
      </w:tr>
      <w:tr>
        <w:trPr>
          <w:cantSplit/>
        </w:trPr>
        <w:tc>
          <w:tcPr>
            <w:tcW w:type="dxa" w:w="2556"/>
            <w:vAlign w:val="top"/>
          </w:tcPr>
          <w:p>
            <w:pPr>
              <w:spacing w:after="0"/>
              <w:jc w:val="left"/>
            </w:pPr>
            <w:r>
              <w:rPr>
                <w:rFonts w:ascii="Arial" w:hAnsi="Arial"/>
                <w:b w:val="0"/>
                <w:sz w:val="14"/>
              </w:rPr>
              <w:t>Accountability</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Agent roles exist; accountability requires additional governance layer</w:t>
            </w:r>
          </w:p>
        </w:tc>
      </w:tr>
      <w:tr>
        <w:trPr>
          <w:cantSplit/>
        </w:trPr>
        <w:tc>
          <w:tcPr>
            <w:tcW w:type="dxa" w:w="2556"/>
            <w:vAlign w:val="top"/>
          </w:tcPr>
          <w:p>
            <w:pPr>
              <w:spacing w:after="0"/>
              <w:jc w:val="left"/>
            </w:pPr>
            <w:r>
              <w:rPr>
                <w:rFonts w:ascii="Arial" w:hAnsi="Arial"/>
                <w:b w:val="0"/>
                <w:sz w:val="14"/>
              </w:rPr>
              <w:t>Contestability</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contestability requires additional governance layer</w:t>
            </w:r>
          </w:p>
        </w:tc>
      </w:tr>
      <w:tr>
        <w:trPr>
          <w:cantSplit/>
        </w:trPr>
        <w:tc>
          <w:tcPr>
            <w:tcW w:type="dxa" w:w="2556"/>
            <w:vAlign w:val="top"/>
          </w:tcPr>
          <w:p>
            <w:pPr>
              <w:spacing w:after="0"/>
              <w:jc w:val="left"/>
            </w:pPr>
            <w:r>
              <w:rPr>
                <w:rFonts w:ascii="Arial" w:hAnsi="Arial"/>
                <w:b w:val="0"/>
                <w:sz w:val="14"/>
              </w:rPr>
              <w:t>Monitoring</w:t>
            </w:r>
          </w:p>
        </w:tc>
        <w:tc>
          <w:tcPr>
            <w:tcW w:type="dxa" w:w="2556"/>
            <w:vAlign w:val="top"/>
          </w:tcPr>
          <w:p>
            <w:pPr>
              <w:spacing w:after="0"/>
              <w:jc w:val="left"/>
            </w:pPr>
            <w:r>
              <w:rPr>
                <w:rFonts w:ascii="Arial" w:hAnsi="Arial"/>
                <w:b w:val="0"/>
                <w:sz w:val="14"/>
              </w:rPr>
              <w:t>Weak to Moderate</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governance monitoring requires additional layer</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sz w:val="17"/>
        </w:rPr>
        <w:t>Table T-12-17: CrewAI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ALCS Area</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Evidence Basis</w:t>
            </w:r>
          </w:p>
        </w:tc>
        <w:tc>
          <w:tcPr>
            <w:tcW w:type="dxa" w:w="2556"/>
            <w:vAlign w:val="top"/>
            <w:shd w:fill="D9EAF7"/>
          </w:tcPr>
          <w:p>
            <w:pPr>
              <w:spacing w:after="0"/>
              <w:jc w:val="left"/>
            </w:pPr>
            <w:r>
              <w:rPr>
                <w:rFonts w:ascii="Arial" w:hAnsi="Arial"/>
                <w:b/>
                <w:sz w:val="14"/>
              </w:rPr>
              <w:t>Notes</w:t>
            </w:r>
          </w:p>
        </w:tc>
      </w:tr>
      <w:tr>
        <w:trPr>
          <w:cantSplit/>
        </w:trPr>
        <w:tc>
          <w:tcPr>
            <w:tcW w:type="dxa" w:w="2556"/>
            <w:vAlign w:val="top"/>
          </w:tcPr>
          <w:p>
            <w:pPr>
              <w:spacing w:after="0"/>
              <w:jc w:val="left"/>
            </w:pPr>
            <w:r>
              <w:rPr>
                <w:rFonts w:ascii="Arial" w:hAnsi="Arial"/>
                <w:b w:val="0"/>
                <w:sz w:val="14"/>
              </w:rPr>
              <w:t>Role / Authority / Acceptance (ALCS-01 to ALCS-04)</w:t>
            </w:r>
          </w:p>
        </w:tc>
        <w:tc>
          <w:tcPr>
            <w:tcW w:type="dxa" w:w="2556"/>
            <w:vAlign w:val="top"/>
          </w:tcPr>
          <w:p>
            <w:pPr>
              <w:spacing w:after="0"/>
              <w:jc w:val="left"/>
            </w:pPr>
            <w:r>
              <w:rPr>
                <w:rFonts w:ascii="Arial" w:hAnsi="Arial"/>
                <w:b w:val="0"/>
                <w:sz w:val="14"/>
              </w:rPr>
              <w:t>Weak to Partial</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rPr>
          <w:cantSplit/>
        </w:trPr>
        <w:tc>
          <w:tcPr>
            <w:tcW w:type="dxa" w:w="2556"/>
            <w:vAlign w:val="top"/>
          </w:tcPr>
          <w:p>
            <w:pPr>
              <w:spacing w:after="0"/>
              <w:jc w:val="left"/>
            </w:pPr>
            <w:r>
              <w:rPr>
                <w:rFonts w:ascii="Arial" w:hAnsi="Arial"/>
                <w:b w:val="0"/>
                <w:sz w:val="14"/>
              </w:rPr>
              <w:t>Tool Action / Transfer / Drift / Evidence (ALCS-05 to ALCS-08)</w:t>
            </w:r>
          </w:p>
        </w:tc>
        <w:tc>
          <w:tcPr>
            <w:tcW w:type="dxa" w:w="2556"/>
            <w:vAlign w:val="top"/>
          </w:tcPr>
          <w:p>
            <w:pPr>
              <w:spacing w:after="0"/>
              <w:jc w:val="left"/>
            </w:pPr>
            <w:r>
              <w:rPr>
                <w:rFonts w:ascii="Arial" w:hAnsi="Arial"/>
                <w:b w:val="0"/>
                <w:sz w:val="14"/>
              </w:rPr>
              <w:t>Weak to Partial</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Task delegation exists; tool-action liability, responsibility transfer, authority drift detection, MAS evidence partitioning require additional governance semantics</w:t>
            </w:r>
          </w:p>
        </w:tc>
      </w:tr>
      <w:tr>
        <w:trPr>
          <w:cantSplit/>
        </w:trPr>
        <w:tc>
          <w:tcPr>
            <w:tcW w:type="dxa" w:w="2556"/>
            <w:vAlign w:val="top"/>
          </w:tcPr>
          <w:p>
            <w:pPr>
              <w:spacing w:after="0"/>
              <w:jc w:val="left"/>
            </w:pPr>
            <w:r>
              <w:rPr>
                <w:rFonts w:ascii="Arial" w:hAnsi="Arial"/>
                <w:b w:val="0"/>
                <w:sz w:val="14"/>
              </w:rPr>
              <w:t>Reuse / Privacy / Validation (ALCS-09 to ALCS-11)</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cross-project reuse compliance, privacy lifecycle mapping, privacy-preserving validation require additional governance layer</w:t>
            </w:r>
          </w:p>
        </w:tc>
      </w:tr>
      <w:tr>
        <w:trPr>
          <w:cantSplit/>
        </w:trPr>
        <w:tc>
          <w:tcPr>
            <w:tcW w:type="dxa" w:w="2556"/>
            <w:vAlign w:val="top"/>
          </w:tcPr>
          <w:p>
            <w:pPr>
              <w:spacing w:after="0"/>
              <w:jc w:val="left"/>
            </w:pPr>
            <w:r>
              <w:rPr>
                <w:rFonts w:ascii="Arial" w:hAnsi="Arial"/>
                <w:b w:val="0"/>
                <w:sz w:val="14"/>
              </w:rPr>
              <w:t>Evidence Minimization / Data Subject Rights / Processor Chain (ALCS-12 to ALCS-14)</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evidence minimization, data subject rights reconciliation, processor chain tracking require additional governance layer</w:t>
            </w:r>
          </w:p>
        </w:tc>
      </w:tr>
      <w:tr>
        <w:trPr>
          <w:cantSplit/>
        </w:trPr>
        <w:tc>
          <w:tcPr>
            <w:tcW w:type="dxa" w:w="2556"/>
            <w:vAlign w:val="top"/>
          </w:tcPr>
          <w:p>
            <w:pPr>
              <w:spacing w:after="0"/>
              <w:jc w:val="left"/>
            </w:pPr>
            <w:r>
              <w:rPr>
                <w:rFonts w:ascii="Arial" w:hAnsi="Arial"/>
                <w:b w:val="0"/>
                <w:sz w:val="14"/>
              </w:rPr>
              <w:t>Substitution Conformance (ALCS-15)</w:t>
            </w:r>
          </w:p>
        </w:tc>
        <w:tc>
          <w:tcPr>
            <w:tcW w:type="dxa" w:w="2556"/>
            <w:vAlign w:val="top"/>
          </w:tcPr>
          <w:p>
            <w:pPr>
              <w:spacing w:after="0"/>
              <w:jc w:val="left"/>
            </w:pPr>
            <w:r>
              <w:rPr>
                <w:rFonts w:ascii="Arial" w:hAnsi="Arial"/>
                <w:b w:val="0"/>
                <w:sz w:val="14"/>
              </w:rPr>
              <w:t>Weak</w:t>
            </w:r>
          </w:p>
        </w:tc>
        <w:tc>
          <w:tcPr>
            <w:tcW w:type="dxa" w:w="2556"/>
            <w:vAlign w:val="top"/>
          </w:tcPr>
          <w:p>
            <w:pPr>
              <w:spacing w:after="0"/>
              <w:jc w:val="left"/>
            </w:pPr>
            <w:r>
              <w:rPr>
                <w:rFonts w:ascii="Arial" w:hAnsi="Arial"/>
                <w:b w:val="0"/>
                <w:sz w:val="14"/>
              </w:rPr>
              <w:t>L2 + L5 reviewed</w:t>
            </w:r>
          </w:p>
        </w:tc>
        <w:tc>
          <w:tcPr>
            <w:tcW w:type="dxa" w:w="2556"/>
            <w:vAlign w:val="top"/>
          </w:tcPr>
          <w:p>
            <w:pPr>
              <w:spacing w:after="0"/>
              <w:jc w:val="left"/>
            </w:pPr>
            <w:r>
              <w:rPr>
                <w:rFonts w:ascii="Arial" w:hAnsi="Arial"/>
                <w:b w:val="0"/>
                <w:sz w:val="14"/>
              </w:rPr>
              <w:t>Orchestration framework; vendor/model/runtime substitution conformance requires additional governance layer</w:t>
            </w:r>
          </w:p>
        </w:tc>
      </w:tr>
    </w:tbl>
    <w:p>
      <w:pPr>
        <w:sectPr>
          <w:pgSz w:w="15840" w:h="12240"/>
          <w:pgMar w:top="792" w:right="648" w:bottom="792" w:left="648" w:header="720" w:footer="720" w:gutter="0"/>
          <w:cols w:space="720"/>
          <w:docGrid w:linePitch="360"/>
        </w:sectPr>
      </w:pPr>
    </w:p>
    <w:p/>
    <w:p>
      <w:pPr>
        <w:pStyle w:val="Heading3"/>
      </w:pPr>
      <w:r>
        <w:t>Main Lifecycle Gaps</w:t>
      </w:r>
    </w:p>
    <w:p/>
    <w:p>
      <w:r>
        <w:t>1. Agent Role vs Human Role Distinction: Whether CrewAI agent role labels map to human accountability roles requires validation.</w:t>
      </w:r>
    </w:p>
    <w:p>
      <w:r>
        <w:t>2. Human-Role-to-MAS Responsibility Mapping: Whether CrewAI role-based orchestration maps to human-role-to-MAS responsibility semantics requires validation.</w:t>
      </w:r>
    </w:p>
    <w:p>
      <w:r>
        <w:t>3. Delegated Authority Boundary: Whether CrewAI defines and enforces authority boundaries for agent actions requires validation.</w:t>
      </w:r>
    </w:p>
    <w:p>
      <w:r>
        <w:t>4. Accepted Outcome Compliance: Whether CrewAI separates execution completion from outcome acceptance requires validation.</w:t>
      </w:r>
    </w:p>
    <w:p>
      <w:r>
        <w:t>5. Evidence Partitioning: Whether CrewAI partitions evidence by agent, tool, authority, and privacy boundaries requires validation.</w:t>
      </w:r>
    </w:p>
    <w:p>
      <w:r>
        <w:t>6. Responsibility Transfer Across Agents: Whether CrewAI tracks responsibility transfer during agent handoffs requires validation.</w:t>
      </w:r>
    </w:p>
    <w:p/>
    <w:p>
      <w:pPr>
        <w:pStyle w:val="Heading3"/>
      </w:pPr>
      <w:r>
        <w:t>Boundary Note</w:t>
      </w:r>
    </w:p>
    <w:p/>
    <w:p>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
    <w:p>
      <w:pPr>
        <w:pStyle w:val="Heading2"/>
      </w:pPr>
      <w:r>
        <w:t>12.11 Chapter 12 Synthesis</w:t>
      </w:r>
    </w:p>
    <w:p/>
    <w:p>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
      <w:pPr>
        <w:pStyle w:val="Heading3"/>
      </w:pPr>
      <w:r>
        <w:t>Synthesis Themes</w:t>
      </w:r>
    </w:p>
    <w:p/>
    <w:p>
      <w:r>
        <w:t>1. Enterprise AI governance platforms tend to show stronger RCCS posture.</w:t>
      </w:r>
    </w:p>
    <w:p/>
    <w:p>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
      <w:r>
        <w:t>2. Cloud AI platforms tend to show moderate-to-strong RCCS posture and partial-to-moderate ALCS posture depending on agent lifecycle object exposure.</w:t>
      </w:r>
    </w:p>
    <w:p/>
    <w:p>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
      <w:r>
        <w:t>3. Agent orchestration frameworks tend to show useful execution and observability primitives but require additional lifecycle governance semantics.</w:t>
      </w:r>
    </w:p>
    <w:p/>
    <w:p>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
      <w:r>
        <w:t>4. Developer agent SDKs tend to show useful execution primitives but require additional enterprise governance layer.</w:t>
      </w:r>
    </w:p>
    <w:p/>
    <w:p>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
      <w:r>
        <w:t>5. Lifecycle protocol paths tend to show stronger ALCS semantics but require implementation, adoption, and enterprise integration validation.</w:t>
      </w:r>
    </w:p>
    <w:p/>
    <w:p>
      <w:r>
        <w:t>Systems like MPLP are designed to expose lifecycle responsibility objects as first-class protocol primitives. They provide protocol-level semantics for human-role-to-MAS mapping, delegated authority boundaries, accepted outcome compliance, responsibility transfer, evidence partitioning, privacy lifecycle mapping, and vendor substitution conformance. This makes them relevant for systems that require provable lifecycle responsibility compliance across agents, tools, vendors, and organizational boundaries. However, MPLP implementation maturity, enterprise integration, vendor adoption, operational deployment evidence, and regulator familiarity require validation.</w:t>
      </w:r>
    </w:p>
    <w:p/>
    <w:p>
      <w:r>
        <w:t>6. The field gap is not lack of AI tools. The field gap is lack of explicit lifecycle responsibility objects.</w:t>
      </w:r>
    </w:p>
    <w:p/>
    <w:p>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
      <w:r>
        <w:t>The comparison validates the core thesis: agentic compliance is lifecycle responsibility compliance, not only model compliance.</w:t>
      </w:r>
    </w:p>
    <w:p/>
    <w:p>
      <w:pPr>
        <w:pStyle w:val="Heading3"/>
      </w:pPr>
      <w:r>
        <w:t>Synthesis Matrix</w:t>
      </w:r>
    </w:p>
    <w:p/>
    <w:p>
      <w:r>
        <w:t>The following table synthesizes the eight system mappings by system category.</w:t>
      </w:r>
    </w:p>
    <w:p/>
    <w:p>
      <w:pPr>
        <w:keepNext/>
      </w:pPr>
      <w:r>
        <w:rPr>
          <w:b/>
          <w:sz w:val="17"/>
        </w:rPr>
        <w:t>Table T-12-18: Chapter 12 Synthesis Matrix</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System Category</w:t>
            </w:r>
          </w:p>
        </w:tc>
        <w:tc>
          <w:tcPr>
            <w:tcW w:type="dxa" w:w="2556"/>
            <w:vAlign w:val="top"/>
            <w:shd w:fill="D9EAF7"/>
          </w:tcPr>
          <w:p>
            <w:pPr>
              <w:spacing w:after="0"/>
              <w:jc w:val="left"/>
            </w:pPr>
            <w:r>
              <w:rPr>
                <w:rFonts w:ascii="Arial" w:hAnsi="Arial"/>
                <w:b/>
                <w:sz w:val="14"/>
              </w:rPr>
              <w:t>Typical Strength</w:t>
            </w:r>
          </w:p>
        </w:tc>
        <w:tc>
          <w:tcPr>
            <w:tcW w:type="dxa" w:w="2556"/>
            <w:vAlign w:val="top"/>
            <w:shd w:fill="D9EAF7"/>
          </w:tcPr>
          <w:p>
            <w:pPr>
              <w:spacing w:after="0"/>
              <w:jc w:val="left"/>
            </w:pPr>
            <w:r>
              <w:rPr>
                <w:rFonts w:ascii="Arial" w:hAnsi="Arial"/>
                <w:b/>
                <w:sz w:val="14"/>
              </w:rPr>
              <w:t>Typical Lifecycle Gap</w:t>
            </w:r>
          </w:p>
        </w:tc>
        <w:tc>
          <w:tcPr>
            <w:tcW w:type="dxa" w:w="2556"/>
            <w:vAlign w:val="top"/>
            <w:shd w:fill="D9EAF7"/>
          </w:tcPr>
          <w:p>
            <w:pPr>
              <w:spacing w:after="0"/>
              <w:jc w:val="left"/>
            </w:pPr>
            <w:r>
              <w:rPr>
                <w:rFonts w:ascii="Arial" w:hAnsi="Arial"/>
                <w:b/>
                <w:sz w:val="14"/>
              </w:rPr>
              <w:t>Interpretation</w:t>
            </w:r>
          </w:p>
        </w:tc>
      </w:tr>
      <w:tr>
        <w:trPr>
          <w:cantSplit/>
        </w:trPr>
        <w:tc>
          <w:tcPr>
            <w:tcW w:type="dxa" w:w="2556"/>
            <w:vAlign w:val="top"/>
          </w:tcPr>
          <w:p>
            <w:pPr>
              <w:spacing w:after="0"/>
              <w:jc w:val="left"/>
            </w:pPr>
            <w:r>
              <w:rPr>
                <w:rFonts w:ascii="Arial" w:hAnsi="Arial"/>
                <w:b w:val="0"/>
                <w:sz w:val="14"/>
              </w:rPr>
              <w:t>Lifecycle protocol path (MPLP)</w:t>
            </w:r>
          </w:p>
        </w:tc>
        <w:tc>
          <w:tcPr>
            <w:tcW w:type="dxa" w:w="2556"/>
            <w:vAlign w:val="top"/>
          </w:tcPr>
          <w:p>
            <w:pPr>
              <w:spacing w:after="0"/>
              <w:jc w:val="left"/>
            </w:pPr>
            <w:r>
              <w:rPr>
                <w:rFonts w:ascii="Arial" w:hAnsi="Arial"/>
                <w:b w:val="0"/>
                <w:sz w:val="14"/>
              </w:rPr>
              <w:t>Protocol-level lifecycle responsibility semantics; strong ALCS posture for authority boundaries, accepted outcomes, responsibility transfer, evidence partitioning, substitution conformance</w:t>
            </w:r>
          </w:p>
        </w:tc>
        <w:tc>
          <w:tcPr>
            <w:tcW w:type="dxa" w:w="2556"/>
            <w:vAlign w:val="top"/>
          </w:tcPr>
          <w:p>
            <w:pPr>
              <w:spacing w:after="0"/>
              <w:jc w:val="left"/>
            </w:pPr>
            <w:r>
              <w:rPr>
                <w:rFonts w:ascii="Arial" w:hAnsi="Arial"/>
                <w:b w:val="0"/>
                <w:sz w:val="14"/>
              </w:rPr>
              <w:t>Implementation maturity, enterprise integration, vendor adoption, operational deployment evidence, regulator familiarity</w:t>
            </w:r>
          </w:p>
        </w:tc>
        <w:tc>
          <w:tcPr>
            <w:tcW w:type="dxa" w:w="2556"/>
            <w:vAlign w:val="top"/>
          </w:tcPr>
          <w:p>
            <w:pPr>
              <w:spacing w:after="0"/>
              <w:jc w:val="left"/>
            </w:pPr>
            <w:r>
              <w:rPr>
                <w:rFonts w:ascii="Arial" w:hAnsi="Arial"/>
                <w:b w:val="0"/>
                <w:sz w:val="14"/>
              </w:rPr>
              <w:t>Designed for lifecycle responsibility compliance; requires validation of implementation, adoption, and enterprise integration</w:t>
            </w:r>
          </w:p>
        </w:tc>
      </w:tr>
      <w:tr>
        <w:trPr>
          <w:cantSplit/>
        </w:trPr>
        <w:tc>
          <w:tcPr>
            <w:tcW w:type="dxa" w:w="2556"/>
            <w:vAlign w:val="top"/>
          </w:tcPr>
          <w:p>
            <w:pPr>
              <w:spacing w:after="0"/>
              <w:jc w:val="left"/>
            </w:pPr>
            <w:r>
              <w:rPr>
                <w:rFonts w:ascii="Arial" w:hAnsi="Arial"/>
                <w:b w:val="0"/>
                <w:sz w:val="14"/>
              </w:rPr>
              <w:t>Enterprise AI governance platform (IBM watsonx.governance)</w:t>
            </w:r>
          </w:p>
        </w:tc>
        <w:tc>
          <w:tcPr>
            <w:tcW w:type="dxa" w:w="2556"/>
            <w:vAlign w:val="top"/>
          </w:tcPr>
          <w:p>
            <w:pPr>
              <w:spacing w:after="0"/>
              <w:jc w:val="left"/>
            </w:pPr>
            <w:r>
              <w:rPr>
                <w:rFonts w:ascii="Arial" w:hAnsi="Arial"/>
                <w:b w:val="0"/>
                <w:sz w:val="14"/>
              </w:rPr>
              <w:t>Strong RCCS posture for risk management, data governance, documentation, record-keeping, transparency, human oversight, security, accountability, monitoring</w:t>
            </w:r>
          </w:p>
        </w:tc>
        <w:tc>
          <w:tcPr>
            <w:tcW w:type="dxa" w:w="2556"/>
            <w:vAlign w:val="top"/>
          </w:tcPr>
          <w:p>
            <w:pPr>
              <w:spacing w:after="0"/>
              <w:jc w:val="left"/>
            </w:pPr>
            <w:r>
              <w:rPr>
                <w:rFonts w:ascii="Arial" w:hAnsi="Arial"/>
                <w:b w:val="0"/>
                <w:sz w:val="14"/>
              </w:rPr>
              <w:t>Multi-agent responsibility transfer, accepted outcome governance, tool-action liability boundary, MAS evidence partitioning, cross-project reuse controls</w:t>
            </w:r>
          </w:p>
        </w:tc>
        <w:tc>
          <w:tcPr>
            <w:tcW w:type="dxa" w:w="2556"/>
            <w:vAlign w:val="top"/>
          </w:tcPr>
          <w:p>
            <w:pPr>
              <w:spacing w:after="0"/>
              <w:jc w:val="left"/>
            </w:pPr>
            <w:r>
              <w:rPr>
                <w:rFonts w:ascii="Arial" w:hAnsi="Arial"/>
                <w:b w:val="0"/>
                <w:sz w:val="14"/>
              </w:rPr>
              <w:t>Designed for enterprise AI governance; agentic lifecycle objects require validation</w:t>
            </w:r>
          </w:p>
        </w:tc>
      </w:tr>
      <w:tr>
        <w:trPr>
          <w:cantSplit/>
        </w:trPr>
        <w:tc>
          <w:tcPr>
            <w:tcW w:type="dxa" w:w="2556"/>
            <w:vAlign w:val="top"/>
          </w:tcPr>
          <w:p>
            <w:pPr>
              <w:spacing w:after="0"/>
              <w:jc w:val="left"/>
            </w:pPr>
            <w:r>
              <w:rPr>
                <w:rFonts w:ascii="Arial" w:hAnsi="Arial"/>
                <w:b w:val="0"/>
                <w:sz w:val="14"/>
              </w:rPr>
              <w:t>Cloud AI platform (Microsoft Azure AI Foundry, AWS Bedrock / Guardrails / AgentCore, Google Vertex AI / ADK / Model Armor)</w:t>
            </w:r>
          </w:p>
        </w:tc>
        <w:tc>
          <w:tcPr>
            <w:tcW w:type="dxa" w:w="2556"/>
            <w:vAlign w:val="top"/>
          </w:tcPr>
          <w:p>
            <w:pPr>
              <w:spacing w:after="0"/>
              <w:jc w:val="left"/>
            </w:pPr>
            <w:r>
              <w:rPr>
                <w:rFonts w:ascii="Arial" w:hAnsi="Arial"/>
                <w:b w:val="0"/>
                <w:sz w:val="14"/>
              </w:rPr>
              <w:t>Moderate-to-strong RCCS posture for cloud AI management, model governance, safety, evaluation, monitoring; moderate ALCS adjacency depending on agent lifecycle object exposure</w:t>
            </w:r>
          </w:p>
        </w:tc>
        <w:tc>
          <w:tcPr>
            <w:tcW w:type="dxa" w:w="2556"/>
            <w:vAlign w:val="top"/>
          </w:tcPr>
          <w:p>
            <w:pPr>
              <w:spacing w:after="0"/>
              <w:jc w:val="left"/>
            </w:pPr>
            <w:r>
              <w:rPr>
                <w:rFonts w:ascii="Arial" w:hAnsi="Arial"/>
                <w:b w:val="0"/>
                <w:sz w:val="14"/>
              </w:rPr>
              <w:t>Accepted outcome compliance, delegated authority boundary, cross-agent responsibility transfer, evidence partitioning, vendor/model/runtime substitution conformance</w:t>
            </w:r>
          </w:p>
        </w:tc>
        <w:tc>
          <w:tcPr>
            <w:tcW w:type="dxa" w:w="2556"/>
            <w:vAlign w:val="top"/>
          </w:tcPr>
          <w:p>
            <w:pPr>
              <w:spacing w:after="0"/>
              <w:jc w:val="left"/>
            </w:pPr>
            <w:r>
              <w:rPr>
                <w:rFonts w:ascii="Arial" w:hAnsi="Arial"/>
                <w:b w:val="0"/>
                <w:sz w:val="14"/>
              </w:rPr>
              <w:t>Designed for cloud AI platform capabilities; lifecycle responsibility objects require validation; responsible AI tooling ≠ lifecycle responsibility objects</w:t>
            </w:r>
          </w:p>
        </w:tc>
      </w:tr>
      <w:tr>
        <w:trPr>
          <w:cantSplit/>
        </w:trPr>
        <w:tc>
          <w:tcPr>
            <w:tcW w:type="dxa" w:w="2556"/>
            <w:vAlign w:val="top"/>
          </w:tcPr>
          <w:p>
            <w:pPr>
              <w:spacing w:after="0"/>
              <w:jc w:val="left"/>
            </w:pPr>
            <w:r>
              <w:rPr>
                <w:rFonts w:ascii="Arial" w:hAnsi="Arial"/>
                <w:b w:val="0"/>
                <w:sz w:val="14"/>
              </w:rPr>
              <w:t>Agent orchestration / observability framework (LangGraph / LangSmith)</w:t>
            </w:r>
          </w:p>
        </w:tc>
        <w:tc>
          <w:tcPr>
            <w:tcW w:type="dxa" w:w="2556"/>
            <w:vAlign w:val="top"/>
          </w:tcPr>
          <w:p>
            <w:pPr>
              <w:spacing w:after="0"/>
              <w:jc w:val="left"/>
            </w:pPr>
            <w:r>
              <w:rPr>
                <w:rFonts w:ascii="Arial" w:hAnsi="Arial"/>
                <w:b w:val="0"/>
                <w:sz w:val="14"/>
              </w:rPr>
              <w:t>Moderate RCCS posture for documentation, record-keeping, transparency, monitoring; moderate ALCS adjacency through graphs, state, checkpoints, traces, observability</w:t>
            </w:r>
          </w:p>
        </w:tc>
        <w:tc>
          <w:tcPr>
            <w:tcW w:type="dxa" w:w="2556"/>
            <w:vAlign w:val="top"/>
          </w:tcPr>
          <w:p>
            <w:pPr>
              <w:spacing w:after="0"/>
              <w:jc w:val="left"/>
            </w:pPr>
            <w:r>
              <w:rPr>
                <w:rFonts w:ascii="Arial" w:hAnsi="Arial"/>
                <w:b w:val="0"/>
                <w:sz w:val="14"/>
              </w:rPr>
              <w:t>Human-role-to-MAS responsibility mapping, delegated authority boundary, accepted outcome compliance, tool-action liability, responsibility transfer, MAS evidence partitioning</w:t>
            </w:r>
          </w:p>
        </w:tc>
        <w:tc>
          <w:tcPr>
            <w:tcW w:type="dxa" w:w="2556"/>
            <w:vAlign w:val="top"/>
          </w:tcPr>
          <w:p>
            <w:pPr>
              <w:spacing w:after="0"/>
              <w:jc w:val="left"/>
            </w:pPr>
            <w:r>
              <w:rPr>
                <w:rFonts w:ascii="Arial" w:hAnsi="Arial"/>
                <w:b w:val="0"/>
                <w:sz w:val="14"/>
              </w:rPr>
              <w:t>Designed for agent orchestration and observability; lifecycle responsibility semantics require additional governance layer; orchestration ≠ governance</w:t>
            </w:r>
          </w:p>
        </w:tc>
      </w:tr>
      <w:tr>
        <w:trPr>
          <w:cantSplit/>
        </w:trPr>
        <w:tc>
          <w:tcPr>
            <w:tcW w:type="dxa" w:w="2556"/>
            <w:vAlign w:val="top"/>
          </w:tcPr>
          <w:p>
            <w:pPr>
              <w:spacing w:after="0"/>
              <w:jc w:val="left"/>
            </w:pPr>
            <w:r>
              <w:rPr>
                <w:rFonts w:ascii="Arial" w:hAnsi="Arial"/>
                <w:b w:val="0"/>
                <w:sz w:val="14"/>
              </w:rPr>
              <w:t>Developer agent SDK (OpenAI Agents SDK)</w:t>
            </w:r>
          </w:p>
        </w:tc>
        <w:tc>
          <w:tcPr>
            <w:tcW w:type="dxa" w:w="2556"/>
            <w:vAlign w:val="top"/>
          </w:tcPr>
          <w:p>
            <w:pPr>
              <w:spacing w:after="0"/>
              <w:jc w:val="left"/>
            </w:pPr>
            <w:r>
              <w:rPr>
                <w:rFonts w:ascii="Arial" w:hAnsi="Arial"/>
                <w:b w:val="0"/>
                <w:sz w:val="14"/>
              </w:rPr>
              <w:t>Strong for model access, tool use, agent execution patterns; weak-to-moderate RCCS posture; weak-to-partial ALCS posture</w:t>
            </w:r>
          </w:p>
        </w:tc>
        <w:tc>
          <w:tcPr>
            <w:tcW w:type="dxa" w:w="2556"/>
            <w:vAlign w:val="top"/>
          </w:tcPr>
          <w:p>
            <w:pPr>
              <w:spacing w:after="0"/>
              <w:jc w:val="left"/>
            </w:pPr>
            <w:r>
              <w:rPr>
                <w:rFonts w:ascii="Arial" w:hAnsi="Arial"/>
                <w:b w:val="0"/>
                <w:sz w:val="14"/>
              </w:rPr>
              <w:t>Delegated authority boundary, accepted outcome compliance, tool-action liability, MAS evidence partitioning, human accountability mapping, dispute/remediation closure</w:t>
            </w:r>
          </w:p>
        </w:tc>
        <w:tc>
          <w:tcPr>
            <w:tcW w:type="dxa" w:w="2556"/>
            <w:vAlign w:val="top"/>
          </w:tcPr>
          <w:p>
            <w:pPr>
              <w:spacing w:after="0"/>
              <w:jc w:val="left"/>
            </w:pPr>
            <w:r>
              <w:rPr>
                <w:rFonts w:ascii="Arial" w:hAnsi="Arial"/>
                <w:b w:val="0"/>
                <w:sz w:val="14"/>
              </w:rPr>
              <w:t>Designed for developer execution primitives; enterprise governance and lifecycle responsibility semantics require additional layer; execution framework ≠ governance layer</w:t>
            </w:r>
          </w:p>
        </w:tc>
      </w:tr>
      <w:tr>
        <w:trPr>
          <w:cantSplit/>
        </w:trPr>
        <w:tc>
          <w:tcPr>
            <w:tcW w:type="dxa" w:w="2556"/>
            <w:vAlign w:val="top"/>
          </w:tcPr>
          <w:p>
            <w:pPr>
              <w:spacing w:after="0"/>
              <w:jc w:val="left"/>
            </w:pPr>
            <w:r>
              <w:rPr>
                <w:rFonts w:ascii="Arial" w:hAnsi="Arial"/>
                <w:b w:val="0"/>
                <w:sz w:val="14"/>
              </w:rPr>
              <w:t>Multi-agent collaboration framework (CrewAI)</w:t>
            </w:r>
          </w:p>
        </w:tc>
        <w:tc>
          <w:tcPr>
            <w:tcW w:type="dxa" w:w="2556"/>
            <w:vAlign w:val="top"/>
          </w:tcPr>
          <w:p>
            <w:pPr>
              <w:spacing w:after="0"/>
              <w:jc w:val="left"/>
            </w:pPr>
            <w:r>
              <w:rPr>
                <w:rFonts w:ascii="Arial" w:hAnsi="Arial"/>
                <w:b w:val="0"/>
                <w:sz w:val="14"/>
              </w:rPr>
              <w:t>Strong for role-based agent composition and task orchestration; weak-to-moderate RCCS posture; weak-to-partial ALCS posture</w:t>
            </w:r>
          </w:p>
        </w:tc>
        <w:tc>
          <w:tcPr>
            <w:tcW w:type="dxa" w:w="2556"/>
            <w:vAlign w:val="top"/>
          </w:tcPr>
          <w:p>
            <w:pPr>
              <w:spacing w:after="0"/>
              <w:jc w:val="left"/>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556"/>
            <w:vAlign w:val="top"/>
          </w:tcPr>
          <w:p>
            <w:pPr>
              <w:spacing w:after="0"/>
              <w:jc w:val="left"/>
            </w:pPr>
            <w:r>
              <w:rPr>
                <w:rFonts w:ascii="Arial" w:hAnsi="Arial"/>
                <w:b w:val="0"/>
                <w:sz w:val="14"/>
              </w:rPr>
              <w:t>Designed for multi-agent collaboration; lifecycle responsibility semantics require additional governance layer; role labels ≠ accountability roles</w:t>
            </w:r>
          </w:p>
        </w:tc>
      </w:tr>
    </w:tbl>
    <w:p>
      <w:pPr>
        <w:sectPr>
          <w:pgSz w:w="15840" w:h="12240"/>
          <w:pgMar w:top="792" w:right="648" w:bottom="792" w:left="648" w:header="720" w:footer="720" w:gutter="0"/>
          <w:cols w:space="720"/>
          <w:docGrid w:linePitch="360"/>
        </w:sectPr>
      </w:pPr>
    </w:p>
    <w:p/>
    <w:p>
      <w:pPr>
        <w:pStyle w:val="Heading3"/>
      </w:pPr>
      <w:r>
        <w:t>Boundary Restatement</w:t>
      </w:r>
    </w:p>
    <w:p/>
    <w:p>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
      <w:r>
        <w:t>The synthesis validates the core thesis: agentic compliance is lifecycle responsibility compliance, not only model compliance. The field gap is not lack of AI tools. The field gap is lack of explicit lifecycle responsibility objects.</w:t>
      </w:r>
    </w:p>
    <w:p/>
    <w:p/>
    <w:p>
      <w:r>
        <w:t>Chapter 12 is now complete. All eight system mappings (MPLP, IBM watsonx.governance, Microsoft Azure AI Foundry, AWS Bedrock / Guardrails / AgentCore, Google Vertex AI / ADK / Model Armor, LangGraph / LangSmith, OpenAI Agents SDK, CrewAI) and synthesis are filled. Phase 1C follow-up applied claim-level source binding; exact page-level citation pinning remains before publication.</w:t>
      </w:r>
    </w:p>
    <w:p>
      <w:pPr>
        <w:pStyle w:val="Heading1"/>
      </w:pPr>
      <w:r>
        <w:t>13. MPLP Deep Mapping, Boundary, and Non-Claim Discipline</w:t>
      </w:r>
    </w:p>
    <w:p/>
    <w:p>
      <w:r>
        <w:t>Version: v0.3.2-FRC-R3</w:t>
      </w:r>
    </w:p>
    <w:p>
      <w:r>
        <w:t>Status: Reconstructed from v0.3.1 semantic base; Phase 1C claim-level source binding applied</w:t>
      </w:r>
    </w:p>
    <w:p>
      <w:r>
        <w:t>Phase: 1B-4 / 1C Follow-up</w:t>
      </w:r>
    </w:p>
    <w:p/>
    <w:p/>
    <w:p>
      <w:pPr>
        <w:pStyle w:val="Heading2"/>
      </w:pPr>
      <w:r>
        <w:t>13.0 Why MPLP Requires Separate Boundary Treatment</w:t>
      </w:r>
    </w:p>
    <w:p/>
    <w:p>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
      <w:r>
        <w:t>Because MPLP is created by the author of this white paper, the mapping must be more explicit, not less explicit. The correct response to conflict of interest is not silence; it is transparent boundary discipline.</w:t>
      </w:r>
    </w:p>
    <w:p/>
    <w:p>
      <w:r>
        <w:t>This chapter maps MPLP's protocol semantics to the Missing Regulatory Objects, RCCS dimensions, and ALCS dimensions. Official MPLP documentation was located during Phase 1C follow-up, but protocol-to-MRO/ALCS mapping remains an evidence-qualified analytical interpretation unless the protocol text directly defines the relevant lifecycle object. The chapter distinguishes protocol-level fit from implementation evidence, deployment maturity, enterprise adoption, auditor acceptance, insurer acceptance, and regulatory recognition. The chapter closes with explicit non-claim discipline to prevent overclaim.</w:t>
      </w:r>
    </w:p>
    <w:p/>
    <w:p/>
    <w:p>
      <w:pPr>
        <w:pStyle w:val="Heading2"/>
      </w:pPr>
      <w:r>
        <w:t>13.1 What MPLP Is and Is Not</w:t>
      </w:r>
    </w:p>
    <w:p/>
    <w:p>
      <w:r>
        <w:t>MPLP is a lifecycle protocol path for expressing agentic responsibility objects. It is not a certification program, regulator, legal authority, cloud platform, procurement recommendation, or exclusive compliance method.</w:t>
      </w:r>
    </w:p>
    <w:p/>
    <w:p>
      <w:pPr>
        <w:keepNext/>
      </w:pPr>
      <w:r>
        <w:rPr>
          <w:b/>
          <w:sz w:val="17"/>
        </w:rPr>
        <w:t>Table T-13-01: MPLP Boundary Statement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Claim Area</w:t>
            </w:r>
          </w:p>
        </w:tc>
        <w:tc>
          <w:tcPr>
            <w:tcW w:type="dxa" w:w="3408"/>
            <w:vAlign w:val="top"/>
            <w:shd w:fill="D9EAF7"/>
          </w:tcPr>
          <w:p>
            <w:pPr>
              <w:spacing w:after="0"/>
              <w:jc w:val="left"/>
            </w:pPr>
            <w:r>
              <w:rPr>
                <w:rFonts w:ascii="Arial" w:hAnsi="Arial"/>
                <w:b/>
                <w:sz w:val="16"/>
              </w:rPr>
              <w:t>Allowed Framing</w:t>
            </w:r>
          </w:p>
        </w:tc>
        <w:tc>
          <w:tcPr>
            <w:tcW w:type="dxa" w:w="3408"/>
            <w:vAlign w:val="top"/>
            <w:shd w:fill="D9EAF7"/>
          </w:tcPr>
          <w:p>
            <w:pPr>
              <w:spacing w:after="0"/>
              <w:jc w:val="left"/>
            </w:pPr>
            <w:r>
              <w:rPr>
                <w:rFonts w:ascii="Arial" w:hAnsi="Arial"/>
                <w:b/>
                <w:sz w:val="16"/>
              </w:rPr>
              <w:t>Forbidden Framing</w:t>
            </w:r>
          </w:p>
        </w:tc>
      </w:tr>
      <w:tr>
        <w:trPr>
          <w:cantSplit/>
        </w:trPr>
        <w:tc>
          <w:tcPr>
            <w:tcW w:type="dxa" w:w="3408"/>
            <w:vAlign w:val="top"/>
          </w:tcPr>
          <w:p>
            <w:pPr>
              <w:spacing w:after="0"/>
              <w:jc w:val="left"/>
            </w:pPr>
            <w:r>
              <w:rPr>
                <w:rFonts w:ascii="Arial" w:hAnsi="Arial"/>
                <w:b w:val="0"/>
                <w:sz w:val="16"/>
              </w:rPr>
              <w:t>Protocol identity</w:t>
            </w:r>
          </w:p>
        </w:tc>
        <w:tc>
          <w:tcPr>
            <w:tcW w:type="dxa" w:w="3408"/>
            <w:vAlign w:val="top"/>
          </w:tcPr>
          <w:p>
            <w:pPr>
              <w:spacing w:after="0"/>
              <w:jc w:val="left"/>
            </w:pPr>
            <w:r>
              <w:rPr>
                <w:rFonts w:ascii="Arial" w:hAnsi="Arial"/>
                <w:b w:val="0"/>
                <w:sz w:val="16"/>
              </w:rPr>
              <w:t>MPLP is a lifecycle protocol path for expressing agentic responsibility objects</w:t>
            </w:r>
          </w:p>
        </w:tc>
        <w:tc>
          <w:tcPr>
            <w:tcW w:type="dxa" w:w="3408"/>
            <w:vAlign w:val="top"/>
          </w:tcPr>
          <w:p>
            <w:pPr>
              <w:spacing w:after="0"/>
              <w:jc w:val="left"/>
            </w:pPr>
            <w:r>
              <w:rPr>
                <w:rFonts w:ascii="Arial" w:hAnsi="Arial"/>
                <w:b w:val="0"/>
                <w:sz w:val="16"/>
              </w:rPr>
              <w:t>MPLP is the official standard; MPLP is required for compliance</w:t>
            </w:r>
          </w:p>
        </w:tc>
      </w:tr>
      <w:tr>
        <w:trPr>
          <w:cantSplit/>
        </w:trPr>
        <w:tc>
          <w:tcPr>
            <w:tcW w:type="dxa" w:w="3408"/>
            <w:vAlign w:val="top"/>
          </w:tcPr>
          <w:p>
            <w:pPr>
              <w:spacing w:after="0"/>
              <w:jc w:val="left"/>
            </w:pPr>
            <w:r>
              <w:rPr>
                <w:rFonts w:ascii="Arial" w:hAnsi="Arial"/>
                <w:b w:val="0"/>
                <w:sz w:val="16"/>
              </w:rPr>
              <w:t>Compliance relationship</w:t>
            </w:r>
          </w:p>
        </w:tc>
        <w:tc>
          <w:tcPr>
            <w:tcW w:type="dxa" w:w="3408"/>
            <w:vAlign w:val="top"/>
          </w:tcPr>
          <w:p>
            <w:pPr>
              <w:spacing w:after="0"/>
              <w:jc w:val="left"/>
            </w:pPr>
            <w:r>
              <w:rPr>
                <w:rFonts w:ascii="Arial" w:hAnsi="Arial"/>
                <w:b w:val="0"/>
                <w:sz w:val="16"/>
              </w:rPr>
              <w:t>MPLP may map strongly to ALCS because ALCS measures lifecycle responsibility objects</w:t>
            </w:r>
          </w:p>
        </w:tc>
        <w:tc>
          <w:tcPr>
            <w:tcW w:type="dxa" w:w="3408"/>
            <w:vAlign w:val="top"/>
          </w:tcPr>
          <w:p>
            <w:pPr>
              <w:spacing w:after="0"/>
              <w:jc w:val="left"/>
            </w:pPr>
            <w:r>
              <w:rPr>
                <w:rFonts w:ascii="Arial" w:hAnsi="Arial"/>
                <w:b w:val="0"/>
                <w:sz w:val="16"/>
              </w:rPr>
              <w:t>MPLP certifies compliance; MPLP proves legal compliance</w:t>
            </w:r>
          </w:p>
        </w:tc>
      </w:tr>
      <w:tr>
        <w:trPr>
          <w:cantSplit/>
        </w:trPr>
        <w:tc>
          <w:tcPr>
            <w:tcW w:type="dxa" w:w="3408"/>
            <w:vAlign w:val="top"/>
          </w:tcPr>
          <w:p>
            <w:pPr>
              <w:spacing w:after="0"/>
              <w:jc w:val="left"/>
            </w:pPr>
            <w:r>
              <w:rPr>
                <w:rFonts w:ascii="Arial" w:hAnsi="Arial"/>
                <w:b w:val="0"/>
                <w:sz w:val="16"/>
              </w:rPr>
              <w:t>Certification</w:t>
            </w:r>
          </w:p>
        </w:tc>
        <w:tc>
          <w:tcPr>
            <w:tcW w:type="dxa" w:w="3408"/>
            <w:vAlign w:val="top"/>
          </w:tcPr>
          <w:p>
            <w:pPr>
              <w:spacing w:after="0"/>
              <w:jc w:val="left"/>
            </w:pPr>
            <w:r>
              <w:rPr>
                <w:rFonts w:ascii="Arial" w:hAnsi="Arial"/>
                <w:b w:val="0"/>
                <w:sz w:val="16"/>
              </w:rPr>
              <w:t>MPLP can be evaluated as one example of protocol-level lifecycle governance</w:t>
            </w:r>
          </w:p>
        </w:tc>
        <w:tc>
          <w:tcPr>
            <w:tcW w:type="dxa" w:w="3408"/>
            <w:vAlign w:val="top"/>
          </w:tcPr>
          <w:p>
            <w:pPr>
              <w:spacing w:after="0"/>
              <w:jc w:val="left"/>
            </w:pPr>
            <w:r>
              <w:rPr>
                <w:rFonts w:ascii="Arial" w:hAnsi="Arial"/>
                <w:b w:val="0"/>
                <w:sz w:val="16"/>
              </w:rPr>
              <w:t>MPLP is a certification program; MPLP certifies systems</w:t>
            </w:r>
          </w:p>
        </w:tc>
      </w:tr>
      <w:tr>
        <w:trPr>
          <w:cantSplit/>
        </w:trPr>
        <w:tc>
          <w:tcPr>
            <w:tcW w:type="dxa" w:w="3408"/>
            <w:vAlign w:val="top"/>
          </w:tcPr>
          <w:p>
            <w:pPr>
              <w:spacing w:after="0"/>
              <w:jc w:val="left"/>
            </w:pPr>
            <w:r>
              <w:rPr>
                <w:rFonts w:ascii="Arial" w:hAnsi="Arial"/>
                <w:b w:val="0"/>
                <w:sz w:val="16"/>
              </w:rPr>
              <w:t>Legal authority</w:t>
            </w:r>
          </w:p>
        </w:tc>
        <w:tc>
          <w:tcPr>
            <w:tcW w:type="dxa" w:w="3408"/>
            <w:vAlign w:val="top"/>
          </w:tcPr>
          <w:p>
            <w:pPr>
              <w:spacing w:after="0"/>
              <w:jc w:val="left"/>
            </w:pPr>
            <w:r>
              <w:rPr>
                <w:rFonts w:ascii="Arial" w:hAnsi="Arial"/>
                <w:b w:val="0"/>
                <w:sz w:val="16"/>
              </w:rPr>
              <w:t>MPLP defines protocol semantics for lifecycle governance</w:t>
            </w:r>
          </w:p>
        </w:tc>
        <w:tc>
          <w:tcPr>
            <w:tcW w:type="dxa" w:w="3408"/>
            <w:vAlign w:val="top"/>
          </w:tcPr>
          <w:p>
            <w:pPr>
              <w:spacing w:after="0"/>
              <w:jc w:val="left"/>
            </w:pPr>
            <w:r>
              <w:rPr>
                <w:rFonts w:ascii="Arial" w:hAnsi="Arial"/>
                <w:b w:val="0"/>
                <w:sz w:val="16"/>
              </w:rPr>
              <w:t>MPLP is a regulator; MPLP is a legal authority</w:t>
            </w:r>
          </w:p>
        </w:tc>
      </w:tr>
      <w:tr>
        <w:trPr>
          <w:cantSplit/>
        </w:trPr>
        <w:tc>
          <w:tcPr>
            <w:tcW w:type="dxa" w:w="3408"/>
            <w:vAlign w:val="top"/>
          </w:tcPr>
          <w:p>
            <w:pPr>
              <w:spacing w:after="0"/>
              <w:jc w:val="left"/>
            </w:pPr>
            <w:r>
              <w:rPr>
                <w:rFonts w:ascii="Arial" w:hAnsi="Arial"/>
                <w:b w:val="0"/>
                <w:sz w:val="16"/>
              </w:rPr>
              <w:t>Vendor status</w:t>
            </w:r>
          </w:p>
        </w:tc>
        <w:tc>
          <w:tcPr>
            <w:tcW w:type="dxa" w:w="3408"/>
            <w:vAlign w:val="top"/>
          </w:tcPr>
          <w:p>
            <w:pPr>
              <w:spacing w:after="0"/>
              <w:jc w:val="left"/>
            </w:pPr>
            <w:r>
              <w:rPr>
                <w:rFonts w:ascii="Arial" w:hAnsi="Arial"/>
                <w:b w:val="0"/>
                <w:sz w:val="16"/>
              </w:rPr>
              <w:t>MPLP is a protocol specification</w:t>
            </w:r>
          </w:p>
        </w:tc>
        <w:tc>
          <w:tcPr>
            <w:tcW w:type="dxa" w:w="3408"/>
            <w:vAlign w:val="top"/>
          </w:tcPr>
          <w:p>
            <w:pPr>
              <w:spacing w:after="0"/>
              <w:jc w:val="left"/>
            </w:pPr>
            <w:r>
              <w:rPr>
                <w:rFonts w:ascii="Arial" w:hAnsi="Arial"/>
                <w:b w:val="0"/>
                <w:sz w:val="16"/>
              </w:rPr>
              <w:t>MPLP is a cloud platform; MPLP is a vendor product</w:t>
            </w:r>
          </w:p>
        </w:tc>
      </w:tr>
      <w:tr>
        <w:trPr>
          <w:cantSplit/>
        </w:trPr>
        <w:tc>
          <w:tcPr>
            <w:tcW w:type="dxa" w:w="3408"/>
            <w:vAlign w:val="top"/>
          </w:tcPr>
          <w:p>
            <w:pPr>
              <w:spacing w:after="0"/>
              <w:jc w:val="left"/>
            </w:pPr>
            <w:r>
              <w:rPr>
                <w:rFonts w:ascii="Arial" w:hAnsi="Arial"/>
                <w:b w:val="0"/>
                <w:sz w:val="16"/>
              </w:rPr>
              <w:t>Implementation maturity</w:t>
            </w:r>
          </w:p>
        </w:tc>
        <w:tc>
          <w:tcPr>
            <w:tcW w:type="dxa" w:w="3408"/>
            <w:vAlign w:val="top"/>
          </w:tcPr>
          <w:p>
            <w:pPr>
              <w:spacing w:after="0"/>
              <w:jc w:val="left"/>
            </w:pPr>
            <w:r>
              <w:rPr>
                <w:rFonts w:ascii="Arial" w:hAnsi="Arial"/>
                <w:b w:val="0"/>
                <w:sz w:val="16"/>
              </w:rPr>
              <w:t>MPLP requires implementation validation and enterprise integration</w:t>
            </w:r>
          </w:p>
        </w:tc>
        <w:tc>
          <w:tcPr>
            <w:tcW w:type="dxa" w:w="3408"/>
            <w:vAlign w:val="top"/>
          </w:tcPr>
          <w:p>
            <w:pPr>
              <w:spacing w:after="0"/>
              <w:jc w:val="left"/>
            </w:pPr>
            <w:r>
              <w:rPr>
                <w:rFonts w:ascii="Arial" w:hAnsi="Arial"/>
                <w:b w:val="0"/>
                <w:sz w:val="16"/>
              </w:rPr>
              <w:t>MPLP is production-ready; MPLP proves deployment maturity</w:t>
            </w:r>
          </w:p>
        </w:tc>
      </w:tr>
      <w:tr>
        <w:trPr>
          <w:cantSplit/>
        </w:trPr>
        <w:tc>
          <w:tcPr>
            <w:tcW w:type="dxa" w:w="3408"/>
            <w:vAlign w:val="top"/>
          </w:tcPr>
          <w:p>
            <w:pPr>
              <w:spacing w:after="0"/>
              <w:jc w:val="left"/>
            </w:pPr>
            <w:r>
              <w:rPr>
                <w:rFonts w:ascii="Arial" w:hAnsi="Arial"/>
                <w:b w:val="0"/>
                <w:sz w:val="16"/>
              </w:rPr>
              <w:t>Validation Lab relationship</w:t>
            </w:r>
          </w:p>
        </w:tc>
        <w:tc>
          <w:tcPr>
            <w:tcW w:type="dxa" w:w="3408"/>
            <w:vAlign w:val="top"/>
          </w:tcPr>
          <w:p>
            <w:pPr>
              <w:spacing w:after="0"/>
              <w:jc w:val="left"/>
            </w:pPr>
            <w:r>
              <w:rPr>
                <w:rFonts w:ascii="Arial" w:hAnsi="Arial"/>
                <w:b w:val="0"/>
                <w:sz w:val="16"/>
              </w:rPr>
              <w:t>Validation Lab may be referenced separately as a non-certifying evidence adjudication example</w:t>
            </w:r>
          </w:p>
        </w:tc>
        <w:tc>
          <w:tcPr>
            <w:tcW w:type="dxa" w:w="3408"/>
            <w:vAlign w:val="top"/>
          </w:tcPr>
          <w:p>
            <w:pPr>
              <w:spacing w:after="0"/>
              <w:jc w:val="left"/>
            </w:pPr>
            <w:r>
              <w:rPr>
                <w:rFonts w:ascii="Arial" w:hAnsi="Arial"/>
                <w:b w:val="0"/>
                <w:sz w:val="16"/>
              </w:rPr>
              <w:t>Validation Lab certifies compliance; Validation Lab is a certification authority</w:t>
            </w:r>
          </w:p>
        </w:tc>
      </w:tr>
      <w:tr>
        <w:trPr>
          <w:cantSplit/>
        </w:trPr>
        <w:tc>
          <w:tcPr>
            <w:tcW w:type="dxa" w:w="3408"/>
            <w:vAlign w:val="top"/>
          </w:tcPr>
          <w:p>
            <w:pPr>
              <w:spacing w:after="0"/>
              <w:jc w:val="left"/>
            </w:pPr>
            <w:r>
              <w:rPr>
                <w:rFonts w:ascii="Arial" w:hAnsi="Arial"/>
                <w:b w:val="0"/>
                <w:sz w:val="16"/>
              </w:rPr>
              <w:t>Industry adoption</w:t>
            </w:r>
          </w:p>
        </w:tc>
        <w:tc>
          <w:tcPr>
            <w:tcW w:type="dxa" w:w="3408"/>
            <w:vAlign w:val="top"/>
          </w:tcPr>
          <w:p>
            <w:pPr>
              <w:spacing w:after="0"/>
              <w:jc w:val="left"/>
            </w:pPr>
            <w:r>
              <w:rPr>
                <w:rFonts w:ascii="Arial" w:hAnsi="Arial"/>
                <w:b w:val="0"/>
                <w:sz w:val="16"/>
              </w:rPr>
              <w:t>MPLP adoption requires market validation</w:t>
            </w:r>
          </w:p>
        </w:tc>
        <w:tc>
          <w:tcPr>
            <w:tcW w:type="dxa" w:w="3408"/>
            <w:vAlign w:val="top"/>
          </w:tcPr>
          <w:p>
            <w:pPr>
              <w:spacing w:after="0"/>
              <w:jc w:val="left"/>
            </w:pPr>
            <w:r>
              <w:rPr>
                <w:rFonts w:ascii="Arial" w:hAnsi="Arial"/>
                <w:b w:val="0"/>
                <w:sz w:val="16"/>
              </w:rPr>
              <w:t>MPLP is industry-standard; MPLP is regulator-approved</w:t>
            </w:r>
          </w:p>
        </w:tc>
      </w:tr>
      <w:tr>
        <w:trPr>
          <w:cantSplit/>
        </w:trPr>
        <w:tc>
          <w:tcPr>
            <w:tcW w:type="dxa" w:w="3408"/>
            <w:vAlign w:val="top"/>
          </w:tcPr>
          <w:p>
            <w:pPr>
              <w:spacing w:after="0"/>
              <w:jc w:val="left"/>
            </w:pPr>
            <w:r>
              <w:rPr>
                <w:rFonts w:ascii="Arial" w:hAnsi="Arial"/>
                <w:b w:val="0"/>
                <w:sz w:val="16"/>
              </w:rPr>
              <w:t>System mapping</w:t>
            </w:r>
          </w:p>
        </w:tc>
        <w:tc>
          <w:tcPr>
            <w:tcW w:type="dxa" w:w="3408"/>
            <w:vAlign w:val="top"/>
          </w:tcPr>
          <w:p>
            <w:pPr>
              <w:spacing w:after="0"/>
              <w:jc w:val="left"/>
            </w:pPr>
            <w:r>
              <w:rPr>
                <w:rFonts w:ascii="Arial" w:hAnsi="Arial"/>
                <w:b w:val="0"/>
                <w:sz w:val="16"/>
              </w:rPr>
              <w:t>MPLP can be compared to other systems by responsibility semantics</w:t>
            </w:r>
          </w:p>
        </w:tc>
        <w:tc>
          <w:tcPr>
            <w:tcW w:type="dxa" w:w="3408"/>
            <w:vAlign w:val="top"/>
          </w:tcPr>
          <w:p>
            <w:pPr>
              <w:spacing w:after="0"/>
              <w:jc w:val="left"/>
            </w:pPr>
            <w:r>
              <w:rPr>
                <w:rFonts w:ascii="Arial" w:hAnsi="Arial"/>
                <w:b w:val="0"/>
                <w:sz w:val="16"/>
              </w:rPr>
              <w:t>Other systems are non-compliant; MPLP is the only solution</w:t>
            </w:r>
          </w:p>
        </w:tc>
      </w:tr>
    </w:tbl>
    <w:p>
      <w:pPr>
        <w:sectPr>
          <w:pgSz w:w="15840" w:h="12240"/>
          <w:pgMar w:top="792" w:right="648" w:bottom="792" w:left="648" w:header="720" w:footer="720" w:gutter="0"/>
          <w:cols w:space="720"/>
          <w:docGrid w:linePitch="360"/>
        </w:sectPr>
      </w:pPr>
    </w:p>
    <w:p/>
    <w:p/>
    <w:p>
      <w:pPr>
        <w:pStyle w:val="Heading2"/>
      </w:pPr>
      <w:r>
        <w:t>13.2 MPLP as a Lifecycle Protocol Path</w:t>
      </w:r>
    </w:p>
    <w:p/>
    <w:p>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
      <w:r>
        <w:t>Protocol semantics can define what must be represented, but implementations determine whether those semantics are operationally enforced. A protocol path can support governance, but does not replace organizational controls.</w:t>
      </w:r>
    </w:p>
    <w:p/>
    <w:p>
      <w:r>
        <w:t>Canonical boundary: MPLP defines protocol semantics; deployment determines operational control.</w:t>
      </w:r>
    </w:p>
    <w:p/>
    <w:p>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
    <w:p>
      <w:pPr>
        <w:pStyle w:val="Heading2"/>
      </w:pPr>
      <w:r>
        <w:t>13.3 MPLP Mapping to the 16 Missing Regulatory Objects</w:t>
      </w:r>
    </w:p>
    <w:p/>
    <w:p>
      <w:r>
        <w:t>The following table maps MPLP protocol semantics to the sixteen Missing Regulatory Objects defined in Chapter 6. Mapping strength reflects protocol-level semantic fit, not deployment conformance.</w:t>
      </w:r>
    </w:p>
    <w:p/>
    <w:p>
      <w:pPr>
        <w:keepNext/>
      </w:pPr>
      <w:r>
        <w:rPr>
          <w:b/>
          <w:sz w:val="17"/>
        </w:rPr>
        <w:t>Table T-13-02: MPLP Mapping to the Sixteen Missing Regulatory Objects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3600"/>
            <w:vAlign w:val="top"/>
            <w:shd w:fill="D9EAF7"/>
          </w:tcPr>
          <w:p>
            <w:pPr>
              <w:spacing w:after="0"/>
              <w:jc w:val="left"/>
            </w:pPr>
            <w:r>
              <w:rPr>
                <w:rFonts w:ascii="Arial" w:hAnsi="Arial"/>
                <w:b/>
                <w:sz w:val="11"/>
              </w:rPr>
              <w:t>MRO</w:t>
            </w:r>
          </w:p>
        </w:tc>
        <w:tc>
          <w:tcPr>
            <w:tcW w:type="dxa" w:w="3600"/>
            <w:vAlign w:val="top"/>
            <w:shd w:fill="D9EAF7"/>
          </w:tcPr>
          <w:p>
            <w:pPr>
              <w:spacing w:after="0"/>
              <w:jc w:val="left"/>
            </w:pPr>
            <w:r>
              <w:rPr>
                <w:rFonts w:ascii="Arial" w:hAnsi="Arial"/>
                <w:b/>
                <w:sz w:val="11"/>
              </w:rPr>
              <w:t>MPLP Mapping Strength</w:t>
            </w:r>
          </w:p>
        </w:tc>
        <w:tc>
          <w:tcPr>
            <w:tcW w:type="dxa" w:w="3600"/>
            <w:vAlign w:val="top"/>
            <w:shd w:fill="D9EAF7"/>
          </w:tcPr>
          <w:p>
            <w:pPr>
              <w:spacing w:after="0"/>
              <w:jc w:val="left"/>
            </w:pPr>
            <w:r>
              <w:rPr>
                <w:rFonts w:ascii="Arial" w:hAnsi="Arial"/>
                <w:b/>
                <w:sz w:val="11"/>
              </w:rPr>
              <w:t>Protocol-Level Relevance</w:t>
            </w:r>
          </w:p>
        </w:tc>
        <w:tc>
          <w:tcPr>
            <w:tcW w:type="dxa" w:w="3600"/>
            <w:vAlign w:val="top"/>
            <w:shd w:fill="D9EAF7"/>
          </w:tcPr>
          <w:p>
            <w:pPr>
              <w:spacing w:after="0"/>
              <w:jc w:val="left"/>
            </w:pPr>
            <w:r>
              <w:rPr>
                <w:rFonts w:ascii="Arial" w:hAnsi="Arial"/>
                <w:b/>
                <w:sz w:val="11"/>
              </w:rPr>
              <w:t>Implementation / Evidence Limit</w:t>
            </w:r>
          </w:p>
        </w:tc>
      </w:tr>
      <w:tr>
        <w:trPr>
          <w:cantSplit/>
        </w:trPr>
        <w:tc>
          <w:tcPr>
            <w:tcW w:type="dxa" w:w="3600"/>
            <w:vAlign w:val="top"/>
          </w:tcPr>
          <w:p>
            <w:pPr>
              <w:spacing w:after="0"/>
              <w:jc w:val="left"/>
            </w:pPr>
            <w:r>
              <w:rPr>
                <w:rFonts w:ascii="Arial" w:hAnsi="Arial"/>
                <w:b w:val="0"/>
                <w:sz w:val="11"/>
              </w:rPr>
              <w:t>MRO-01: Human Role to MAS Responsibility Mapping</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Role / Context / Confirm / Trace semantics support human-to-agent responsibility mapping</w:t>
            </w:r>
          </w:p>
        </w:tc>
        <w:tc>
          <w:tcPr>
            <w:tcW w:type="dxa" w:w="3600"/>
            <w:vAlign w:val="top"/>
          </w:tcPr>
          <w:p>
            <w:pPr>
              <w:spacing w:after="0"/>
              <w:jc w:val="left"/>
            </w:pPr>
            <w:r>
              <w:rPr>
                <w:rFonts w:ascii="Arial" w:hAnsi="Arial"/>
                <w:b w:val="0"/>
                <w:sz w:val="11"/>
              </w:rPr>
              <w:t>Requires implementation conformance; requires enterprise role integration</w:t>
            </w:r>
          </w:p>
        </w:tc>
      </w:tr>
      <w:tr>
        <w:trPr>
          <w:cantSplit/>
        </w:trPr>
        <w:tc>
          <w:tcPr>
            <w:tcW w:type="dxa" w:w="3600"/>
            <w:vAlign w:val="top"/>
          </w:tcPr>
          <w:p>
            <w:pPr>
              <w:spacing w:after="0"/>
              <w:jc w:val="left"/>
            </w:pPr>
            <w:r>
              <w:rPr>
                <w:rFonts w:ascii="Arial" w:hAnsi="Arial"/>
                <w:b w:val="0"/>
                <w:sz w:val="11"/>
              </w:rPr>
              <w:t>MRO-02: Delegated Authority Boundary</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Confirm / authority boundary semantics support delegation scope definition</w:t>
            </w:r>
          </w:p>
        </w:tc>
        <w:tc>
          <w:tcPr>
            <w:tcW w:type="dxa" w:w="3600"/>
            <w:vAlign w:val="top"/>
          </w:tcPr>
          <w:p>
            <w:pPr>
              <w:spacing w:after="0"/>
              <w:jc w:val="left"/>
            </w:pPr>
            <w:r>
              <w:rPr>
                <w:rFonts w:ascii="Arial" w:hAnsi="Arial"/>
                <w:b w:val="0"/>
                <w:sz w:val="11"/>
              </w:rPr>
              <w:t>Requires operational policy; requires runtime enforcement validation</w:t>
            </w:r>
          </w:p>
        </w:tc>
      </w:tr>
      <w:tr>
        <w:trPr>
          <w:cantSplit/>
        </w:trPr>
        <w:tc>
          <w:tcPr>
            <w:tcW w:type="dxa" w:w="3600"/>
            <w:vAlign w:val="top"/>
          </w:tcPr>
          <w:p>
            <w:pPr>
              <w:spacing w:after="0"/>
              <w:jc w:val="left"/>
            </w:pPr>
            <w:r>
              <w:rPr>
                <w:rFonts w:ascii="Arial" w:hAnsi="Arial"/>
                <w:b w:val="0"/>
                <w:sz w:val="11"/>
              </w:rPr>
              <w:t>MRO-03: Agent Role is not Human Role</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Role semantics distinguish agent responsibility surfaces from human roles</w:t>
            </w:r>
          </w:p>
        </w:tc>
        <w:tc>
          <w:tcPr>
            <w:tcW w:type="dxa" w:w="3600"/>
            <w:vAlign w:val="top"/>
          </w:tcPr>
          <w:p>
            <w:pPr>
              <w:spacing w:after="0"/>
              <w:jc w:val="left"/>
            </w:pPr>
            <w:r>
              <w:rPr>
                <w:rFonts w:ascii="Arial" w:hAnsi="Arial"/>
                <w:b w:val="0"/>
                <w:sz w:val="11"/>
              </w:rPr>
              <w:t>Requires governance interpretation; requires organizational adoption</w:t>
            </w:r>
          </w:p>
        </w:tc>
      </w:tr>
      <w:tr>
        <w:trPr>
          <w:cantSplit/>
        </w:trPr>
        <w:tc>
          <w:tcPr>
            <w:tcW w:type="dxa" w:w="3600"/>
            <w:vAlign w:val="top"/>
          </w:tcPr>
          <w:p>
            <w:pPr>
              <w:spacing w:after="0"/>
              <w:jc w:val="left"/>
            </w:pPr>
            <w:r>
              <w:rPr>
                <w:rFonts w:ascii="Arial" w:hAnsi="Arial"/>
                <w:b w:val="0"/>
                <w:sz w:val="11"/>
              </w:rPr>
              <w:t>MRO-04: Accepted Outcome Compliance</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Confirm / Trace / Plan closure semantics support accepted outcome states</w:t>
            </w:r>
          </w:p>
        </w:tc>
        <w:tc>
          <w:tcPr>
            <w:tcW w:type="dxa" w:w="3600"/>
            <w:vAlign w:val="top"/>
          </w:tcPr>
          <w:p>
            <w:pPr>
              <w:spacing w:after="0"/>
              <w:jc w:val="left"/>
            </w:pPr>
            <w:r>
              <w:rPr>
                <w:rFonts w:ascii="Arial" w:hAnsi="Arial"/>
                <w:b w:val="0"/>
                <w:sz w:val="11"/>
              </w:rPr>
              <w:t>Requires review workflow integration; requires acceptance authority mapping</w:t>
            </w:r>
          </w:p>
        </w:tc>
      </w:tr>
      <w:tr>
        <w:trPr>
          <w:cantSplit/>
        </w:trPr>
        <w:tc>
          <w:tcPr>
            <w:tcW w:type="dxa" w:w="3600"/>
            <w:vAlign w:val="top"/>
          </w:tcPr>
          <w:p>
            <w:pPr>
              <w:spacing w:after="0"/>
              <w:jc w:val="left"/>
            </w:pPr>
            <w:r>
              <w:rPr>
                <w:rFonts w:ascii="Arial" w:hAnsi="Arial"/>
                <w:b w:val="0"/>
                <w:sz w:val="11"/>
              </w:rPr>
              <w:t>MRO-05: Tool-Action Liability Boundary</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Tool-action evidence semantics can support liability boundary records</w:t>
            </w:r>
          </w:p>
        </w:tc>
        <w:tc>
          <w:tcPr>
            <w:tcW w:type="dxa" w:w="3600"/>
            <w:vAlign w:val="top"/>
          </w:tcPr>
          <w:p>
            <w:pPr>
              <w:spacing w:after="0"/>
              <w:jc w:val="left"/>
            </w:pPr>
            <w:r>
              <w:rPr>
                <w:rFonts w:ascii="Arial" w:hAnsi="Arial"/>
                <w:b w:val="0"/>
                <w:sz w:val="11"/>
              </w:rPr>
              <w:t>Requires tool integration; requires liability policy definition</w:t>
            </w:r>
          </w:p>
        </w:tc>
      </w:tr>
      <w:tr>
        <w:trPr>
          <w:cantSplit/>
        </w:trPr>
        <w:tc>
          <w:tcPr>
            <w:tcW w:type="dxa" w:w="3600"/>
            <w:vAlign w:val="top"/>
          </w:tcPr>
          <w:p>
            <w:pPr>
              <w:spacing w:after="0"/>
              <w:jc w:val="left"/>
            </w:pPr>
            <w:r>
              <w:rPr>
                <w:rFonts w:ascii="Arial" w:hAnsi="Arial"/>
                <w:b w:val="0"/>
                <w:sz w:val="11"/>
              </w:rPr>
              <w:t>MRO-06: Responsibility Transfer Across Agents</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Handoff / transfer semantics support responsibility transfer records</w:t>
            </w:r>
          </w:p>
        </w:tc>
        <w:tc>
          <w:tcPr>
            <w:tcW w:type="dxa" w:w="3600"/>
            <w:vAlign w:val="top"/>
          </w:tcPr>
          <w:p>
            <w:pPr>
              <w:spacing w:after="0"/>
              <w:jc w:val="left"/>
            </w:pPr>
            <w:r>
              <w:rPr>
                <w:rFonts w:ascii="Arial" w:hAnsi="Arial"/>
                <w:b w:val="0"/>
                <w:sz w:val="11"/>
              </w:rPr>
              <w:t>Requires multi-agent integration; requires constraint inheritance validation</w:t>
            </w:r>
          </w:p>
        </w:tc>
      </w:tr>
      <w:tr>
        <w:trPr>
          <w:cantSplit/>
        </w:trPr>
        <w:tc>
          <w:tcPr>
            <w:tcW w:type="dxa" w:w="3600"/>
            <w:vAlign w:val="top"/>
          </w:tcPr>
          <w:p>
            <w:pPr>
              <w:spacing w:after="0"/>
              <w:jc w:val="left"/>
            </w:pPr>
            <w:r>
              <w:rPr>
                <w:rFonts w:ascii="Arial" w:hAnsi="Arial"/>
                <w:b w:val="0"/>
                <w:sz w:val="11"/>
              </w:rPr>
              <w:t>MRO-07: Authority Drift</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Monitoring semantics can support drift detection</w:t>
            </w:r>
          </w:p>
        </w:tc>
        <w:tc>
          <w:tcPr>
            <w:tcW w:type="dxa" w:w="3600"/>
            <w:vAlign w:val="top"/>
          </w:tcPr>
          <w:p>
            <w:pPr>
              <w:spacing w:after="0"/>
              <w:jc w:val="left"/>
            </w:pPr>
            <w:r>
              <w:rPr>
                <w:rFonts w:ascii="Arial" w:hAnsi="Arial"/>
                <w:b w:val="0"/>
                <w:sz w:val="11"/>
              </w:rPr>
              <w:t>Requires runtime monitoring integration; requires drift alert policy</w:t>
            </w:r>
          </w:p>
        </w:tc>
      </w:tr>
      <w:tr>
        <w:trPr>
          <w:cantSplit/>
        </w:trPr>
        <w:tc>
          <w:tcPr>
            <w:tcW w:type="dxa" w:w="3600"/>
            <w:vAlign w:val="top"/>
          </w:tcPr>
          <w:p>
            <w:pPr>
              <w:spacing w:after="0"/>
              <w:jc w:val="left"/>
            </w:pPr>
            <w:r>
              <w:rPr>
                <w:rFonts w:ascii="Arial" w:hAnsi="Arial"/>
                <w:b w:val="0"/>
                <w:sz w:val="11"/>
              </w:rPr>
              <w:t>MRO-08: MAS Evidence Partitioning</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Trace / evidence semantics support partitioned evidence chains</w:t>
            </w:r>
          </w:p>
        </w:tc>
        <w:tc>
          <w:tcPr>
            <w:tcW w:type="dxa" w:w="3600"/>
            <w:vAlign w:val="top"/>
          </w:tcPr>
          <w:p>
            <w:pPr>
              <w:spacing w:after="0"/>
              <w:jc w:val="left"/>
            </w:pPr>
            <w:r>
              <w:rPr>
                <w:rFonts w:ascii="Arial" w:hAnsi="Arial"/>
                <w:b w:val="0"/>
                <w:sz w:val="11"/>
              </w:rPr>
              <w:t>Requires evidence export; requires partition policy definition</w:t>
            </w:r>
          </w:p>
        </w:tc>
      </w:tr>
      <w:tr>
        <w:trPr>
          <w:cantSplit/>
        </w:trPr>
        <w:tc>
          <w:tcPr>
            <w:tcW w:type="dxa" w:w="3600"/>
            <w:vAlign w:val="top"/>
          </w:tcPr>
          <w:p>
            <w:pPr>
              <w:spacing w:after="0"/>
              <w:jc w:val="left"/>
            </w:pPr>
            <w:r>
              <w:rPr>
                <w:rFonts w:ascii="Arial" w:hAnsi="Arial"/>
                <w:b w:val="0"/>
                <w:sz w:val="11"/>
              </w:rPr>
              <w:t>MRO-09: Cross-Project Reuse Compliance</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Context reset semantics can support reuse validation</w:t>
            </w:r>
          </w:p>
        </w:tc>
        <w:tc>
          <w:tcPr>
            <w:tcW w:type="dxa" w:w="3600"/>
            <w:vAlign w:val="top"/>
          </w:tcPr>
          <w:p>
            <w:pPr>
              <w:spacing w:after="0"/>
              <w:jc w:val="left"/>
            </w:pPr>
            <w:r>
              <w:rPr>
                <w:rFonts w:ascii="Arial" w:hAnsi="Arial"/>
                <w:b w:val="0"/>
                <w:sz w:val="11"/>
              </w:rPr>
              <w:t>Requires reuse policy; requires revalidation workflow</w:t>
            </w:r>
          </w:p>
        </w:tc>
      </w:tr>
      <w:tr>
        <w:trPr>
          <w:cantSplit/>
        </w:trPr>
        <w:tc>
          <w:tcPr>
            <w:tcW w:type="dxa" w:w="3600"/>
            <w:vAlign w:val="top"/>
          </w:tcPr>
          <w:p>
            <w:pPr>
              <w:spacing w:after="0"/>
              <w:jc w:val="left"/>
            </w:pPr>
            <w:r>
              <w:rPr>
                <w:rFonts w:ascii="Arial" w:hAnsi="Arial"/>
                <w:b w:val="0"/>
                <w:sz w:val="11"/>
              </w:rPr>
              <w:t>MRO-10: Privacy / GDPR Lifecycle Mapping</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Data-flow semantics can support privacy lifecycle mapping</w:t>
            </w:r>
          </w:p>
        </w:tc>
        <w:tc>
          <w:tcPr>
            <w:tcW w:type="dxa" w:w="3600"/>
            <w:vAlign w:val="top"/>
          </w:tcPr>
          <w:p>
            <w:pPr>
              <w:spacing w:after="0"/>
              <w:jc w:val="left"/>
            </w:pPr>
            <w:r>
              <w:rPr>
                <w:rFonts w:ascii="Arial" w:hAnsi="Arial"/>
                <w:b w:val="0"/>
                <w:sz w:val="11"/>
              </w:rPr>
              <w:t>Requires privacy policy integration; requires GDPR interpretation</w:t>
            </w:r>
          </w:p>
        </w:tc>
      </w:tr>
      <w:tr>
        <w:trPr>
          <w:cantSplit/>
        </w:trPr>
        <w:tc>
          <w:tcPr>
            <w:tcW w:type="dxa" w:w="3600"/>
            <w:vAlign w:val="top"/>
          </w:tcPr>
          <w:p>
            <w:pPr>
              <w:spacing w:after="0"/>
              <w:jc w:val="left"/>
            </w:pPr>
            <w:r>
              <w:rPr>
                <w:rFonts w:ascii="Arial" w:hAnsi="Arial"/>
                <w:b w:val="0"/>
                <w:sz w:val="11"/>
              </w:rPr>
              <w:t>MRO-11: Privacy-Preserving Third-Party Validation</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Selective disclosure semantics can support privacy-preserving validation</w:t>
            </w:r>
          </w:p>
        </w:tc>
        <w:tc>
          <w:tcPr>
            <w:tcW w:type="dxa" w:w="3600"/>
            <w:vAlign w:val="top"/>
          </w:tcPr>
          <w:p>
            <w:pPr>
              <w:spacing w:after="0"/>
              <w:jc w:val="left"/>
            </w:pPr>
            <w:r>
              <w:rPr>
                <w:rFonts w:ascii="Arial" w:hAnsi="Arial"/>
                <w:b w:val="0"/>
                <w:sz w:val="11"/>
              </w:rPr>
              <w:t>Requires validation protocol integration; requires third-party acceptance</w:t>
            </w:r>
          </w:p>
        </w:tc>
      </w:tr>
      <w:tr>
        <w:trPr>
          <w:cantSplit/>
        </w:trPr>
        <w:tc>
          <w:tcPr>
            <w:tcW w:type="dxa" w:w="3600"/>
            <w:vAlign w:val="top"/>
          </w:tcPr>
          <w:p>
            <w:pPr>
              <w:spacing w:after="0"/>
              <w:jc w:val="left"/>
            </w:pPr>
            <w:r>
              <w:rPr>
                <w:rFonts w:ascii="Arial" w:hAnsi="Arial"/>
                <w:b w:val="0"/>
                <w:sz w:val="11"/>
              </w:rPr>
              <w:t>MRO-12: Evidence Minimization and Selective Disclosure</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Evidence semantics can support minimization and selective disclosure</w:t>
            </w:r>
          </w:p>
        </w:tc>
        <w:tc>
          <w:tcPr>
            <w:tcW w:type="dxa" w:w="3600"/>
            <w:vAlign w:val="top"/>
          </w:tcPr>
          <w:p>
            <w:pPr>
              <w:spacing w:after="0"/>
              <w:jc w:val="left"/>
            </w:pPr>
            <w:r>
              <w:rPr>
                <w:rFonts w:ascii="Arial" w:hAnsi="Arial"/>
                <w:b w:val="0"/>
                <w:sz w:val="11"/>
              </w:rPr>
              <w:t>Requires retention policy; requires disclosure rules definition</w:t>
            </w:r>
          </w:p>
        </w:tc>
      </w:tr>
      <w:tr>
        <w:trPr>
          <w:cantSplit/>
        </w:trPr>
        <w:tc>
          <w:tcPr>
            <w:tcW w:type="dxa" w:w="3600"/>
            <w:vAlign w:val="top"/>
          </w:tcPr>
          <w:p>
            <w:pPr>
              <w:spacing w:after="0"/>
              <w:jc w:val="left"/>
            </w:pPr>
            <w:r>
              <w:rPr>
                <w:rFonts w:ascii="Arial" w:hAnsi="Arial"/>
                <w:b w:val="0"/>
                <w:sz w:val="11"/>
              </w:rPr>
              <w:t>MRO-13: Data Subject Rights vs Evidence Retention</w:t>
            </w:r>
          </w:p>
        </w:tc>
        <w:tc>
          <w:tcPr>
            <w:tcW w:type="dxa" w:w="3600"/>
            <w:vAlign w:val="top"/>
          </w:tcPr>
          <w:p>
            <w:pPr>
              <w:spacing w:after="0"/>
              <w:jc w:val="left"/>
            </w:pPr>
            <w:r>
              <w:rPr>
                <w:rFonts w:ascii="Arial" w:hAnsi="Arial"/>
                <w:b w:val="0"/>
                <w:sz w:val="11"/>
              </w:rPr>
              <w:t>Partial</w:t>
            </w:r>
          </w:p>
        </w:tc>
        <w:tc>
          <w:tcPr>
            <w:tcW w:type="dxa" w:w="3600"/>
            <w:vAlign w:val="top"/>
          </w:tcPr>
          <w:p>
            <w:pPr>
              <w:spacing w:after="0"/>
              <w:jc w:val="left"/>
            </w:pPr>
            <w:r>
              <w:rPr>
                <w:rFonts w:ascii="Arial" w:hAnsi="Arial"/>
                <w:b w:val="0"/>
                <w:sz w:val="11"/>
              </w:rPr>
              <w:t>Retention semantics require policy-level reconciliation</w:t>
            </w:r>
          </w:p>
        </w:tc>
        <w:tc>
          <w:tcPr>
            <w:tcW w:type="dxa" w:w="3600"/>
            <w:vAlign w:val="top"/>
          </w:tcPr>
          <w:p>
            <w:pPr>
              <w:spacing w:after="0"/>
              <w:jc w:val="left"/>
            </w:pPr>
            <w:r>
              <w:rPr>
                <w:rFonts w:ascii="Arial" w:hAnsi="Arial"/>
                <w:b w:val="0"/>
                <w:sz w:val="11"/>
              </w:rPr>
              <w:t>Requires legal interpretation; requires data subject rights workflow</w:t>
            </w:r>
          </w:p>
        </w:tc>
      </w:tr>
      <w:tr>
        <w:trPr>
          <w:cantSplit/>
        </w:trPr>
        <w:tc>
          <w:tcPr>
            <w:tcW w:type="dxa" w:w="3600"/>
            <w:vAlign w:val="top"/>
          </w:tcPr>
          <w:p>
            <w:pPr>
              <w:spacing w:after="0"/>
              <w:jc w:val="left"/>
            </w:pPr>
            <w:r>
              <w:rPr>
                <w:rFonts w:ascii="Arial" w:hAnsi="Arial"/>
                <w:b w:val="0"/>
                <w:sz w:val="11"/>
              </w:rPr>
              <w:t>MRO-14: Third-Party Processor / Subprocessor Chain</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Network / integration semantics can track processor chain</w:t>
            </w:r>
          </w:p>
        </w:tc>
        <w:tc>
          <w:tcPr>
            <w:tcW w:type="dxa" w:w="3600"/>
            <w:vAlign w:val="top"/>
          </w:tcPr>
          <w:p>
            <w:pPr>
              <w:spacing w:after="0"/>
              <w:jc w:val="left"/>
            </w:pPr>
            <w:r>
              <w:rPr>
                <w:rFonts w:ascii="Arial" w:hAnsi="Arial"/>
                <w:b w:val="0"/>
                <w:sz w:val="11"/>
              </w:rPr>
              <w:t>Requires processor agreement integration; requires chain documentation</w:t>
            </w:r>
          </w:p>
        </w:tc>
      </w:tr>
      <w:tr>
        <w:trPr>
          <w:cantSplit/>
        </w:trPr>
        <w:tc>
          <w:tcPr>
            <w:tcW w:type="dxa" w:w="3600"/>
            <w:vAlign w:val="top"/>
          </w:tcPr>
          <w:p>
            <w:pPr>
              <w:spacing w:after="0"/>
              <w:jc w:val="left"/>
            </w:pPr>
            <w:r>
              <w:rPr>
                <w:rFonts w:ascii="Arial" w:hAnsi="Arial"/>
                <w:b w:val="0"/>
                <w:sz w:val="11"/>
              </w:rPr>
              <w:t>MRO-15: Vendor / Model / Runtime Substitution Conformance</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Integration boundary semantics can support substitution conformance</w:t>
            </w:r>
          </w:p>
        </w:tc>
        <w:tc>
          <w:tcPr>
            <w:tcW w:type="dxa" w:w="3600"/>
            <w:vAlign w:val="top"/>
          </w:tcPr>
          <w:p>
            <w:pPr>
              <w:spacing w:after="0"/>
              <w:jc w:val="left"/>
            </w:pPr>
            <w:r>
              <w:rPr>
                <w:rFonts w:ascii="Arial" w:hAnsi="Arial"/>
                <w:b w:val="0"/>
                <w:sz w:val="11"/>
              </w:rPr>
              <w:t>Requires substitution testing; requires conformance validation</w:t>
            </w:r>
          </w:p>
        </w:tc>
      </w:tr>
      <w:tr>
        <w:trPr>
          <w:cantSplit/>
        </w:trPr>
        <w:tc>
          <w:tcPr>
            <w:tcW w:type="dxa" w:w="3600"/>
            <w:vAlign w:val="top"/>
          </w:tcPr>
          <w:p>
            <w:pPr>
              <w:spacing w:after="0"/>
              <w:jc w:val="left"/>
            </w:pPr>
            <w:r>
              <w:rPr>
                <w:rFonts w:ascii="Arial" w:hAnsi="Arial"/>
                <w:b w:val="0"/>
                <w:sz w:val="11"/>
              </w:rPr>
              <w:t>MRO-16: Incident, Dispute, and Remediation Closure</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Closure semantics can support incident and dispute resolution</w:t>
            </w:r>
          </w:p>
        </w:tc>
        <w:tc>
          <w:tcPr>
            <w:tcW w:type="dxa" w:w="3600"/>
            <w:vAlign w:val="top"/>
          </w:tcPr>
          <w:p>
            <w:pPr>
              <w:spacing w:after="0"/>
              <w:jc w:val="left"/>
            </w:pPr>
            <w:r>
              <w:rPr>
                <w:rFonts w:ascii="Arial" w:hAnsi="Arial"/>
                <w:b w:val="0"/>
                <w:sz w:val="11"/>
              </w:rPr>
              <w:t>Requires incident workflow; requires remediation policy; does not imply legal closure</w:t>
            </w:r>
          </w:p>
        </w:tc>
      </w:tr>
    </w:tbl>
    <w:p>
      <w:pPr>
        <w:sectPr>
          <w:pgSz w:w="12240" w:h="15840" w:orient="landscape"/>
          <w:pgMar w:top="792" w:right="648" w:bottom="792" w:left="648" w:header="720" w:footer="720" w:gutter="0"/>
          <w:cols w:space="720"/>
          <w:docGrid w:linePitch="360"/>
        </w:sectPr>
      </w:pPr>
    </w:p>
    <w:p/>
    <w:p>
      <w:r>
        <w:t>Key: Strong = protocol semantics directly express the required object; Moderate = protocol semantics can support the object with additional policy/integration; Partial = protocol semantics provide foundation but require significant additional work.</w:t>
      </w:r>
    </w:p>
    <w:p/>
    <w:p/>
    <w:p>
      <w:pPr>
        <w:pStyle w:val="Heading2"/>
      </w:pPr>
      <w:r>
        <w:t>13.4 MPLP Mapping to RCCS</w:t>
      </w:r>
    </w:p>
    <w:p/>
    <w:p>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
      <w:pPr>
        <w:keepNext/>
      </w:pPr>
      <w:r>
        <w:rPr>
          <w:b/>
          <w:sz w:val="17"/>
        </w:rPr>
        <w:t>Table T-13-03: MPLP Mapping to RCCS Dimensions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shd w:fill="D9EAF7"/>
          </w:tcPr>
          <w:p>
            <w:pPr>
              <w:spacing w:after="0"/>
              <w:jc w:val="left"/>
            </w:pPr>
            <w:r>
              <w:rPr>
                <w:rFonts w:ascii="Arial" w:hAnsi="Arial"/>
                <w:b/>
                <w:sz w:val="14"/>
              </w:rPr>
              <w:t>RCCS Dimension</w:t>
            </w:r>
          </w:p>
        </w:tc>
        <w:tc>
          <w:tcPr>
            <w:tcW w:type="dxa" w:w="2556"/>
            <w:vAlign w:val="top"/>
            <w:shd w:fill="D9EAF7"/>
          </w:tcPr>
          <w:p>
            <w:pPr>
              <w:spacing w:after="0"/>
              <w:jc w:val="left"/>
            </w:pPr>
            <w:r>
              <w:rPr>
                <w:rFonts w:ascii="Arial" w:hAnsi="Arial"/>
                <w:b/>
                <w:sz w:val="14"/>
              </w:rPr>
              <w:t>Mapping Strength</w:t>
            </w:r>
          </w:p>
        </w:tc>
        <w:tc>
          <w:tcPr>
            <w:tcW w:type="dxa" w:w="2556"/>
            <w:vAlign w:val="top"/>
            <w:shd w:fill="D9EAF7"/>
          </w:tcPr>
          <w:p>
            <w:pPr>
              <w:spacing w:after="0"/>
              <w:jc w:val="left"/>
            </w:pPr>
            <w:r>
              <w:rPr>
                <w:rFonts w:ascii="Arial" w:hAnsi="Arial"/>
                <w:b/>
                <w:sz w:val="14"/>
              </w:rPr>
              <w:t>Why MPLP May Help</w:t>
            </w:r>
          </w:p>
        </w:tc>
        <w:tc>
          <w:tcPr>
            <w:tcW w:type="dxa" w:w="2556"/>
            <w:vAlign w:val="top"/>
            <w:shd w:fill="D9EAF7"/>
          </w:tcPr>
          <w:p>
            <w:pPr>
              <w:spacing w:after="0"/>
              <w:jc w:val="left"/>
            </w:pPr>
            <w:r>
              <w:rPr>
                <w:rFonts w:ascii="Arial" w:hAnsi="Arial"/>
                <w:b/>
                <w:sz w:val="14"/>
              </w:rPr>
              <w:t>Boundary / Evidence Limit</w:t>
            </w:r>
          </w:p>
        </w:tc>
      </w:tr>
      <w:tr>
        <w:trPr>
          <w:cantSplit/>
        </w:trPr>
        <w:tc>
          <w:tcPr>
            <w:tcW w:type="dxa" w:w="2556"/>
            <w:vAlign w:val="top"/>
          </w:tcPr>
          <w:p>
            <w:pPr>
              <w:spacing w:after="0"/>
              <w:jc w:val="left"/>
            </w:pPr>
            <w:r>
              <w:rPr>
                <w:rFonts w:ascii="Arial" w:hAnsi="Arial"/>
                <w:b w:val="0"/>
                <w:sz w:val="14"/>
              </w:rPr>
              <w:t>RCCS-01: Risk Management</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Protocol semantics can support risk documentation and evidence</w:t>
            </w:r>
          </w:p>
        </w:tc>
        <w:tc>
          <w:tcPr>
            <w:tcW w:type="dxa" w:w="2556"/>
            <w:vAlign w:val="top"/>
          </w:tcPr>
          <w:p>
            <w:pPr>
              <w:spacing w:after="0"/>
              <w:jc w:val="left"/>
            </w:pPr>
            <w:r>
              <w:rPr>
                <w:rFonts w:ascii="Arial" w:hAnsi="Arial"/>
                <w:b w:val="0"/>
                <w:sz w:val="14"/>
              </w:rPr>
              <w:t>Requires organizational risk management process; requires risk assessment integration</w:t>
            </w:r>
          </w:p>
        </w:tc>
      </w:tr>
      <w:tr>
        <w:trPr>
          <w:cantSplit/>
        </w:trPr>
        <w:tc>
          <w:tcPr>
            <w:tcW w:type="dxa" w:w="2556"/>
            <w:vAlign w:val="top"/>
          </w:tcPr>
          <w:p>
            <w:pPr>
              <w:spacing w:after="0"/>
              <w:jc w:val="left"/>
            </w:pPr>
            <w:r>
              <w:rPr>
                <w:rFonts w:ascii="Arial" w:hAnsi="Arial"/>
                <w:b w:val="0"/>
                <w:sz w:val="14"/>
              </w:rPr>
              <w:t>RCCS-02: Data Governance</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Data-flow semantics can support data lineage and lifecycle tracking</w:t>
            </w:r>
          </w:p>
        </w:tc>
        <w:tc>
          <w:tcPr>
            <w:tcW w:type="dxa" w:w="2556"/>
            <w:vAlign w:val="top"/>
          </w:tcPr>
          <w:p>
            <w:pPr>
              <w:spacing w:after="0"/>
              <w:jc w:val="left"/>
            </w:pPr>
            <w:r>
              <w:rPr>
                <w:rFonts w:ascii="Arial" w:hAnsi="Arial"/>
                <w:b w:val="0"/>
                <w:sz w:val="14"/>
              </w:rPr>
              <w:t>Requires data governance policy; requires data quality controls</w:t>
            </w:r>
          </w:p>
        </w:tc>
      </w:tr>
      <w:tr>
        <w:trPr>
          <w:cantSplit/>
        </w:trPr>
        <w:tc>
          <w:tcPr>
            <w:tcW w:type="dxa" w:w="2556"/>
            <w:vAlign w:val="top"/>
          </w:tcPr>
          <w:p>
            <w:pPr>
              <w:spacing w:after="0"/>
              <w:jc w:val="left"/>
            </w:pPr>
            <w:r>
              <w:rPr>
                <w:rFonts w:ascii="Arial" w:hAnsi="Arial"/>
                <w:b w:val="0"/>
                <w:sz w:val="14"/>
              </w:rPr>
              <w:t>RCCS-03: Documentation</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Protocol semantics can generate lifecycle documentation</w:t>
            </w:r>
          </w:p>
        </w:tc>
        <w:tc>
          <w:tcPr>
            <w:tcW w:type="dxa" w:w="2556"/>
            <w:vAlign w:val="top"/>
          </w:tcPr>
          <w:p>
            <w:pPr>
              <w:spacing w:after="0"/>
              <w:jc w:val="left"/>
            </w:pPr>
            <w:r>
              <w:rPr>
                <w:rFonts w:ascii="Arial" w:hAnsi="Arial"/>
                <w:b w:val="0"/>
                <w:sz w:val="14"/>
              </w:rPr>
              <w:t>Requires documentation standards; requires version control integration</w:t>
            </w:r>
          </w:p>
        </w:tc>
      </w:tr>
      <w:tr>
        <w:trPr>
          <w:cantSplit/>
        </w:trPr>
        <w:tc>
          <w:tcPr>
            <w:tcW w:type="dxa" w:w="2556"/>
            <w:vAlign w:val="top"/>
          </w:tcPr>
          <w:p>
            <w:pPr>
              <w:spacing w:after="0"/>
              <w:jc w:val="left"/>
            </w:pPr>
            <w:r>
              <w:rPr>
                <w:rFonts w:ascii="Arial" w:hAnsi="Arial"/>
                <w:b w:val="0"/>
                <w:sz w:val="14"/>
              </w:rPr>
              <w:t>RCCS-04: Record-Keeping</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Trace / evidence semantics support audit trail generation</w:t>
            </w:r>
          </w:p>
        </w:tc>
        <w:tc>
          <w:tcPr>
            <w:tcW w:type="dxa" w:w="2556"/>
            <w:vAlign w:val="top"/>
          </w:tcPr>
          <w:p>
            <w:pPr>
              <w:spacing w:after="0"/>
              <w:jc w:val="left"/>
            </w:pPr>
            <w:r>
              <w:rPr>
                <w:rFonts w:ascii="Arial" w:hAnsi="Arial"/>
                <w:b w:val="0"/>
                <w:sz w:val="14"/>
              </w:rPr>
              <w:t>Requires evidence retention policy; requires tamper-evident storage</w:t>
            </w:r>
          </w:p>
        </w:tc>
      </w:tr>
      <w:tr>
        <w:trPr>
          <w:cantSplit/>
        </w:trPr>
        <w:tc>
          <w:tcPr>
            <w:tcW w:type="dxa" w:w="2556"/>
            <w:vAlign w:val="top"/>
          </w:tcPr>
          <w:p>
            <w:pPr>
              <w:spacing w:after="0"/>
              <w:jc w:val="left"/>
            </w:pPr>
            <w:r>
              <w:rPr>
                <w:rFonts w:ascii="Arial" w:hAnsi="Arial"/>
                <w:b w:val="0"/>
                <w:sz w:val="14"/>
              </w:rPr>
              <w:t>RCCS-05: Transparency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Evidence semantics can support explainability and disclosure</w:t>
            </w:r>
          </w:p>
        </w:tc>
        <w:tc>
          <w:tcPr>
            <w:tcW w:type="dxa" w:w="2556"/>
            <w:vAlign w:val="top"/>
          </w:tcPr>
          <w:p>
            <w:pPr>
              <w:spacing w:after="0"/>
              <w:jc w:val="left"/>
            </w:pPr>
            <w:r>
              <w:rPr>
                <w:rFonts w:ascii="Arial" w:hAnsi="Arial"/>
                <w:b w:val="0"/>
                <w:sz w:val="14"/>
              </w:rPr>
              <w:t>Requires transparency policy; requires disclosure workflow</w:t>
            </w:r>
          </w:p>
        </w:tc>
      </w:tr>
      <w:tr>
        <w:trPr>
          <w:cantSplit/>
        </w:trPr>
        <w:tc>
          <w:tcPr>
            <w:tcW w:type="dxa" w:w="2556"/>
            <w:vAlign w:val="top"/>
          </w:tcPr>
          <w:p>
            <w:pPr>
              <w:spacing w:after="0"/>
              <w:jc w:val="left"/>
            </w:pPr>
            <w:r>
              <w:rPr>
                <w:rFonts w:ascii="Arial" w:hAnsi="Arial"/>
                <w:b w:val="0"/>
                <w:sz w:val="14"/>
              </w:rPr>
              <w:t>RCCS-06: Human Oversight</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Confirm / Role semantics support human review and approval workflows</w:t>
            </w:r>
          </w:p>
        </w:tc>
        <w:tc>
          <w:tcPr>
            <w:tcW w:type="dxa" w:w="2556"/>
            <w:vAlign w:val="top"/>
          </w:tcPr>
          <w:p>
            <w:pPr>
              <w:spacing w:after="0"/>
              <w:jc w:val="left"/>
            </w:pPr>
            <w:r>
              <w:rPr>
                <w:rFonts w:ascii="Arial" w:hAnsi="Arial"/>
                <w:b w:val="0"/>
                <w:sz w:val="14"/>
              </w:rPr>
              <w:t>Requires human oversight policy; requires escalation rules</w:t>
            </w:r>
          </w:p>
        </w:tc>
      </w:tr>
      <w:tr>
        <w:trPr>
          <w:cantSplit/>
        </w:trPr>
        <w:tc>
          <w:tcPr>
            <w:tcW w:type="dxa" w:w="2556"/>
            <w:vAlign w:val="top"/>
          </w:tcPr>
          <w:p>
            <w:pPr>
              <w:spacing w:after="0"/>
              <w:jc w:val="left"/>
            </w:pPr>
            <w:r>
              <w:rPr>
                <w:rFonts w:ascii="Arial" w:hAnsi="Arial"/>
                <w:b w:val="0"/>
                <w:sz w:val="14"/>
              </w:rPr>
              <w:t>RCCS-07: Security</w:t>
            </w:r>
          </w:p>
        </w:tc>
        <w:tc>
          <w:tcPr>
            <w:tcW w:type="dxa" w:w="2556"/>
            <w:vAlign w:val="top"/>
          </w:tcPr>
          <w:p>
            <w:pPr>
              <w:spacing w:after="0"/>
              <w:jc w:val="left"/>
            </w:pPr>
            <w:r>
              <w:rPr>
                <w:rFonts w:ascii="Arial" w:hAnsi="Arial"/>
                <w:b w:val="0"/>
                <w:sz w:val="14"/>
              </w:rPr>
              <w:t>Partial</w:t>
            </w:r>
          </w:p>
        </w:tc>
        <w:tc>
          <w:tcPr>
            <w:tcW w:type="dxa" w:w="2556"/>
            <w:vAlign w:val="top"/>
          </w:tcPr>
          <w:p>
            <w:pPr>
              <w:spacing w:after="0"/>
              <w:jc w:val="left"/>
            </w:pPr>
            <w:r>
              <w:rPr>
                <w:rFonts w:ascii="Arial" w:hAnsi="Arial"/>
                <w:b w:val="0"/>
                <w:sz w:val="14"/>
              </w:rPr>
              <w:t>Protocol semantics require security implementation</w:t>
            </w:r>
          </w:p>
        </w:tc>
        <w:tc>
          <w:tcPr>
            <w:tcW w:type="dxa" w:w="2556"/>
            <w:vAlign w:val="top"/>
          </w:tcPr>
          <w:p>
            <w:pPr>
              <w:spacing w:after="0"/>
              <w:jc w:val="left"/>
            </w:pPr>
            <w:r>
              <w:rPr>
                <w:rFonts w:ascii="Arial" w:hAnsi="Arial"/>
                <w:b w:val="0"/>
                <w:sz w:val="14"/>
              </w:rPr>
              <w:t>Requires security controls; requires access management; requires encryption</w:t>
            </w:r>
          </w:p>
        </w:tc>
      </w:tr>
      <w:tr>
        <w:trPr>
          <w:cantSplit/>
        </w:trPr>
        <w:tc>
          <w:tcPr>
            <w:tcW w:type="dxa" w:w="2556"/>
            <w:vAlign w:val="top"/>
          </w:tcPr>
          <w:p>
            <w:pPr>
              <w:spacing w:after="0"/>
              <w:jc w:val="left"/>
            </w:pPr>
            <w:r>
              <w:rPr>
                <w:rFonts w:ascii="Arial" w:hAnsi="Arial"/>
                <w:b w:val="0"/>
                <w:sz w:val="14"/>
              </w:rPr>
              <w:t>RCCS-08: Accountability</w:t>
            </w:r>
          </w:p>
        </w:tc>
        <w:tc>
          <w:tcPr>
            <w:tcW w:type="dxa" w:w="2556"/>
            <w:vAlign w:val="top"/>
          </w:tcPr>
          <w:p>
            <w:pPr>
              <w:spacing w:after="0"/>
              <w:jc w:val="left"/>
            </w:pPr>
            <w:r>
              <w:rPr>
                <w:rFonts w:ascii="Arial" w:hAnsi="Arial"/>
                <w:b w:val="0"/>
                <w:sz w:val="14"/>
              </w:rPr>
              <w:t>Strong</w:t>
            </w:r>
          </w:p>
        </w:tc>
        <w:tc>
          <w:tcPr>
            <w:tcW w:type="dxa" w:w="2556"/>
            <w:vAlign w:val="top"/>
          </w:tcPr>
          <w:p>
            <w:pPr>
              <w:spacing w:after="0"/>
              <w:jc w:val="left"/>
            </w:pPr>
            <w:r>
              <w:rPr>
                <w:rFonts w:ascii="Arial" w:hAnsi="Arial"/>
                <w:b w:val="0"/>
                <w:sz w:val="14"/>
              </w:rPr>
              <w:t>Role / Trace semantics support responsibility assignment and tracking</w:t>
            </w:r>
          </w:p>
        </w:tc>
        <w:tc>
          <w:tcPr>
            <w:tcW w:type="dxa" w:w="2556"/>
            <w:vAlign w:val="top"/>
          </w:tcPr>
          <w:p>
            <w:pPr>
              <w:spacing w:after="0"/>
              <w:jc w:val="left"/>
            </w:pPr>
            <w:r>
              <w:rPr>
                <w:rFonts w:ascii="Arial" w:hAnsi="Arial"/>
                <w:b w:val="0"/>
                <w:sz w:val="14"/>
              </w:rPr>
              <w:t>Requires accountability policy; requires organizational adoption</w:t>
            </w:r>
          </w:p>
        </w:tc>
      </w:tr>
      <w:tr>
        <w:trPr>
          <w:cantSplit/>
        </w:trPr>
        <w:tc>
          <w:tcPr>
            <w:tcW w:type="dxa" w:w="2556"/>
            <w:vAlign w:val="top"/>
          </w:tcPr>
          <w:p>
            <w:pPr>
              <w:spacing w:after="0"/>
              <w:jc w:val="left"/>
            </w:pPr>
            <w:r>
              <w:rPr>
                <w:rFonts w:ascii="Arial" w:hAnsi="Arial"/>
                <w:b w:val="0"/>
                <w:sz w:val="14"/>
              </w:rPr>
              <w:t>RCCS-09: Contestability</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Evidence / dispute semantics can support challenge and appeal</w:t>
            </w:r>
          </w:p>
        </w:tc>
        <w:tc>
          <w:tcPr>
            <w:tcW w:type="dxa" w:w="2556"/>
            <w:vAlign w:val="top"/>
          </w:tcPr>
          <w:p>
            <w:pPr>
              <w:spacing w:after="0"/>
              <w:jc w:val="left"/>
            </w:pPr>
            <w:r>
              <w:rPr>
                <w:rFonts w:ascii="Arial" w:hAnsi="Arial"/>
                <w:b w:val="0"/>
                <w:sz w:val="14"/>
              </w:rPr>
              <w:t>Requires dispute resolution workflow; requires remediation policy</w:t>
            </w:r>
          </w:p>
        </w:tc>
      </w:tr>
      <w:tr>
        <w:trPr>
          <w:cantSplit/>
        </w:trPr>
        <w:tc>
          <w:tcPr>
            <w:tcW w:type="dxa" w:w="2556"/>
            <w:vAlign w:val="top"/>
          </w:tcPr>
          <w:p>
            <w:pPr>
              <w:spacing w:after="0"/>
              <w:jc w:val="left"/>
            </w:pPr>
            <w:r>
              <w:rPr>
                <w:rFonts w:ascii="Arial" w:hAnsi="Arial"/>
                <w:b w:val="0"/>
                <w:sz w:val="14"/>
              </w:rPr>
              <w:t>RCCS-10: Monitoring</w:t>
            </w:r>
          </w:p>
        </w:tc>
        <w:tc>
          <w:tcPr>
            <w:tcW w:type="dxa" w:w="2556"/>
            <w:vAlign w:val="top"/>
          </w:tcPr>
          <w:p>
            <w:pPr>
              <w:spacing w:after="0"/>
              <w:jc w:val="left"/>
            </w:pPr>
            <w:r>
              <w:rPr>
                <w:rFonts w:ascii="Arial" w:hAnsi="Arial"/>
                <w:b w:val="0"/>
                <w:sz w:val="14"/>
              </w:rPr>
              <w:t>Moderate</w:t>
            </w:r>
          </w:p>
        </w:tc>
        <w:tc>
          <w:tcPr>
            <w:tcW w:type="dxa" w:w="2556"/>
            <w:vAlign w:val="top"/>
          </w:tcPr>
          <w:p>
            <w:pPr>
              <w:spacing w:after="0"/>
              <w:jc w:val="left"/>
            </w:pPr>
            <w:r>
              <w:rPr>
                <w:rFonts w:ascii="Arial" w:hAnsi="Arial"/>
                <w:b w:val="0"/>
                <w:sz w:val="14"/>
              </w:rPr>
              <w:t>Monitoring semantics can support continuous monitoring</w:t>
            </w:r>
          </w:p>
        </w:tc>
        <w:tc>
          <w:tcPr>
            <w:tcW w:type="dxa" w:w="2556"/>
            <w:vAlign w:val="top"/>
          </w:tcPr>
          <w:p>
            <w:pPr>
              <w:spacing w:after="0"/>
              <w:jc w:val="left"/>
            </w:pPr>
            <w:r>
              <w:rPr>
                <w:rFonts w:ascii="Arial" w:hAnsi="Arial"/>
                <w:b w:val="0"/>
                <w:sz w:val="14"/>
              </w:rPr>
              <w:t>Requires monitoring infrastructure; requires alert policy; requires incident response</w:t>
            </w:r>
          </w:p>
        </w:tc>
      </w:tr>
    </w:tbl>
    <w:p>
      <w:pPr>
        <w:sectPr>
          <w:pgSz w:w="12240" w:h="15840"/>
          <w:pgMar w:top="792" w:right="648" w:bottom="792" w:left="648" w:header="720" w:footer="720" w:gutter="0"/>
          <w:cols w:space="720"/>
          <w:docGrid w:linePitch="360"/>
        </w:sectPr>
      </w:pPr>
    </w:p>
    <w:p/>
    <w:p/>
    <w:p>
      <w:pPr>
        <w:pStyle w:val="Heading2"/>
      </w:pPr>
      <w:r>
        <w:t>13.5 MPLP Mapping to ALCS</w:t>
      </w:r>
    </w:p>
    <w:p/>
    <w:p>
      <w:r>
        <w:t>Because ALCS measures lifecycle responsibility objects, MPLP may map strongly to many ALCS dimensions. However, high protocol-level fit is not the same as deployment conformance.</w:t>
      </w:r>
    </w:p>
    <w:p/>
    <w:p>
      <w:r>
        <w:t>A strong ALCS semantic fit means the protocol can express the required lifecycle object. It does not mean any given implementation has enforced, audited, or operationalized that object.</w:t>
      </w:r>
    </w:p>
    <w:p/>
    <w:p>
      <w:pPr>
        <w:keepNext/>
      </w:pPr>
      <w:r>
        <w:rPr>
          <w:b/>
          <w:sz w:val="17"/>
        </w:rPr>
        <w:t>Table T-13-04: MPLP Mapping to ALCS Dimensions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shd w:fill="D9EAF7"/>
          </w:tcPr>
          <w:p>
            <w:pPr>
              <w:spacing w:after="0"/>
              <w:jc w:val="left"/>
            </w:pPr>
            <w:r>
              <w:rPr>
                <w:rFonts w:ascii="Arial" w:hAnsi="Arial"/>
                <w:b/>
                <w:sz w:val="11"/>
              </w:rPr>
              <w:t>ALCS Dimension</w:t>
            </w:r>
          </w:p>
        </w:tc>
        <w:tc>
          <w:tcPr>
            <w:tcW w:type="dxa" w:w="3600"/>
            <w:vAlign w:val="top"/>
            <w:shd w:fill="D9EAF7"/>
          </w:tcPr>
          <w:p>
            <w:pPr>
              <w:spacing w:after="0"/>
              <w:jc w:val="left"/>
            </w:pPr>
            <w:r>
              <w:rPr>
                <w:rFonts w:ascii="Arial" w:hAnsi="Arial"/>
                <w:b/>
                <w:sz w:val="11"/>
              </w:rPr>
              <w:t>Mapping Strength</w:t>
            </w:r>
          </w:p>
        </w:tc>
        <w:tc>
          <w:tcPr>
            <w:tcW w:type="dxa" w:w="3600"/>
            <w:vAlign w:val="top"/>
            <w:shd w:fill="D9EAF7"/>
          </w:tcPr>
          <w:p>
            <w:pPr>
              <w:spacing w:after="0"/>
              <w:jc w:val="left"/>
            </w:pPr>
            <w:r>
              <w:rPr>
                <w:rFonts w:ascii="Arial" w:hAnsi="Arial"/>
                <w:b/>
                <w:sz w:val="11"/>
              </w:rPr>
              <w:t>Protocol-Level Fit</w:t>
            </w:r>
          </w:p>
        </w:tc>
        <w:tc>
          <w:tcPr>
            <w:tcW w:type="dxa" w:w="3600"/>
            <w:vAlign w:val="top"/>
            <w:shd w:fill="D9EAF7"/>
          </w:tcPr>
          <w:p>
            <w:pPr>
              <w:spacing w:after="0"/>
              <w:jc w:val="left"/>
            </w:pPr>
            <w:r>
              <w:rPr>
                <w:rFonts w:ascii="Arial" w:hAnsi="Arial"/>
                <w:b/>
                <w:sz w:val="11"/>
              </w:rPr>
              <w:t>Boundary / Evidence Limit</w:t>
            </w:r>
          </w:p>
        </w:tc>
      </w:tr>
      <w:tr>
        <w:trPr>
          <w:cantSplit/>
        </w:trPr>
        <w:tc>
          <w:tcPr>
            <w:tcW w:type="dxa" w:w="3600"/>
            <w:vAlign w:val="top"/>
          </w:tcPr>
          <w:p>
            <w:pPr>
              <w:spacing w:after="0"/>
              <w:jc w:val="left"/>
            </w:pPr>
            <w:r>
              <w:rPr>
                <w:rFonts w:ascii="Arial" w:hAnsi="Arial"/>
                <w:b w:val="0"/>
                <w:sz w:val="11"/>
              </w:rPr>
              <w:t>ALCS-01: Human-Role-to-MAS Responsibility Mapping</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Role / Context / Confirm semantics directly express human-to-agent responsibility mapping</w:t>
            </w:r>
          </w:p>
        </w:tc>
        <w:tc>
          <w:tcPr>
            <w:tcW w:type="dxa" w:w="3600"/>
            <w:vAlign w:val="top"/>
          </w:tcPr>
          <w:p>
            <w:pPr>
              <w:spacing w:after="0"/>
              <w:jc w:val="left"/>
            </w:pPr>
            <w:r>
              <w:rPr>
                <w:rFonts w:ascii="Arial" w:hAnsi="Arial"/>
                <w:b w:val="0"/>
                <w:sz w:val="11"/>
              </w:rPr>
              <w:t>Requires enterprise role integration; requires organizational adoption</w:t>
            </w:r>
          </w:p>
        </w:tc>
      </w:tr>
      <w:tr>
        <w:trPr>
          <w:cantSplit/>
        </w:trPr>
        <w:tc>
          <w:tcPr>
            <w:tcW w:type="dxa" w:w="3600"/>
            <w:vAlign w:val="top"/>
          </w:tcPr>
          <w:p>
            <w:pPr>
              <w:spacing w:after="0"/>
              <w:jc w:val="left"/>
            </w:pPr>
            <w:r>
              <w:rPr>
                <w:rFonts w:ascii="Arial" w:hAnsi="Arial"/>
                <w:b w:val="0"/>
                <w:sz w:val="11"/>
              </w:rPr>
              <w:t>ALCS-02: Delegated Authority Boundary</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Confirm / authority semantics directly express delegation boundaries</w:t>
            </w:r>
          </w:p>
        </w:tc>
        <w:tc>
          <w:tcPr>
            <w:tcW w:type="dxa" w:w="3600"/>
            <w:vAlign w:val="top"/>
          </w:tcPr>
          <w:p>
            <w:pPr>
              <w:spacing w:after="0"/>
              <w:jc w:val="left"/>
            </w:pPr>
            <w:r>
              <w:rPr>
                <w:rFonts w:ascii="Arial" w:hAnsi="Arial"/>
                <w:b w:val="0"/>
                <w:sz w:val="11"/>
              </w:rPr>
              <w:t>Requires operational enforcement; requires runtime validation</w:t>
            </w:r>
          </w:p>
        </w:tc>
      </w:tr>
      <w:tr>
        <w:trPr>
          <w:cantSplit/>
        </w:trPr>
        <w:tc>
          <w:tcPr>
            <w:tcW w:type="dxa" w:w="3600"/>
            <w:vAlign w:val="top"/>
          </w:tcPr>
          <w:p>
            <w:pPr>
              <w:spacing w:after="0"/>
              <w:jc w:val="left"/>
            </w:pPr>
            <w:r>
              <w:rPr>
                <w:rFonts w:ascii="Arial" w:hAnsi="Arial"/>
                <w:b w:val="0"/>
                <w:sz w:val="11"/>
              </w:rPr>
              <w:t>ALCS-03: Agent Role vs Human Role Distinction</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Role semantics distinguish agent responsibility surfaces</w:t>
            </w:r>
          </w:p>
        </w:tc>
        <w:tc>
          <w:tcPr>
            <w:tcW w:type="dxa" w:w="3600"/>
            <w:vAlign w:val="top"/>
          </w:tcPr>
          <w:p>
            <w:pPr>
              <w:spacing w:after="0"/>
              <w:jc w:val="left"/>
            </w:pPr>
            <w:r>
              <w:rPr>
                <w:rFonts w:ascii="Arial" w:hAnsi="Arial"/>
                <w:b w:val="0"/>
                <w:sz w:val="11"/>
              </w:rPr>
              <w:t>Requires governance interpretation; requires role policy</w:t>
            </w:r>
          </w:p>
        </w:tc>
      </w:tr>
      <w:tr>
        <w:trPr>
          <w:cantSplit/>
        </w:trPr>
        <w:tc>
          <w:tcPr>
            <w:tcW w:type="dxa" w:w="3600"/>
            <w:vAlign w:val="top"/>
          </w:tcPr>
          <w:p>
            <w:pPr>
              <w:spacing w:after="0"/>
              <w:jc w:val="left"/>
            </w:pPr>
            <w:r>
              <w:rPr>
                <w:rFonts w:ascii="Arial" w:hAnsi="Arial"/>
                <w:b w:val="0"/>
                <w:sz w:val="11"/>
              </w:rPr>
              <w:t>ALCS-04: Accepted Outcome Compliance</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Confirm / Trace / Plan closure semantics directly express accepted outcome states</w:t>
            </w:r>
          </w:p>
        </w:tc>
        <w:tc>
          <w:tcPr>
            <w:tcW w:type="dxa" w:w="3600"/>
            <w:vAlign w:val="top"/>
          </w:tcPr>
          <w:p>
            <w:pPr>
              <w:spacing w:after="0"/>
              <w:jc w:val="left"/>
            </w:pPr>
            <w:r>
              <w:rPr>
                <w:rFonts w:ascii="Arial" w:hAnsi="Arial"/>
                <w:b w:val="0"/>
                <w:sz w:val="11"/>
              </w:rPr>
              <w:t>Requires acceptance workflow; requires review authority mapping</w:t>
            </w:r>
          </w:p>
        </w:tc>
      </w:tr>
      <w:tr>
        <w:trPr>
          <w:cantSplit/>
        </w:trPr>
        <w:tc>
          <w:tcPr>
            <w:tcW w:type="dxa" w:w="3600"/>
            <w:vAlign w:val="top"/>
          </w:tcPr>
          <w:p>
            <w:pPr>
              <w:spacing w:after="0"/>
              <w:jc w:val="left"/>
            </w:pPr>
            <w:r>
              <w:rPr>
                <w:rFonts w:ascii="Arial" w:hAnsi="Arial"/>
                <w:b w:val="0"/>
                <w:sz w:val="11"/>
              </w:rPr>
              <w:t>ALCS-05: Tool-Action Liability Boundary</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Tool-action evidence semantics can express liability boundaries</w:t>
            </w:r>
          </w:p>
        </w:tc>
        <w:tc>
          <w:tcPr>
            <w:tcW w:type="dxa" w:w="3600"/>
            <w:vAlign w:val="top"/>
          </w:tcPr>
          <w:p>
            <w:pPr>
              <w:spacing w:after="0"/>
              <w:jc w:val="left"/>
            </w:pPr>
            <w:r>
              <w:rPr>
                <w:rFonts w:ascii="Arial" w:hAnsi="Arial"/>
                <w:b w:val="0"/>
                <w:sz w:val="11"/>
              </w:rPr>
              <w:t>Requires tool integration; requires liability policy</w:t>
            </w:r>
          </w:p>
        </w:tc>
      </w:tr>
      <w:tr>
        <w:trPr>
          <w:cantSplit/>
        </w:trPr>
        <w:tc>
          <w:tcPr>
            <w:tcW w:type="dxa" w:w="3600"/>
            <w:vAlign w:val="top"/>
          </w:tcPr>
          <w:p>
            <w:pPr>
              <w:spacing w:after="0"/>
              <w:jc w:val="left"/>
            </w:pPr>
            <w:r>
              <w:rPr>
                <w:rFonts w:ascii="Arial" w:hAnsi="Arial"/>
                <w:b w:val="0"/>
                <w:sz w:val="11"/>
              </w:rPr>
              <w:t>ALCS-06: Responsibility Transfer Across Agents</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Handoff / transfer semantics directly express responsibility transfer</w:t>
            </w:r>
          </w:p>
        </w:tc>
        <w:tc>
          <w:tcPr>
            <w:tcW w:type="dxa" w:w="3600"/>
            <w:vAlign w:val="top"/>
          </w:tcPr>
          <w:p>
            <w:pPr>
              <w:spacing w:after="0"/>
              <w:jc w:val="left"/>
            </w:pPr>
            <w:r>
              <w:rPr>
                <w:rFonts w:ascii="Arial" w:hAnsi="Arial"/>
                <w:b w:val="0"/>
                <w:sz w:val="11"/>
              </w:rPr>
              <w:t>Requires multi-agent integration; requires constraint inheritance</w:t>
            </w:r>
          </w:p>
        </w:tc>
      </w:tr>
      <w:tr>
        <w:trPr>
          <w:cantSplit/>
        </w:trPr>
        <w:tc>
          <w:tcPr>
            <w:tcW w:type="dxa" w:w="3600"/>
            <w:vAlign w:val="top"/>
          </w:tcPr>
          <w:p>
            <w:pPr>
              <w:spacing w:after="0"/>
              <w:jc w:val="left"/>
            </w:pPr>
            <w:r>
              <w:rPr>
                <w:rFonts w:ascii="Arial" w:hAnsi="Arial"/>
                <w:b w:val="0"/>
                <w:sz w:val="11"/>
              </w:rPr>
              <w:t>ALCS-07: Authority Drift Detection</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Monitoring semantics can support drift detection</w:t>
            </w:r>
          </w:p>
        </w:tc>
        <w:tc>
          <w:tcPr>
            <w:tcW w:type="dxa" w:w="3600"/>
            <w:vAlign w:val="top"/>
          </w:tcPr>
          <w:p>
            <w:pPr>
              <w:spacing w:after="0"/>
              <w:jc w:val="left"/>
            </w:pPr>
            <w:r>
              <w:rPr>
                <w:rFonts w:ascii="Arial" w:hAnsi="Arial"/>
                <w:b w:val="0"/>
                <w:sz w:val="11"/>
              </w:rPr>
              <w:t>Requires runtime monitoring; requires drift policy</w:t>
            </w:r>
          </w:p>
        </w:tc>
      </w:tr>
      <w:tr>
        <w:trPr>
          <w:cantSplit/>
        </w:trPr>
        <w:tc>
          <w:tcPr>
            <w:tcW w:type="dxa" w:w="3600"/>
            <w:vAlign w:val="top"/>
          </w:tcPr>
          <w:p>
            <w:pPr>
              <w:spacing w:after="0"/>
              <w:jc w:val="left"/>
            </w:pPr>
            <w:r>
              <w:rPr>
                <w:rFonts w:ascii="Arial" w:hAnsi="Arial"/>
                <w:b w:val="0"/>
                <w:sz w:val="11"/>
              </w:rPr>
              <w:t>ALCS-08: MAS Evidence Partitioning</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Trace / evidence semantics directly express partitioned evidence chains</w:t>
            </w:r>
          </w:p>
        </w:tc>
        <w:tc>
          <w:tcPr>
            <w:tcW w:type="dxa" w:w="3600"/>
            <w:vAlign w:val="top"/>
          </w:tcPr>
          <w:p>
            <w:pPr>
              <w:spacing w:after="0"/>
              <w:jc w:val="left"/>
            </w:pPr>
            <w:r>
              <w:rPr>
                <w:rFonts w:ascii="Arial" w:hAnsi="Arial"/>
                <w:b w:val="0"/>
                <w:sz w:val="11"/>
              </w:rPr>
              <w:t>Requires evidence export; requires partition policy</w:t>
            </w:r>
          </w:p>
        </w:tc>
      </w:tr>
      <w:tr>
        <w:trPr>
          <w:cantSplit/>
        </w:trPr>
        <w:tc>
          <w:tcPr>
            <w:tcW w:type="dxa" w:w="3600"/>
            <w:vAlign w:val="top"/>
          </w:tcPr>
          <w:p>
            <w:pPr>
              <w:spacing w:after="0"/>
              <w:jc w:val="left"/>
            </w:pPr>
            <w:r>
              <w:rPr>
                <w:rFonts w:ascii="Arial" w:hAnsi="Arial"/>
                <w:b w:val="0"/>
                <w:sz w:val="11"/>
              </w:rPr>
              <w:t>ALCS-09: Cross-Project Reuse Compliance</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Context reset semantics can support reuse validation</w:t>
            </w:r>
          </w:p>
        </w:tc>
        <w:tc>
          <w:tcPr>
            <w:tcW w:type="dxa" w:w="3600"/>
            <w:vAlign w:val="top"/>
          </w:tcPr>
          <w:p>
            <w:pPr>
              <w:spacing w:after="0"/>
              <w:jc w:val="left"/>
            </w:pPr>
            <w:r>
              <w:rPr>
                <w:rFonts w:ascii="Arial" w:hAnsi="Arial"/>
                <w:b w:val="0"/>
                <w:sz w:val="11"/>
              </w:rPr>
              <w:t>Requires reuse policy; requires revalidation workflow</w:t>
            </w:r>
          </w:p>
        </w:tc>
      </w:tr>
      <w:tr>
        <w:trPr>
          <w:cantSplit/>
        </w:trPr>
        <w:tc>
          <w:tcPr>
            <w:tcW w:type="dxa" w:w="3600"/>
            <w:vAlign w:val="top"/>
          </w:tcPr>
          <w:p>
            <w:pPr>
              <w:spacing w:after="0"/>
              <w:jc w:val="left"/>
            </w:pPr>
            <w:r>
              <w:rPr>
                <w:rFonts w:ascii="Arial" w:hAnsi="Arial"/>
                <w:b w:val="0"/>
                <w:sz w:val="11"/>
              </w:rPr>
              <w:t>ALCS-10: Privacy/GDPR Lifecycle Mapping</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Data-flow semantics can support privacy lifecycle mapping</w:t>
            </w:r>
          </w:p>
        </w:tc>
        <w:tc>
          <w:tcPr>
            <w:tcW w:type="dxa" w:w="3600"/>
            <w:vAlign w:val="top"/>
          </w:tcPr>
          <w:p>
            <w:pPr>
              <w:spacing w:after="0"/>
              <w:jc w:val="left"/>
            </w:pPr>
            <w:r>
              <w:rPr>
                <w:rFonts w:ascii="Arial" w:hAnsi="Arial"/>
                <w:b w:val="0"/>
                <w:sz w:val="11"/>
              </w:rPr>
              <w:t>Requires privacy policy; requires GDPR interpretation</w:t>
            </w:r>
          </w:p>
        </w:tc>
      </w:tr>
      <w:tr>
        <w:trPr>
          <w:cantSplit/>
        </w:trPr>
        <w:tc>
          <w:tcPr>
            <w:tcW w:type="dxa" w:w="3600"/>
            <w:vAlign w:val="top"/>
          </w:tcPr>
          <w:p>
            <w:pPr>
              <w:spacing w:after="0"/>
              <w:jc w:val="left"/>
            </w:pPr>
            <w:r>
              <w:rPr>
                <w:rFonts w:ascii="Arial" w:hAnsi="Arial"/>
                <w:b w:val="0"/>
                <w:sz w:val="11"/>
              </w:rPr>
              <w:t>ALCS-11: Privacy-Preserving Third-Party Validation</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Selective disclosure semantics can support privacy-preserving validation</w:t>
            </w:r>
          </w:p>
        </w:tc>
        <w:tc>
          <w:tcPr>
            <w:tcW w:type="dxa" w:w="3600"/>
            <w:vAlign w:val="top"/>
          </w:tcPr>
          <w:p>
            <w:pPr>
              <w:spacing w:after="0"/>
              <w:jc w:val="left"/>
            </w:pPr>
            <w:r>
              <w:rPr>
                <w:rFonts w:ascii="Arial" w:hAnsi="Arial"/>
                <w:b w:val="0"/>
                <w:sz w:val="11"/>
              </w:rPr>
              <w:t>Requires validation protocol; requires third-party acceptance</w:t>
            </w:r>
          </w:p>
        </w:tc>
      </w:tr>
      <w:tr>
        <w:trPr>
          <w:cantSplit/>
        </w:trPr>
        <w:tc>
          <w:tcPr>
            <w:tcW w:type="dxa" w:w="3600"/>
            <w:vAlign w:val="top"/>
          </w:tcPr>
          <w:p>
            <w:pPr>
              <w:spacing w:after="0"/>
              <w:jc w:val="left"/>
            </w:pPr>
            <w:r>
              <w:rPr>
                <w:rFonts w:ascii="Arial" w:hAnsi="Arial"/>
                <w:b w:val="0"/>
                <w:sz w:val="11"/>
              </w:rPr>
              <w:t>ALCS-12: Evidence Minimization and Selective Disclosure</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Evidence semantics can support minimization and selective disclosure</w:t>
            </w:r>
          </w:p>
        </w:tc>
        <w:tc>
          <w:tcPr>
            <w:tcW w:type="dxa" w:w="3600"/>
            <w:vAlign w:val="top"/>
          </w:tcPr>
          <w:p>
            <w:pPr>
              <w:spacing w:after="0"/>
              <w:jc w:val="left"/>
            </w:pPr>
            <w:r>
              <w:rPr>
                <w:rFonts w:ascii="Arial" w:hAnsi="Arial"/>
                <w:b w:val="0"/>
                <w:sz w:val="11"/>
              </w:rPr>
              <w:t>Requires retention policy; requires disclosure rules</w:t>
            </w:r>
          </w:p>
        </w:tc>
      </w:tr>
      <w:tr>
        <w:trPr>
          <w:cantSplit/>
        </w:trPr>
        <w:tc>
          <w:tcPr>
            <w:tcW w:type="dxa" w:w="3600"/>
            <w:vAlign w:val="top"/>
          </w:tcPr>
          <w:p>
            <w:pPr>
              <w:spacing w:after="0"/>
              <w:jc w:val="left"/>
            </w:pPr>
            <w:r>
              <w:rPr>
                <w:rFonts w:ascii="Arial" w:hAnsi="Arial"/>
                <w:b w:val="0"/>
                <w:sz w:val="11"/>
              </w:rPr>
              <w:t>ALCS-13: Data Subject Rights vs Evidence Retention</w:t>
            </w:r>
          </w:p>
        </w:tc>
        <w:tc>
          <w:tcPr>
            <w:tcW w:type="dxa" w:w="3600"/>
            <w:vAlign w:val="top"/>
          </w:tcPr>
          <w:p>
            <w:pPr>
              <w:spacing w:after="0"/>
              <w:jc w:val="left"/>
            </w:pPr>
            <w:r>
              <w:rPr>
                <w:rFonts w:ascii="Arial" w:hAnsi="Arial"/>
                <w:b w:val="0"/>
                <w:sz w:val="11"/>
              </w:rPr>
              <w:t>Partial</w:t>
            </w:r>
          </w:p>
        </w:tc>
        <w:tc>
          <w:tcPr>
            <w:tcW w:type="dxa" w:w="3600"/>
            <w:vAlign w:val="top"/>
          </w:tcPr>
          <w:p>
            <w:pPr>
              <w:spacing w:after="0"/>
              <w:jc w:val="left"/>
            </w:pPr>
            <w:r>
              <w:rPr>
                <w:rFonts w:ascii="Arial" w:hAnsi="Arial"/>
                <w:b w:val="0"/>
                <w:sz w:val="11"/>
              </w:rPr>
              <w:t>Retention semantics require policy-level reconciliation</w:t>
            </w:r>
          </w:p>
        </w:tc>
        <w:tc>
          <w:tcPr>
            <w:tcW w:type="dxa" w:w="3600"/>
            <w:vAlign w:val="top"/>
          </w:tcPr>
          <w:p>
            <w:pPr>
              <w:spacing w:after="0"/>
              <w:jc w:val="left"/>
            </w:pPr>
            <w:r>
              <w:rPr>
                <w:rFonts w:ascii="Arial" w:hAnsi="Arial"/>
                <w:b w:val="0"/>
                <w:sz w:val="11"/>
              </w:rPr>
              <w:t>Requires legal interpretation; requires data subject rights workflow</w:t>
            </w:r>
          </w:p>
        </w:tc>
      </w:tr>
      <w:tr>
        <w:trPr>
          <w:cantSplit/>
        </w:trPr>
        <w:tc>
          <w:tcPr>
            <w:tcW w:type="dxa" w:w="3600"/>
            <w:vAlign w:val="top"/>
          </w:tcPr>
          <w:p>
            <w:pPr>
              <w:spacing w:after="0"/>
              <w:jc w:val="left"/>
            </w:pPr>
            <w:r>
              <w:rPr>
                <w:rFonts w:ascii="Arial" w:hAnsi="Arial"/>
                <w:b w:val="0"/>
                <w:sz w:val="11"/>
              </w:rPr>
              <w:t>ALCS-14: Third-Party Processor/Subprocessor Chain</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Network / integration semantics can track processor chain</w:t>
            </w:r>
          </w:p>
        </w:tc>
        <w:tc>
          <w:tcPr>
            <w:tcW w:type="dxa" w:w="3600"/>
            <w:vAlign w:val="top"/>
          </w:tcPr>
          <w:p>
            <w:pPr>
              <w:spacing w:after="0"/>
              <w:jc w:val="left"/>
            </w:pPr>
            <w:r>
              <w:rPr>
                <w:rFonts w:ascii="Arial" w:hAnsi="Arial"/>
                <w:b w:val="0"/>
                <w:sz w:val="11"/>
              </w:rPr>
              <w:t>Requires processor agreements; requires chain documentation</w:t>
            </w:r>
          </w:p>
        </w:tc>
      </w:tr>
      <w:tr>
        <w:trPr>
          <w:cantSplit/>
        </w:trPr>
        <w:tc>
          <w:tcPr>
            <w:tcW w:type="dxa" w:w="3600"/>
            <w:vAlign w:val="top"/>
          </w:tcPr>
          <w:p>
            <w:pPr>
              <w:spacing w:after="0"/>
              <w:jc w:val="left"/>
            </w:pPr>
            <w:r>
              <w:rPr>
                <w:rFonts w:ascii="Arial" w:hAnsi="Arial"/>
                <w:b w:val="0"/>
                <w:sz w:val="11"/>
              </w:rPr>
              <w:t>ALCS-15: Vendor/Model/Runtime Substitution Conformance</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Integration boundary semantics can support substitution conformance</w:t>
            </w:r>
          </w:p>
        </w:tc>
        <w:tc>
          <w:tcPr>
            <w:tcW w:type="dxa" w:w="3600"/>
            <w:vAlign w:val="top"/>
          </w:tcPr>
          <w:p>
            <w:pPr>
              <w:spacing w:after="0"/>
              <w:jc w:val="left"/>
            </w:pPr>
            <w:r>
              <w:rPr>
                <w:rFonts w:ascii="Arial" w:hAnsi="Arial"/>
                <w:b w:val="0"/>
                <w:sz w:val="11"/>
              </w:rPr>
              <w:t>Requires substitution testing; requires conformance validation</w:t>
            </w:r>
          </w:p>
        </w:tc>
      </w:tr>
    </w:tbl>
    <w:p>
      <w:pPr>
        <w:sectPr>
          <w:pgSz w:w="15840" w:h="12240" w:orient="landscape"/>
          <w:pgMar w:top="792" w:right="648" w:bottom="792" w:left="648" w:header="720" w:footer="720" w:gutter="0"/>
          <w:cols w:space="720"/>
          <w:docGrid w:linePitch="360"/>
        </w:sectPr>
      </w:pPr>
    </w:p>
    <w:p/>
    <w:p/>
    <w:p>
      <w:pPr>
        <w:pStyle w:val="Heading2"/>
      </w:pPr>
      <w:r>
        <w:t>13.6 Implementation, Adoption, and Evidence Limits</w:t>
      </w:r>
    </w:p>
    <w:p/>
    <w:p>
      <w:r>
        <w:t>MPLP can define lifecycle governance semantics, but the paper must not treat protocol design as equivalent to real-world conformance. The following table distinguishes protocol semantics from operational evidence.</w:t>
      </w:r>
    </w:p>
    <w:p/>
    <w:p>
      <w:pPr>
        <w:keepNext/>
      </w:pPr>
      <w:r>
        <w:rPr>
          <w:b/>
          <w:sz w:val="17"/>
        </w:rPr>
        <w:t>Table T-13-05: Protocol Semantics vs Operational Evidence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shd w:fill="D9EAF7"/>
          </w:tcPr>
          <w:p>
            <w:pPr>
              <w:spacing w:after="0"/>
              <w:jc w:val="left"/>
            </w:pPr>
            <w:r>
              <w:rPr>
                <w:rFonts w:ascii="Arial" w:hAnsi="Arial"/>
                <w:b/>
                <w:sz w:val="14"/>
              </w:rPr>
              <w:t>Layer</w:t>
            </w:r>
          </w:p>
        </w:tc>
        <w:tc>
          <w:tcPr>
            <w:tcW w:type="dxa" w:w="2556"/>
            <w:vAlign w:val="top"/>
            <w:shd w:fill="D9EAF7"/>
          </w:tcPr>
          <w:p>
            <w:pPr>
              <w:spacing w:after="0"/>
              <w:jc w:val="left"/>
            </w:pPr>
            <w:r>
              <w:rPr>
                <w:rFonts w:ascii="Arial" w:hAnsi="Arial"/>
                <w:b/>
                <w:sz w:val="14"/>
              </w:rPr>
              <w:t>What It Can Prove</w:t>
            </w:r>
          </w:p>
        </w:tc>
        <w:tc>
          <w:tcPr>
            <w:tcW w:type="dxa" w:w="2556"/>
            <w:vAlign w:val="top"/>
            <w:shd w:fill="D9EAF7"/>
          </w:tcPr>
          <w:p>
            <w:pPr>
              <w:spacing w:after="0"/>
              <w:jc w:val="left"/>
            </w:pPr>
            <w:r>
              <w:rPr>
                <w:rFonts w:ascii="Arial" w:hAnsi="Arial"/>
                <w:b/>
                <w:sz w:val="14"/>
              </w:rPr>
              <w:t>What It Cannot Prove Alone</w:t>
            </w:r>
          </w:p>
        </w:tc>
        <w:tc>
          <w:tcPr>
            <w:tcW w:type="dxa" w:w="2556"/>
            <w:vAlign w:val="top"/>
            <w:shd w:fill="D9EAF7"/>
          </w:tcPr>
          <w:p>
            <w:pPr>
              <w:spacing w:after="0"/>
              <w:jc w:val="left"/>
            </w:pPr>
            <w:r>
              <w:rPr>
                <w:rFonts w:ascii="Arial" w:hAnsi="Arial"/>
                <w:b/>
                <w:sz w:val="14"/>
              </w:rPr>
              <w:t>Evidence Needed</w:t>
            </w:r>
          </w:p>
        </w:tc>
      </w:tr>
      <w:tr>
        <w:trPr>
          <w:cantSplit/>
        </w:trPr>
        <w:tc>
          <w:tcPr>
            <w:tcW w:type="dxa" w:w="2556"/>
            <w:vAlign w:val="top"/>
          </w:tcPr>
          <w:p>
            <w:pPr>
              <w:spacing w:after="0"/>
              <w:jc w:val="left"/>
            </w:pPr>
            <w:r>
              <w:rPr>
                <w:rFonts w:ascii="Arial" w:hAnsi="Arial"/>
                <w:b w:val="0"/>
                <w:sz w:val="14"/>
              </w:rPr>
              <w:t>Protocol specification</w:t>
            </w:r>
          </w:p>
        </w:tc>
        <w:tc>
          <w:tcPr>
            <w:tcW w:type="dxa" w:w="2556"/>
            <w:vAlign w:val="top"/>
          </w:tcPr>
          <w:p>
            <w:pPr>
              <w:spacing w:after="0"/>
              <w:jc w:val="left"/>
            </w:pPr>
            <w:r>
              <w:rPr>
                <w:rFonts w:ascii="Arial" w:hAnsi="Arial"/>
                <w:b w:val="0"/>
                <w:sz w:val="14"/>
              </w:rPr>
              <w:t>Semantic completeness; object definitions; protocol rules</w:t>
            </w:r>
          </w:p>
        </w:tc>
        <w:tc>
          <w:tcPr>
            <w:tcW w:type="dxa" w:w="2556"/>
            <w:vAlign w:val="top"/>
          </w:tcPr>
          <w:p>
            <w:pPr>
              <w:spacing w:after="0"/>
              <w:jc w:val="left"/>
            </w:pPr>
            <w:r>
              <w:rPr>
                <w:rFonts w:ascii="Arial" w:hAnsi="Arial"/>
                <w:b w:val="0"/>
                <w:sz w:val="14"/>
              </w:rPr>
              <w:t>Deployment conformance; operational effectiveness; legal compliance</w:t>
            </w:r>
          </w:p>
        </w:tc>
        <w:tc>
          <w:tcPr>
            <w:tcW w:type="dxa" w:w="2556"/>
            <w:vAlign w:val="top"/>
          </w:tcPr>
          <w:p>
            <w:pPr>
              <w:spacing w:after="0"/>
              <w:jc w:val="left"/>
            </w:pPr>
            <w:r>
              <w:rPr>
                <w:rFonts w:ascii="Arial" w:hAnsi="Arial"/>
                <w:b w:val="0"/>
                <w:sz w:val="14"/>
              </w:rPr>
              <w:t>Formal protocol specification; protocol documentation</w:t>
            </w:r>
          </w:p>
        </w:tc>
      </w:tr>
      <w:tr>
        <w:trPr>
          <w:cantSplit/>
        </w:trPr>
        <w:tc>
          <w:tcPr>
            <w:tcW w:type="dxa" w:w="2556"/>
            <w:vAlign w:val="top"/>
          </w:tcPr>
          <w:p>
            <w:pPr>
              <w:spacing w:after="0"/>
              <w:jc w:val="left"/>
            </w:pPr>
            <w:r>
              <w:rPr>
                <w:rFonts w:ascii="Arial" w:hAnsi="Arial"/>
                <w:b w:val="0"/>
                <w:sz w:val="14"/>
              </w:rPr>
              <w:t>Reference implementation</w:t>
            </w:r>
          </w:p>
        </w:tc>
        <w:tc>
          <w:tcPr>
            <w:tcW w:type="dxa" w:w="2556"/>
            <w:vAlign w:val="top"/>
          </w:tcPr>
          <w:p>
            <w:pPr>
              <w:spacing w:after="0"/>
              <w:jc w:val="left"/>
            </w:pPr>
            <w:r>
              <w:rPr>
                <w:rFonts w:ascii="Arial" w:hAnsi="Arial"/>
                <w:b w:val="0"/>
                <w:sz w:val="14"/>
              </w:rPr>
              <w:t>Protocol implementation feasibility; basic functionality</w:t>
            </w:r>
          </w:p>
        </w:tc>
        <w:tc>
          <w:tcPr>
            <w:tcW w:type="dxa" w:w="2556"/>
            <w:vAlign w:val="top"/>
          </w:tcPr>
          <w:p>
            <w:pPr>
              <w:spacing w:after="0"/>
              <w:jc w:val="left"/>
            </w:pPr>
            <w:r>
              <w:rPr>
                <w:rFonts w:ascii="Arial" w:hAnsi="Arial"/>
                <w:b w:val="0"/>
                <w:sz w:val="14"/>
              </w:rPr>
              <w:t>Production readiness; enterprise integration; security hardening</w:t>
            </w:r>
          </w:p>
        </w:tc>
        <w:tc>
          <w:tcPr>
            <w:tcW w:type="dxa" w:w="2556"/>
            <w:vAlign w:val="top"/>
          </w:tcPr>
          <w:p>
            <w:pPr>
              <w:spacing w:after="0"/>
              <w:jc w:val="left"/>
            </w:pPr>
            <w:r>
              <w:rPr>
                <w:rFonts w:ascii="Arial" w:hAnsi="Arial"/>
                <w:b w:val="0"/>
                <w:sz w:val="14"/>
              </w:rPr>
              <w:t>Reference implementation code; test results</w:t>
            </w:r>
          </w:p>
        </w:tc>
      </w:tr>
      <w:tr>
        <w:trPr>
          <w:cantSplit/>
        </w:trPr>
        <w:tc>
          <w:tcPr>
            <w:tcW w:type="dxa" w:w="2556"/>
            <w:vAlign w:val="top"/>
          </w:tcPr>
          <w:p>
            <w:pPr>
              <w:spacing w:after="0"/>
              <w:jc w:val="left"/>
            </w:pPr>
            <w:r>
              <w:rPr>
                <w:rFonts w:ascii="Arial" w:hAnsi="Arial"/>
                <w:b w:val="0"/>
                <w:sz w:val="14"/>
              </w:rPr>
              <w:t>Runtime integration</w:t>
            </w:r>
          </w:p>
        </w:tc>
        <w:tc>
          <w:tcPr>
            <w:tcW w:type="dxa" w:w="2556"/>
            <w:vAlign w:val="top"/>
          </w:tcPr>
          <w:p>
            <w:pPr>
              <w:spacing w:after="0"/>
              <w:jc w:val="left"/>
            </w:pPr>
            <w:r>
              <w:rPr>
                <w:rFonts w:ascii="Arial" w:hAnsi="Arial"/>
                <w:b w:val="0"/>
                <w:sz w:val="14"/>
              </w:rPr>
              <w:t>Integration with agent runtimes; tool integration; workflow execution</w:t>
            </w:r>
          </w:p>
        </w:tc>
        <w:tc>
          <w:tcPr>
            <w:tcW w:type="dxa" w:w="2556"/>
            <w:vAlign w:val="top"/>
          </w:tcPr>
          <w:p>
            <w:pPr>
              <w:spacing w:after="0"/>
              <w:jc w:val="left"/>
            </w:pPr>
            <w:r>
              <w:rPr>
                <w:rFonts w:ascii="Arial" w:hAnsi="Arial"/>
                <w:b w:val="0"/>
                <w:sz w:val="14"/>
              </w:rPr>
              <w:t>Enterprise policy enforcement; organizational adoption; audit acceptance</w:t>
            </w:r>
          </w:p>
        </w:tc>
        <w:tc>
          <w:tcPr>
            <w:tcW w:type="dxa" w:w="2556"/>
            <w:vAlign w:val="top"/>
          </w:tcPr>
          <w:p>
            <w:pPr>
              <w:spacing w:after="0"/>
              <w:jc w:val="left"/>
            </w:pPr>
            <w:r>
              <w:rPr>
                <w:rFonts w:ascii="Arial" w:hAnsi="Arial"/>
                <w:b w:val="0"/>
                <w:sz w:val="14"/>
              </w:rPr>
              <w:t>Integration documentation; runtime logs</w:t>
            </w:r>
          </w:p>
        </w:tc>
      </w:tr>
      <w:tr>
        <w:trPr>
          <w:cantSplit/>
        </w:trPr>
        <w:tc>
          <w:tcPr>
            <w:tcW w:type="dxa" w:w="2556"/>
            <w:vAlign w:val="top"/>
          </w:tcPr>
          <w:p>
            <w:pPr>
              <w:spacing w:after="0"/>
              <w:jc w:val="left"/>
            </w:pPr>
            <w:r>
              <w:rPr>
                <w:rFonts w:ascii="Arial" w:hAnsi="Arial"/>
                <w:b w:val="0"/>
                <w:sz w:val="14"/>
              </w:rPr>
              <w:t>Enterprise deployment</w:t>
            </w:r>
          </w:p>
        </w:tc>
        <w:tc>
          <w:tcPr>
            <w:tcW w:type="dxa" w:w="2556"/>
            <w:vAlign w:val="top"/>
          </w:tcPr>
          <w:p>
            <w:pPr>
              <w:spacing w:after="0"/>
              <w:jc w:val="left"/>
            </w:pPr>
            <w:r>
              <w:rPr>
                <w:rFonts w:ascii="Arial" w:hAnsi="Arial"/>
                <w:b w:val="0"/>
                <w:sz w:val="14"/>
              </w:rPr>
              <w:t>Operational deployment; policy enforcement; organizational controls</w:t>
            </w:r>
          </w:p>
        </w:tc>
        <w:tc>
          <w:tcPr>
            <w:tcW w:type="dxa" w:w="2556"/>
            <w:vAlign w:val="top"/>
          </w:tcPr>
          <w:p>
            <w:pPr>
              <w:spacing w:after="0"/>
              <w:jc w:val="left"/>
            </w:pPr>
            <w:r>
              <w:rPr>
                <w:rFonts w:ascii="Arial" w:hAnsi="Arial"/>
                <w:b w:val="0"/>
                <w:sz w:val="14"/>
              </w:rPr>
              <w:t>Legal compliance; regulatory acceptance; insurer acceptance</w:t>
            </w:r>
          </w:p>
        </w:tc>
        <w:tc>
          <w:tcPr>
            <w:tcW w:type="dxa" w:w="2556"/>
            <w:vAlign w:val="top"/>
          </w:tcPr>
          <w:p>
            <w:pPr>
              <w:spacing w:after="0"/>
              <w:jc w:val="left"/>
            </w:pPr>
            <w:r>
              <w:rPr>
                <w:rFonts w:ascii="Arial" w:hAnsi="Arial"/>
                <w:b w:val="0"/>
                <w:sz w:val="14"/>
              </w:rPr>
              <w:t>Deployment evidence; policy documentation; operational logs</w:t>
            </w:r>
          </w:p>
        </w:tc>
      </w:tr>
      <w:tr>
        <w:trPr>
          <w:cantSplit/>
        </w:trPr>
        <w:tc>
          <w:tcPr>
            <w:tcW w:type="dxa" w:w="2556"/>
            <w:vAlign w:val="top"/>
          </w:tcPr>
          <w:p>
            <w:pPr>
              <w:spacing w:after="0"/>
              <w:jc w:val="left"/>
            </w:pPr>
            <w:r>
              <w:rPr>
                <w:rFonts w:ascii="Arial" w:hAnsi="Arial"/>
                <w:b w:val="0"/>
                <w:sz w:val="14"/>
              </w:rPr>
              <w:t>Validation evidence</w:t>
            </w:r>
          </w:p>
        </w:tc>
        <w:tc>
          <w:tcPr>
            <w:tcW w:type="dxa" w:w="2556"/>
            <w:vAlign w:val="top"/>
          </w:tcPr>
          <w:p>
            <w:pPr>
              <w:spacing w:after="0"/>
              <w:jc w:val="left"/>
            </w:pPr>
            <w:r>
              <w:rPr>
                <w:rFonts w:ascii="Arial" w:hAnsi="Arial"/>
                <w:b w:val="0"/>
                <w:sz w:val="14"/>
              </w:rPr>
              <w:t>Independent validation; evidence quality; conformance testing</w:t>
            </w:r>
          </w:p>
        </w:tc>
        <w:tc>
          <w:tcPr>
            <w:tcW w:type="dxa" w:w="2556"/>
            <w:vAlign w:val="top"/>
          </w:tcPr>
          <w:p>
            <w:pPr>
              <w:spacing w:after="0"/>
              <w:jc w:val="left"/>
            </w:pPr>
            <w:r>
              <w:rPr>
                <w:rFonts w:ascii="Arial" w:hAnsi="Arial"/>
                <w:b w:val="0"/>
                <w:sz w:val="14"/>
              </w:rPr>
              <w:t>Certification; legal compliance; regulatory approval</w:t>
            </w:r>
          </w:p>
        </w:tc>
        <w:tc>
          <w:tcPr>
            <w:tcW w:type="dxa" w:w="2556"/>
            <w:vAlign w:val="top"/>
          </w:tcPr>
          <w:p>
            <w:pPr>
              <w:spacing w:after="0"/>
              <w:jc w:val="left"/>
            </w:pPr>
            <w:r>
              <w:rPr>
                <w:rFonts w:ascii="Arial" w:hAnsi="Arial"/>
                <w:b w:val="0"/>
                <w:sz w:val="14"/>
              </w:rPr>
              <w:t>Validation reports; test results; conformance evidence</w:t>
            </w:r>
          </w:p>
        </w:tc>
      </w:tr>
      <w:tr>
        <w:trPr>
          <w:cantSplit/>
        </w:trPr>
        <w:tc>
          <w:tcPr>
            <w:tcW w:type="dxa" w:w="2556"/>
            <w:vAlign w:val="top"/>
          </w:tcPr>
          <w:p>
            <w:pPr>
              <w:spacing w:after="0"/>
              <w:jc w:val="left"/>
            </w:pPr>
            <w:r>
              <w:rPr>
                <w:rFonts w:ascii="Arial" w:hAnsi="Arial"/>
                <w:b w:val="0"/>
                <w:sz w:val="14"/>
              </w:rPr>
              <w:t>Third-party review</w:t>
            </w:r>
          </w:p>
        </w:tc>
        <w:tc>
          <w:tcPr>
            <w:tcW w:type="dxa" w:w="2556"/>
            <w:vAlign w:val="top"/>
          </w:tcPr>
          <w:p>
            <w:pPr>
              <w:spacing w:after="0"/>
              <w:jc w:val="left"/>
            </w:pPr>
            <w:r>
              <w:rPr>
                <w:rFonts w:ascii="Arial" w:hAnsi="Arial"/>
                <w:b w:val="0"/>
                <w:sz w:val="14"/>
              </w:rPr>
              <w:t>Independent assessment; peer review; expert evaluation</w:t>
            </w:r>
          </w:p>
        </w:tc>
        <w:tc>
          <w:tcPr>
            <w:tcW w:type="dxa" w:w="2556"/>
            <w:vAlign w:val="top"/>
          </w:tcPr>
          <w:p>
            <w:pPr>
              <w:spacing w:after="0"/>
              <w:jc w:val="left"/>
            </w:pPr>
            <w:r>
              <w:rPr>
                <w:rFonts w:ascii="Arial" w:hAnsi="Arial"/>
                <w:b w:val="0"/>
                <w:sz w:val="14"/>
              </w:rPr>
              <w:t>Certification; legal compliance; regulatory approval</w:t>
            </w:r>
          </w:p>
        </w:tc>
        <w:tc>
          <w:tcPr>
            <w:tcW w:type="dxa" w:w="2556"/>
            <w:vAlign w:val="top"/>
          </w:tcPr>
          <w:p>
            <w:pPr>
              <w:spacing w:after="0"/>
              <w:jc w:val="left"/>
            </w:pPr>
            <w:r>
              <w:rPr>
                <w:rFonts w:ascii="Arial" w:hAnsi="Arial"/>
                <w:b w:val="0"/>
                <w:sz w:val="14"/>
              </w:rPr>
              <w:t>Review reports; assessment documentation</w:t>
            </w:r>
          </w:p>
        </w:tc>
      </w:tr>
      <w:tr>
        <w:trPr>
          <w:cantSplit/>
        </w:trPr>
        <w:tc>
          <w:tcPr>
            <w:tcW w:type="dxa" w:w="2556"/>
            <w:vAlign w:val="top"/>
          </w:tcPr>
          <w:p>
            <w:pPr>
              <w:spacing w:after="0"/>
              <w:jc w:val="left"/>
            </w:pPr>
            <w:r>
              <w:rPr>
                <w:rFonts w:ascii="Arial" w:hAnsi="Arial"/>
                <w:b w:val="0"/>
                <w:sz w:val="14"/>
              </w:rPr>
              <w:t>Regulatory / audit / insurance acceptance</w:t>
            </w:r>
          </w:p>
        </w:tc>
        <w:tc>
          <w:tcPr>
            <w:tcW w:type="dxa" w:w="2556"/>
            <w:vAlign w:val="top"/>
          </w:tcPr>
          <w:p>
            <w:pPr>
              <w:spacing w:after="0"/>
              <w:jc w:val="left"/>
            </w:pPr>
            <w:r>
              <w:rPr>
                <w:rFonts w:ascii="Arial" w:hAnsi="Arial"/>
                <w:b w:val="0"/>
                <w:sz w:val="14"/>
              </w:rPr>
              <w:t>Regulator recognition; auditor acceptance; insurer acceptance</w:t>
            </w:r>
          </w:p>
        </w:tc>
        <w:tc>
          <w:tcPr>
            <w:tcW w:type="dxa" w:w="2556"/>
            <w:vAlign w:val="top"/>
          </w:tcPr>
          <w:p>
            <w:pPr>
              <w:spacing w:after="0"/>
              <w:jc w:val="left"/>
            </w:pPr>
            <w:r>
              <w:rPr>
                <w:rFonts w:ascii="Arial" w:hAnsi="Arial"/>
                <w:b w:val="0"/>
                <w:sz w:val="14"/>
              </w:rPr>
              <w:t>Automatic compliance; guaranteed insurability</w:t>
            </w:r>
          </w:p>
        </w:tc>
        <w:tc>
          <w:tcPr>
            <w:tcW w:type="dxa" w:w="2556"/>
            <w:vAlign w:val="top"/>
          </w:tcPr>
          <w:p>
            <w:pPr>
              <w:spacing w:after="0"/>
              <w:jc w:val="left"/>
            </w:pPr>
            <w:r>
              <w:rPr>
                <w:rFonts w:ascii="Arial" w:hAnsi="Arial"/>
                <w:b w:val="0"/>
                <w:sz w:val="14"/>
              </w:rPr>
              <w:t>Regulatory guidance; audit opinions; insurance policies</w:t>
            </w:r>
          </w:p>
        </w:tc>
      </w:tr>
    </w:tbl>
    <w:p>
      <w:pPr>
        <w:sectPr>
          <w:pgSz w:w="15840" w:h="12240"/>
          <w:pgMar w:top="792" w:right="648" w:bottom="792" w:left="648" w:header="720" w:footer="720" w:gutter="0"/>
          <w:cols w:space="720"/>
          <w:docGrid w:linePitch="360"/>
        </w:sectPr>
      </w:pPr>
    </w:p>
    <w:p/>
    <w:p>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
    <w:p>
      <w:pPr>
        <w:pStyle w:val="Heading2"/>
      </w:pPr>
      <w:r>
        <w:t>13.7 MPLP Non-Claim Discipline</w:t>
      </w:r>
    </w:p>
    <w:p/>
    <w:p>
      <w:r>
        <w:t>The following table explicitly restates forbidden claims to prevent overclaim.</w:t>
      </w:r>
    </w:p>
    <w:p/>
    <w:p>
      <w:pPr>
        <w:keepNext/>
      </w:pPr>
      <w:r>
        <w:rPr>
          <w:b/>
          <w:sz w:val="17"/>
        </w:rPr>
        <w:t>Table T-13-06: MPLP Non-Claim Discipline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Area</w:t>
            </w:r>
          </w:p>
        </w:tc>
        <w:tc>
          <w:tcPr>
            <w:tcW w:type="dxa" w:w="3408"/>
            <w:vAlign w:val="top"/>
            <w:shd w:fill="D9EAF7"/>
          </w:tcPr>
          <w:p>
            <w:pPr>
              <w:spacing w:after="0"/>
              <w:jc w:val="left"/>
            </w:pPr>
            <w:r>
              <w:rPr>
                <w:rFonts w:ascii="Arial" w:hAnsi="Arial"/>
                <w:b/>
                <w:sz w:val="16"/>
              </w:rPr>
              <w:t>Permitted Statement</w:t>
            </w:r>
          </w:p>
        </w:tc>
        <w:tc>
          <w:tcPr>
            <w:tcW w:type="dxa" w:w="3408"/>
            <w:vAlign w:val="top"/>
            <w:shd w:fill="D9EAF7"/>
          </w:tcPr>
          <w:p>
            <w:pPr>
              <w:spacing w:after="0"/>
              <w:jc w:val="left"/>
            </w:pPr>
            <w:r>
              <w:rPr>
                <w:rFonts w:ascii="Arial" w:hAnsi="Arial"/>
                <w:b/>
                <w:sz w:val="16"/>
              </w:rPr>
              <w:t>Prohibited Statement</w:t>
            </w:r>
          </w:p>
        </w:tc>
      </w:tr>
      <w:tr>
        <w:trPr>
          <w:cantSplit/>
        </w:trPr>
        <w:tc>
          <w:tcPr>
            <w:tcW w:type="dxa" w:w="3408"/>
            <w:vAlign w:val="top"/>
          </w:tcPr>
          <w:p>
            <w:pPr>
              <w:spacing w:after="0"/>
              <w:jc w:val="left"/>
            </w:pPr>
            <w:r>
              <w:rPr>
                <w:rFonts w:ascii="Arial" w:hAnsi="Arial"/>
                <w:b w:val="0"/>
                <w:sz w:val="16"/>
              </w:rPr>
              <w:t>Compliance</w:t>
            </w:r>
          </w:p>
        </w:tc>
        <w:tc>
          <w:tcPr>
            <w:tcW w:type="dxa" w:w="3408"/>
            <w:vAlign w:val="top"/>
          </w:tcPr>
          <w:p>
            <w:pPr>
              <w:spacing w:after="0"/>
              <w:jc w:val="left"/>
            </w:pPr>
            <w:r>
              <w:rPr>
                <w:rFonts w:ascii="Arial" w:hAnsi="Arial"/>
                <w:b w:val="0"/>
                <w:sz w:val="16"/>
              </w:rPr>
              <w:t>MPLP is one lifecycle protocol path; MPLP may express lifecycle responsibility objects</w:t>
            </w:r>
          </w:p>
        </w:tc>
        <w:tc>
          <w:tcPr>
            <w:tcW w:type="dxa" w:w="3408"/>
            <w:vAlign w:val="top"/>
          </w:tcPr>
          <w:p>
            <w:pPr>
              <w:spacing w:after="0"/>
              <w:jc w:val="left"/>
            </w:pPr>
            <w:r>
              <w:rPr>
                <w:rFonts w:ascii="Arial" w:hAnsi="Arial"/>
                <w:b w:val="0"/>
                <w:sz w:val="16"/>
              </w:rPr>
              <w:t>MPLP is required for compliance; MPLP certifies compliance; MPLP proves legal compliance</w:t>
            </w:r>
          </w:p>
        </w:tc>
      </w:tr>
      <w:tr>
        <w:trPr>
          <w:cantSplit/>
        </w:trPr>
        <w:tc>
          <w:tcPr>
            <w:tcW w:type="dxa" w:w="3408"/>
            <w:vAlign w:val="top"/>
          </w:tcPr>
          <w:p>
            <w:pPr>
              <w:spacing w:after="0"/>
              <w:jc w:val="left"/>
            </w:pPr>
            <w:r>
              <w:rPr>
                <w:rFonts w:ascii="Arial" w:hAnsi="Arial"/>
                <w:b w:val="0"/>
                <w:sz w:val="16"/>
              </w:rPr>
              <w:t>Certification</w:t>
            </w:r>
          </w:p>
        </w:tc>
        <w:tc>
          <w:tcPr>
            <w:tcW w:type="dxa" w:w="3408"/>
            <w:vAlign w:val="top"/>
          </w:tcPr>
          <w:p>
            <w:pPr>
              <w:spacing w:after="0"/>
              <w:jc w:val="left"/>
            </w:pPr>
            <w:r>
              <w:rPr>
                <w:rFonts w:ascii="Arial" w:hAnsi="Arial"/>
                <w:b w:val="0"/>
                <w:sz w:val="16"/>
              </w:rPr>
              <w:t>MPLP can be evaluated as one example of protocol-level lifecycle governance</w:t>
            </w:r>
          </w:p>
        </w:tc>
        <w:tc>
          <w:tcPr>
            <w:tcW w:type="dxa" w:w="3408"/>
            <w:vAlign w:val="top"/>
          </w:tcPr>
          <w:p>
            <w:pPr>
              <w:spacing w:after="0"/>
              <w:jc w:val="left"/>
            </w:pPr>
            <w:r>
              <w:rPr>
                <w:rFonts w:ascii="Arial" w:hAnsi="Arial"/>
                <w:b w:val="0"/>
                <w:sz w:val="16"/>
              </w:rPr>
              <w:t>MPLP is a certification program; MPLP certifies systems; MPLP guarantees compliance</w:t>
            </w:r>
          </w:p>
        </w:tc>
      </w:tr>
      <w:tr>
        <w:trPr>
          <w:cantSplit/>
        </w:trPr>
        <w:tc>
          <w:tcPr>
            <w:tcW w:type="dxa" w:w="3408"/>
            <w:vAlign w:val="top"/>
          </w:tcPr>
          <w:p>
            <w:pPr>
              <w:spacing w:after="0"/>
              <w:jc w:val="left"/>
            </w:pPr>
            <w:r>
              <w:rPr>
                <w:rFonts w:ascii="Arial" w:hAnsi="Arial"/>
                <w:b w:val="0"/>
                <w:sz w:val="16"/>
              </w:rPr>
              <w:t>Legal authority</w:t>
            </w:r>
          </w:p>
        </w:tc>
        <w:tc>
          <w:tcPr>
            <w:tcW w:type="dxa" w:w="3408"/>
            <w:vAlign w:val="top"/>
          </w:tcPr>
          <w:p>
            <w:pPr>
              <w:spacing w:after="0"/>
              <w:jc w:val="left"/>
            </w:pPr>
            <w:r>
              <w:rPr>
                <w:rFonts w:ascii="Arial" w:hAnsi="Arial"/>
                <w:b w:val="0"/>
                <w:sz w:val="16"/>
              </w:rPr>
              <w:t>MPLP defines protocol semantics for lifecycle governance</w:t>
            </w:r>
          </w:p>
        </w:tc>
        <w:tc>
          <w:tcPr>
            <w:tcW w:type="dxa" w:w="3408"/>
            <w:vAlign w:val="top"/>
          </w:tcPr>
          <w:p>
            <w:pPr>
              <w:spacing w:after="0"/>
              <w:jc w:val="left"/>
            </w:pPr>
            <w:r>
              <w:rPr>
                <w:rFonts w:ascii="Arial" w:hAnsi="Arial"/>
                <w:b w:val="0"/>
                <w:sz w:val="16"/>
              </w:rPr>
              <w:t>MPLP is a regulator; MPLP is a legal authority; MPLP is regulator-approved</w:t>
            </w:r>
          </w:p>
        </w:tc>
      </w:tr>
      <w:tr>
        <w:trPr>
          <w:cantSplit/>
        </w:trPr>
        <w:tc>
          <w:tcPr>
            <w:tcW w:type="dxa" w:w="3408"/>
            <w:vAlign w:val="top"/>
          </w:tcPr>
          <w:p>
            <w:pPr>
              <w:spacing w:after="0"/>
              <w:jc w:val="left"/>
            </w:pPr>
            <w:r>
              <w:rPr>
                <w:rFonts w:ascii="Arial" w:hAnsi="Arial"/>
                <w:b w:val="0"/>
                <w:sz w:val="16"/>
              </w:rPr>
              <w:t>Regulatory recognition</w:t>
            </w:r>
          </w:p>
        </w:tc>
        <w:tc>
          <w:tcPr>
            <w:tcW w:type="dxa" w:w="3408"/>
            <w:vAlign w:val="top"/>
          </w:tcPr>
          <w:p>
            <w:pPr>
              <w:spacing w:after="0"/>
              <w:jc w:val="left"/>
            </w:pPr>
            <w:r>
              <w:rPr>
                <w:rFonts w:ascii="Arial" w:hAnsi="Arial"/>
                <w:b w:val="0"/>
                <w:sz w:val="16"/>
              </w:rPr>
              <w:t>MPLP adoption requires regulatory interpretation</w:t>
            </w:r>
          </w:p>
        </w:tc>
        <w:tc>
          <w:tcPr>
            <w:tcW w:type="dxa" w:w="3408"/>
            <w:vAlign w:val="top"/>
          </w:tcPr>
          <w:p>
            <w:pPr>
              <w:spacing w:after="0"/>
              <w:jc w:val="left"/>
            </w:pPr>
            <w:r>
              <w:rPr>
                <w:rFonts w:ascii="Arial" w:hAnsi="Arial"/>
                <w:b w:val="0"/>
                <w:sz w:val="16"/>
              </w:rPr>
              <w:t>MPLP is regulator-approved; MPLP is the official standard; MPLP is mandated by regulation</w:t>
            </w:r>
          </w:p>
        </w:tc>
      </w:tr>
      <w:tr>
        <w:trPr>
          <w:cantSplit/>
        </w:trPr>
        <w:tc>
          <w:tcPr>
            <w:tcW w:type="dxa" w:w="3408"/>
            <w:vAlign w:val="top"/>
          </w:tcPr>
          <w:p>
            <w:pPr>
              <w:spacing w:after="0"/>
              <w:jc w:val="left"/>
            </w:pPr>
            <w:r>
              <w:rPr>
                <w:rFonts w:ascii="Arial" w:hAnsi="Arial"/>
                <w:b w:val="0"/>
                <w:sz w:val="16"/>
              </w:rPr>
              <w:t>Enterprise readiness</w:t>
            </w:r>
          </w:p>
        </w:tc>
        <w:tc>
          <w:tcPr>
            <w:tcW w:type="dxa" w:w="3408"/>
            <w:vAlign w:val="top"/>
          </w:tcPr>
          <w:p>
            <w:pPr>
              <w:spacing w:after="0"/>
              <w:jc w:val="left"/>
            </w:pPr>
            <w:r>
              <w:rPr>
                <w:rFonts w:ascii="Arial" w:hAnsi="Arial"/>
                <w:b w:val="0"/>
                <w:sz w:val="16"/>
              </w:rPr>
              <w:t>MPLP requires implementation validation and enterprise integration</w:t>
            </w:r>
          </w:p>
        </w:tc>
        <w:tc>
          <w:tcPr>
            <w:tcW w:type="dxa" w:w="3408"/>
            <w:vAlign w:val="top"/>
          </w:tcPr>
          <w:p>
            <w:pPr>
              <w:spacing w:after="0"/>
              <w:jc w:val="left"/>
            </w:pPr>
            <w:r>
              <w:rPr>
                <w:rFonts w:ascii="Arial" w:hAnsi="Arial"/>
                <w:b w:val="0"/>
                <w:sz w:val="16"/>
              </w:rPr>
              <w:t>MPLP proves enterprise readiness; MPLP is production-ready; MPLP guarantees operational effectiveness</w:t>
            </w:r>
          </w:p>
        </w:tc>
      </w:tr>
      <w:tr>
        <w:trPr>
          <w:cantSplit/>
        </w:trPr>
        <w:tc>
          <w:tcPr>
            <w:tcW w:type="dxa" w:w="3408"/>
            <w:vAlign w:val="top"/>
          </w:tcPr>
          <w:p>
            <w:pPr>
              <w:spacing w:after="0"/>
              <w:jc w:val="left"/>
            </w:pPr>
            <w:r>
              <w:rPr>
                <w:rFonts w:ascii="Arial" w:hAnsi="Arial"/>
                <w:b w:val="0"/>
                <w:sz w:val="16"/>
              </w:rPr>
              <w:t>Validation Lab</w:t>
            </w:r>
          </w:p>
        </w:tc>
        <w:tc>
          <w:tcPr>
            <w:tcW w:type="dxa" w:w="3408"/>
            <w:vAlign w:val="top"/>
          </w:tcPr>
          <w:p>
            <w:pPr>
              <w:spacing w:after="0"/>
              <w:jc w:val="left"/>
            </w:pPr>
            <w:r>
              <w:rPr>
                <w:rFonts w:ascii="Arial" w:hAnsi="Arial"/>
                <w:b w:val="0"/>
                <w:sz w:val="16"/>
              </w:rPr>
              <w:t>Validation Lab may serve as a non-certifying evidence adjudication example</w:t>
            </w:r>
          </w:p>
        </w:tc>
        <w:tc>
          <w:tcPr>
            <w:tcW w:type="dxa" w:w="3408"/>
            <w:vAlign w:val="top"/>
          </w:tcPr>
          <w:p>
            <w:pPr>
              <w:spacing w:after="0"/>
              <w:jc w:val="left"/>
            </w:pPr>
            <w:r>
              <w:rPr>
                <w:rFonts w:ascii="Arial" w:hAnsi="Arial"/>
                <w:b w:val="0"/>
                <w:sz w:val="16"/>
              </w:rPr>
              <w:t>Validation Lab certifies compliance; Validation Lab is a certification authority; Validation Lab proves legal compliance</w:t>
            </w:r>
          </w:p>
        </w:tc>
      </w:tr>
      <w:tr>
        <w:trPr>
          <w:cantSplit/>
        </w:trPr>
        <w:tc>
          <w:tcPr>
            <w:tcW w:type="dxa" w:w="3408"/>
            <w:vAlign w:val="top"/>
          </w:tcPr>
          <w:p>
            <w:pPr>
              <w:spacing w:after="0"/>
              <w:jc w:val="left"/>
            </w:pPr>
            <w:r>
              <w:rPr>
                <w:rFonts w:ascii="Arial" w:hAnsi="Arial"/>
                <w:b w:val="0"/>
                <w:sz w:val="16"/>
              </w:rPr>
              <w:t>RCCS/ALCS</w:t>
            </w:r>
          </w:p>
        </w:tc>
        <w:tc>
          <w:tcPr>
            <w:tcW w:type="dxa" w:w="3408"/>
            <w:vAlign w:val="top"/>
          </w:tcPr>
          <w:p>
            <w:pPr>
              <w:spacing w:after="0"/>
              <w:jc w:val="left"/>
            </w:pPr>
            <w:r>
              <w:rPr>
                <w:rFonts w:ascii="Arial" w:hAnsi="Arial"/>
                <w:b w:val="0"/>
                <w:sz w:val="16"/>
              </w:rPr>
              <w:t>MPLP may map strongly to ALCS dimensions; actual deployment requires implementation evidence</w:t>
            </w:r>
          </w:p>
        </w:tc>
        <w:tc>
          <w:tcPr>
            <w:tcW w:type="dxa" w:w="3408"/>
            <w:vAlign w:val="top"/>
          </w:tcPr>
          <w:p>
            <w:pPr>
              <w:spacing w:after="0"/>
              <w:jc w:val="left"/>
            </w:pPr>
            <w:r>
              <w:rPr>
                <w:rFonts w:ascii="Arial" w:hAnsi="Arial"/>
                <w:b w:val="0"/>
                <w:sz w:val="16"/>
              </w:rPr>
              <w:t>RCCS/ALCS proves legal compliance; high MPLP alignment guarantees compliance; MPLP satisfies all RCCS/ALCS requirements</w:t>
            </w:r>
          </w:p>
        </w:tc>
      </w:tr>
      <w:tr>
        <w:trPr>
          <w:cantSplit/>
        </w:trPr>
        <w:tc>
          <w:tcPr>
            <w:tcW w:type="dxa" w:w="3408"/>
            <w:vAlign w:val="top"/>
          </w:tcPr>
          <w:p>
            <w:pPr>
              <w:spacing w:after="0"/>
              <w:jc w:val="left"/>
            </w:pPr>
            <w:r>
              <w:rPr>
                <w:rFonts w:ascii="Arial" w:hAnsi="Arial"/>
                <w:b w:val="0"/>
                <w:sz w:val="16"/>
              </w:rPr>
              <w:t>Market adoption</w:t>
            </w:r>
          </w:p>
        </w:tc>
        <w:tc>
          <w:tcPr>
            <w:tcW w:type="dxa" w:w="3408"/>
            <w:vAlign w:val="top"/>
          </w:tcPr>
          <w:p>
            <w:pPr>
              <w:spacing w:after="0"/>
              <w:jc w:val="left"/>
            </w:pPr>
            <w:r>
              <w:rPr>
                <w:rFonts w:ascii="Arial" w:hAnsi="Arial"/>
                <w:b w:val="0"/>
                <w:sz w:val="16"/>
              </w:rPr>
              <w:t>MPLP adoption requires market validation and organizational acceptance</w:t>
            </w:r>
          </w:p>
        </w:tc>
        <w:tc>
          <w:tcPr>
            <w:tcW w:type="dxa" w:w="3408"/>
            <w:vAlign w:val="top"/>
          </w:tcPr>
          <w:p>
            <w:pPr>
              <w:spacing w:after="0"/>
              <w:jc w:val="left"/>
            </w:pPr>
            <w:r>
              <w:rPr>
                <w:rFonts w:ascii="Arial" w:hAnsi="Arial"/>
                <w:b w:val="0"/>
                <w:sz w:val="16"/>
              </w:rPr>
              <w:t>MPLP is industry-standard; MPLP is universally adopted; MPLP is the only solution</w:t>
            </w:r>
          </w:p>
        </w:tc>
      </w:tr>
      <w:tr>
        <w:trPr>
          <w:cantSplit/>
        </w:trPr>
        <w:tc>
          <w:tcPr>
            <w:tcW w:type="dxa" w:w="3408"/>
            <w:vAlign w:val="top"/>
          </w:tcPr>
          <w:p>
            <w:pPr>
              <w:spacing w:after="0"/>
              <w:jc w:val="left"/>
            </w:pPr>
            <w:r>
              <w:rPr>
                <w:rFonts w:ascii="Arial" w:hAnsi="Arial"/>
                <w:b w:val="0"/>
                <w:sz w:val="16"/>
              </w:rPr>
              <w:t>System comparison</w:t>
            </w:r>
          </w:p>
        </w:tc>
        <w:tc>
          <w:tcPr>
            <w:tcW w:type="dxa" w:w="3408"/>
            <w:vAlign w:val="top"/>
          </w:tcPr>
          <w:p>
            <w:pPr>
              <w:spacing w:after="0"/>
              <w:jc w:val="left"/>
            </w:pPr>
            <w:r>
              <w:rPr>
                <w:rFonts w:ascii="Arial" w:hAnsi="Arial"/>
                <w:b w:val="0"/>
                <w:sz w:val="16"/>
              </w:rPr>
              <w:t>MPLP can be compared to other systems by responsibility semantics</w:t>
            </w:r>
          </w:p>
        </w:tc>
        <w:tc>
          <w:tcPr>
            <w:tcW w:type="dxa" w:w="3408"/>
            <w:vAlign w:val="top"/>
          </w:tcPr>
          <w:p>
            <w:pPr>
              <w:spacing w:after="0"/>
              <w:jc w:val="left"/>
            </w:pPr>
            <w:r>
              <w:rPr>
                <w:rFonts w:ascii="Arial" w:hAnsi="Arial"/>
                <w:b w:val="0"/>
                <w:sz w:val="16"/>
              </w:rPr>
              <w:t>Other systems are non-compliant; MPLP is superior; systems without MPLP fail compliance</w:t>
            </w:r>
          </w:p>
        </w:tc>
      </w:tr>
    </w:tbl>
    <w:p>
      <w:pPr>
        <w:sectPr>
          <w:pgSz w:w="15840" w:h="12240"/>
          <w:pgMar w:top="792" w:right="648" w:bottom="792" w:left="648" w:header="720" w:footer="720" w:gutter="0"/>
          <w:cols w:space="720"/>
          <w:docGrid w:linePitch="360"/>
        </w:sectPr>
      </w:pPr>
    </w:p>
    <w:p/>
    <w:p/>
    <w:p>
      <w:pPr>
        <w:pStyle w:val="Heading2"/>
      </w:pPr>
      <w:r>
        <w:t>13.8 Bridge to Evidence-Based Validation Pattern</w:t>
      </w:r>
    </w:p>
    <w:p/>
    <w:p>
      <w:r>
        <w:t>Chapter 13 has mapped MPLP's protocol semantics to lifecycle responsibility objects. Chapter 14 will discuss evidence-based validation patterns and will treat Validation Lab only as a non-certifying evidence adjudication example.</w:t>
      </w:r>
    </w:p>
    <w:p/>
    <w:p>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
    <w:p>
      <w:r>
        <w:t>End of Chapter 13</w:t>
      </w:r>
    </w:p>
    <w:p/>
    <w:p>
      <w:r>
        <w:t>Chapter 13 Status: FILLED (Phase 1B-4; Phase 1C follow-up reviewed) — MPLP deep mapping complete; official MPLP documentation entry point located; protocol-to-MRO/ALCS mapping remains boundary-limited L2 + L5 analytical interpretation and does not prove implementation conformance.</w:t>
      </w:r>
    </w:p>
    <w:p>
      <w:pPr>
        <w:pStyle w:val="Heading1"/>
      </w:pPr>
      <w:r>
        <w:t>14. Evidence-Based Validation Pattern for AI Agent Lifecycle Governance</w:t>
      </w:r>
    </w:p>
    <w:p/>
    <w:p>
      <w:r>
        <w:t>Version: v0.3.2-FRC-R3</w:t>
      </w:r>
    </w:p>
    <w:p>
      <w:r>
        <w:t>Status: Reconstructed from v0.3.1 semantic base; Phase 1C claim-level source binding applied</w:t>
      </w:r>
    </w:p>
    <w:p>
      <w:r>
        <w:t>Phase: 1B-5 / 1C Follow-up</w:t>
      </w:r>
    </w:p>
    <w:p/>
    <w:p/>
    <w:p>
      <w:pPr>
        <w:pStyle w:val="Heading2"/>
      </w:pPr>
      <w:r>
        <w:t>14.0 Why Evidence-Based Validation Matters for AI Agent Lifecycle Governance</w:t>
      </w:r>
    </w:p>
    <w:p/>
    <w:p>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independent validation to become externally credible evidence.</w:t>
      </w:r>
    </w:p>
    <w:p/>
    <w:p>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
      <w:r>
        <w:t>Validation Lab is referenced in this chapter as one non-certifying evidence adjudication example. Phase 1C follow-up located the public Validation Lab entry point, but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
    <w:p>
      <w:pPr>
        <w:pStyle w:val="Heading2"/>
      </w:pPr>
      <w:r>
        <w:t>14.1 Evidence-Based Validation Pattern Overview</w:t>
      </w:r>
    </w:p>
    <w:p/>
    <w:p>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
      <w:r>
        <w:t>Pattern boundary: The pattern validates that lifecycle responsibility objects exist, are structured correctly, and satisfy predefined governance rules. It does not validate business logic correctness, model accuracy, legal compliance, or regulatory approval.</w:t>
      </w:r>
    </w:p>
    <w:p/>
    <w:p>
      <w:pPr>
        <w:spacing w:before="160" w:after="80"/>
        <w:jc w:val="center"/>
      </w:pPr>
      <w:r>
        <w:rPr>
          <w:b/>
          <w:color w:val="1F4E79"/>
          <w:sz w:val="18"/>
        </w:rPr>
        <w:t>Figure F-08 Placeholder: Evidence-Based Validation Pattern Flow</w:t>
      </w:r>
    </w:p>
    <w:p/>
    <w:p>
      <w:pPr>
        <w:spacing w:before="60" w:after="100"/>
        <w:ind w:left="259"/>
      </w:pPr>
      <w:r>
        <w:rPr>
          <w:rFonts w:ascii="Courier New" w:hAnsi="Courier New"/>
          <w:sz w:val="15"/>
        </w:rPr>
        <w:t>[Organization] → Evidence Pack → [Hash Manifest] → [Validation Provider]</w:t>
        <w:br/>
        <w:t xml:space="preserve">                                                   ↓</w:t>
        <w:br/>
        <w:t xml:space="preserve">                                            Ruleset Identity</w:t>
        <w:br/>
        <w:t xml:space="preserve">                                                   ↓</w:t>
        <w:br/>
        <w:t xml:space="preserve">                                            Evidence Pointers</w:t>
        <w:br/>
        <w:t xml:space="preserve">                                                   ↓</w:t>
        <w:br/>
        <w:t xml:space="preserve">                                            Verdict Hash</w:t>
        <w:br/>
        <w:t xml:space="preserve">                                                   ↓</w:t>
        <w:br/>
        <w:t xml:space="preserve">                                    [Disclosure Profile / Redaction Profile]</w:t>
        <w:br/>
        <w:t xml:space="preserve">                                                   ↓</w:t>
        <w:br/>
        <w:t xml:space="preserve">                                    [Replay / Recheck Procedure]</w:t>
      </w:r>
    </w:p>
    <w:p/>
    <w:p>
      <w:pPr>
        <w:spacing w:before="160" w:after="80"/>
        <w:jc w:val="center"/>
      </w:pPr>
      <w:r>
        <w:rPr>
          <w:b/>
          <w:color w:val="1F4E79"/>
          <w:sz w:val="18"/>
        </w:rPr>
        <w:t>Figure F-08 shows the evidence-based validation pattern flow. Organizations generate evidence packs containing lifecycle responsibility objects. Hash manifests provide tamper-evident integrity. Validation providers apply predefined rulesets to evidence pointers and return verdict hashes. Disclosure profiles and redaction profiles support privacy-preserving validation. Replay and recheck procedures support continuous validation.</w:t>
      </w:r>
    </w:p>
    <w:p/>
    <w:p/>
    <w:p>
      <w:pPr>
        <w:pStyle w:val="Heading2"/>
      </w:pPr>
      <w:r>
        <w:t>14.2 Methodology Components Mapping</w:t>
      </w:r>
    </w:p>
    <w:p/>
    <w:p>
      <w:r>
        <w:t>The evidence-based validation pattern consists of eight core components. Each component maps to specific Missing Regulatory Objects and ALCS dimensions.</w:t>
      </w:r>
    </w:p>
    <w:p/>
    <w:p>
      <w:pPr>
        <w:keepNext/>
      </w:pPr>
      <w:r>
        <w:rPr>
          <w:b/>
          <w:sz w:val="17"/>
        </w:rPr>
        <w:t>Table T-14-01: Evidence-Based Validation Pattern Components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1"/>
              </w:rPr>
              <w:t>Component</w:t>
            </w:r>
          </w:p>
        </w:tc>
        <w:tc>
          <w:tcPr>
            <w:tcW w:type="dxa" w:w="2880"/>
            <w:vAlign w:val="top"/>
            <w:shd w:fill="D9EAF7"/>
          </w:tcPr>
          <w:p>
            <w:pPr>
              <w:spacing w:after="0"/>
              <w:jc w:val="left"/>
            </w:pPr>
            <w:r>
              <w:rPr>
                <w:rFonts w:ascii="Arial" w:hAnsi="Arial"/>
                <w:b/>
                <w:sz w:val="11"/>
              </w:rPr>
              <w:t>Purpose</w:t>
            </w:r>
          </w:p>
        </w:tc>
        <w:tc>
          <w:tcPr>
            <w:tcW w:type="dxa" w:w="2880"/>
            <w:vAlign w:val="top"/>
            <w:shd w:fill="D9EAF7"/>
          </w:tcPr>
          <w:p>
            <w:pPr>
              <w:spacing w:after="0"/>
              <w:jc w:val="left"/>
            </w:pPr>
            <w:r>
              <w:rPr>
                <w:rFonts w:ascii="Arial" w:hAnsi="Arial"/>
                <w:b/>
                <w:sz w:val="11"/>
              </w:rPr>
              <w:t>Lifecycle Responsibility Object</w:t>
            </w:r>
          </w:p>
        </w:tc>
        <w:tc>
          <w:tcPr>
            <w:tcW w:type="dxa" w:w="2880"/>
            <w:vAlign w:val="top"/>
            <w:shd w:fill="D9EAF7"/>
          </w:tcPr>
          <w:p>
            <w:pPr>
              <w:spacing w:after="0"/>
              <w:jc w:val="left"/>
            </w:pPr>
            <w:r>
              <w:rPr>
                <w:rFonts w:ascii="Arial" w:hAnsi="Arial"/>
                <w:b/>
                <w:sz w:val="11"/>
              </w:rPr>
              <w:t>Relevant MROs</w:t>
            </w:r>
          </w:p>
        </w:tc>
        <w:tc>
          <w:tcPr>
            <w:tcW w:type="dxa" w:w="2880"/>
            <w:vAlign w:val="top"/>
            <w:shd w:fill="D9EAF7"/>
          </w:tcPr>
          <w:p>
            <w:pPr>
              <w:spacing w:after="0"/>
              <w:jc w:val="left"/>
            </w:pPr>
            <w:r>
              <w:rPr>
                <w:rFonts w:ascii="Arial" w:hAnsi="Arial"/>
                <w:b/>
                <w:sz w:val="11"/>
              </w:rPr>
              <w:t>Relevant ALCS Dimensions</w:t>
            </w:r>
          </w:p>
        </w:tc>
      </w:tr>
      <w:tr>
        <w:trPr>
          <w:cantSplit/>
        </w:trPr>
        <w:tc>
          <w:tcPr>
            <w:tcW w:type="dxa" w:w="2880"/>
            <w:vAlign w:val="top"/>
          </w:tcPr>
          <w:p>
            <w:pPr>
              <w:spacing w:after="0"/>
              <w:jc w:val="left"/>
            </w:pPr>
            <w:r>
              <w:rPr>
                <w:rFonts w:ascii="Arial" w:hAnsi="Arial"/>
                <w:b w:val="0"/>
                <w:sz w:val="11"/>
              </w:rPr>
              <w:t>Evidence Pack</w:t>
            </w:r>
          </w:p>
        </w:tc>
        <w:tc>
          <w:tcPr>
            <w:tcW w:type="dxa" w:w="2880"/>
            <w:vAlign w:val="top"/>
          </w:tcPr>
          <w:p>
            <w:pPr>
              <w:spacing w:after="0"/>
              <w:jc w:val="left"/>
            </w:pPr>
            <w:r>
              <w:rPr>
                <w:rFonts w:ascii="Arial" w:hAnsi="Arial"/>
                <w:b w:val="0"/>
                <w:sz w:val="11"/>
              </w:rPr>
              <w:t>Container for lifecycle responsibility objects (role mappings, delegation boundaries, accepted outcomes, evidence chains, handoff records)</w:t>
            </w:r>
          </w:p>
        </w:tc>
        <w:tc>
          <w:tcPr>
            <w:tcW w:type="dxa" w:w="2880"/>
            <w:vAlign w:val="top"/>
          </w:tcPr>
          <w:p>
            <w:pPr>
              <w:spacing w:after="0"/>
              <w:jc w:val="left"/>
            </w:pPr>
            <w:r>
              <w:rPr>
                <w:rFonts w:ascii="Arial" w:hAnsi="Arial"/>
                <w:b w:val="0"/>
                <w:sz w:val="11"/>
              </w:rPr>
              <w:t>All lifecycle responsibility objects</w:t>
            </w:r>
          </w:p>
        </w:tc>
        <w:tc>
          <w:tcPr>
            <w:tcW w:type="dxa" w:w="2880"/>
            <w:vAlign w:val="top"/>
          </w:tcPr>
          <w:p>
            <w:pPr>
              <w:spacing w:after="0"/>
              <w:jc w:val="left"/>
            </w:pPr>
            <w:r>
              <w:rPr>
                <w:rFonts w:ascii="Arial" w:hAnsi="Arial"/>
                <w:b w:val="0"/>
                <w:sz w:val="11"/>
              </w:rPr>
              <w:t>MRO-08: MAS Evidence Partitioning</w:t>
            </w:r>
          </w:p>
        </w:tc>
        <w:tc>
          <w:tcPr>
            <w:tcW w:type="dxa" w:w="2880"/>
            <w:vAlign w:val="top"/>
          </w:tcPr>
          <w:p>
            <w:pPr>
              <w:spacing w:after="0"/>
              <w:jc w:val="left"/>
            </w:pPr>
            <w:r>
              <w:rPr>
                <w:rFonts w:ascii="Arial" w:hAnsi="Arial"/>
                <w:b w:val="0"/>
                <w:sz w:val="11"/>
              </w:rPr>
              <w:t>ALCS-08: MAS Evidence Partitioning</w:t>
            </w:r>
          </w:p>
        </w:tc>
      </w:tr>
      <w:tr>
        <w:trPr>
          <w:cantSplit/>
        </w:trPr>
        <w:tc>
          <w:tcPr>
            <w:tcW w:type="dxa" w:w="2880"/>
            <w:vAlign w:val="top"/>
          </w:tcPr>
          <w:p>
            <w:pPr>
              <w:spacing w:after="0"/>
              <w:jc w:val="left"/>
            </w:pPr>
            <w:r>
              <w:rPr>
                <w:rFonts w:ascii="Arial" w:hAnsi="Arial"/>
                <w:b w:val="0"/>
                <w:sz w:val="11"/>
              </w:rPr>
              <w:t>Hash Manifest</w:t>
            </w:r>
          </w:p>
        </w:tc>
        <w:tc>
          <w:tcPr>
            <w:tcW w:type="dxa" w:w="2880"/>
            <w:vAlign w:val="top"/>
          </w:tcPr>
          <w:p>
            <w:pPr>
              <w:spacing w:after="0"/>
              <w:jc w:val="left"/>
            </w:pPr>
            <w:r>
              <w:rPr>
                <w:rFonts w:ascii="Arial" w:hAnsi="Arial"/>
                <w:b w:val="0"/>
                <w:sz w:val="11"/>
              </w:rPr>
              <w:t>Tamper-evident integrity for evidence pack contents</w:t>
            </w:r>
          </w:p>
        </w:tc>
        <w:tc>
          <w:tcPr>
            <w:tcW w:type="dxa" w:w="2880"/>
            <w:vAlign w:val="top"/>
          </w:tcPr>
          <w:p>
            <w:pPr>
              <w:spacing w:after="0"/>
              <w:jc w:val="left"/>
            </w:pPr>
            <w:r>
              <w:rPr>
                <w:rFonts w:ascii="Arial" w:hAnsi="Arial"/>
                <w:b w:val="0"/>
                <w:sz w:val="11"/>
              </w:rPr>
              <w:t>Evidence integrity and non-repudiation</w:t>
            </w:r>
          </w:p>
        </w:tc>
        <w:tc>
          <w:tcPr>
            <w:tcW w:type="dxa" w:w="2880"/>
            <w:vAlign w:val="top"/>
          </w:tcPr>
          <w:p>
            <w:pPr>
              <w:spacing w:after="0"/>
              <w:jc w:val="left"/>
            </w:pPr>
            <w:r>
              <w:rPr>
                <w:rFonts w:ascii="Arial" w:hAnsi="Arial"/>
                <w:b w:val="0"/>
                <w:sz w:val="11"/>
              </w:rPr>
              <w:t>MRO-08: MAS Evidence Partitioning; MRO-12: Evidence Minimization and Selective Disclosure</w:t>
            </w:r>
          </w:p>
        </w:tc>
        <w:tc>
          <w:tcPr>
            <w:tcW w:type="dxa" w:w="2880"/>
            <w:vAlign w:val="top"/>
          </w:tcPr>
          <w:p>
            <w:pPr>
              <w:spacing w:after="0"/>
              <w:jc w:val="left"/>
            </w:pPr>
            <w:r>
              <w:rPr>
                <w:rFonts w:ascii="Arial" w:hAnsi="Arial"/>
                <w:b w:val="0"/>
                <w:sz w:val="11"/>
              </w:rPr>
              <w:t>ALCS-08: MAS Evidence Partitioning; ALCS-12: Evidence Minimization and Selective Disclosure</w:t>
            </w:r>
          </w:p>
        </w:tc>
      </w:tr>
      <w:tr>
        <w:trPr>
          <w:cantSplit/>
        </w:trPr>
        <w:tc>
          <w:tcPr>
            <w:tcW w:type="dxa" w:w="2880"/>
            <w:vAlign w:val="top"/>
          </w:tcPr>
          <w:p>
            <w:pPr>
              <w:spacing w:after="0"/>
              <w:jc w:val="left"/>
            </w:pPr>
            <w:r>
              <w:rPr>
                <w:rFonts w:ascii="Arial" w:hAnsi="Arial"/>
                <w:b w:val="0"/>
                <w:sz w:val="11"/>
              </w:rPr>
              <w:t>Ruleset Identity</w:t>
            </w:r>
          </w:p>
        </w:tc>
        <w:tc>
          <w:tcPr>
            <w:tcW w:type="dxa" w:w="2880"/>
            <w:vAlign w:val="top"/>
          </w:tcPr>
          <w:p>
            <w:pPr>
              <w:spacing w:after="0"/>
              <w:jc w:val="left"/>
            </w:pPr>
            <w:r>
              <w:rPr>
                <w:rFonts w:ascii="Arial" w:hAnsi="Arial"/>
                <w:b w:val="0"/>
                <w:sz w:val="11"/>
              </w:rPr>
              <w:t>Predefined governance rules applied to evidence (e.g., "role mapping must exist", "delegation boundary must be explicit")</w:t>
            </w:r>
          </w:p>
        </w:tc>
        <w:tc>
          <w:tcPr>
            <w:tcW w:type="dxa" w:w="2880"/>
            <w:vAlign w:val="top"/>
          </w:tcPr>
          <w:p>
            <w:pPr>
              <w:spacing w:after="0"/>
              <w:jc w:val="left"/>
            </w:pPr>
            <w:r>
              <w:rPr>
                <w:rFonts w:ascii="Arial" w:hAnsi="Arial"/>
                <w:b w:val="0"/>
                <w:sz w:val="11"/>
              </w:rPr>
              <w:t>Governance rule conformance</w:t>
            </w:r>
          </w:p>
        </w:tc>
        <w:tc>
          <w:tcPr>
            <w:tcW w:type="dxa" w:w="2880"/>
            <w:vAlign w:val="top"/>
          </w:tcPr>
          <w:p>
            <w:pPr>
              <w:spacing w:after="0"/>
              <w:jc w:val="left"/>
            </w:pPr>
            <w:r>
              <w:rPr>
                <w:rFonts w:ascii="Arial" w:hAnsi="Arial"/>
                <w:b w:val="0"/>
                <w:sz w:val="11"/>
              </w:rPr>
              <w:t>MRO-11: Privacy-Preserving Third-Party Validation</w:t>
            </w:r>
          </w:p>
        </w:tc>
        <w:tc>
          <w:tcPr>
            <w:tcW w:type="dxa" w:w="2880"/>
            <w:vAlign w:val="top"/>
          </w:tcPr>
          <w:p>
            <w:pPr>
              <w:spacing w:after="0"/>
              <w:jc w:val="left"/>
            </w:pPr>
            <w:r>
              <w:rPr>
                <w:rFonts w:ascii="Arial" w:hAnsi="Arial"/>
                <w:b w:val="0"/>
                <w:sz w:val="11"/>
              </w:rPr>
              <w:t>ALCS-11: Privacy-Preserving Third-Party Validation</w:t>
            </w:r>
          </w:p>
        </w:tc>
      </w:tr>
      <w:tr>
        <w:trPr>
          <w:cantSplit/>
        </w:trPr>
        <w:tc>
          <w:tcPr>
            <w:tcW w:type="dxa" w:w="2880"/>
            <w:vAlign w:val="top"/>
          </w:tcPr>
          <w:p>
            <w:pPr>
              <w:spacing w:after="0"/>
              <w:jc w:val="left"/>
            </w:pPr>
            <w:r>
              <w:rPr>
                <w:rFonts w:ascii="Arial" w:hAnsi="Arial"/>
                <w:b w:val="0"/>
                <w:sz w:val="11"/>
              </w:rPr>
              <w:t>Evidence Pointers</w:t>
            </w:r>
          </w:p>
        </w:tc>
        <w:tc>
          <w:tcPr>
            <w:tcW w:type="dxa" w:w="2880"/>
            <w:vAlign w:val="top"/>
          </w:tcPr>
          <w:p>
            <w:pPr>
              <w:spacing w:after="0"/>
              <w:jc w:val="left"/>
            </w:pPr>
            <w:r>
              <w:rPr>
                <w:rFonts w:ascii="Arial" w:hAnsi="Arial"/>
                <w:b w:val="0"/>
                <w:sz w:val="11"/>
              </w:rPr>
              <w:t>References to specific evidence objects within the evidence pack (supports selective disclosure)</w:t>
            </w:r>
          </w:p>
        </w:tc>
        <w:tc>
          <w:tcPr>
            <w:tcW w:type="dxa" w:w="2880"/>
            <w:vAlign w:val="top"/>
          </w:tcPr>
          <w:p>
            <w:pPr>
              <w:spacing w:after="0"/>
              <w:jc w:val="left"/>
            </w:pPr>
            <w:r>
              <w:rPr>
                <w:rFonts w:ascii="Arial" w:hAnsi="Arial"/>
                <w:b w:val="0"/>
                <w:sz w:val="11"/>
              </w:rPr>
              <w:t>Selective disclosure and privacy-preserving validation</w:t>
            </w:r>
          </w:p>
        </w:tc>
        <w:tc>
          <w:tcPr>
            <w:tcW w:type="dxa" w:w="2880"/>
            <w:vAlign w:val="top"/>
          </w:tcPr>
          <w:p>
            <w:pPr>
              <w:spacing w:after="0"/>
              <w:jc w:val="left"/>
            </w:pPr>
            <w:r>
              <w:rPr>
                <w:rFonts w:ascii="Arial" w:hAnsi="Arial"/>
                <w:b w:val="0"/>
                <w:sz w:val="11"/>
              </w:rPr>
              <w:t>MRO-11: Privacy-Preserving Third-Party Validation; MRO-12: Evidence Minimization and Selective Disclosure</w:t>
            </w:r>
          </w:p>
        </w:tc>
        <w:tc>
          <w:tcPr>
            <w:tcW w:type="dxa" w:w="2880"/>
            <w:vAlign w:val="top"/>
          </w:tcPr>
          <w:p>
            <w:pPr>
              <w:spacing w:after="0"/>
              <w:jc w:val="left"/>
            </w:pPr>
            <w:r>
              <w:rPr>
                <w:rFonts w:ascii="Arial" w:hAnsi="Arial"/>
                <w:b w:val="0"/>
                <w:sz w:val="11"/>
              </w:rPr>
              <w:t>ALCS-11: Privacy-Preserving Third-Party Validation; ALCS-12: Evidence Minimization and Selective Disclosure</w:t>
            </w:r>
          </w:p>
        </w:tc>
      </w:tr>
      <w:tr>
        <w:trPr>
          <w:cantSplit/>
        </w:trPr>
        <w:tc>
          <w:tcPr>
            <w:tcW w:type="dxa" w:w="2880"/>
            <w:vAlign w:val="top"/>
          </w:tcPr>
          <w:p>
            <w:pPr>
              <w:spacing w:after="0"/>
              <w:jc w:val="left"/>
            </w:pPr>
            <w:r>
              <w:rPr>
                <w:rFonts w:ascii="Arial" w:hAnsi="Arial"/>
                <w:b w:val="0"/>
                <w:sz w:val="11"/>
              </w:rPr>
              <w:t>Verdict Hash</w:t>
            </w:r>
          </w:p>
        </w:tc>
        <w:tc>
          <w:tcPr>
            <w:tcW w:type="dxa" w:w="2880"/>
            <w:vAlign w:val="top"/>
          </w:tcPr>
          <w:p>
            <w:pPr>
              <w:spacing w:after="0"/>
              <w:jc w:val="left"/>
            </w:pPr>
            <w:r>
              <w:rPr>
                <w:rFonts w:ascii="Arial" w:hAnsi="Arial"/>
                <w:b w:val="0"/>
                <w:sz w:val="11"/>
              </w:rPr>
              <w:t>Cryptographic hash of validation result (pass/fail/partial) without exposing evidence details</w:t>
            </w:r>
          </w:p>
        </w:tc>
        <w:tc>
          <w:tcPr>
            <w:tcW w:type="dxa" w:w="2880"/>
            <w:vAlign w:val="top"/>
          </w:tcPr>
          <w:p>
            <w:pPr>
              <w:spacing w:after="0"/>
              <w:jc w:val="left"/>
            </w:pPr>
            <w:r>
              <w:rPr>
                <w:rFonts w:ascii="Arial" w:hAnsi="Arial"/>
                <w:b w:val="0"/>
                <w:sz w:val="11"/>
              </w:rPr>
              <w:t>Privacy-preserving validation result</w:t>
            </w:r>
          </w:p>
        </w:tc>
        <w:tc>
          <w:tcPr>
            <w:tcW w:type="dxa" w:w="2880"/>
            <w:vAlign w:val="top"/>
          </w:tcPr>
          <w:p>
            <w:pPr>
              <w:spacing w:after="0"/>
              <w:jc w:val="left"/>
            </w:pPr>
            <w:r>
              <w:rPr>
                <w:rFonts w:ascii="Arial" w:hAnsi="Arial"/>
                <w:b w:val="0"/>
                <w:sz w:val="11"/>
              </w:rPr>
              <w:t>MRO-11: Privacy-Preserving Third-Party Validation; MRO-16: Incident, Dispute, and Remediation Closure</w:t>
            </w:r>
          </w:p>
        </w:tc>
        <w:tc>
          <w:tcPr>
            <w:tcW w:type="dxa" w:w="2880"/>
            <w:vAlign w:val="top"/>
          </w:tcPr>
          <w:p>
            <w:pPr>
              <w:spacing w:after="0"/>
              <w:jc w:val="left"/>
            </w:pPr>
            <w:r>
              <w:rPr>
                <w:rFonts w:ascii="Arial" w:hAnsi="Arial"/>
                <w:b w:val="0"/>
                <w:sz w:val="11"/>
              </w:rPr>
              <w:t>ALCS-11: Privacy-Preserving Third-Party Validation</w:t>
            </w:r>
          </w:p>
        </w:tc>
      </w:tr>
      <w:tr>
        <w:trPr>
          <w:cantSplit/>
        </w:trPr>
        <w:tc>
          <w:tcPr>
            <w:tcW w:type="dxa" w:w="2880"/>
            <w:vAlign w:val="top"/>
          </w:tcPr>
          <w:p>
            <w:pPr>
              <w:spacing w:after="0"/>
              <w:jc w:val="left"/>
            </w:pPr>
            <w:r>
              <w:rPr>
                <w:rFonts w:ascii="Arial" w:hAnsi="Arial"/>
                <w:b w:val="0"/>
                <w:sz w:val="11"/>
              </w:rPr>
              <w:t>Disclosure Profile</w:t>
            </w:r>
          </w:p>
        </w:tc>
        <w:tc>
          <w:tcPr>
            <w:tcW w:type="dxa" w:w="2880"/>
            <w:vAlign w:val="top"/>
          </w:tcPr>
          <w:p>
            <w:pPr>
              <w:spacing w:after="0"/>
              <w:jc w:val="left"/>
            </w:pPr>
            <w:r>
              <w:rPr>
                <w:rFonts w:ascii="Arial" w:hAnsi="Arial"/>
                <w:b w:val="0"/>
                <w:sz w:val="11"/>
              </w:rPr>
              <w:t>Policy defining what evidence can be disclosed to validation provider</w:t>
            </w:r>
          </w:p>
        </w:tc>
        <w:tc>
          <w:tcPr>
            <w:tcW w:type="dxa" w:w="2880"/>
            <w:vAlign w:val="top"/>
          </w:tcPr>
          <w:p>
            <w:pPr>
              <w:spacing w:after="0"/>
              <w:jc w:val="left"/>
            </w:pPr>
            <w:r>
              <w:rPr>
                <w:rFonts w:ascii="Arial" w:hAnsi="Arial"/>
                <w:b w:val="0"/>
                <w:sz w:val="11"/>
              </w:rPr>
              <w:t>Privacy and data minimization policy</w:t>
            </w:r>
          </w:p>
        </w:tc>
        <w:tc>
          <w:tcPr>
            <w:tcW w:type="dxa" w:w="2880"/>
            <w:vAlign w:val="top"/>
          </w:tcPr>
          <w:p>
            <w:pPr>
              <w:spacing w:after="0"/>
              <w:jc w:val="left"/>
            </w:pPr>
            <w:r>
              <w:rPr>
                <w:rFonts w:ascii="Arial" w:hAnsi="Arial"/>
                <w:b w:val="0"/>
                <w:sz w:val="11"/>
              </w:rPr>
              <w:t>MRO-12: Evidence Minimization and Selective Disclosure; MRO-13: Data Subject Rights vs Evidence Retention</w:t>
            </w:r>
          </w:p>
        </w:tc>
        <w:tc>
          <w:tcPr>
            <w:tcW w:type="dxa" w:w="2880"/>
            <w:vAlign w:val="top"/>
          </w:tcPr>
          <w:p>
            <w:pPr>
              <w:spacing w:after="0"/>
              <w:jc w:val="left"/>
            </w:pPr>
            <w:r>
              <w:rPr>
                <w:rFonts w:ascii="Arial" w:hAnsi="Arial"/>
                <w:b w:val="0"/>
                <w:sz w:val="11"/>
              </w:rPr>
              <w:t>ALCS-12: Evidence Minimization and Selective Disclosure; ALCS-13: Data Subject Rights vs Evidence Retention</w:t>
            </w:r>
          </w:p>
        </w:tc>
      </w:tr>
      <w:tr>
        <w:trPr>
          <w:cantSplit/>
        </w:trPr>
        <w:tc>
          <w:tcPr>
            <w:tcW w:type="dxa" w:w="2880"/>
            <w:vAlign w:val="top"/>
          </w:tcPr>
          <w:p>
            <w:pPr>
              <w:spacing w:after="0"/>
              <w:jc w:val="left"/>
            </w:pPr>
            <w:r>
              <w:rPr>
                <w:rFonts w:ascii="Arial" w:hAnsi="Arial"/>
                <w:b w:val="0"/>
                <w:sz w:val="11"/>
              </w:rPr>
              <w:t>Redaction Profile</w:t>
            </w:r>
          </w:p>
        </w:tc>
        <w:tc>
          <w:tcPr>
            <w:tcW w:type="dxa" w:w="2880"/>
            <w:vAlign w:val="top"/>
          </w:tcPr>
          <w:p>
            <w:pPr>
              <w:spacing w:after="0"/>
              <w:jc w:val="left"/>
            </w:pPr>
            <w:r>
              <w:rPr>
                <w:rFonts w:ascii="Arial" w:hAnsi="Arial"/>
                <w:b w:val="0"/>
                <w:sz w:val="11"/>
              </w:rPr>
              <w:t>Policy defining what evidence must be redacted before disclosure</w:t>
            </w:r>
          </w:p>
        </w:tc>
        <w:tc>
          <w:tcPr>
            <w:tcW w:type="dxa" w:w="2880"/>
            <w:vAlign w:val="top"/>
          </w:tcPr>
          <w:p>
            <w:pPr>
              <w:spacing w:after="0"/>
              <w:jc w:val="left"/>
            </w:pPr>
            <w:r>
              <w:rPr>
                <w:rFonts w:ascii="Arial" w:hAnsi="Arial"/>
                <w:b w:val="0"/>
                <w:sz w:val="11"/>
              </w:rPr>
              <w:t>Privacy and data subject rights</w:t>
            </w:r>
          </w:p>
        </w:tc>
        <w:tc>
          <w:tcPr>
            <w:tcW w:type="dxa" w:w="2880"/>
            <w:vAlign w:val="top"/>
          </w:tcPr>
          <w:p>
            <w:pPr>
              <w:spacing w:after="0"/>
              <w:jc w:val="left"/>
            </w:pPr>
            <w:r>
              <w:rPr>
                <w:rFonts w:ascii="Arial" w:hAnsi="Arial"/>
                <w:b w:val="0"/>
                <w:sz w:val="11"/>
              </w:rPr>
              <w:t>MRO-13: Data Subject Rights vs Evidence Retention</w:t>
            </w:r>
          </w:p>
        </w:tc>
        <w:tc>
          <w:tcPr>
            <w:tcW w:type="dxa" w:w="2880"/>
            <w:vAlign w:val="top"/>
          </w:tcPr>
          <w:p>
            <w:pPr>
              <w:spacing w:after="0"/>
              <w:jc w:val="left"/>
            </w:pPr>
            <w:r>
              <w:rPr>
                <w:rFonts w:ascii="Arial" w:hAnsi="Arial"/>
                <w:b w:val="0"/>
                <w:sz w:val="11"/>
              </w:rPr>
              <w:t>ALCS-13: Data Subject Rights vs Evidence Retention</w:t>
            </w:r>
          </w:p>
        </w:tc>
      </w:tr>
      <w:tr>
        <w:trPr>
          <w:cantSplit/>
        </w:trPr>
        <w:tc>
          <w:tcPr>
            <w:tcW w:type="dxa" w:w="2880"/>
            <w:vAlign w:val="top"/>
          </w:tcPr>
          <w:p>
            <w:pPr>
              <w:spacing w:after="0"/>
              <w:jc w:val="left"/>
            </w:pPr>
            <w:r>
              <w:rPr>
                <w:rFonts w:ascii="Arial" w:hAnsi="Arial"/>
                <w:b w:val="0"/>
                <w:sz w:val="11"/>
              </w:rPr>
              <w:t>Replay / Recheck Procedure</w:t>
            </w:r>
          </w:p>
        </w:tc>
        <w:tc>
          <w:tcPr>
            <w:tcW w:type="dxa" w:w="2880"/>
            <w:vAlign w:val="top"/>
          </w:tcPr>
          <w:p>
            <w:pPr>
              <w:spacing w:after="0"/>
              <w:jc w:val="left"/>
            </w:pPr>
            <w:r>
              <w:rPr>
                <w:rFonts w:ascii="Arial" w:hAnsi="Arial"/>
                <w:b w:val="0"/>
                <w:sz w:val="11"/>
              </w:rPr>
              <w:t>Procedure for re-validating evidence after system changes or policy updates</w:t>
            </w:r>
          </w:p>
        </w:tc>
        <w:tc>
          <w:tcPr>
            <w:tcW w:type="dxa" w:w="2880"/>
            <w:vAlign w:val="top"/>
          </w:tcPr>
          <w:p>
            <w:pPr>
              <w:spacing w:after="0"/>
              <w:jc w:val="left"/>
            </w:pPr>
            <w:r>
              <w:rPr>
                <w:rFonts w:ascii="Arial" w:hAnsi="Arial"/>
                <w:b w:val="0"/>
                <w:sz w:val="11"/>
              </w:rPr>
              <w:t>Continuous validation and substitution conformance</w:t>
            </w:r>
          </w:p>
        </w:tc>
        <w:tc>
          <w:tcPr>
            <w:tcW w:type="dxa" w:w="2880"/>
            <w:vAlign w:val="top"/>
          </w:tcPr>
          <w:p>
            <w:pPr>
              <w:spacing w:after="0"/>
              <w:jc w:val="left"/>
            </w:pPr>
            <w:r>
              <w:rPr>
                <w:rFonts w:ascii="Arial" w:hAnsi="Arial"/>
                <w:b w:val="0"/>
                <w:sz w:val="11"/>
              </w:rPr>
              <w:t>MRO-15: Vendor/Model/Runtime Substitution Conformance; MRO-16: Incident, Dispute, and Remediation Closure</w:t>
            </w:r>
          </w:p>
        </w:tc>
        <w:tc>
          <w:tcPr>
            <w:tcW w:type="dxa" w:w="2880"/>
            <w:vAlign w:val="top"/>
          </w:tcPr>
          <w:p>
            <w:pPr>
              <w:spacing w:after="0"/>
              <w:jc w:val="left"/>
            </w:pPr>
            <w:r>
              <w:rPr>
                <w:rFonts w:ascii="Arial" w:hAnsi="Arial"/>
                <w:b w:val="0"/>
                <w:sz w:val="11"/>
              </w:rPr>
              <w:t>ALCS-15: Vendor/Model/Runtime Substitution Conformance</w:t>
            </w:r>
          </w:p>
        </w:tc>
      </w:tr>
    </w:tbl>
    <w:p>
      <w:pPr>
        <w:sectPr>
          <w:pgSz w:w="12240" w:h="15840" w:orient="landscape"/>
          <w:pgMar w:top="792" w:right="648" w:bottom="792" w:left="648" w:header="720" w:footer="720" w:gutter="0"/>
          <w:cols w:space="720"/>
          <w:docGrid w:linePitch="360"/>
        </w:sectPr>
      </w:pPr>
    </w:p>
    <w:p/>
    <w:p>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
    <w:p>
      <w:pPr>
        <w:pStyle w:val="Heading2"/>
      </w:pPr>
      <w:r>
        <w:t>14.3 What This Pattern Does Not Prove</w:t>
      </w:r>
    </w:p>
    <w:p/>
    <w:p>
      <w:r>
        <w:t>The evidence-based validation pattern validates lifecycle responsibility object conformance. It does not validate legal compliance, regulatory approval, business logic correctness, model accuracy, or operational effectiveness.</w:t>
      </w:r>
    </w:p>
    <w:p/>
    <w:p>
      <w:pPr>
        <w:keepNext/>
      </w:pPr>
      <w:r>
        <w:rPr>
          <w:b/>
          <w:sz w:val="17"/>
        </w:rPr>
        <w:t>Table T-14-02: Evidence-Based Validation Pattern Boundary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What the Pattern Can Validate</w:t>
            </w:r>
          </w:p>
        </w:tc>
        <w:tc>
          <w:tcPr>
            <w:tcW w:type="dxa" w:w="3408"/>
            <w:vAlign w:val="top"/>
            <w:shd w:fill="D9EAF7"/>
          </w:tcPr>
          <w:p>
            <w:pPr>
              <w:spacing w:after="0"/>
              <w:jc w:val="left"/>
            </w:pPr>
            <w:r>
              <w:rPr>
                <w:rFonts w:ascii="Arial" w:hAnsi="Arial"/>
                <w:b/>
                <w:sz w:val="16"/>
              </w:rPr>
              <w:t>What the Pattern Cannot Validate</w:t>
            </w:r>
          </w:p>
        </w:tc>
        <w:tc>
          <w:tcPr>
            <w:tcW w:type="dxa" w:w="3408"/>
            <w:vAlign w:val="top"/>
            <w:shd w:fill="D9EAF7"/>
          </w:tcPr>
          <w:p>
            <w:pPr>
              <w:spacing w:after="0"/>
              <w:jc w:val="left"/>
            </w:pPr>
            <w:r>
              <w:rPr>
                <w:rFonts w:ascii="Arial" w:hAnsi="Arial"/>
                <w:b/>
                <w:sz w:val="16"/>
              </w:rPr>
              <w:t>Why the Boundary Exists</w:t>
            </w:r>
          </w:p>
        </w:tc>
      </w:tr>
      <w:tr>
        <w:trPr>
          <w:cantSplit/>
        </w:trPr>
        <w:tc>
          <w:tcPr>
            <w:tcW w:type="dxa" w:w="3408"/>
            <w:vAlign w:val="top"/>
          </w:tcPr>
          <w:p>
            <w:pPr>
              <w:spacing w:after="0"/>
              <w:jc w:val="left"/>
            </w:pPr>
            <w:r>
              <w:rPr>
                <w:rFonts w:ascii="Arial" w:hAnsi="Arial"/>
                <w:b w:val="0"/>
                <w:sz w:val="16"/>
              </w:rPr>
              <w:t>Lifecycle responsibility objects exist (role mappings, delegation boundaries, accepted outcomes, evidence chains, handoff records)</w:t>
            </w:r>
          </w:p>
        </w:tc>
        <w:tc>
          <w:tcPr>
            <w:tcW w:type="dxa" w:w="3408"/>
            <w:vAlign w:val="top"/>
          </w:tcPr>
          <w:p>
            <w:pPr>
              <w:spacing w:after="0"/>
              <w:jc w:val="left"/>
            </w:pPr>
            <w:r>
              <w:rPr>
                <w:rFonts w:ascii="Arial" w:hAnsi="Arial"/>
                <w:b w:val="0"/>
                <w:sz w:val="16"/>
              </w:rPr>
              <w:t>Legal compliance with specific regulations (EU AI Act, GDPR, HIPAA, SOX, etc.)</w:t>
            </w:r>
          </w:p>
        </w:tc>
        <w:tc>
          <w:tcPr>
            <w:tcW w:type="dxa" w:w="3408"/>
            <w:vAlign w:val="top"/>
          </w:tcPr>
          <w:p>
            <w:pPr>
              <w:spacing w:after="0"/>
              <w:jc w:val="left"/>
            </w:pPr>
            <w:r>
              <w:rPr>
                <w:rFonts w:ascii="Arial" w:hAnsi="Arial"/>
                <w:b w:val="0"/>
                <w:sz w:val="16"/>
              </w:rPr>
              <w:t>Legal compliance requires legal interpretation, not technical validation</w:t>
            </w:r>
          </w:p>
        </w:tc>
      </w:tr>
      <w:tr>
        <w:trPr>
          <w:cantSplit/>
        </w:trPr>
        <w:tc>
          <w:tcPr>
            <w:tcW w:type="dxa" w:w="3408"/>
            <w:vAlign w:val="top"/>
          </w:tcPr>
          <w:p>
            <w:pPr>
              <w:spacing w:after="0"/>
              <w:jc w:val="left"/>
            </w:pPr>
            <w:r>
              <w:rPr>
                <w:rFonts w:ascii="Arial" w:hAnsi="Arial"/>
                <w:b w:val="0"/>
                <w:sz w:val="16"/>
              </w:rPr>
              <w:t>Lifecycle responsibility objects are structured correctly according to predefined rulesets</w:t>
            </w:r>
          </w:p>
        </w:tc>
        <w:tc>
          <w:tcPr>
            <w:tcW w:type="dxa" w:w="3408"/>
            <w:vAlign w:val="top"/>
          </w:tcPr>
          <w:p>
            <w:pPr>
              <w:spacing w:after="0"/>
              <w:jc w:val="left"/>
            </w:pPr>
            <w:r>
              <w:rPr>
                <w:rFonts w:ascii="Arial" w:hAnsi="Arial"/>
                <w:b w:val="0"/>
                <w:sz w:val="16"/>
              </w:rPr>
              <w:t>Regulatory approval or regulator acceptance</w:t>
            </w:r>
          </w:p>
        </w:tc>
        <w:tc>
          <w:tcPr>
            <w:tcW w:type="dxa" w:w="3408"/>
            <w:vAlign w:val="top"/>
          </w:tcPr>
          <w:p>
            <w:pPr>
              <w:spacing w:after="0"/>
              <w:jc w:val="left"/>
            </w:pPr>
            <w:r>
              <w:rPr>
                <w:rFonts w:ascii="Arial" w:hAnsi="Arial"/>
                <w:b w:val="0"/>
                <w:sz w:val="16"/>
              </w:rPr>
              <w:t>Regulatory approval is a legal/administrative process, not a technical validation process</w:t>
            </w:r>
          </w:p>
        </w:tc>
      </w:tr>
      <w:tr>
        <w:trPr>
          <w:cantSplit/>
        </w:trPr>
        <w:tc>
          <w:tcPr>
            <w:tcW w:type="dxa" w:w="3408"/>
            <w:vAlign w:val="top"/>
          </w:tcPr>
          <w:p>
            <w:pPr>
              <w:spacing w:after="0"/>
              <w:jc w:val="left"/>
            </w:pPr>
            <w:r>
              <w:rPr>
                <w:rFonts w:ascii="Arial" w:hAnsi="Arial"/>
                <w:b w:val="0"/>
                <w:sz w:val="16"/>
              </w:rPr>
              <w:t>Evidence chains are complete and tamper-evident</w:t>
            </w:r>
          </w:p>
        </w:tc>
        <w:tc>
          <w:tcPr>
            <w:tcW w:type="dxa" w:w="3408"/>
            <w:vAlign w:val="top"/>
          </w:tcPr>
          <w:p>
            <w:pPr>
              <w:spacing w:after="0"/>
              <w:jc w:val="left"/>
            </w:pPr>
            <w:r>
              <w:rPr>
                <w:rFonts w:ascii="Arial" w:hAnsi="Arial"/>
                <w:b w:val="0"/>
                <w:sz w:val="16"/>
              </w:rPr>
              <w:t>Business logic correctness or operational effectiveness</w:t>
            </w:r>
          </w:p>
        </w:tc>
        <w:tc>
          <w:tcPr>
            <w:tcW w:type="dxa" w:w="3408"/>
            <w:vAlign w:val="top"/>
          </w:tcPr>
          <w:p>
            <w:pPr>
              <w:spacing w:after="0"/>
              <w:jc w:val="left"/>
            </w:pPr>
            <w:r>
              <w:rPr>
                <w:rFonts w:ascii="Arial" w:hAnsi="Arial"/>
                <w:b w:val="0"/>
                <w:sz w:val="16"/>
              </w:rPr>
              <w:t>Business logic validation requires domain expertise and operational testing</w:t>
            </w:r>
          </w:p>
        </w:tc>
      </w:tr>
      <w:tr>
        <w:trPr>
          <w:cantSplit/>
        </w:trPr>
        <w:tc>
          <w:tcPr>
            <w:tcW w:type="dxa" w:w="3408"/>
            <w:vAlign w:val="top"/>
          </w:tcPr>
          <w:p>
            <w:pPr>
              <w:spacing w:after="0"/>
              <w:jc w:val="left"/>
            </w:pPr>
            <w:r>
              <w:rPr>
                <w:rFonts w:ascii="Arial" w:hAnsi="Arial"/>
                <w:b w:val="0"/>
                <w:sz w:val="16"/>
              </w:rPr>
              <w:t>Delegation boundaries are explicit and documented</w:t>
            </w:r>
          </w:p>
        </w:tc>
        <w:tc>
          <w:tcPr>
            <w:tcW w:type="dxa" w:w="3408"/>
            <w:vAlign w:val="top"/>
          </w:tcPr>
          <w:p>
            <w:pPr>
              <w:spacing w:after="0"/>
              <w:jc w:val="left"/>
            </w:pPr>
            <w:r>
              <w:rPr>
                <w:rFonts w:ascii="Arial" w:hAnsi="Arial"/>
                <w:b w:val="0"/>
                <w:sz w:val="16"/>
              </w:rPr>
              <w:t>Model accuracy, model fairness, or model safety</w:t>
            </w:r>
          </w:p>
        </w:tc>
        <w:tc>
          <w:tcPr>
            <w:tcW w:type="dxa" w:w="3408"/>
            <w:vAlign w:val="top"/>
          </w:tcPr>
          <w:p>
            <w:pPr>
              <w:spacing w:after="0"/>
              <w:jc w:val="left"/>
            </w:pPr>
            <w:r>
              <w:rPr>
                <w:rFonts w:ascii="Arial" w:hAnsi="Arial"/>
                <w:b w:val="0"/>
                <w:sz w:val="16"/>
              </w:rPr>
              <w:t>Model validation requires model-specific testing and domain expertise</w:t>
            </w:r>
          </w:p>
        </w:tc>
      </w:tr>
      <w:tr>
        <w:trPr>
          <w:cantSplit/>
        </w:trPr>
        <w:tc>
          <w:tcPr>
            <w:tcW w:type="dxa" w:w="3408"/>
            <w:vAlign w:val="top"/>
          </w:tcPr>
          <w:p>
            <w:pPr>
              <w:spacing w:after="0"/>
              <w:jc w:val="left"/>
            </w:pPr>
            <w:r>
              <w:rPr>
                <w:rFonts w:ascii="Arial" w:hAnsi="Arial"/>
                <w:b w:val="0"/>
                <w:sz w:val="16"/>
              </w:rPr>
              <w:t>Handoff records exist and are traceable</w:t>
            </w:r>
          </w:p>
        </w:tc>
        <w:tc>
          <w:tcPr>
            <w:tcW w:type="dxa" w:w="3408"/>
            <w:vAlign w:val="top"/>
          </w:tcPr>
          <w:p>
            <w:pPr>
              <w:spacing w:after="0"/>
              <w:jc w:val="left"/>
            </w:pPr>
            <w:r>
              <w:rPr>
                <w:rFonts w:ascii="Arial" w:hAnsi="Arial"/>
                <w:b w:val="0"/>
                <w:sz w:val="16"/>
              </w:rPr>
              <w:t>Enterprise policy enforcement or organizational controls</w:t>
            </w:r>
          </w:p>
        </w:tc>
        <w:tc>
          <w:tcPr>
            <w:tcW w:type="dxa" w:w="3408"/>
            <w:vAlign w:val="top"/>
          </w:tcPr>
          <w:p>
            <w:pPr>
              <w:spacing w:after="0"/>
              <w:jc w:val="left"/>
            </w:pPr>
            <w:r>
              <w:rPr>
                <w:rFonts w:ascii="Arial" w:hAnsi="Arial"/>
                <w:b w:val="0"/>
                <w:sz w:val="16"/>
              </w:rPr>
              <w:t>Policy enforcement requires organizational governance, not technical validation</w:t>
            </w:r>
          </w:p>
        </w:tc>
      </w:tr>
      <w:tr>
        <w:trPr>
          <w:cantSplit/>
        </w:trPr>
        <w:tc>
          <w:tcPr>
            <w:tcW w:type="dxa" w:w="3408"/>
            <w:vAlign w:val="top"/>
          </w:tcPr>
          <w:p>
            <w:pPr>
              <w:spacing w:after="0"/>
              <w:jc w:val="left"/>
            </w:pPr>
            <w:r>
              <w:rPr>
                <w:rFonts w:ascii="Arial" w:hAnsi="Arial"/>
                <w:b w:val="0"/>
                <w:sz w:val="16"/>
              </w:rPr>
              <w:t>Evidence minimization and selective disclosure policies are applied</w:t>
            </w:r>
          </w:p>
        </w:tc>
        <w:tc>
          <w:tcPr>
            <w:tcW w:type="dxa" w:w="3408"/>
            <w:vAlign w:val="top"/>
          </w:tcPr>
          <w:p>
            <w:pPr>
              <w:spacing w:after="0"/>
              <w:jc w:val="left"/>
            </w:pPr>
            <w:r>
              <w:rPr>
                <w:rFonts w:ascii="Arial" w:hAnsi="Arial"/>
                <w:b w:val="0"/>
                <w:sz w:val="16"/>
              </w:rPr>
              <w:t>Data subject rights compliance or GDPR Article 17 (right to erasure) reconciliation</w:t>
            </w:r>
          </w:p>
        </w:tc>
        <w:tc>
          <w:tcPr>
            <w:tcW w:type="dxa" w:w="3408"/>
            <w:vAlign w:val="top"/>
          </w:tcPr>
          <w:p>
            <w:pPr>
              <w:spacing w:after="0"/>
              <w:jc w:val="left"/>
            </w:pPr>
            <w:r>
              <w:rPr>
                <w:rFonts w:ascii="Arial" w:hAnsi="Arial"/>
                <w:b w:val="0"/>
                <w:sz w:val="16"/>
              </w:rPr>
              <w:t>Data subject rights require legal interpretation and case-by-case analysis</w:t>
            </w:r>
          </w:p>
        </w:tc>
      </w:tr>
      <w:tr>
        <w:trPr>
          <w:cantSplit/>
        </w:trPr>
        <w:tc>
          <w:tcPr>
            <w:tcW w:type="dxa" w:w="3408"/>
            <w:vAlign w:val="top"/>
          </w:tcPr>
          <w:p>
            <w:pPr>
              <w:spacing w:after="0"/>
              <w:jc w:val="left"/>
            </w:pPr>
            <w:r>
              <w:rPr>
                <w:rFonts w:ascii="Arial" w:hAnsi="Arial"/>
                <w:b w:val="0"/>
                <w:sz w:val="16"/>
              </w:rPr>
              <w:t>Substitution conformance can be re-validated after system changes</w:t>
            </w:r>
          </w:p>
        </w:tc>
        <w:tc>
          <w:tcPr>
            <w:tcW w:type="dxa" w:w="3408"/>
            <w:vAlign w:val="top"/>
          </w:tcPr>
          <w:p>
            <w:pPr>
              <w:spacing w:after="0"/>
              <w:jc w:val="left"/>
            </w:pPr>
            <w:r>
              <w:rPr>
                <w:rFonts w:ascii="Arial" w:hAnsi="Arial"/>
                <w:b w:val="0"/>
                <w:sz w:val="16"/>
              </w:rPr>
              <w:t>Incident resolution, dispute resolution, or remediation closure</w:t>
            </w:r>
          </w:p>
        </w:tc>
        <w:tc>
          <w:tcPr>
            <w:tcW w:type="dxa" w:w="3408"/>
            <w:vAlign w:val="top"/>
          </w:tcPr>
          <w:p>
            <w:pPr>
              <w:spacing w:after="0"/>
              <w:jc w:val="left"/>
            </w:pPr>
            <w:r>
              <w:rPr>
                <w:rFonts w:ascii="Arial" w:hAnsi="Arial"/>
                <w:b w:val="0"/>
                <w:sz w:val="16"/>
              </w:rPr>
              <w:t>Incident and dispute resolution require organizational process and legal authority</w:t>
            </w:r>
          </w:p>
        </w:tc>
      </w:tr>
    </w:tbl>
    <w:p>
      <w:pPr>
        <w:sectPr>
          <w:pgSz w:w="12240" w:h="15840"/>
          <w:pgMar w:top="792" w:right="648" w:bottom="792" w:left="648" w:header="720" w:footer="720" w:gutter="0"/>
          <w:cols w:space="720"/>
          <w:docGrid w:linePitch="360"/>
        </w:sectPr>
      </w:pPr>
    </w:p>
    <w:p/>
    <w:p>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
    <w:p>
      <w:pPr>
        <w:pStyle w:val="Heading2"/>
      </w:pPr>
      <w:r>
        <w:t>14.4 Validation Lab as Non-Certifying Evidence Adjudication Example</w:t>
      </w:r>
    </w:p>
    <w:p/>
    <w:p>
      <w:r>
        <w:t>Validation Lab is one example of how the evidence-based validation pattern can be operationalized. The public Validation Lab entry point was located during Phase 1C follow-up; methodology-specific claims remain source-bound only at the public-surface level and require additional documentation before final publication. Validation Lab is not a certification program, certification authority, regulator, legal authority, or conformity assessment body. It does not certify compliance, does not prove legal compliance, and does not guarantee regulatory approval.</w:t>
      </w:r>
    </w:p>
    <w:p/>
    <w:p>
      <w:r>
        <w:t>Validation Lab boundary statement:</w:t>
      </w:r>
    </w:p>
    <w:p/>
    <w:p>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
      <w:pPr>
        <w:keepNext/>
      </w:pPr>
      <w:r>
        <w:rPr>
          <w:b/>
          <w:sz w:val="17"/>
        </w:rPr>
        <w:t>Table T-14-03: Validation Lab Boundary Statement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shd w:fill="D9EAF7"/>
          </w:tcPr>
          <w:p>
            <w:pPr>
              <w:spacing w:after="0"/>
              <w:jc w:val="left"/>
            </w:pPr>
            <w:r>
              <w:rPr>
                <w:rFonts w:ascii="Arial" w:hAnsi="Arial"/>
                <w:b/>
                <w:sz w:val="16"/>
              </w:rPr>
              <w:t>Claim Area</w:t>
            </w:r>
          </w:p>
        </w:tc>
        <w:tc>
          <w:tcPr>
            <w:tcW w:type="dxa" w:w="3408"/>
            <w:vAlign w:val="top"/>
            <w:shd w:fill="D9EAF7"/>
          </w:tcPr>
          <w:p>
            <w:pPr>
              <w:spacing w:after="0"/>
              <w:jc w:val="left"/>
            </w:pPr>
            <w:r>
              <w:rPr>
                <w:rFonts w:ascii="Arial" w:hAnsi="Arial"/>
                <w:b/>
                <w:sz w:val="16"/>
              </w:rPr>
              <w:t>Allowed Framing</w:t>
            </w:r>
          </w:p>
        </w:tc>
        <w:tc>
          <w:tcPr>
            <w:tcW w:type="dxa" w:w="3408"/>
            <w:vAlign w:val="top"/>
            <w:shd w:fill="D9EAF7"/>
          </w:tcPr>
          <w:p>
            <w:pPr>
              <w:spacing w:after="0"/>
              <w:jc w:val="left"/>
            </w:pPr>
            <w:r>
              <w:rPr>
                <w:rFonts w:ascii="Arial" w:hAnsi="Arial"/>
                <w:b/>
                <w:sz w:val="16"/>
              </w:rPr>
              <w:t>Forbidden Framing</w:t>
            </w:r>
          </w:p>
        </w:tc>
      </w:tr>
      <w:tr>
        <w:trPr>
          <w:cantSplit/>
        </w:trPr>
        <w:tc>
          <w:tcPr>
            <w:tcW w:type="dxa" w:w="3408"/>
            <w:vAlign w:val="top"/>
          </w:tcPr>
          <w:p>
            <w:pPr>
              <w:spacing w:after="0"/>
              <w:jc w:val="left"/>
            </w:pPr>
            <w:r>
              <w:rPr>
                <w:rFonts w:ascii="Arial" w:hAnsi="Arial"/>
                <w:b w:val="0"/>
                <w:sz w:val="16"/>
              </w:rPr>
              <w:t>Validation identity</w:t>
            </w:r>
          </w:p>
        </w:tc>
        <w:tc>
          <w:tcPr>
            <w:tcW w:type="dxa" w:w="3408"/>
            <w:vAlign w:val="top"/>
          </w:tcPr>
          <w:p>
            <w:pPr>
              <w:spacing w:after="0"/>
              <w:jc w:val="left"/>
            </w:pPr>
            <w:r>
              <w:rPr>
                <w:rFonts w:ascii="Arial" w:hAnsi="Arial"/>
                <w:b w:val="0"/>
                <w:sz w:val="16"/>
              </w:rPr>
              <w:t>Validation Lab is a non-certifying evidence adjudication example</w:t>
            </w:r>
          </w:p>
        </w:tc>
        <w:tc>
          <w:tcPr>
            <w:tcW w:type="dxa" w:w="3408"/>
            <w:vAlign w:val="top"/>
          </w:tcPr>
          <w:p>
            <w:pPr>
              <w:spacing w:after="0"/>
              <w:jc w:val="left"/>
            </w:pPr>
            <w:r>
              <w:rPr>
                <w:rFonts w:ascii="Arial" w:hAnsi="Arial"/>
                <w:b w:val="0"/>
                <w:sz w:val="16"/>
              </w:rPr>
              <w:t>Validation Lab is a certification authority; Validation Lab certifies compliance</w:t>
            </w:r>
          </w:p>
        </w:tc>
      </w:tr>
      <w:tr>
        <w:trPr>
          <w:cantSplit/>
        </w:trPr>
        <w:tc>
          <w:tcPr>
            <w:tcW w:type="dxa" w:w="3408"/>
            <w:vAlign w:val="top"/>
          </w:tcPr>
          <w:p>
            <w:pPr>
              <w:spacing w:after="0"/>
              <w:jc w:val="left"/>
            </w:pPr>
            <w:r>
              <w:rPr>
                <w:rFonts w:ascii="Arial" w:hAnsi="Arial"/>
                <w:b w:val="0"/>
                <w:sz w:val="16"/>
              </w:rPr>
              <w:t>Compliance relationship</w:t>
            </w:r>
          </w:p>
        </w:tc>
        <w:tc>
          <w:tcPr>
            <w:tcW w:type="dxa" w:w="3408"/>
            <w:vAlign w:val="top"/>
          </w:tcPr>
          <w:p>
            <w:pPr>
              <w:spacing w:after="0"/>
              <w:jc w:val="left"/>
            </w:pPr>
            <w:r>
              <w:rPr>
                <w:rFonts w:ascii="Arial" w:hAnsi="Arial"/>
                <w:b w:val="0"/>
                <w:sz w:val="16"/>
              </w:rPr>
              <w:t>Validation Lab adjudicates evidence against predefined rulesets</w:t>
            </w:r>
          </w:p>
        </w:tc>
        <w:tc>
          <w:tcPr>
            <w:tcW w:type="dxa" w:w="3408"/>
            <w:vAlign w:val="top"/>
          </w:tcPr>
          <w:p>
            <w:pPr>
              <w:spacing w:after="0"/>
              <w:jc w:val="left"/>
            </w:pPr>
            <w:r>
              <w:rPr>
                <w:rFonts w:ascii="Arial" w:hAnsi="Arial"/>
                <w:b w:val="0"/>
                <w:sz w:val="16"/>
              </w:rPr>
              <w:t>Validation Lab proves legal compliance; Validation Lab guarantees regulatory approval</w:t>
            </w:r>
          </w:p>
        </w:tc>
      </w:tr>
      <w:tr>
        <w:trPr>
          <w:cantSplit/>
        </w:trPr>
        <w:tc>
          <w:tcPr>
            <w:tcW w:type="dxa" w:w="3408"/>
            <w:vAlign w:val="top"/>
          </w:tcPr>
          <w:p>
            <w:pPr>
              <w:spacing w:after="0"/>
              <w:jc w:val="left"/>
            </w:pPr>
            <w:r>
              <w:rPr>
                <w:rFonts w:ascii="Arial" w:hAnsi="Arial"/>
                <w:b w:val="0"/>
                <w:sz w:val="16"/>
              </w:rPr>
              <w:t>Certification</w:t>
            </w:r>
          </w:p>
        </w:tc>
        <w:tc>
          <w:tcPr>
            <w:tcW w:type="dxa" w:w="3408"/>
            <w:vAlign w:val="top"/>
          </w:tcPr>
          <w:p>
            <w:pPr>
              <w:spacing w:after="0"/>
              <w:jc w:val="left"/>
            </w:pPr>
            <w:r>
              <w:rPr>
                <w:rFonts w:ascii="Arial" w:hAnsi="Arial"/>
                <w:b w:val="0"/>
                <w:sz w:val="16"/>
              </w:rPr>
              <w:t>Validation Lab does not certify compliance</w:t>
            </w:r>
          </w:p>
        </w:tc>
        <w:tc>
          <w:tcPr>
            <w:tcW w:type="dxa" w:w="3408"/>
            <w:vAlign w:val="top"/>
          </w:tcPr>
          <w:p>
            <w:pPr>
              <w:spacing w:after="0"/>
              <w:jc w:val="left"/>
            </w:pPr>
            <w:r>
              <w:rPr>
                <w:rFonts w:ascii="Arial" w:hAnsi="Arial"/>
                <w:b w:val="0"/>
                <w:sz w:val="16"/>
              </w:rPr>
              <w:t>Validation Lab is a certification program; Validation Lab is a conformity assessment body</w:t>
            </w:r>
          </w:p>
        </w:tc>
      </w:tr>
      <w:tr>
        <w:trPr>
          <w:cantSplit/>
        </w:trPr>
        <w:tc>
          <w:tcPr>
            <w:tcW w:type="dxa" w:w="3408"/>
            <w:vAlign w:val="top"/>
          </w:tcPr>
          <w:p>
            <w:pPr>
              <w:spacing w:after="0"/>
              <w:jc w:val="left"/>
            </w:pPr>
            <w:r>
              <w:rPr>
                <w:rFonts w:ascii="Arial" w:hAnsi="Arial"/>
                <w:b w:val="0"/>
                <w:sz w:val="16"/>
              </w:rPr>
              <w:t>Legal authority</w:t>
            </w:r>
          </w:p>
        </w:tc>
        <w:tc>
          <w:tcPr>
            <w:tcW w:type="dxa" w:w="3408"/>
            <w:vAlign w:val="top"/>
          </w:tcPr>
          <w:p>
            <w:pPr>
              <w:spacing w:after="0"/>
              <w:jc w:val="left"/>
            </w:pPr>
            <w:r>
              <w:rPr>
                <w:rFonts w:ascii="Arial" w:hAnsi="Arial"/>
                <w:b w:val="0"/>
                <w:sz w:val="16"/>
              </w:rPr>
              <w:t>Validation Lab does not provide legal opinions</w:t>
            </w:r>
          </w:p>
        </w:tc>
        <w:tc>
          <w:tcPr>
            <w:tcW w:type="dxa" w:w="3408"/>
            <w:vAlign w:val="top"/>
          </w:tcPr>
          <w:p>
            <w:pPr>
              <w:spacing w:after="0"/>
              <w:jc w:val="left"/>
            </w:pPr>
            <w:r>
              <w:rPr>
                <w:rFonts w:ascii="Arial" w:hAnsi="Arial"/>
                <w:b w:val="0"/>
                <w:sz w:val="16"/>
              </w:rPr>
              <w:t>Validation Lab is a legal authority; Validation Lab is regulator-approved</w:t>
            </w:r>
          </w:p>
        </w:tc>
      </w:tr>
      <w:tr>
        <w:trPr>
          <w:cantSplit/>
        </w:trPr>
        <w:tc>
          <w:tcPr>
            <w:tcW w:type="dxa" w:w="3408"/>
            <w:vAlign w:val="top"/>
          </w:tcPr>
          <w:p>
            <w:pPr>
              <w:spacing w:after="0"/>
              <w:jc w:val="left"/>
            </w:pPr>
            <w:r>
              <w:rPr>
                <w:rFonts w:ascii="Arial" w:hAnsi="Arial"/>
                <w:b w:val="0"/>
                <w:sz w:val="16"/>
              </w:rPr>
              <w:t>Regulatory recognition</w:t>
            </w:r>
          </w:p>
        </w:tc>
        <w:tc>
          <w:tcPr>
            <w:tcW w:type="dxa" w:w="3408"/>
            <w:vAlign w:val="top"/>
          </w:tcPr>
          <w:p>
            <w:pPr>
              <w:spacing w:after="0"/>
              <w:jc w:val="left"/>
            </w:pPr>
            <w:r>
              <w:rPr>
                <w:rFonts w:ascii="Arial" w:hAnsi="Arial"/>
                <w:b w:val="0"/>
                <w:sz w:val="16"/>
              </w:rPr>
              <w:t>Validation Lab requires regulatory interpretation by organizations</w:t>
            </w:r>
          </w:p>
        </w:tc>
        <w:tc>
          <w:tcPr>
            <w:tcW w:type="dxa" w:w="3408"/>
            <w:vAlign w:val="top"/>
          </w:tcPr>
          <w:p>
            <w:pPr>
              <w:spacing w:after="0"/>
              <w:jc w:val="left"/>
            </w:pPr>
            <w:r>
              <w:rPr>
                <w:rFonts w:ascii="Arial" w:hAnsi="Arial"/>
                <w:b w:val="0"/>
                <w:sz w:val="16"/>
              </w:rPr>
              <w:t>Validation Lab is regulator-approved; Validation Lab is the official compliance standard</w:t>
            </w:r>
          </w:p>
        </w:tc>
      </w:tr>
      <w:tr>
        <w:trPr>
          <w:cantSplit/>
        </w:trPr>
        <w:tc>
          <w:tcPr>
            <w:tcW w:type="dxa" w:w="3408"/>
            <w:vAlign w:val="top"/>
          </w:tcPr>
          <w:p>
            <w:pPr>
              <w:spacing w:after="0"/>
              <w:jc w:val="left"/>
            </w:pPr>
            <w:r>
              <w:rPr>
                <w:rFonts w:ascii="Arial" w:hAnsi="Arial"/>
                <w:b w:val="0"/>
                <w:sz w:val="16"/>
              </w:rPr>
              <w:t>Market positioning</w:t>
            </w:r>
          </w:p>
        </w:tc>
        <w:tc>
          <w:tcPr>
            <w:tcW w:type="dxa" w:w="3408"/>
            <w:vAlign w:val="top"/>
          </w:tcPr>
          <w:p>
            <w:pPr>
              <w:spacing w:after="0"/>
              <w:jc w:val="left"/>
            </w:pPr>
            <w:r>
              <w:rPr>
                <w:rFonts w:ascii="Arial" w:hAnsi="Arial"/>
                <w:b w:val="0"/>
                <w:sz w:val="16"/>
              </w:rPr>
              <w:t>Validation Lab is one example of evidence-based validation</w:t>
            </w:r>
          </w:p>
        </w:tc>
        <w:tc>
          <w:tcPr>
            <w:tcW w:type="dxa" w:w="3408"/>
            <w:vAlign w:val="top"/>
          </w:tcPr>
          <w:p>
            <w:pPr>
              <w:spacing w:after="0"/>
              <w:jc w:val="left"/>
            </w:pPr>
            <w:r>
              <w:rPr>
                <w:rFonts w:ascii="Arial" w:hAnsi="Arial"/>
                <w:b w:val="0"/>
                <w:sz w:val="16"/>
              </w:rPr>
              <w:t>Validation Lab is the only validation path; Validation Lab is industry-standard</w:t>
            </w:r>
          </w:p>
        </w:tc>
      </w:tr>
      <w:tr>
        <w:trPr>
          <w:cantSplit/>
        </w:trPr>
        <w:tc>
          <w:tcPr>
            <w:tcW w:type="dxa" w:w="3408"/>
            <w:vAlign w:val="top"/>
          </w:tcPr>
          <w:p>
            <w:pPr>
              <w:spacing w:after="0"/>
              <w:jc w:val="left"/>
            </w:pPr>
            <w:r>
              <w:rPr>
                <w:rFonts w:ascii="Arial" w:hAnsi="Arial"/>
                <w:b w:val="0"/>
                <w:sz w:val="16"/>
              </w:rPr>
              <w:t>Evidence adjudication</w:t>
            </w:r>
          </w:p>
        </w:tc>
        <w:tc>
          <w:tcPr>
            <w:tcW w:type="dxa" w:w="3408"/>
            <w:vAlign w:val="top"/>
          </w:tcPr>
          <w:p>
            <w:pPr>
              <w:spacing w:after="0"/>
              <w:jc w:val="left"/>
            </w:pPr>
            <w:r>
              <w:rPr>
                <w:rFonts w:ascii="Arial" w:hAnsi="Arial"/>
                <w:b w:val="0"/>
                <w:sz w:val="16"/>
              </w:rPr>
              <w:t>Validation Lab adjudicates evidence conformance to rulesets</w:t>
            </w:r>
          </w:p>
        </w:tc>
        <w:tc>
          <w:tcPr>
            <w:tcW w:type="dxa" w:w="3408"/>
            <w:vAlign w:val="top"/>
          </w:tcPr>
          <w:p>
            <w:pPr>
              <w:spacing w:after="0"/>
              <w:jc w:val="left"/>
            </w:pPr>
            <w:r>
              <w:rPr>
                <w:rFonts w:ascii="Arial" w:hAnsi="Arial"/>
                <w:b w:val="0"/>
                <w:sz w:val="16"/>
              </w:rPr>
              <w:t>Validation Lab proves operational effectiveness; Validation Lab guarantees insurability</w:t>
            </w:r>
          </w:p>
        </w:tc>
      </w:tr>
    </w:tbl>
    <w:p>
      <w:pPr>
        <w:sectPr>
          <w:pgSz w:w="12240" w:h="15840"/>
          <w:pgMar w:top="792" w:right="648" w:bottom="792" w:left="648" w:header="720" w:footer="720" w:gutter="0"/>
          <w:cols w:space="720"/>
          <w:docGrid w:linePitch="360"/>
        </w:sectPr>
      </w:pPr>
    </w:p>
    <w:p/>
    <w:p>
      <w:r>
        <w:t>Other validation providers, internal audit teams, or enterprise governance functions can implement the evidence-based validation pattern. Validation Lab is one example, not the exclusive implementation.</w:t>
      </w:r>
    </w:p>
    <w:p/>
    <w:p/>
    <w:p>
      <w:pPr>
        <w:pStyle w:val="Heading2"/>
      </w:pPr>
      <w:r>
        <w:t>14.5 Mapping to Missing Regulatory Objects and ALCS</w:t>
      </w:r>
    </w:p>
    <w:p/>
    <w:p>
      <w:r>
        <w:t>The evidence-based validation pattern directly supports five Missing Regulatory Objects and five ALCS dimensions.</w:t>
      </w:r>
    </w:p>
    <w:p/>
    <w:p>
      <w:pPr>
        <w:keepNext/>
      </w:pPr>
      <w:r>
        <w:rPr>
          <w:b/>
          <w:sz w:val="17"/>
        </w:rPr>
        <w:t>Table T-14-04: Evidence-Based Validation Pattern Mapping to MROs and ALCS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shd w:fill="D9EAF7"/>
          </w:tcPr>
          <w:p>
            <w:pPr>
              <w:spacing w:after="0"/>
              <w:jc w:val="left"/>
            </w:pPr>
            <w:r>
              <w:rPr>
                <w:rFonts w:ascii="Arial" w:hAnsi="Arial"/>
                <w:b/>
                <w:sz w:val="11"/>
              </w:rPr>
              <w:t>MRO / ALCS Dimension</w:t>
            </w:r>
          </w:p>
        </w:tc>
        <w:tc>
          <w:tcPr>
            <w:tcW w:type="dxa" w:w="3600"/>
            <w:vAlign w:val="top"/>
            <w:shd w:fill="D9EAF7"/>
          </w:tcPr>
          <w:p>
            <w:pPr>
              <w:spacing w:after="0"/>
              <w:jc w:val="left"/>
            </w:pPr>
            <w:r>
              <w:rPr>
                <w:rFonts w:ascii="Arial" w:hAnsi="Arial"/>
                <w:b/>
                <w:sz w:val="11"/>
              </w:rPr>
              <w:t>Mapping Strength</w:t>
            </w:r>
          </w:p>
        </w:tc>
        <w:tc>
          <w:tcPr>
            <w:tcW w:type="dxa" w:w="3600"/>
            <w:vAlign w:val="top"/>
            <w:shd w:fill="D9EAF7"/>
          </w:tcPr>
          <w:p>
            <w:pPr>
              <w:spacing w:after="0"/>
              <w:jc w:val="left"/>
            </w:pPr>
            <w:r>
              <w:rPr>
                <w:rFonts w:ascii="Arial" w:hAnsi="Arial"/>
                <w:b/>
                <w:sz w:val="11"/>
              </w:rPr>
              <w:t>How the Pattern Supports</w:t>
            </w:r>
          </w:p>
        </w:tc>
        <w:tc>
          <w:tcPr>
            <w:tcW w:type="dxa" w:w="3600"/>
            <w:vAlign w:val="top"/>
            <w:shd w:fill="D9EAF7"/>
          </w:tcPr>
          <w:p>
            <w:pPr>
              <w:spacing w:after="0"/>
              <w:jc w:val="left"/>
            </w:pPr>
            <w:r>
              <w:rPr>
                <w:rFonts w:ascii="Arial" w:hAnsi="Arial"/>
                <w:b/>
                <w:sz w:val="11"/>
              </w:rPr>
              <w:t>Boundary / Evidence Limit</w:t>
            </w:r>
          </w:p>
        </w:tc>
      </w:tr>
      <w:tr>
        <w:trPr>
          <w:cantSplit/>
        </w:trPr>
        <w:tc>
          <w:tcPr>
            <w:tcW w:type="dxa" w:w="3600"/>
            <w:vAlign w:val="top"/>
          </w:tcPr>
          <w:p>
            <w:pPr>
              <w:spacing w:after="0"/>
              <w:jc w:val="left"/>
            </w:pPr>
            <w:r>
              <w:rPr>
                <w:rFonts w:ascii="Arial" w:hAnsi="Arial"/>
                <w:b w:val="0"/>
                <w:sz w:val="11"/>
              </w:rPr>
              <w:t>MRO-08: MAS Evidence Partitioning</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Evidence Pack and Hash Manifest support partitioned evidence chains</w:t>
            </w:r>
          </w:p>
        </w:tc>
        <w:tc>
          <w:tcPr>
            <w:tcW w:type="dxa" w:w="3600"/>
            <w:vAlign w:val="top"/>
          </w:tcPr>
          <w:p>
            <w:pPr>
              <w:spacing w:after="0"/>
              <w:jc w:val="left"/>
            </w:pPr>
            <w:r>
              <w:rPr>
                <w:rFonts w:ascii="Arial" w:hAnsi="Arial"/>
                <w:b w:val="0"/>
                <w:sz w:val="11"/>
              </w:rPr>
              <w:t>Requires evidence export policy; requires partition rules definition</w:t>
            </w:r>
          </w:p>
        </w:tc>
      </w:tr>
      <w:tr>
        <w:trPr>
          <w:cantSplit/>
        </w:trPr>
        <w:tc>
          <w:tcPr>
            <w:tcW w:type="dxa" w:w="3600"/>
            <w:vAlign w:val="top"/>
          </w:tcPr>
          <w:p>
            <w:pPr>
              <w:spacing w:after="0"/>
              <w:jc w:val="left"/>
            </w:pPr>
            <w:r>
              <w:rPr>
                <w:rFonts w:ascii="Arial" w:hAnsi="Arial"/>
                <w:b w:val="0"/>
                <w:sz w:val="11"/>
              </w:rPr>
              <w:t>MRO-11: Privacy-Preserving Third-Party Validation</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Evidence Pointers, Verdict Hash, Disclosure Profile, and Redaction Profile support privacy-preserving validation</w:t>
            </w:r>
          </w:p>
        </w:tc>
        <w:tc>
          <w:tcPr>
            <w:tcW w:type="dxa" w:w="3600"/>
            <w:vAlign w:val="top"/>
          </w:tcPr>
          <w:p>
            <w:pPr>
              <w:spacing w:after="0"/>
              <w:jc w:val="left"/>
            </w:pPr>
            <w:r>
              <w:rPr>
                <w:rFonts w:ascii="Arial" w:hAnsi="Arial"/>
                <w:b w:val="0"/>
                <w:sz w:val="11"/>
              </w:rPr>
              <w:t>Requires validation protocol integration; requires third-party acceptance</w:t>
            </w:r>
          </w:p>
        </w:tc>
      </w:tr>
      <w:tr>
        <w:trPr>
          <w:cantSplit/>
        </w:trPr>
        <w:tc>
          <w:tcPr>
            <w:tcW w:type="dxa" w:w="3600"/>
            <w:vAlign w:val="top"/>
          </w:tcPr>
          <w:p>
            <w:pPr>
              <w:spacing w:after="0"/>
              <w:jc w:val="left"/>
            </w:pPr>
            <w:r>
              <w:rPr>
                <w:rFonts w:ascii="Arial" w:hAnsi="Arial"/>
                <w:b w:val="0"/>
                <w:sz w:val="11"/>
              </w:rPr>
              <w:t>MRO-12: Evidence Minimization and Selective Disclosure</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Evidence Pointers, Disclosure Profile, and Redaction Profile support minimization and selective disclosure</w:t>
            </w:r>
          </w:p>
        </w:tc>
        <w:tc>
          <w:tcPr>
            <w:tcW w:type="dxa" w:w="3600"/>
            <w:vAlign w:val="top"/>
          </w:tcPr>
          <w:p>
            <w:pPr>
              <w:spacing w:after="0"/>
              <w:jc w:val="left"/>
            </w:pPr>
            <w:r>
              <w:rPr>
                <w:rFonts w:ascii="Arial" w:hAnsi="Arial"/>
                <w:b w:val="0"/>
                <w:sz w:val="11"/>
              </w:rPr>
              <w:t>Requires retention policy; requires disclosure rules definition</w:t>
            </w:r>
          </w:p>
        </w:tc>
      </w:tr>
      <w:tr>
        <w:trPr>
          <w:cantSplit/>
        </w:trPr>
        <w:tc>
          <w:tcPr>
            <w:tcW w:type="dxa" w:w="3600"/>
            <w:vAlign w:val="top"/>
          </w:tcPr>
          <w:p>
            <w:pPr>
              <w:spacing w:after="0"/>
              <w:jc w:val="left"/>
            </w:pPr>
            <w:r>
              <w:rPr>
                <w:rFonts w:ascii="Arial" w:hAnsi="Arial"/>
                <w:b w:val="0"/>
                <w:sz w:val="11"/>
              </w:rPr>
              <w:t>MRO-13: Data Subject Rights vs Evidence Retention</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Redaction Profile can support data subject rights reconciliation</w:t>
            </w:r>
          </w:p>
        </w:tc>
        <w:tc>
          <w:tcPr>
            <w:tcW w:type="dxa" w:w="3600"/>
            <w:vAlign w:val="top"/>
          </w:tcPr>
          <w:p>
            <w:pPr>
              <w:spacing w:after="0"/>
              <w:jc w:val="left"/>
            </w:pPr>
            <w:r>
              <w:rPr>
                <w:rFonts w:ascii="Arial" w:hAnsi="Arial"/>
                <w:b w:val="0"/>
                <w:sz w:val="11"/>
              </w:rPr>
              <w:t>Requires legal interpretation; requires data subject rights workflow</w:t>
            </w:r>
          </w:p>
        </w:tc>
      </w:tr>
      <w:tr>
        <w:trPr>
          <w:cantSplit/>
        </w:trPr>
        <w:tc>
          <w:tcPr>
            <w:tcW w:type="dxa" w:w="3600"/>
            <w:vAlign w:val="top"/>
          </w:tcPr>
          <w:p>
            <w:pPr>
              <w:spacing w:after="0"/>
              <w:jc w:val="left"/>
            </w:pPr>
            <w:r>
              <w:rPr>
                <w:rFonts w:ascii="Arial" w:hAnsi="Arial"/>
                <w:b w:val="0"/>
                <w:sz w:val="11"/>
              </w:rPr>
              <w:t>MRO-16: Incident, Dispute, and Remediation Closure</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Replay / Recheck Procedure can support incident and dispute resolution</w:t>
            </w:r>
          </w:p>
        </w:tc>
        <w:tc>
          <w:tcPr>
            <w:tcW w:type="dxa" w:w="3600"/>
            <w:vAlign w:val="top"/>
          </w:tcPr>
          <w:p>
            <w:pPr>
              <w:spacing w:after="0"/>
              <w:jc w:val="left"/>
            </w:pPr>
            <w:r>
              <w:rPr>
                <w:rFonts w:ascii="Arial" w:hAnsi="Arial"/>
                <w:b w:val="0"/>
                <w:sz w:val="11"/>
              </w:rPr>
              <w:t>Requires incident workflow; requires remediation policy; does not imply legal closure</w:t>
            </w:r>
          </w:p>
        </w:tc>
      </w:tr>
      <w:tr>
        <w:trPr>
          <w:cantSplit/>
        </w:trPr>
        <w:tc>
          <w:tcPr>
            <w:tcW w:type="dxa" w:w="3600"/>
            <w:vAlign w:val="top"/>
          </w:tcPr>
          <w:p>
            <w:pPr>
              <w:spacing w:after="0"/>
              <w:jc w:val="left"/>
            </w:pPr>
            <w:r>
              <w:rPr>
                <w:rFonts w:ascii="Arial" w:hAnsi="Arial"/>
                <w:b w:val="0"/>
                <w:sz w:val="11"/>
              </w:rPr>
              <w:t>ALCS-08: MAS Evidence Partitioning</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Evidence Pack and Hash Manifest directly express partitioned evidence chains</w:t>
            </w:r>
          </w:p>
        </w:tc>
        <w:tc>
          <w:tcPr>
            <w:tcW w:type="dxa" w:w="3600"/>
            <w:vAlign w:val="top"/>
          </w:tcPr>
          <w:p>
            <w:pPr>
              <w:spacing w:after="0"/>
              <w:jc w:val="left"/>
            </w:pPr>
            <w:r>
              <w:rPr>
                <w:rFonts w:ascii="Arial" w:hAnsi="Arial"/>
                <w:b w:val="0"/>
                <w:sz w:val="11"/>
              </w:rPr>
              <w:t>Requires evidence export; requires partition policy</w:t>
            </w:r>
          </w:p>
        </w:tc>
      </w:tr>
      <w:tr>
        <w:trPr>
          <w:cantSplit/>
        </w:trPr>
        <w:tc>
          <w:tcPr>
            <w:tcW w:type="dxa" w:w="3600"/>
            <w:vAlign w:val="top"/>
          </w:tcPr>
          <w:p>
            <w:pPr>
              <w:spacing w:after="0"/>
              <w:jc w:val="left"/>
            </w:pPr>
            <w:r>
              <w:rPr>
                <w:rFonts w:ascii="Arial" w:hAnsi="Arial"/>
                <w:b w:val="0"/>
                <w:sz w:val="11"/>
              </w:rPr>
              <w:t>ALCS-11: Privacy-Preserving Third-Party Validation</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Evidence Pointers, Verdict Hash, Disclosure Profile, and Redaction Profile directly express privacy-preserving validation</w:t>
            </w:r>
          </w:p>
        </w:tc>
        <w:tc>
          <w:tcPr>
            <w:tcW w:type="dxa" w:w="3600"/>
            <w:vAlign w:val="top"/>
          </w:tcPr>
          <w:p>
            <w:pPr>
              <w:spacing w:after="0"/>
              <w:jc w:val="left"/>
            </w:pPr>
            <w:r>
              <w:rPr>
                <w:rFonts w:ascii="Arial" w:hAnsi="Arial"/>
                <w:b w:val="0"/>
                <w:sz w:val="11"/>
              </w:rPr>
              <w:t>Requires validation protocol; requires third-party acceptance</w:t>
            </w:r>
          </w:p>
        </w:tc>
      </w:tr>
      <w:tr>
        <w:trPr>
          <w:cantSplit/>
        </w:trPr>
        <w:tc>
          <w:tcPr>
            <w:tcW w:type="dxa" w:w="3600"/>
            <w:vAlign w:val="top"/>
          </w:tcPr>
          <w:p>
            <w:pPr>
              <w:spacing w:after="0"/>
              <w:jc w:val="left"/>
            </w:pPr>
            <w:r>
              <w:rPr>
                <w:rFonts w:ascii="Arial" w:hAnsi="Arial"/>
                <w:b w:val="0"/>
                <w:sz w:val="11"/>
              </w:rPr>
              <w:t>ALCS-12: Evidence Minimization and Selective Disclosure</w:t>
            </w:r>
          </w:p>
        </w:tc>
        <w:tc>
          <w:tcPr>
            <w:tcW w:type="dxa" w:w="3600"/>
            <w:vAlign w:val="top"/>
          </w:tcPr>
          <w:p>
            <w:pPr>
              <w:spacing w:after="0"/>
              <w:jc w:val="left"/>
            </w:pPr>
            <w:r>
              <w:rPr>
                <w:rFonts w:ascii="Arial" w:hAnsi="Arial"/>
                <w:b w:val="0"/>
                <w:sz w:val="11"/>
              </w:rPr>
              <w:t>Strong</w:t>
            </w:r>
          </w:p>
        </w:tc>
        <w:tc>
          <w:tcPr>
            <w:tcW w:type="dxa" w:w="3600"/>
            <w:vAlign w:val="top"/>
          </w:tcPr>
          <w:p>
            <w:pPr>
              <w:spacing w:after="0"/>
              <w:jc w:val="left"/>
            </w:pPr>
            <w:r>
              <w:rPr>
                <w:rFonts w:ascii="Arial" w:hAnsi="Arial"/>
                <w:b w:val="0"/>
                <w:sz w:val="11"/>
              </w:rPr>
              <w:t>Evidence Pointers, Disclosure Profile, and Redaction Profile directly express minimization and selective disclosure</w:t>
            </w:r>
          </w:p>
        </w:tc>
        <w:tc>
          <w:tcPr>
            <w:tcW w:type="dxa" w:w="3600"/>
            <w:vAlign w:val="top"/>
          </w:tcPr>
          <w:p>
            <w:pPr>
              <w:spacing w:after="0"/>
              <w:jc w:val="left"/>
            </w:pPr>
            <w:r>
              <w:rPr>
                <w:rFonts w:ascii="Arial" w:hAnsi="Arial"/>
                <w:b w:val="0"/>
                <w:sz w:val="11"/>
              </w:rPr>
              <w:t>Requires retention policy; requires disclosure rules</w:t>
            </w:r>
          </w:p>
        </w:tc>
      </w:tr>
      <w:tr>
        <w:trPr>
          <w:cantSplit/>
        </w:trPr>
        <w:tc>
          <w:tcPr>
            <w:tcW w:type="dxa" w:w="3600"/>
            <w:vAlign w:val="top"/>
          </w:tcPr>
          <w:p>
            <w:pPr>
              <w:spacing w:after="0"/>
              <w:jc w:val="left"/>
            </w:pPr>
            <w:r>
              <w:rPr>
                <w:rFonts w:ascii="Arial" w:hAnsi="Arial"/>
                <w:b w:val="0"/>
                <w:sz w:val="11"/>
              </w:rPr>
              <w:t>ALCS-13: Data Subject Rights vs Evidence Retention</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Redaction Profile can support data subject rights reconciliation</w:t>
            </w:r>
          </w:p>
        </w:tc>
        <w:tc>
          <w:tcPr>
            <w:tcW w:type="dxa" w:w="3600"/>
            <w:vAlign w:val="top"/>
          </w:tcPr>
          <w:p>
            <w:pPr>
              <w:spacing w:after="0"/>
              <w:jc w:val="left"/>
            </w:pPr>
            <w:r>
              <w:rPr>
                <w:rFonts w:ascii="Arial" w:hAnsi="Arial"/>
                <w:b w:val="0"/>
                <w:sz w:val="11"/>
              </w:rPr>
              <w:t>Requires legal interpretation; requires data subject rights workflow</w:t>
            </w:r>
          </w:p>
        </w:tc>
      </w:tr>
      <w:tr>
        <w:trPr>
          <w:cantSplit/>
        </w:trPr>
        <w:tc>
          <w:tcPr>
            <w:tcW w:type="dxa" w:w="3600"/>
            <w:vAlign w:val="top"/>
          </w:tcPr>
          <w:p>
            <w:pPr>
              <w:spacing w:after="0"/>
              <w:jc w:val="left"/>
            </w:pPr>
            <w:r>
              <w:rPr>
                <w:rFonts w:ascii="Arial" w:hAnsi="Arial"/>
                <w:b w:val="0"/>
                <w:sz w:val="11"/>
              </w:rPr>
              <w:t>ALCS-15: Vendor/Model/Runtime Substitution Conformance</w:t>
            </w:r>
          </w:p>
        </w:tc>
        <w:tc>
          <w:tcPr>
            <w:tcW w:type="dxa" w:w="3600"/>
            <w:vAlign w:val="top"/>
          </w:tcPr>
          <w:p>
            <w:pPr>
              <w:spacing w:after="0"/>
              <w:jc w:val="left"/>
            </w:pPr>
            <w:r>
              <w:rPr>
                <w:rFonts w:ascii="Arial" w:hAnsi="Arial"/>
                <w:b w:val="0"/>
                <w:sz w:val="11"/>
              </w:rPr>
              <w:t>Moderate</w:t>
            </w:r>
          </w:p>
        </w:tc>
        <w:tc>
          <w:tcPr>
            <w:tcW w:type="dxa" w:w="3600"/>
            <w:vAlign w:val="top"/>
          </w:tcPr>
          <w:p>
            <w:pPr>
              <w:spacing w:after="0"/>
              <w:jc w:val="left"/>
            </w:pPr>
            <w:r>
              <w:rPr>
                <w:rFonts w:ascii="Arial" w:hAnsi="Arial"/>
                <w:b w:val="0"/>
                <w:sz w:val="11"/>
              </w:rPr>
              <w:t>Replay / Recheck Procedure can support substitution conformance validation</w:t>
            </w:r>
          </w:p>
        </w:tc>
        <w:tc>
          <w:tcPr>
            <w:tcW w:type="dxa" w:w="3600"/>
            <w:vAlign w:val="top"/>
          </w:tcPr>
          <w:p>
            <w:pPr>
              <w:spacing w:after="0"/>
              <w:jc w:val="left"/>
            </w:pPr>
            <w:r>
              <w:rPr>
                <w:rFonts w:ascii="Arial" w:hAnsi="Arial"/>
                <w:b w:val="0"/>
                <w:sz w:val="11"/>
              </w:rPr>
              <w:t>Requires substitution testing; requires conformance validation</w:t>
            </w:r>
          </w:p>
        </w:tc>
      </w:tr>
    </w:tbl>
    <w:p>
      <w:pPr>
        <w:sectPr>
          <w:pgSz w:w="15840" w:h="12240" w:orient="landscape"/>
          <w:pgMar w:top="792" w:right="648" w:bottom="792" w:left="648" w:header="720" w:footer="720" w:gutter="0"/>
          <w:cols w:space="720"/>
          <w:docGrid w:linePitch="360"/>
        </w:sectPr>
      </w:pPr>
    </w:p>
    <w:p/>
    <w:p>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
    <w:p>
      <w:pPr>
        <w:pStyle w:val="Heading2"/>
      </w:pPr>
      <w:r>
        <w:t>14.6 Bridge to Enterprise Failure Scenarios</w:t>
      </w:r>
    </w:p>
    <w:p/>
    <w:p>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
      <w:pPr>
        <w:pStyle w:val="ListBullet"/>
      </w:pPr>
      <w:r>
        <w:t>Organizational controls are not enforced</w:t>
      </w:r>
    </w:p>
    <w:p>
      <w:pPr>
        <w:pStyle w:val="ListBullet"/>
      </w:pPr>
      <w:r>
        <w:t>Human oversight is not operationalized</w:t>
      </w:r>
    </w:p>
    <w:p>
      <w:pPr>
        <w:pStyle w:val="ListBullet"/>
      </w:pPr>
      <w:r>
        <w:t>Incident response is not timely</w:t>
      </w:r>
    </w:p>
    <w:p>
      <w:pPr>
        <w:pStyle w:val="ListBullet"/>
      </w:pPr>
      <w:r>
        <w:t>Remediation is not effective</w:t>
      </w:r>
    </w:p>
    <w:p>
      <w:pPr>
        <w:pStyle w:val="ListBullet"/>
      </w:pPr>
      <w:r>
        <w:t>Authority drift is not detected</w:t>
      </w:r>
    </w:p>
    <w:p>
      <w:pPr>
        <w:pStyle w:val="ListBullet"/>
      </w:pPr>
      <w:r>
        <w:t>Evidence retention conflicts with data subject rights</w:t>
      </w:r>
    </w:p>
    <w:p>
      <w:pPr>
        <w:pStyle w:val="ListBullet"/>
      </w:pPr>
      <w:r>
        <w:t>Substitution conformance is not re-validated after system changes</w:t>
      </w:r>
    </w:p>
    <w:p/>
    <w:p>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
    <w:p>
      <w:r>
        <w:t>End of Chapter 14</w:t>
      </w:r>
    </w:p>
    <w:p/>
    <w:p>
      <w:r>
        <w:t>Chapter 14 Status: FILLED (Phase 1B-5; Phase 1C follow-up reviewed) — Evidence-Based Validation Pattern complete; Validation Lab public entry point located, but methodology-specific support remains unresolved for final publication and all Validation Lab language remains non-certifying.</w:t>
      </w:r>
    </w:p>
    <w:p>
      <w:pPr>
        <w:pStyle w:val="Heading1"/>
      </w:pPr>
      <w:r>
        <w:t>15. Enterprise Failure Scenarios</w:t>
      </w:r>
    </w:p>
    <w:p/>
    <w:p>
      <w:r>
        <w:t>Version: v0.3.2-FRC-R3</w:t>
      </w:r>
    </w:p>
    <w:p>
      <w:r>
        <w:t>Status: Reconstructed from v0.3.1 semantic base</w:t>
      </w:r>
    </w:p>
    <w:p>
      <w:r>
        <w:t>Phase: 1B-6</w:t>
      </w:r>
    </w:p>
    <w:p/>
    <w:p/>
    <w:p>
      <w:pPr>
        <w:pStyle w:val="Heading2"/>
      </w:pPr>
      <w:r>
        <w:t>15.0 Why Enterprise Failure Scenarios Matter</w:t>
      </w:r>
    </w:p>
    <w:p/>
    <w:p>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
      <w:r>
        <w:t>The goal is not to claim that lifecycle governance eliminates all risk. The goal is to demonstrate that lifecycle governance gaps create predictable failure patterns that enterprises must address.</w:t>
      </w:r>
    </w:p>
    <w:p/>
    <w:p/>
    <w:p>
      <w:pPr>
        <w:pStyle w:val="Heading2"/>
      </w:pPr>
      <w:r>
        <w:t>15.1 Failure Mode Categories</w:t>
      </w:r>
    </w:p>
    <w:p/>
    <w:p>
      <w:r>
        <w:t>Enterprise failure scenarios fall into four categories based on where the lifecycle governance gap occurs.</w:t>
      </w:r>
    </w:p>
    <w:p/>
    <w:p>
      <w:pPr>
        <w:keepNext/>
      </w:pPr>
      <w:r>
        <w:rPr>
          <w:b/>
          <w:sz w:val="17"/>
        </w:rPr>
        <w:t>Table T-15-01: Failure Mode Categories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1"/>
              </w:rPr>
              <w:t>Category</w:t>
            </w:r>
          </w:p>
        </w:tc>
        <w:tc>
          <w:tcPr>
            <w:tcW w:type="dxa" w:w="2880"/>
            <w:vAlign w:val="top"/>
            <w:shd w:fill="D9EAF7"/>
          </w:tcPr>
          <w:p>
            <w:pPr>
              <w:spacing w:after="0"/>
              <w:jc w:val="left"/>
            </w:pPr>
            <w:r>
              <w:rPr>
                <w:rFonts w:ascii="Arial" w:hAnsi="Arial"/>
                <w:b/>
                <w:sz w:val="11"/>
              </w:rPr>
              <w:t>Failure Pattern</w:t>
            </w:r>
          </w:p>
        </w:tc>
        <w:tc>
          <w:tcPr>
            <w:tcW w:type="dxa" w:w="2880"/>
            <w:vAlign w:val="top"/>
            <w:shd w:fill="D9EAF7"/>
          </w:tcPr>
          <w:p>
            <w:pPr>
              <w:spacing w:after="0"/>
              <w:jc w:val="left"/>
            </w:pPr>
            <w:r>
              <w:rPr>
                <w:rFonts w:ascii="Arial" w:hAnsi="Arial"/>
                <w:b/>
                <w:sz w:val="11"/>
              </w:rPr>
              <w:t>Primary MROs</w:t>
            </w:r>
          </w:p>
        </w:tc>
        <w:tc>
          <w:tcPr>
            <w:tcW w:type="dxa" w:w="2880"/>
            <w:vAlign w:val="top"/>
            <w:shd w:fill="D9EAF7"/>
          </w:tcPr>
          <w:p>
            <w:pPr>
              <w:spacing w:after="0"/>
              <w:jc w:val="left"/>
            </w:pPr>
            <w:r>
              <w:rPr>
                <w:rFonts w:ascii="Arial" w:hAnsi="Arial"/>
                <w:b/>
                <w:sz w:val="11"/>
              </w:rPr>
              <w:t>Primary ALCS</w:t>
            </w:r>
          </w:p>
        </w:tc>
        <w:tc>
          <w:tcPr>
            <w:tcW w:type="dxa" w:w="2880"/>
            <w:vAlign w:val="top"/>
            <w:shd w:fill="D9EAF7"/>
          </w:tcPr>
          <w:p>
            <w:pPr>
              <w:spacing w:after="0"/>
              <w:jc w:val="left"/>
            </w:pPr>
            <w:r>
              <w:rPr>
                <w:rFonts w:ascii="Arial" w:hAnsi="Arial"/>
                <w:b/>
                <w:sz w:val="11"/>
              </w:rPr>
              <w:t>Enterprise Risk</w:t>
            </w:r>
          </w:p>
        </w:tc>
      </w:tr>
      <w:tr>
        <w:trPr>
          <w:cantSplit/>
        </w:trPr>
        <w:tc>
          <w:tcPr>
            <w:tcW w:type="dxa" w:w="2880"/>
            <w:vAlign w:val="top"/>
          </w:tcPr>
          <w:p>
            <w:pPr>
              <w:spacing w:after="0"/>
              <w:jc w:val="left"/>
            </w:pPr>
            <w:r>
              <w:rPr>
                <w:rFonts w:ascii="Arial" w:hAnsi="Arial"/>
                <w:b w:val="0"/>
                <w:sz w:val="11"/>
              </w:rPr>
              <w:t>Authority and Boundary Failures</w:t>
            </w:r>
          </w:p>
        </w:tc>
        <w:tc>
          <w:tcPr>
            <w:tcW w:type="dxa" w:w="2880"/>
            <w:vAlign w:val="top"/>
          </w:tcPr>
          <w:p>
            <w:pPr>
              <w:spacing w:after="0"/>
              <w:jc w:val="left"/>
            </w:pPr>
            <w:r>
              <w:rPr>
                <w:rFonts w:ascii="Arial" w:hAnsi="Arial"/>
                <w:b w:val="0"/>
                <w:sz w:val="11"/>
              </w:rPr>
              <w:t>Agent exceeds delegated authority; moves from advising to committing; operates without explicit human authorization</w:t>
            </w:r>
          </w:p>
        </w:tc>
        <w:tc>
          <w:tcPr>
            <w:tcW w:type="dxa" w:w="2880"/>
            <w:vAlign w:val="top"/>
          </w:tcPr>
          <w:p>
            <w:pPr>
              <w:spacing w:after="0"/>
              <w:jc w:val="left"/>
            </w:pPr>
            <w:r>
              <w:rPr>
                <w:rFonts w:ascii="Arial" w:hAnsi="Arial"/>
                <w:b w:val="0"/>
                <w:sz w:val="11"/>
              </w:rPr>
              <w:t>MRO-02: Delegated Authority Boundary; MRO-05: Tool-Action Liability Boundary; MRO-07: Authority Drift</w:t>
            </w:r>
          </w:p>
        </w:tc>
        <w:tc>
          <w:tcPr>
            <w:tcW w:type="dxa" w:w="2880"/>
            <w:vAlign w:val="top"/>
          </w:tcPr>
          <w:p>
            <w:pPr>
              <w:spacing w:after="0"/>
              <w:jc w:val="left"/>
            </w:pPr>
            <w:r>
              <w:rPr>
                <w:rFonts w:ascii="Arial" w:hAnsi="Arial"/>
                <w:b w:val="0"/>
                <w:sz w:val="11"/>
              </w:rPr>
              <w:t>ALCS-02: Delegated Authority Boundary; ALCS-04: Accepted Outcome Compliance; ALCS-07: Authority Drift Detection</w:t>
            </w:r>
          </w:p>
        </w:tc>
        <w:tc>
          <w:tcPr>
            <w:tcW w:type="dxa" w:w="2880"/>
            <w:vAlign w:val="top"/>
          </w:tcPr>
          <w:p>
            <w:pPr>
              <w:spacing w:after="0"/>
              <w:jc w:val="left"/>
            </w:pPr>
            <w:r>
              <w:rPr>
                <w:rFonts w:ascii="Arial" w:hAnsi="Arial"/>
                <w:b w:val="0"/>
                <w:sz w:val="11"/>
              </w:rPr>
              <w:t>Unauthorized actions; liability disputes; regulatory non-compliance; customer harm</w:t>
            </w:r>
          </w:p>
        </w:tc>
      </w:tr>
      <w:tr>
        <w:trPr>
          <w:cantSplit/>
        </w:trPr>
        <w:tc>
          <w:tcPr>
            <w:tcW w:type="dxa" w:w="2880"/>
            <w:vAlign w:val="top"/>
          </w:tcPr>
          <w:p>
            <w:pPr>
              <w:spacing w:after="0"/>
              <w:jc w:val="left"/>
            </w:pPr>
            <w:r>
              <w:rPr>
                <w:rFonts w:ascii="Arial" w:hAnsi="Arial"/>
                <w:b w:val="0"/>
                <w:sz w:val="11"/>
              </w:rPr>
              <w:t>Evidence and Traceability Failures</w:t>
            </w:r>
          </w:p>
        </w:tc>
        <w:tc>
          <w:tcPr>
            <w:tcW w:type="dxa" w:w="2880"/>
            <w:vAlign w:val="top"/>
          </w:tcPr>
          <w:p>
            <w:pPr>
              <w:spacing w:after="0"/>
              <w:jc w:val="left"/>
            </w:pPr>
            <w:r>
              <w:rPr>
                <w:rFonts w:ascii="Arial" w:hAnsi="Arial"/>
                <w:b w:val="0"/>
                <w:sz w:val="11"/>
              </w:rPr>
              <w:t>Organization has logs but cannot reconstruct authority, plan version, human confirmation, tool action, and accepted outcome; evidence chain is incomplete or non-partitioned</w:t>
            </w:r>
          </w:p>
        </w:tc>
        <w:tc>
          <w:tcPr>
            <w:tcW w:type="dxa" w:w="2880"/>
            <w:vAlign w:val="top"/>
          </w:tcPr>
          <w:p>
            <w:pPr>
              <w:spacing w:after="0"/>
              <w:jc w:val="left"/>
            </w:pPr>
            <w:r>
              <w:rPr>
                <w:rFonts w:ascii="Arial" w:hAnsi="Arial"/>
                <w:b w:val="0"/>
                <w:sz w:val="11"/>
              </w:rPr>
              <w:t>MRO-08: MAS Evidence Partitioning; MRO-11: Privacy-Preserving Third-Party Validation; MRO-12: Evidence Minimization and Selective Disclosure</w:t>
            </w:r>
          </w:p>
        </w:tc>
        <w:tc>
          <w:tcPr>
            <w:tcW w:type="dxa" w:w="2880"/>
            <w:vAlign w:val="top"/>
          </w:tcPr>
          <w:p>
            <w:pPr>
              <w:spacing w:after="0"/>
              <w:jc w:val="left"/>
            </w:pPr>
            <w:r>
              <w:rPr>
                <w:rFonts w:ascii="Arial" w:hAnsi="Arial"/>
                <w:b w:val="0"/>
                <w:sz w:val="11"/>
              </w:rPr>
              <w:t>ALCS-08: MAS Evidence Partitioning; ALCS-11: Privacy-Preserving Third-Party Validation; ALCS-12: Evidence Minimization and Selective Disclosure</w:t>
            </w:r>
          </w:p>
        </w:tc>
        <w:tc>
          <w:tcPr>
            <w:tcW w:type="dxa" w:w="2880"/>
            <w:vAlign w:val="top"/>
          </w:tcPr>
          <w:p>
            <w:pPr>
              <w:spacing w:after="0"/>
              <w:jc w:val="left"/>
            </w:pPr>
            <w:r>
              <w:rPr>
                <w:rFonts w:ascii="Arial" w:hAnsi="Arial"/>
                <w:b w:val="0"/>
                <w:sz w:val="11"/>
              </w:rPr>
              <w:t>Audit failure; dispute resolution failure; regulatory investigation failure; inability to demonstrate compliance</w:t>
            </w:r>
          </w:p>
        </w:tc>
      </w:tr>
      <w:tr>
        <w:trPr>
          <w:cantSplit/>
        </w:trPr>
        <w:tc>
          <w:tcPr>
            <w:tcW w:type="dxa" w:w="2880"/>
            <w:vAlign w:val="top"/>
          </w:tcPr>
          <w:p>
            <w:pPr>
              <w:spacing w:after="0"/>
              <w:jc w:val="left"/>
            </w:pPr>
            <w:r>
              <w:rPr>
                <w:rFonts w:ascii="Arial" w:hAnsi="Arial"/>
                <w:b w:val="0"/>
                <w:sz w:val="11"/>
              </w:rPr>
              <w:t>Responsibility and Acceptance Failures</w:t>
            </w:r>
          </w:p>
        </w:tc>
        <w:tc>
          <w:tcPr>
            <w:tcW w:type="dxa" w:w="2880"/>
            <w:vAlign w:val="top"/>
          </w:tcPr>
          <w:p>
            <w:pPr>
              <w:spacing w:after="0"/>
              <w:jc w:val="left"/>
            </w:pPr>
            <w:r>
              <w:rPr>
                <w:rFonts w:ascii="Arial" w:hAnsi="Arial"/>
                <w:b w:val="0"/>
                <w:sz w:val="11"/>
              </w:rPr>
              <w:t>Orchestrator marks task complete but no accountable human role accepts the result under evidence; execution completion ≠ accepted outcome</w:t>
            </w:r>
          </w:p>
        </w:tc>
        <w:tc>
          <w:tcPr>
            <w:tcW w:type="dxa" w:w="2880"/>
            <w:vAlign w:val="top"/>
          </w:tcPr>
          <w:p>
            <w:pPr>
              <w:spacing w:after="0"/>
              <w:jc w:val="left"/>
            </w:pPr>
            <w:r>
              <w:rPr>
                <w:rFonts w:ascii="Arial" w:hAnsi="Arial"/>
                <w:b w:val="0"/>
                <w:sz w:val="11"/>
              </w:rPr>
              <w:t>MRO-01: Human Role to MAS Responsibility Mapping; MRO-04: Accepted Outcome Compliance; MRO-16: Incident, Dispute, and Remediation Closure</w:t>
            </w:r>
          </w:p>
        </w:tc>
        <w:tc>
          <w:tcPr>
            <w:tcW w:type="dxa" w:w="2880"/>
            <w:vAlign w:val="top"/>
          </w:tcPr>
          <w:p>
            <w:pPr>
              <w:spacing w:after="0"/>
              <w:jc w:val="left"/>
            </w:pPr>
            <w:r>
              <w:rPr>
                <w:rFonts w:ascii="Arial" w:hAnsi="Arial"/>
                <w:b w:val="0"/>
                <w:sz w:val="11"/>
              </w:rPr>
              <w:t>ALCS-01: Human-Role-to-MAS Responsibility Mapping; ALCS-04: Accepted Outcome Compliance; ALCS-06: Responsibility Transfer Across Agents</w:t>
            </w:r>
          </w:p>
        </w:tc>
        <w:tc>
          <w:tcPr>
            <w:tcW w:type="dxa" w:w="2880"/>
            <w:vAlign w:val="top"/>
          </w:tcPr>
          <w:p>
            <w:pPr>
              <w:spacing w:after="0"/>
              <w:jc w:val="left"/>
            </w:pPr>
            <w:r>
              <w:rPr>
                <w:rFonts w:ascii="Arial" w:hAnsi="Arial"/>
                <w:b w:val="0"/>
                <w:sz w:val="11"/>
              </w:rPr>
              <w:t>Accountability gaps; no responsible party for outcomes; remediation delays; customer disputes without resolution path</w:t>
            </w:r>
          </w:p>
        </w:tc>
      </w:tr>
      <w:tr>
        <w:trPr>
          <w:cantSplit/>
        </w:trPr>
        <w:tc>
          <w:tcPr>
            <w:tcW w:type="dxa" w:w="2880"/>
            <w:vAlign w:val="top"/>
          </w:tcPr>
          <w:p>
            <w:pPr>
              <w:spacing w:after="0"/>
              <w:jc w:val="left"/>
            </w:pPr>
            <w:r>
              <w:rPr>
                <w:rFonts w:ascii="Arial" w:hAnsi="Arial"/>
                <w:b w:val="0"/>
                <w:sz w:val="11"/>
              </w:rPr>
              <w:t>Integration and Substitution Failures</w:t>
            </w:r>
          </w:p>
        </w:tc>
        <w:tc>
          <w:tcPr>
            <w:tcW w:type="dxa" w:w="2880"/>
            <w:vAlign w:val="top"/>
          </w:tcPr>
          <w:p>
            <w:pPr>
              <w:spacing w:after="0"/>
              <w:jc w:val="left"/>
            </w:pPr>
            <w:r>
              <w:rPr>
                <w:rFonts w:ascii="Arial" w:hAnsi="Arial"/>
                <w:b w:val="0"/>
                <w:sz w:val="11"/>
              </w:rPr>
              <w:t>Cross-project reuse without reset; vendor/model/runtime substitution without conformance validation; processor chain without responsibility mapping</w:t>
            </w:r>
          </w:p>
        </w:tc>
        <w:tc>
          <w:tcPr>
            <w:tcW w:type="dxa" w:w="2880"/>
            <w:vAlign w:val="top"/>
          </w:tcPr>
          <w:p>
            <w:pPr>
              <w:spacing w:after="0"/>
              <w:jc w:val="left"/>
            </w:pPr>
            <w:r>
              <w:rPr>
                <w:rFonts w:ascii="Arial" w:hAnsi="Arial"/>
                <w:b w:val="0"/>
                <w:sz w:val="11"/>
              </w:rPr>
              <w:t>MRO-09: Cross-Project Reuse Compliance; MRO-10: Privacy/GDPR Lifecycle Mapping; MRO-14: Third-Party Processor/Subprocessor Chain; MRO-15: Vendor/Model/Runtime Substitution Conformance</w:t>
            </w:r>
          </w:p>
        </w:tc>
        <w:tc>
          <w:tcPr>
            <w:tcW w:type="dxa" w:w="2880"/>
            <w:vAlign w:val="top"/>
          </w:tcPr>
          <w:p>
            <w:pPr>
              <w:spacing w:after="0"/>
              <w:jc w:val="left"/>
            </w:pPr>
            <w:r>
              <w:rPr>
                <w:rFonts w:ascii="Arial" w:hAnsi="Arial"/>
                <w:b w:val="0"/>
                <w:sz w:val="11"/>
              </w:rPr>
              <w:t>ALCS-09: Cross-Project Reuse Compliance; ALCS-10: Privacy/GDPR Lifecycle Mapping; ALCS-14: Third-Party Processor/Subprocessor Chain; ALCS-15: Vendor/Model/Runtime Substitution Conformance</w:t>
            </w:r>
          </w:p>
        </w:tc>
        <w:tc>
          <w:tcPr>
            <w:tcW w:type="dxa" w:w="2880"/>
            <w:vAlign w:val="top"/>
          </w:tcPr>
          <w:p>
            <w:pPr>
              <w:spacing w:after="0"/>
              <w:jc w:val="left"/>
            </w:pPr>
            <w:r>
              <w:rPr>
                <w:rFonts w:ascii="Arial" w:hAnsi="Arial"/>
                <w:b w:val="0"/>
                <w:sz w:val="11"/>
              </w:rPr>
              <w:t>Privacy violations; compliance drift; vendor lock-in; substitution-induced failures; processor chain liability disputes</w:t>
            </w:r>
          </w:p>
        </w:tc>
      </w:tr>
    </w:tbl>
    <w:p>
      <w:pPr>
        <w:sectPr>
          <w:pgSz w:w="12240" w:h="15840" w:orient="landscape"/>
          <w:pgMar w:top="792" w:right="648" w:bottom="792" w:left="648" w:header="720" w:footer="720" w:gutter="0"/>
          <w:cols w:space="720"/>
          <w:docGrid w:linePitch="360"/>
        </w:sectPr>
      </w:pPr>
    </w:p>
    <w:p/>
    <w:p>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
    <w:p>
      <w:pPr>
        <w:pStyle w:val="Heading2"/>
      </w:pPr>
      <w:r>
        <w:t>15.2 Lifecycle Governance Gap → Enterprise Failure Mapping</w:t>
      </w:r>
    </w:p>
    <w:p/>
    <w:p>
      <w:r>
        <w:t>The following table maps missing or weak lifecycle objects to enterprise failures, required investigation evidence, and likely consequences.</w:t>
      </w:r>
    </w:p>
    <w:p/>
    <w:p>
      <w:pPr>
        <w:keepNext/>
      </w:pPr>
      <w:r>
        <w:rPr>
          <w:b/>
          <w:sz w:val="17"/>
        </w:rPr>
        <w:t>Table T-15-02: Lifecycle Governance Gap to Failure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shd w:fill="D9EAF7"/>
          </w:tcPr>
          <w:p>
            <w:pPr>
              <w:spacing w:after="0"/>
              <w:jc w:val="left"/>
            </w:pPr>
            <w:r>
              <w:rPr>
                <w:rFonts w:ascii="Arial" w:hAnsi="Arial"/>
                <w:b/>
                <w:sz w:val="11"/>
              </w:rPr>
              <w:t>Missing Object</w:t>
            </w:r>
          </w:p>
        </w:tc>
        <w:tc>
          <w:tcPr>
            <w:tcW w:type="dxa" w:w="3600"/>
            <w:vAlign w:val="top"/>
            <w:shd w:fill="D9EAF7"/>
          </w:tcPr>
          <w:p>
            <w:pPr>
              <w:spacing w:after="0"/>
              <w:jc w:val="left"/>
            </w:pPr>
            <w:r>
              <w:rPr>
                <w:rFonts w:ascii="Arial" w:hAnsi="Arial"/>
                <w:b/>
                <w:sz w:val="11"/>
              </w:rPr>
              <w:t>What Fails</w:t>
            </w:r>
          </w:p>
        </w:tc>
        <w:tc>
          <w:tcPr>
            <w:tcW w:type="dxa" w:w="3600"/>
            <w:vAlign w:val="top"/>
            <w:shd w:fill="D9EAF7"/>
          </w:tcPr>
          <w:p>
            <w:pPr>
              <w:spacing w:after="0"/>
              <w:jc w:val="left"/>
            </w:pPr>
            <w:r>
              <w:rPr>
                <w:rFonts w:ascii="Arial" w:hAnsi="Arial"/>
                <w:b/>
                <w:sz w:val="11"/>
              </w:rPr>
              <w:t>What Evidence Is Needed</w:t>
            </w:r>
          </w:p>
        </w:tc>
        <w:tc>
          <w:tcPr>
            <w:tcW w:type="dxa" w:w="3600"/>
            <w:vAlign w:val="top"/>
            <w:shd w:fill="D9EAF7"/>
          </w:tcPr>
          <w:p>
            <w:pPr>
              <w:spacing w:after="0"/>
              <w:jc w:val="left"/>
            </w:pPr>
            <w:r>
              <w:rPr>
                <w:rFonts w:ascii="Arial" w:hAnsi="Arial"/>
                <w:b/>
                <w:sz w:val="11"/>
              </w:rPr>
              <w:t>Likely Enterprise Consequence</w:t>
            </w:r>
          </w:p>
        </w:tc>
      </w:tr>
      <w:tr>
        <w:trPr>
          <w:cantSplit/>
        </w:trPr>
        <w:tc>
          <w:tcPr>
            <w:tcW w:type="dxa" w:w="3600"/>
            <w:vAlign w:val="top"/>
          </w:tcPr>
          <w:p>
            <w:pPr>
              <w:spacing w:after="0"/>
              <w:jc w:val="left"/>
            </w:pPr>
            <w:r>
              <w:rPr>
                <w:rFonts w:ascii="Arial" w:hAnsi="Arial"/>
                <w:b w:val="0"/>
                <w:sz w:val="11"/>
              </w:rPr>
              <w:t>Human-Role-to-MAS Responsibility Mapping</w:t>
            </w:r>
          </w:p>
        </w:tc>
        <w:tc>
          <w:tcPr>
            <w:tcW w:type="dxa" w:w="3600"/>
            <w:vAlign w:val="top"/>
          </w:tcPr>
          <w:p>
            <w:pPr>
              <w:spacing w:after="0"/>
              <w:jc w:val="left"/>
            </w:pPr>
            <w:r>
              <w:rPr>
                <w:rFonts w:ascii="Arial" w:hAnsi="Arial"/>
                <w:b w:val="0"/>
                <w:sz w:val="11"/>
              </w:rPr>
              <w:t>No accountable human role for agent outcomes; execution logs exist but responsibility assignment does not</w:t>
            </w:r>
          </w:p>
        </w:tc>
        <w:tc>
          <w:tcPr>
            <w:tcW w:type="dxa" w:w="3600"/>
            <w:vAlign w:val="top"/>
          </w:tcPr>
          <w:p>
            <w:pPr>
              <w:spacing w:after="0"/>
              <w:jc w:val="left"/>
            </w:pPr>
            <w:r>
              <w:rPr>
                <w:rFonts w:ascii="Arial" w:hAnsi="Arial"/>
                <w:b w:val="0"/>
                <w:sz w:val="11"/>
              </w:rPr>
              <w:t>Role assignment records; delegation records; acceptance records; escalation records</w:t>
            </w:r>
          </w:p>
        </w:tc>
        <w:tc>
          <w:tcPr>
            <w:tcW w:type="dxa" w:w="3600"/>
            <w:vAlign w:val="top"/>
          </w:tcPr>
          <w:p>
            <w:pPr>
              <w:spacing w:after="0"/>
              <w:jc w:val="left"/>
            </w:pPr>
            <w:r>
              <w:rPr>
                <w:rFonts w:ascii="Arial" w:hAnsi="Arial"/>
                <w:b w:val="0"/>
                <w:sz w:val="11"/>
              </w:rPr>
              <w:t>Accountability gaps; no responsible party when outcomes are disputed; regulatory non-compliance (e.g., EU AI Act Article 26 human oversight)</w:t>
            </w:r>
          </w:p>
        </w:tc>
      </w:tr>
      <w:tr>
        <w:trPr>
          <w:cantSplit/>
        </w:trPr>
        <w:tc>
          <w:tcPr>
            <w:tcW w:type="dxa" w:w="3600"/>
            <w:vAlign w:val="top"/>
          </w:tcPr>
          <w:p>
            <w:pPr>
              <w:spacing w:after="0"/>
              <w:jc w:val="left"/>
            </w:pPr>
            <w:r>
              <w:rPr>
                <w:rFonts w:ascii="Arial" w:hAnsi="Arial"/>
                <w:b w:val="0"/>
                <w:sz w:val="11"/>
              </w:rPr>
              <w:t>Delegated Authority Boundary</w:t>
            </w:r>
          </w:p>
        </w:tc>
        <w:tc>
          <w:tcPr>
            <w:tcW w:type="dxa" w:w="3600"/>
            <w:vAlign w:val="top"/>
          </w:tcPr>
          <w:p>
            <w:pPr>
              <w:spacing w:after="0"/>
              <w:jc w:val="left"/>
            </w:pPr>
            <w:r>
              <w:rPr>
                <w:rFonts w:ascii="Arial" w:hAnsi="Arial"/>
                <w:b w:val="0"/>
                <w:sz w:val="11"/>
              </w:rPr>
              <w:t>Agent moves from advising to committing; agent performs tool actions without explicit authorization; authority scope is implicit or undocumented</w:t>
            </w:r>
          </w:p>
        </w:tc>
        <w:tc>
          <w:tcPr>
            <w:tcW w:type="dxa" w:w="3600"/>
            <w:vAlign w:val="top"/>
          </w:tcPr>
          <w:p>
            <w:pPr>
              <w:spacing w:after="0"/>
              <w:jc w:val="left"/>
            </w:pPr>
            <w:r>
              <w:rPr>
                <w:rFonts w:ascii="Arial" w:hAnsi="Arial"/>
                <w:b w:val="0"/>
                <w:sz w:val="11"/>
              </w:rPr>
              <w:t>Authority grant records; tool-action authorization records; boundary violation alerts; human confirmation records</w:t>
            </w:r>
          </w:p>
        </w:tc>
        <w:tc>
          <w:tcPr>
            <w:tcW w:type="dxa" w:w="3600"/>
            <w:vAlign w:val="top"/>
          </w:tcPr>
          <w:p>
            <w:pPr>
              <w:spacing w:after="0"/>
              <w:jc w:val="left"/>
            </w:pPr>
            <w:r>
              <w:rPr>
                <w:rFonts w:ascii="Arial" w:hAnsi="Arial"/>
                <w:b w:val="0"/>
                <w:sz w:val="11"/>
              </w:rPr>
              <w:t>Unauthorized actions; liability disputes; customer harm; regulatory non-compliance; reputational damage</w:t>
            </w:r>
          </w:p>
        </w:tc>
      </w:tr>
      <w:tr>
        <w:trPr>
          <w:cantSplit/>
        </w:trPr>
        <w:tc>
          <w:tcPr>
            <w:tcW w:type="dxa" w:w="3600"/>
            <w:vAlign w:val="top"/>
          </w:tcPr>
          <w:p>
            <w:pPr>
              <w:spacing w:after="0"/>
              <w:jc w:val="left"/>
            </w:pPr>
            <w:r>
              <w:rPr>
                <w:rFonts w:ascii="Arial" w:hAnsi="Arial"/>
                <w:b w:val="0"/>
                <w:sz w:val="11"/>
              </w:rPr>
              <w:t>Accepted Outcome Compliance</w:t>
            </w:r>
          </w:p>
        </w:tc>
        <w:tc>
          <w:tcPr>
            <w:tcW w:type="dxa" w:w="3600"/>
            <w:vAlign w:val="top"/>
          </w:tcPr>
          <w:p>
            <w:pPr>
              <w:spacing w:after="0"/>
              <w:jc w:val="left"/>
            </w:pPr>
            <w:r>
              <w:rPr>
                <w:rFonts w:ascii="Arial" w:hAnsi="Arial"/>
                <w:b w:val="0"/>
                <w:sz w:val="11"/>
              </w:rPr>
              <w:t>Orchestrator marks task complete but no human accepts the result; execution completion ≠ accepted outcome</w:t>
            </w:r>
          </w:p>
        </w:tc>
        <w:tc>
          <w:tcPr>
            <w:tcW w:type="dxa" w:w="3600"/>
            <w:vAlign w:val="top"/>
          </w:tcPr>
          <w:p>
            <w:pPr>
              <w:spacing w:after="0"/>
              <w:jc w:val="left"/>
            </w:pPr>
            <w:r>
              <w:rPr>
                <w:rFonts w:ascii="Arial" w:hAnsi="Arial"/>
                <w:b w:val="0"/>
                <w:sz w:val="11"/>
              </w:rPr>
              <w:t>Acceptance records; review records; outcome validation records; rejection/escalation records</w:t>
            </w:r>
          </w:p>
        </w:tc>
        <w:tc>
          <w:tcPr>
            <w:tcW w:type="dxa" w:w="3600"/>
            <w:vAlign w:val="top"/>
          </w:tcPr>
          <w:p>
            <w:pPr>
              <w:spacing w:after="0"/>
              <w:jc w:val="left"/>
            </w:pPr>
            <w:r>
              <w:rPr>
                <w:rFonts w:ascii="Arial" w:hAnsi="Arial"/>
                <w:b w:val="0"/>
                <w:sz w:val="11"/>
              </w:rPr>
              <w:t>No accepted outcome state; disputes without resolution path; audit failure; inability to demonstrate compliance</w:t>
            </w:r>
          </w:p>
        </w:tc>
      </w:tr>
      <w:tr>
        <w:trPr>
          <w:cantSplit/>
        </w:trPr>
        <w:tc>
          <w:tcPr>
            <w:tcW w:type="dxa" w:w="3600"/>
            <w:vAlign w:val="top"/>
          </w:tcPr>
          <w:p>
            <w:pPr>
              <w:spacing w:after="0"/>
              <w:jc w:val="left"/>
            </w:pPr>
            <w:r>
              <w:rPr>
                <w:rFonts w:ascii="Arial" w:hAnsi="Arial"/>
                <w:b w:val="0"/>
                <w:sz w:val="11"/>
              </w:rPr>
              <w:t>Tool-Action Liability Boundary</w:t>
            </w:r>
          </w:p>
        </w:tc>
        <w:tc>
          <w:tcPr>
            <w:tcW w:type="dxa" w:w="3600"/>
            <w:vAlign w:val="top"/>
          </w:tcPr>
          <w:p>
            <w:pPr>
              <w:spacing w:after="0"/>
              <w:jc w:val="left"/>
            </w:pPr>
            <w:r>
              <w:rPr>
                <w:rFonts w:ascii="Arial" w:hAnsi="Arial"/>
                <w:b w:val="0"/>
                <w:sz w:val="11"/>
              </w:rPr>
              <w:t>Agent uses tool (API call, database write, email send, payment initiation) but no liability boundary record exists</w:t>
            </w:r>
          </w:p>
        </w:tc>
        <w:tc>
          <w:tcPr>
            <w:tcW w:type="dxa" w:w="3600"/>
            <w:vAlign w:val="top"/>
          </w:tcPr>
          <w:p>
            <w:pPr>
              <w:spacing w:after="0"/>
              <w:jc w:val="left"/>
            </w:pPr>
            <w:r>
              <w:rPr>
                <w:rFonts w:ascii="Arial" w:hAnsi="Arial"/>
                <w:b w:val="0"/>
                <w:sz w:val="11"/>
              </w:rPr>
              <w:t>Tool-action logs; authorization records; liability assignment records; tool provider agreements</w:t>
            </w:r>
          </w:p>
        </w:tc>
        <w:tc>
          <w:tcPr>
            <w:tcW w:type="dxa" w:w="3600"/>
            <w:vAlign w:val="top"/>
          </w:tcPr>
          <w:p>
            <w:pPr>
              <w:spacing w:after="0"/>
              <w:jc w:val="left"/>
            </w:pPr>
            <w:r>
              <w:rPr>
                <w:rFonts w:ascii="Arial" w:hAnsi="Arial"/>
                <w:b w:val="0"/>
                <w:sz w:val="11"/>
              </w:rPr>
              <w:t>Liability disputes; unclear responsibility for tool-induced harm; vendor disputes; insurance claim failures</w:t>
            </w:r>
          </w:p>
        </w:tc>
      </w:tr>
      <w:tr>
        <w:trPr>
          <w:cantSplit/>
        </w:trPr>
        <w:tc>
          <w:tcPr>
            <w:tcW w:type="dxa" w:w="3600"/>
            <w:vAlign w:val="top"/>
          </w:tcPr>
          <w:p>
            <w:pPr>
              <w:spacing w:after="0"/>
              <w:jc w:val="left"/>
            </w:pPr>
            <w:r>
              <w:rPr>
                <w:rFonts w:ascii="Arial" w:hAnsi="Arial"/>
                <w:b w:val="0"/>
                <w:sz w:val="11"/>
              </w:rPr>
              <w:t>Responsibility Transfer Across Agents</w:t>
            </w:r>
          </w:p>
        </w:tc>
        <w:tc>
          <w:tcPr>
            <w:tcW w:type="dxa" w:w="3600"/>
            <w:vAlign w:val="top"/>
          </w:tcPr>
          <w:p>
            <w:pPr>
              <w:spacing w:after="0"/>
              <w:jc w:val="left"/>
            </w:pPr>
            <w:r>
              <w:rPr>
                <w:rFonts w:ascii="Arial" w:hAnsi="Arial"/>
                <w:b w:val="0"/>
                <w:sz w:val="11"/>
              </w:rPr>
              <w:t>Multi-agent handoff occurs but no responsibility transfer record exists; constraint inheritance is not validated</w:t>
            </w:r>
          </w:p>
        </w:tc>
        <w:tc>
          <w:tcPr>
            <w:tcW w:type="dxa" w:w="3600"/>
            <w:vAlign w:val="top"/>
          </w:tcPr>
          <w:p>
            <w:pPr>
              <w:spacing w:after="0"/>
              <w:jc w:val="left"/>
            </w:pPr>
            <w:r>
              <w:rPr>
                <w:rFonts w:ascii="Arial" w:hAnsi="Arial"/>
                <w:b w:val="0"/>
                <w:sz w:val="11"/>
              </w:rPr>
              <w:t>Handoff records; constraint transfer records; responsibility acceptance records; handoff validation logs</w:t>
            </w:r>
          </w:p>
        </w:tc>
        <w:tc>
          <w:tcPr>
            <w:tcW w:type="dxa" w:w="3600"/>
            <w:vAlign w:val="top"/>
          </w:tcPr>
          <w:p>
            <w:pPr>
              <w:spacing w:after="0"/>
              <w:jc w:val="left"/>
            </w:pPr>
            <w:r>
              <w:rPr>
                <w:rFonts w:ascii="Arial" w:hAnsi="Arial"/>
                <w:b w:val="0"/>
                <w:sz w:val="11"/>
              </w:rPr>
              <w:t>Accountability gaps across agent boundaries; constraint violations; handoff-induced failures; no responsible party for multi-agent outcomes</w:t>
            </w:r>
          </w:p>
        </w:tc>
      </w:tr>
      <w:tr>
        <w:trPr>
          <w:cantSplit/>
        </w:trPr>
        <w:tc>
          <w:tcPr>
            <w:tcW w:type="dxa" w:w="3600"/>
            <w:vAlign w:val="top"/>
          </w:tcPr>
          <w:p>
            <w:pPr>
              <w:spacing w:after="0"/>
              <w:jc w:val="left"/>
            </w:pPr>
            <w:r>
              <w:rPr>
                <w:rFonts w:ascii="Arial" w:hAnsi="Arial"/>
                <w:b w:val="0"/>
                <w:sz w:val="11"/>
              </w:rPr>
              <w:t>Authority Drift</w:t>
            </w:r>
          </w:p>
        </w:tc>
        <w:tc>
          <w:tcPr>
            <w:tcW w:type="dxa" w:w="3600"/>
            <w:vAlign w:val="top"/>
          </w:tcPr>
          <w:p>
            <w:pPr>
              <w:spacing w:after="0"/>
              <w:jc w:val="left"/>
            </w:pPr>
            <w:r>
              <w:rPr>
                <w:rFonts w:ascii="Arial" w:hAnsi="Arial"/>
                <w:b w:val="0"/>
                <w:sz w:val="11"/>
              </w:rPr>
              <w:t>Agent authority expands over time without explicit reauthorization; model updates or prompt changes alter agent behavior without authority review</w:t>
            </w:r>
          </w:p>
        </w:tc>
        <w:tc>
          <w:tcPr>
            <w:tcW w:type="dxa" w:w="3600"/>
            <w:vAlign w:val="top"/>
          </w:tcPr>
          <w:p>
            <w:pPr>
              <w:spacing w:after="0"/>
              <w:jc w:val="left"/>
            </w:pPr>
            <w:r>
              <w:rPr>
                <w:rFonts w:ascii="Arial" w:hAnsi="Arial"/>
                <w:b w:val="0"/>
                <w:sz w:val="11"/>
              </w:rPr>
              <w:t>Authority baseline records; drift detection logs; reauthorization records; behavior change alerts</w:t>
            </w:r>
          </w:p>
        </w:tc>
        <w:tc>
          <w:tcPr>
            <w:tcW w:type="dxa" w:w="3600"/>
            <w:vAlign w:val="top"/>
          </w:tcPr>
          <w:p>
            <w:pPr>
              <w:spacing w:after="0"/>
              <w:jc w:val="left"/>
            </w:pPr>
            <w:r>
              <w:rPr>
                <w:rFonts w:ascii="Arial" w:hAnsi="Arial"/>
                <w:b w:val="0"/>
                <w:sz w:val="11"/>
              </w:rPr>
              <w:t>Unauthorized authority expansion; regulatory non-compliance; customer harm; liability disputes</w:t>
            </w:r>
          </w:p>
        </w:tc>
      </w:tr>
      <w:tr>
        <w:trPr>
          <w:cantSplit/>
        </w:trPr>
        <w:tc>
          <w:tcPr>
            <w:tcW w:type="dxa" w:w="3600"/>
            <w:vAlign w:val="top"/>
          </w:tcPr>
          <w:p>
            <w:pPr>
              <w:spacing w:after="0"/>
              <w:jc w:val="left"/>
            </w:pPr>
            <w:r>
              <w:rPr>
                <w:rFonts w:ascii="Arial" w:hAnsi="Arial"/>
                <w:b w:val="0"/>
                <w:sz w:val="11"/>
              </w:rPr>
              <w:t>MAS Evidence Partitioning</w:t>
            </w:r>
          </w:p>
        </w:tc>
        <w:tc>
          <w:tcPr>
            <w:tcW w:type="dxa" w:w="3600"/>
            <w:vAlign w:val="top"/>
          </w:tcPr>
          <w:p>
            <w:pPr>
              <w:spacing w:after="0"/>
              <w:jc w:val="left"/>
            </w:pPr>
            <w:r>
              <w:rPr>
                <w:rFonts w:ascii="Arial" w:hAnsi="Arial"/>
                <w:b w:val="0"/>
                <w:sz w:val="11"/>
              </w:rPr>
              <w:t>Organization has logs but cannot partition evidence by project, customer, jurisdiction, or data subject; evidence export is not selective</w:t>
            </w:r>
          </w:p>
        </w:tc>
        <w:tc>
          <w:tcPr>
            <w:tcW w:type="dxa" w:w="3600"/>
            <w:vAlign w:val="top"/>
          </w:tcPr>
          <w:p>
            <w:pPr>
              <w:spacing w:after="0"/>
              <w:jc w:val="left"/>
            </w:pPr>
            <w:r>
              <w:rPr>
                <w:rFonts w:ascii="Arial" w:hAnsi="Arial"/>
                <w:b w:val="0"/>
                <w:sz w:val="11"/>
              </w:rPr>
              <w:t>Partitioned evidence chains; evidence export logs; partition policy records; selective disclosure records</w:t>
            </w:r>
          </w:p>
        </w:tc>
        <w:tc>
          <w:tcPr>
            <w:tcW w:type="dxa" w:w="3600"/>
            <w:vAlign w:val="top"/>
          </w:tcPr>
          <w:p>
            <w:pPr>
              <w:spacing w:after="0"/>
              <w:jc w:val="left"/>
            </w:pPr>
            <w:r>
              <w:rPr>
                <w:rFonts w:ascii="Arial" w:hAnsi="Arial"/>
                <w:b w:val="0"/>
                <w:sz w:val="11"/>
              </w:rPr>
              <w:t>Audit failure; privacy violations; inability to respond to data subject requests; regulatory investigation failure</w:t>
            </w:r>
          </w:p>
        </w:tc>
      </w:tr>
      <w:tr>
        <w:trPr>
          <w:cantSplit/>
        </w:trPr>
        <w:tc>
          <w:tcPr>
            <w:tcW w:type="dxa" w:w="3600"/>
            <w:vAlign w:val="top"/>
          </w:tcPr>
          <w:p>
            <w:pPr>
              <w:spacing w:after="0"/>
              <w:jc w:val="left"/>
            </w:pPr>
            <w:r>
              <w:rPr>
                <w:rFonts w:ascii="Arial" w:hAnsi="Arial"/>
                <w:b w:val="0"/>
                <w:sz w:val="11"/>
              </w:rPr>
              <w:t>Cross-Project Reuse Compliance</w:t>
            </w:r>
          </w:p>
        </w:tc>
        <w:tc>
          <w:tcPr>
            <w:tcW w:type="dxa" w:w="3600"/>
            <w:vAlign w:val="top"/>
          </w:tcPr>
          <w:p>
            <w:pPr>
              <w:spacing w:after="0"/>
              <w:jc w:val="left"/>
            </w:pPr>
            <w:r>
              <w:rPr>
                <w:rFonts w:ascii="Arial" w:hAnsi="Arial"/>
                <w:b w:val="0"/>
                <w:sz w:val="11"/>
              </w:rPr>
              <w:t>Prompt, memory, role, workflow, or trace-derived pattern is reused across regulated contexts without reset or reauthorization</w:t>
            </w:r>
          </w:p>
        </w:tc>
        <w:tc>
          <w:tcPr>
            <w:tcW w:type="dxa" w:w="3600"/>
            <w:vAlign w:val="top"/>
          </w:tcPr>
          <w:p>
            <w:pPr>
              <w:spacing w:after="0"/>
              <w:jc w:val="left"/>
            </w:pPr>
            <w:r>
              <w:rPr>
                <w:rFonts w:ascii="Arial" w:hAnsi="Arial"/>
                <w:b w:val="0"/>
                <w:sz w:val="11"/>
              </w:rPr>
              <w:t>Reuse records; reset validation records; reauthorization records; context boundary records</w:t>
            </w:r>
          </w:p>
        </w:tc>
        <w:tc>
          <w:tcPr>
            <w:tcW w:type="dxa" w:w="3600"/>
            <w:vAlign w:val="top"/>
          </w:tcPr>
          <w:p>
            <w:pPr>
              <w:spacing w:after="0"/>
              <w:jc w:val="left"/>
            </w:pPr>
            <w:r>
              <w:rPr>
                <w:rFonts w:ascii="Arial" w:hAnsi="Arial"/>
                <w:b w:val="0"/>
                <w:sz w:val="11"/>
              </w:rPr>
              <w:t>Privacy violations; compliance drift; cross-contamination of regulated contexts; regulatory non-compliance</w:t>
            </w:r>
          </w:p>
        </w:tc>
      </w:tr>
      <w:tr>
        <w:trPr>
          <w:cantSplit/>
        </w:trPr>
        <w:tc>
          <w:tcPr>
            <w:tcW w:type="dxa" w:w="3600"/>
            <w:vAlign w:val="top"/>
          </w:tcPr>
          <w:p>
            <w:pPr>
              <w:spacing w:after="0"/>
              <w:jc w:val="left"/>
            </w:pPr>
            <w:r>
              <w:rPr>
                <w:rFonts w:ascii="Arial" w:hAnsi="Arial"/>
                <w:b w:val="0"/>
                <w:sz w:val="11"/>
              </w:rPr>
              <w:t>Privacy/GDPR Lifecycle Mapping</w:t>
            </w:r>
          </w:p>
        </w:tc>
        <w:tc>
          <w:tcPr>
            <w:tcW w:type="dxa" w:w="3600"/>
            <w:vAlign w:val="top"/>
          </w:tcPr>
          <w:p>
            <w:pPr>
              <w:spacing w:after="0"/>
              <w:jc w:val="left"/>
            </w:pPr>
            <w:r>
              <w:rPr>
                <w:rFonts w:ascii="Arial" w:hAnsi="Arial"/>
                <w:b w:val="0"/>
                <w:sz w:val="11"/>
              </w:rPr>
              <w:t>Data flow, retention, and subject rights are not mapped to agent lifecycle; evidence retention conflicts with data subject rights</w:t>
            </w:r>
          </w:p>
        </w:tc>
        <w:tc>
          <w:tcPr>
            <w:tcW w:type="dxa" w:w="3600"/>
            <w:vAlign w:val="top"/>
          </w:tcPr>
          <w:p>
            <w:pPr>
              <w:spacing w:after="0"/>
              <w:jc w:val="left"/>
            </w:pPr>
            <w:r>
              <w:rPr>
                <w:rFonts w:ascii="Arial" w:hAnsi="Arial"/>
                <w:b w:val="0"/>
                <w:sz w:val="11"/>
              </w:rPr>
              <w:t>Data flow records; retention policy records; data subject rights workflow records; evidence minimization records</w:t>
            </w:r>
          </w:p>
        </w:tc>
        <w:tc>
          <w:tcPr>
            <w:tcW w:type="dxa" w:w="3600"/>
            <w:vAlign w:val="top"/>
          </w:tcPr>
          <w:p>
            <w:pPr>
              <w:spacing w:after="0"/>
              <w:jc w:val="left"/>
            </w:pPr>
            <w:r>
              <w:rPr>
                <w:rFonts w:ascii="Arial" w:hAnsi="Arial"/>
                <w:b w:val="0"/>
                <w:sz w:val="11"/>
              </w:rPr>
              <w:t>Privacy violations; GDPR non-compliance; data subject rights disputes; regulatory fines</w:t>
            </w:r>
          </w:p>
        </w:tc>
      </w:tr>
      <w:tr>
        <w:trPr>
          <w:cantSplit/>
        </w:trPr>
        <w:tc>
          <w:tcPr>
            <w:tcW w:type="dxa" w:w="3600"/>
            <w:vAlign w:val="top"/>
          </w:tcPr>
          <w:p>
            <w:pPr>
              <w:spacing w:after="0"/>
              <w:jc w:val="left"/>
            </w:pPr>
            <w:r>
              <w:rPr>
                <w:rFonts w:ascii="Arial" w:hAnsi="Arial"/>
                <w:b w:val="0"/>
                <w:sz w:val="11"/>
              </w:rPr>
              <w:t>Privacy-Preserving Third-Party Validation</w:t>
            </w:r>
          </w:p>
        </w:tc>
        <w:tc>
          <w:tcPr>
            <w:tcW w:type="dxa" w:w="3600"/>
            <w:vAlign w:val="top"/>
          </w:tcPr>
          <w:p>
            <w:pPr>
              <w:spacing w:after="0"/>
              <w:jc w:val="left"/>
            </w:pPr>
            <w:r>
              <w:rPr>
                <w:rFonts w:ascii="Arial" w:hAnsi="Arial"/>
                <w:b w:val="0"/>
                <w:sz w:val="11"/>
              </w:rPr>
              <w:t>Enterprise sends raw traces or sensitive evidence to a reviewer, creating a privacy/security incident during validation</w:t>
            </w:r>
          </w:p>
        </w:tc>
        <w:tc>
          <w:tcPr>
            <w:tcW w:type="dxa" w:w="3600"/>
            <w:vAlign w:val="top"/>
          </w:tcPr>
          <w:p>
            <w:pPr>
              <w:spacing w:after="0"/>
              <w:jc w:val="left"/>
            </w:pPr>
            <w:r>
              <w:rPr>
                <w:rFonts w:ascii="Arial" w:hAnsi="Arial"/>
                <w:b w:val="0"/>
                <w:sz w:val="11"/>
              </w:rPr>
              <w:t>Validation evidence records; disclosure policy records; redaction records; validation protocol records</w:t>
            </w:r>
          </w:p>
        </w:tc>
        <w:tc>
          <w:tcPr>
            <w:tcW w:type="dxa" w:w="3600"/>
            <w:vAlign w:val="top"/>
          </w:tcPr>
          <w:p>
            <w:pPr>
              <w:spacing w:after="0"/>
              <w:jc w:val="left"/>
            </w:pPr>
            <w:r>
              <w:rPr>
                <w:rFonts w:ascii="Arial" w:hAnsi="Arial"/>
                <w:b w:val="0"/>
                <w:sz w:val="11"/>
              </w:rPr>
              <w:t>Privacy violations; security incidents; regulatory non-compliance; customer trust loss</w:t>
            </w:r>
          </w:p>
        </w:tc>
      </w:tr>
      <w:tr>
        <w:trPr>
          <w:cantSplit/>
        </w:trPr>
        <w:tc>
          <w:tcPr>
            <w:tcW w:type="dxa" w:w="3600"/>
            <w:vAlign w:val="top"/>
          </w:tcPr>
          <w:p>
            <w:pPr>
              <w:spacing w:after="0"/>
              <w:jc w:val="left"/>
            </w:pPr>
            <w:r>
              <w:rPr>
                <w:rFonts w:ascii="Arial" w:hAnsi="Arial"/>
                <w:b w:val="0"/>
                <w:sz w:val="11"/>
              </w:rPr>
              <w:t>Evidence Minimization and Selective Disclosure</w:t>
            </w:r>
          </w:p>
        </w:tc>
        <w:tc>
          <w:tcPr>
            <w:tcW w:type="dxa" w:w="3600"/>
            <w:vAlign w:val="top"/>
          </w:tcPr>
          <w:p>
            <w:pPr>
              <w:spacing w:after="0"/>
              <w:jc w:val="left"/>
            </w:pPr>
            <w:r>
              <w:rPr>
                <w:rFonts w:ascii="Arial" w:hAnsi="Arial"/>
                <w:b w:val="0"/>
                <w:sz w:val="11"/>
              </w:rPr>
              <w:t>Organization retains excessive evidence or discloses evidence without minimization policy</w:t>
            </w:r>
          </w:p>
        </w:tc>
        <w:tc>
          <w:tcPr>
            <w:tcW w:type="dxa" w:w="3600"/>
            <w:vAlign w:val="top"/>
          </w:tcPr>
          <w:p>
            <w:pPr>
              <w:spacing w:after="0"/>
              <w:jc w:val="left"/>
            </w:pPr>
            <w:r>
              <w:rPr>
                <w:rFonts w:ascii="Arial" w:hAnsi="Arial"/>
                <w:b w:val="0"/>
                <w:sz w:val="11"/>
              </w:rPr>
              <w:t>Retention policy records; disclosure policy records; minimization records; selective disclosure logs</w:t>
            </w:r>
          </w:p>
        </w:tc>
        <w:tc>
          <w:tcPr>
            <w:tcW w:type="dxa" w:w="3600"/>
            <w:vAlign w:val="top"/>
          </w:tcPr>
          <w:p>
            <w:pPr>
              <w:spacing w:after="0"/>
              <w:jc w:val="left"/>
            </w:pPr>
            <w:r>
              <w:rPr>
                <w:rFonts w:ascii="Arial" w:hAnsi="Arial"/>
                <w:b w:val="0"/>
                <w:sz w:val="11"/>
              </w:rPr>
              <w:t>Privacy violations; regulatory non-compliance; excessive data retention risk; disclosure-induced harm</w:t>
            </w:r>
          </w:p>
        </w:tc>
      </w:tr>
      <w:tr>
        <w:trPr>
          <w:cantSplit/>
        </w:trPr>
        <w:tc>
          <w:tcPr>
            <w:tcW w:type="dxa" w:w="3600"/>
            <w:vAlign w:val="top"/>
          </w:tcPr>
          <w:p>
            <w:pPr>
              <w:spacing w:after="0"/>
              <w:jc w:val="left"/>
            </w:pPr>
            <w:r>
              <w:rPr>
                <w:rFonts w:ascii="Arial" w:hAnsi="Arial"/>
                <w:b w:val="0"/>
                <w:sz w:val="11"/>
              </w:rPr>
              <w:t>Third-Party Processor/Subprocessor Chain</w:t>
            </w:r>
          </w:p>
        </w:tc>
        <w:tc>
          <w:tcPr>
            <w:tcW w:type="dxa" w:w="3600"/>
            <w:vAlign w:val="top"/>
          </w:tcPr>
          <w:p>
            <w:pPr>
              <w:spacing w:after="0"/>
              <w:jc w:val="left"/>
            </w:pPr>
            <w:r>
              <w:rPr>
                <w:rFonts w:ascii="Arial" w:hAnsi="Arial"/>
                <w:b w:val="0"/>
                <w:sz w:val="11"/>
              </w:rPr>
              <w:t>Model provider, vector DB, CRM API, workflow tool, monitoring platform, and cloud runtime are all involved, but no processor/subprocessor responsibility chain exists</w:t>
            </w:r>
          </w:p>
        </w:tc>
        <w:tc>
          <w:tcPr>
            <w:tcW w:type="dxa" w:w="3600"/>
            <w:vAlign w:val="top"/>
          </w:tcPr>
          <w:p>
            <w:pPr>
              <w:spacing w:after="0"/>
              <w:jc w:val="left"/>
            </w:pPr>
            <w:r>
              <w:rPr>
                <w:rFonts w:ascii="Arial" w:hAnsi="Arial"/>
                <w:b w:val="0"/>
                <w:sz w:val="11"/>
              </w:rPr>
              <w:t>Processor agreements; subprocessor chain records; responsibility assignment records; data flow records</w:t>
            </w:r>
          </w:p>
        </w:tc>
        <w:tc>
          <w:tcPr>
            <w:tcW w:type="dxa" w:w="3600"/>
            <w:vAlign w:val="top"/>
          </w:tcPr>
          <w:p>
            <w:pPr>
              <w:spacing w:after="0"/>
              <w:jc w:val="left"/>
            </w:pPr>
            <w:r>
              <w:rPr>
                <w:rFonts w:ascii="Arial" w:hAnsi="Arial"/>
                <w:b w:val="0"/>
                <w:sz w:val="11"/>
              </w:rPr>
              <w:t>Processor chain liability disputes; GDPR Article 28 non-compliance; vendor disputes; unclear responsibility for processor-induced harm</w:t>
            </w:r>
          </w:p>
        </w:tc>
      </w:tr>
      <w:tr>
        <w:trPr>
          <w:cantSplit/>
        </w:trPr>
        <w:tc>
          <w:tcPr>
            <w:tcW w:type="dxa" w:w="3600"/>
            <w:vAlign w:val="top"/>
          </w:tcPr>
          <w:p>
            <w:pPr>
              <w:spacing w:after="0"/>
              <w:jc w:val="left"/>
            </w:pPr>
            <w:r>
              <w:rPr>
                <w:rFonts w:ascii="Arial" w:hAnsi="Arial"/>
                <w:b w:val="0"/>
                <w:sz w:val="11"/>
              </w:rPr>
              <w:t>Vendor/Model/Runtime Substitution Conformance</w:t>
            </w:r>
          </w:p>
        </w:tc>
        <w:tc>
          <w:tcPr>
            <w:tcW w:type="dxa" w:w="3600"/>
            <w:vAlign w:val="top"/>
          </w:tcPr>
          <w:p>
            <w:pPr>
              <w:spacing w:after="0"/>
              <w:jc w:val="left"/>
            </w:pPr>
            <w:r>
              <w:rPr>
                <w:rFonts w:ascii="Arial" w:hAnsi="Arial"/>
                <w:b w:val="0"/>
                <w:sz w:val="11"/>
              </w:rPr>
              <w:t>Team switches model, runtime, vector store, or tool provider; execution still works but evidence, authority, privacy, and replay semantics degrade</w:t>
            </w:r>
          </w:p>
        </w:tc>
        <w:tc>
          <w:tcPr>
            <w:tcW w:type="dxa" w:w="3600"/>
            <w:vAlign w:val="top"/>
          </w:tcPr>
          <w:p>
            <w:pPr>
              <w:spacing w:after="0"/>
              <w:jc w:val="left"/>
            </w:pPr>
            <w:r>
              <w:rPr>
                <w:rFonts w:ascii="Arial" w:hAnsi="Arial"/>
                <w:b w:val="0"/>
                <w:sz w:val="11"/>
              </w:rPr>
              <w:t>Substitution records; conformance validation records; regression testing records; evidence integrity validation records</w:t>
            </w:r>
          </w:p>
        </w:tc>
        <w:tc>
          <w:tcPr>
            <w:tcW w:type="dxa" w:w="3600"/>
            <w:vAlign w:val="top"/>
          </w:tcPr>
          <w:p>
            <w:pPr>
              <w:spacing w:after="0"/>
              <w:jc w:val="left"/>
            </w:pPr>
            <w:r>
              <w:rPr>
                <w:rFonts w:ascii="Arial" w:hAnsi="Arial"/>
                <w:b w:val="0"/>
                <w:sz w:val="11"/>
              </w:rPr>
              <w:t>Compliance drift; evidence chain degradation; authority boundary violations; privacy violations; audit failure</w:t>
            </w:r>
          </w:p>
        </w:tc>
      </w:tr>
      <w:tr>
        <w:trPr>
          <w:cantSplit/>
        </w:trPr>
        <w:tc>
          <w:tcPr>
            <w:tcW w:type="dxa" w:w="3600"/>
            <w:vAlign w:val="top"/>
          </w:tcPr>
          <w:p>
            <w:pPr>
              <w:spacing w:after="0"/>
              <w:jc w:val="left"/>
            </w:pPr>
            <w:r>
              <w:rPr>
                <w:rFonts w:ascii="Arial" w:hAnsi="Arial"/>
                <w:b w:val="0"/>
                <w:sz w:val="11"/>
              </w:rPr>
              <w:t>Incident, Dispute, and Remediation Closure</w:t>
            </w:r>
          </w:p>
        </w:tc>
        <w:tc>
          <w:tcPr>
            <w:tcW w:type="dxa" w:w="3600"/>
            <w:vAlign w:val="top"/>
          </w:tcPr>
          <w:p>
            <w:pPr>
              <w:spacing w:after="0"/>
              <w:jc w:val="left"/>
            </w:pPr>
            <w:r>
              <w:rPr>
                <w:rFonts w:ascii="Arial" w:hAnsi="Arial"/>
                <w:b w:val="0"/>
                <w:sz w:val="11"/>
              </w:rPr>
              <w:t>Engineering fixes a prompt or workflow bug, but no responsibility owner, affected outcome list, evidence review, customer impact assessment, or accepted closure state exists</w:t>
            </w:r>
          </w:p>
        </w:tc>
        <w:tc>
          <w:tcPr>
            <w:tcW w:type="dxa" w:w="3600"/>
            <w:vAlign w:val="top"/>
          </w:tcPr>
          <w:p>
            <w:pPr>
              <w:spacing w:after="0"/>
              <w:jc w:val="left"/>
            </w:pPr>
            <w:r>
              <w:rPr>
                <w:rFonts w:ascii="Arial" w:hAnsi="Arial"/>
                <w:b w:val="0"/>
                <w:sz w:val="11"/>
              </w:rPr>
              <w:t>Incident records; affected outcome records; remediation records; closure acceptance records; customer impact assessment records</w:t>
            </w:r>
          </w:p>
        </w:tc>
        <w:tc>
          <w:tcPr>
            <w:tcW w:type="dxa" w:w="3600"/>
            <w:vAlign w:val="top"/>
          </w:tcPr>
          <w:p>
            <w:pPr>
              <w:spacing w:after="0"/>
              <w:jc w:val="left"/>
            </w:pPr>
            <w:r>
              <w:rPr>
                <w:rFonts w:ascii="Arial" w:hAnsi="Arial"/>
                <w:b w:val="0"/>
                <w:sz w:val="11"/>
              </w:rPr>
              <w:t>Remediation delays; no closure state; customer disputes without resolution; regulatory investigation failure; reputational damage</w:t>
            </w:r>
          </w:p>
        </w:tc>
      </w:tr>
    </w:tbl>
    <w:p>
      <w:pPr>
        <w:sectPr>
          <w:pgSz w:w="15840" w:h="12240" w:orient="landscape"/>
          <w:pgMar w:top="792" w:right="648" w:bottom="792" w:left="648" w:header="720" w:footer="720" w:gutter="0"/>
          <w:cols w:space="720"/>
          <w:docGrid w:linePitch="360"/>
        </w:sectPr>
      </w:pPr>
    </w:p>
    <w:p/>
    <w:p>
      <w:r>
        <w:t>Interpretation: This mapping shows that lifecycle governance gaps create predictable enterprise failures. Missing objects lead to accountability gaps, audit failures, privacy violations, liability disputes, and regulatory non-compliance. Investigation requires specific evidence artifacts that ordinary orchestration logs do not provide.</w:t>
      </w:r>
    </w:p>
    <w:p/>
    <w:p/>
    <w:p>
      <w:pPr>
        <w:pStyle w:val="Heading2"/>
      </w:pPr>
      <w:r>
        <w:t>15.3 Failure Scenario Examples</w:t>
      </w:r>
    </w:p>
    <w:p/>
    <w:p>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
      <w:pPr>
        <w:pStyle w:val="Heading3"/>
      </w:pPr>
      <w:r>
        <w:t>Scenario 1: Authority Boundary Failure</w:t>
      </w:r>
    </w:p>
    <w:p/>
    <w:p>
      <w:r>
        <w:t>Failure Trigger:</w:t>
      </w:r>
    </w:p>
    <w:p>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
      <w:r>
        <w:t>Missing Lifecycle Object:</w:t>
      </w:r>
    </w:p>
    <w:p>
      <w:r>
        <w:t>Delegated Authority Boundary (MRO-02); Authority Drift Detection (MRO-07); Tool-Action Liability Boundary (MRO-05)</w:t>
      </w:r>
    </w:p>
    <w:p/>
    <w:p>
      <w:r>
        <w:t>Relevant ALCS Dimensions:</w:t>
      </w:r>
    </w:p>
    <w:p>
      <w:r>
        <w:t>ALCS-02: Delegated Authority Boundary; ALCS-07: Authority Drift Detection; ALCS-04: Accepted Outcome Compliance</w:t>
      </w:r>
    </w:p>
    <w:p/>
    <w:p>
      <w:r>
        <w:t>Enterprise Consequence:</w:t>
      </w:r>
    </w:p>
    <w:p>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
      <w:r>
        <w:t>Investigation Evidence Needed:</w:t>
      </w:r>
    </w:p>
    <w:p>
      <w:pPr>
        <w:pStyle w:val="ListBullet"/>
      </w:pPr>
      <w:r>
        <w:t>Authority grant records showing original delegation scope (draft only, not send)</w:t>
      </w:r>
    </w:p>
    <w:p>
      <w:pPr>
        <w:pStyle w:val="ListBullet"/>
      </w:pPr>
      <w:r>
        <w:t>Tool-action logs showing when agent began sending emails directly</w:t>
      </w:r>
    </w:p>
    <w:p>
      <w:pPr>
        <w:pStyle w:val="ListBullet"/>
      </w:pPr>
      <w:r>
        <w:t>Drift detection logs (if any) showing authority expansion</w:t>
      </w:r>
    </w:p>
    <w:p>
      <w:pPr>
        <w:pStyle w:val="ListBullet"/>
      </w:pPr>
      <w:r>
        <w:t>Human confirmation records (absent for the disputed action)</w:t>
      </w:r>
    </w:p>
    <w:p>
      <w:pPr>
        <w:pStyle w:val="ListBullet"/>
      </w:pPr>
      <w:r>
        <w:t>Acceptance records (absent because no human accepted the outcome)</w:t>
      </w:r>
    </w:p>
    <w:p/>
    <w:p>
      <w:r>
        <w:t>Remediation Pattern:</w:t>
      </w:r>
    </w:p>
    <w:p>
      <w:pPr>
        <w:pStyle w:val="ListBullet"/>
      </w:pPr>
      <w:r>
        <w:t>Implement explicit authority boundary enforcement at tool-action layer</w:t>
      </w:r>
    </w:p>
    <w:p>
      <w:pPr>
        <w:pStyle w:val="ListBullet"/>
      </w:pPr>
      <w:r>
        <w:t>Add drift detection monitoring for authority scope changes</w:t>
      </w:r>
    </w:p>
    <w:p>
      <w:pPr>
        <w:pStyle w:val="ListBullet"/>
      </w:pPr>
      <w:r>
        <w:t>Require human confirmation for all tool actions that commit the enterprise</w:t>
      </w:r>
    </w:p>
    <w:p>
      <w:pPr>
        <w:pStyle w:val="ListBullet"/>
      </w:pPr>
      <w:r>
        <w:t>Add authority reauthorization workflow when agent behavior changes</w:t>
      </w:r>
    </w:p>
    <w:p>
      <w:pPr>
        <w:pStyle w:val="ListBullet"/>
      </w:pPr>
      <w:r>
        <w:t>Implement accepted outcome compliance workflow</w:t>
      </w:r>
    </w:p>
    <w:p/>
    <w:p>
      <w:r>
        <w:t>Relevant MROs: MRO-02, MRO-05, MRO-07</w:t>
      </w:r>
    </w:p>
    <w:p>
      <w:r>
        <w:t>Relevant ALCS: ALCS-02, ALCS-04, ALCS-07</w:t>
      </w:r>
    </w:p>
    <w:p/>
    <w:p/>
    <w:p>
      <w:pPr>
        <w:pStyle w:val="Heading3"/>
      </w:pPr>
      <w:r>
        <w:t>Scenario 2: Evidence Chain Failure</w:t>
      </w:r>
    </w:p>
    <w:p/>
    <w:p>
      <w:r>
        <w:t>Failure Trigger:</w:t>
      </w:r>
    </w:p>
    <w:p>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
      <w:r>
        <w:t>Missing Lifecycle Object:</w:t>
      </w:r>
    </w:p>
    <w:p>
      <w:r>
        <w:t>MAS Evidence Partitioning (MRO-08); Privacy-Preserving Third-Party Validation (MRO-11); Evidence Minimization and Selective Disclosure (MRO-12)</w:t>
      </w:r>
    </w:p>
    <w:p/>
    <w:p>
      <w:r>
        <w:t>Relevant ALCS Dimensions:</w:t>
      </w:r>
    </w:p>
    <w:p>
      <w:r>
        <w:t>ALCS-08: MAS Evidence Partitioning; ALCS-11: Privacy-Preserving Third-Party Validation; ALCS-12: Evidence Minimization and Selective Disclosure</w:t>
      </w:r>
    </w:p>
    <w:p/>
    <w:p>
      <w:r>
        <w:t>Enterprise Consequence:</w:t>
      </w:r>
    </w:p>
    <w:p>
      <w:r>
        <w:t>Audit failure. Regulatory investigation. Potential fines. Inability to demonstrate compliance. Customer disputes cannot be resolved because evidence chain is incomplete. Reputational damage.</w:t>
      </w:r>
    </w:p>
    <w:p/>
    <w:p>
      <w:r>
        <w:t>Investigation Evidence Needed:</w:t>
      </w:r>
    </w:p>
    <w:p>
      <w:pPr>
        <w:pStyle w:val="ListBullet"/>
      </w:pPr>
      <w:r>
        <w:t>Partitioned evidence chain showing authority → plan → confirmation → tool action → evidence → review → accepted outcome</w:t>
      </w:r>
    </w:p>
    <w:p>
      <w:pPr>
        <w:pStyle w:val="ListBullet"/>
      </w:pPr>
      <w:r>
        <w:t>Evidence export records showing selective disclosure to auditor</w:t>
      </w:r>
    </w:p>
    <w:p>
      <w:pPr>
        <w:pStyle w:val="ListBullet"/>
      </w:pPr>
      <w:r>
        <w:t>Retention policy records showing evidence minimization</w:t>
      </w:r>
    </w:p>
    <w:p>
      <w:pPr>
        <w:pStyle w:val="ListBullet"/>
      </w:pPr>
      <w:r>
        <w:t>Validation protocol records (if third-party validation was used)</w:t>
      </w:r>
    </w:p>
    <w:p/>
    <w:p>
      <w:r>
        <w:t>Remediation Pattern:</w:t>
      </w:r>
    </w:p>
    <w:p>
      <w:pPr>
        <w:pStyle w:val="ListBullet"/>
      </w:pPr>
      <w:r>
        <w:t>Implement MAS evidence partitioning at lifecycle object boundaries</w:t>
      </w:r>
    </w:p>
    <w:p>
      <w:pPr>
        <w:pStyle w:val="ListBullet"/>
      </w:pPr>
      <w:r>
        <w:t>Add evidence export capability with selective disclosure</w:t>
      </w:r>
    </w:p>
    <w:p>
      <w:pPr>
        <w:pStyle w:val="ListBullet"/>
      </w:pPr>
      <w:r>
        <w:t>Implement retention policy aligned with evidence minimization</w:t>
      </w:r>
    </w:p>
    <w:p>
      <w:pPr>
        <w:pStyle w:val="ListBullet"/>
      </w:pPr>
      <w:r>
        <w:t>Add privacy-preserving validation protocol for third-party review</w:t>
      </w:r>
    </w:p>
    <w:p>
      <w:pPr>
        <w:pStyle w:val="ListBullet"/>
      </w:pPr>
      <w:r>
        <w:t>Implement evidence chain integrity validation</w:t>
      </w:r>
    </w:p>
    <w:p/>
    <w:p>
      <w:r>
        <w:t>Relevant MROs: MRO-08, MRO-11, MRO-12</w:t>
      </w:r>
    </w:p>
    <w:p>
      <w:r>
        <w:t>Relevant ALCS: ALCS-08, ALCS-11, ALCS-12</w:t>
      </w:r>
    </w:p>
    <w:p/>
    <w:p/>
    <w:p>
      <w:pPr>
        <w:pStyle w:val="Heading3"/>
      </w:pPr>
      <w:r>
        <w:t>Scenario 3: Accepted Outcome Failure</w:t>
      </w:r>
    </w:p>
    <w:p/>
    <w:p>
      <w:r>
        <w:t>Failure Trigger:</w:t>
      </w:r>
    </w:p>
    <w:p>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
      <w:r>
        <w:t>Missing Lifecycle Object:</w:t>
      </w:r>
    </w:p>
    <w:p>
      <w:r>
        <w:t>Human-Role-to-MAS Responsibility Mapping (MRO-01); Accepted Outcome Compliance (MRO-04); Incident, Dispute, and Remediation Closure (MRO-16)</w:t>
      </w:r>
    </w:p>
    <w:p/>
    <w:p>
      <w:r>
        <w:t>Relevant ALCS Dimensions:</w:t>
      </w:r>
    </w:p>
    <w:p>
      <w:r>
        <w:t>ALCS-01: Human-Role-to-MAS Responsibility Mapping; ALCS-04: Accepted Outcome Compliance; ALCS-06: Responsibility Transfer Across Agents</w:t>
      </w:r>
    </w:p>
    <w:p/>
    <w:p>
      <w:r>
        <w:t>Enterprise Consequence:</w:t>
      </w:r>
    </w:p>
    <w:p>
      <w:r>
        <w:t>No responsible party for the disputed outcome. Customer dispute cannot be resolved because no acceptance record exists. Remediation is delayed because no owner is assigned. Regulatory investigation reveals accountability gap. Reputational damage.</w:t>
      </w:r>
    </w:p>
    <w:p/>
    <w:p>
      <w:r>
        <w:t>Investigation Evidence Needed:</w:t>
      </w:r>
    </w:p>
    <w:p>
      <w:pPr>
        <w:pStyle w:val="ListBullet"/>
      </w:pPr>
      <w:r>
        <w:t>Role assignment records showing which human role should accept outcomes</w:t>
      </w:r>
    </w:p>
    <w:p>
      <w:pPr>
        <w:pStyle w:val="ListBullet"/>
      </w:pPr>
      <w:r>
        <w:t>Acceptance records (absent)</w:t>
      </w:r>
    </w:p>
    <w:p>
      <w:pPr>
        <w:pStyle w:val="ListBullet"/>
      </w:pPr>
      <w:r>
        <w:t>Review records (absent)</w:t>
      </w:r>
    </w:p>
    <w:p>
      <w:pPr>
        <w:pStyle w:val="ListBullet"/>
      </w:pPr>
      <w:r>
        <w:t>Escalation records (absent because no acceptance workflow exists)</w:t>
      </w:r>
    </w:p>
    <w:p>
      <w:pPr>
        <w:pStyle w:val="ListBullet"/>
      </w:pPr>
      <w:r>
        <w:t>Remediation ownership records (absent)</w:t>
      </w:r>
    </w:p>
    <w:p/>
    <w:p>
      <w:r>
        <w:t>Remediation Pattern:</w:t>
      </w:r>
    </w:p>
    <w:p>
      <w:pPr>
        <w:pStyle w:val="ListBullet"/>
      </w:pPr>
      <w:r>
        <w:t>Implement human-role-to-MAS responsibility mapping</w:t>
      </w:r>
    </w:p>
    <w:p>
      <w:pPr>
        <w:pStyle w:val="ListBullet"/>
      </w:pPr>
      <w:r>
        <w:t>Add accepted outcome compliance workflow requiring explicit human acceptance</w:t>
      </w:r>
    </w:p>
    <w:p>
      <w:pPr>
        <w:pStyle w:val="ListBullet"/>
      </w:pPr>
      <w:r>
        <w:t>Implement review and escalation workflow for disputed outcomes</w:t>
      </w:r>
    </w:p>
    <w:p>
      <w:pPr>
        <w:pStyle w:val="ListBullet"/>
      </w:pPr>
      <w:r>
        <w:t>Add remediation ownership assignment</w:t>
      </w:r>
    </w:p>
    <w:p>
      <w:pPr>
        <w:pStyle w:val="ListBullet"/>
      </w:pPr>
      <w:r>
        <w:t>Implement incident and dispute closure workflow</w:t>
      </w:r>
    </w:p>
    <w:p/>
    <w:p>
      <w:r>
        <w:t>Relevant MROs: MRO-01, MRO-04, MRO-16</w:t>
      </w:r>
    </w:p>
    <w:p>
      <w:r>
        <w:t>Relevant ALCS: ALCS-01, ALCS-04, ALCS-06</w:t>
      </w:r>
    </w:p>
    <w:p/>
    <w:p/>
    <w:p>
      <w:pPr>
        <w:pStyle w:val="Heading3"/>
      </w:pPr>
      <w:r>
        <w:t>Scenario 4: Cross-Project Reuse Failure</w:t>
      </w:r>
    </w:p>
    <w:p/>
    <w:p>
      <w:r>
        <w:t>Failure Trigger:</w:t>
      </w:r>
    </w:p>
    <w:p>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
      <w:r>
        <w:t>Missing Lifecycle Object:</w:t>
      </w:r>
    </w:p>
    <w:p>
      <w:r>
        <w:t>Cross-Project Reuse Compliance (MRO-09); Privacy/GDPR Lifecycle Mapping (MRO-10); Vendor/Model/Runtime Substitution Conformance (MRO-15)</w:t>
      </w:r>
    </w:p>
    <w:p/>
    <w:p>
      <w:r>
        <w:t>Relevant ALCS Dimensions:</w:t>
      </w:r>
    </w:p>
    <w:p>
      <w:r>
        <w:t>ALCS-09: Cross-Project Reuse Compliance; ALCS-10: Privacy/GDPR Lifecycle Mapping; ALCS-14: Third-Party Processor/Subprocessor Chain</w:t>
      </w:r>
    </w:p>
    <w:p/>
    <w:p>
      <w:r>
        <w:t>Enterprise Consequence:</w:t>
      </w:r>
    </w:p>
    <w:p>
      <w:r>
        <w:t>Privacy violation. HIPAA non-compliance. Regulatory fines. Customer trust loss. Cross-contamination of regulated and non-regulated contexts. Reputational damage.</w:t>
      </w:r>
    </w:p>
    <w:p/>
    <w:p>
      <w:r>
        <w:t>Investigation Evidence Needed:</w:t>
      </w:r>
    </w:p>
    <w:p>
      <w:pPr>
        <w:pStyle w:val="ListBullet"/>
      </w:pPr>
      <w:r>
        <w:t>Reuse records showing when and how the pattern was reused</w:t>
      </w:r>
    </w:p>
    <w:p>
      <w:pPr>
        <w:pStyle w:val="ListBullet"/>
      </w:pPr>
      <w:r>
        <w:t>Reset validation records (absent)</w:t>
      </w:r>
    </w:p>
    <w:p>
      <w:pPr>
        <w:pStyle w:val="ListBullet"/>
      </w:pPr>
      <w:r>
        <w:t>Reauthorization records (absent)</w:t>
      </w:r>
    </w:p>
    <w:p>
      <w:pPr>
        <w:pStyle w:val="ListBullet"/>
      </w:pPr>
      <w:r>
        <w:t>Context boundary records (absent)</w:t>
      </w:r>
    </w:p>
    <w:p>
      <w:pPr>
        <w:pStyle w:val="ListBullet"/>
      </w:pPr>
      <w:r>
        <w:t>Privacy impact assessment records (absent)</w:t>
      </w:r>
    </w:p>
    <w:p/>
    <w:p>
      <w:r>
        <w:t>Remediation Pattern:</w:t>
      </w:r>
    </w:p>
    <w:p>
      <w:pPr>
        <w:pStyle w:val="ListBullet"/>
      </w:pPr>
      <w:r>
        <w:t>Implement cross-project reuse compliance workflow requiring reset and reauthorization</w:t>
      </w:r>
    </w:p>
    <w:p>
      <w:pPr>
        <w:pStyle w:val="ListBullet"/>
      </w:pPr>
      <w:r>
        <w:t>Add context boundary validation for regulated projects</w:t>
      </w:r>
    </w:p>
    <w:p>
      <w:pPr>
        <w:pStyle w:val="ListBullet"/>
      </w:pPr>
      <w:r>
        <w:t>Implement privacy/GDPR lifecycle mapping for data flow</w:t>
      </w:r>
    </w:p>
    <w:p>
      <w:pPr>
        <w:pStyle w:val="ListBullet"/>
      </w:pPr>
      <w:r>
        <w:t>Add reuse policy enforcement at project boundaries</w:t>
      </w:r>
    </w:p>
    <w:p>
      <w:pPr>
        <w:pStyle w:val="ListBullet"/>
      </w:pPr>
      <w:r>
        <w:t>Implement substitution conformance validation</w:t>
      </w:r>
    </w:p>
    <w:p/>
    <w:p>
      <w:r>
        <w:t>Relevant MROs: MRO-09, MRO-10, MRO-15</w:t>
      </w:r>
    </w:p>
    <w:p>
      <w:r>
        <w:t>Relevant ALCS: ALCS-09, ALCS-10, ALCS-14</w:t>
      </w:r>
    </w:p>
    <w:p/>
    <w:p/>
    <w:p>
      <w:pPr>
        <w:pStyle w:val="Heading3"/>
      </w:pPr>
      <w:r>
        <w:t>Scenario 5: Privacy Validation Failure</w:t>
      </w:r>
    </w:p>
    <w:p/>
    <w:p>
      <w:r>
        <w:t>Failure Trigger:</w:t>
      </w:r>
    </w:p>
    <w:p>
      <w:r>
        <w:t>An enterprise sends raw agent traces, including customer PII and proprietary business logic, to a third-party reviewer for compliance validation. The reviewer is not a processor under a data processing agreement. The data transfer creates a privacy violation and security incident.</w:t>
      </w:r>
    </w:p>
    <w:p/>
    <w:p>
      <w:r>
        <w:t>Missing Lifecycle Object:</w:t>
      </w:r>
    </w:p>
    <w:p>
      <w:r>
        <w:t>Privacy/GDPR Lifecycle Mapping (MRO-10); Privacy-Preserving Third-Party Validation (MRO-11); Evidence Minimization and Selective Disclosure (MRO-12); Data Subject Rights vs Evidence Retention (MRO-13)</w:t>
      </w:r>
    </w:p>
    <w:p/>
    <w:p>
      <w:r>
        <w:t>Relevant ALCS Dimensions:</w:t>
      </w:r>
    </w:p>
    <w:p>
      <w:r>
        <w:t>ALCS-10: Privacy/GDPR Lifecycle Mapping; ALCS-11: Privacy-Preserving Third-Party Validation; ALCS-12: Evidence Minimization and Selective Disclosure; ALCS-13: Data Subject Rights vs Evidence Retention</w:t>
      </w:r>
    </w:p>
    <w:p/>
    <w:p>
      <w:r>
        <w:t>Enterprise Consequence:</w:t>
      </w:r>
    </w:p>
    <w:p>
      <w:r>
        <w:t>Privacy violation. GDPR Article 28 non-compliance. Security incident. Regulatory investigation. Customer trust loss. Potential fines. Reputational damage.</w:t>
      </w:r>
    </w:p>
    <w:p/>
    <w:p>
      <w:r>
        <w:t>Investigation Evidence Needed:</w:t>
      </w:r>
    </w:p>
    <w:p>
      <w:pPr>
        <w:pStyle w:val="ListBullet"/>
      </w:pPr>
      <w:r>
        <w:t>Validation evidence transfer records</w:t>
      </w:r>
    </w:p>
    <w:p>
      <w:pPr>
        <w:pStyle w:val="ListBullet"/>
      </w:pPr>
      <w:r>
        <w:t>Data processing agreement records (absent)</w:t>
      </w:r>
    </w:p>
    <w:p>
      <w:pPr>
        <w:pStyle w:val="ListBullet"/>
      </w:pPr>
      <w:r>
        <w:t>Disclosure policy records (absent)</w:t>
      </w:r>
    </w:p>
    <w:p>
      <w:pPr>
        <w:pStyle w:val="ListBullet"/>
      </w:pPr>
      <w:r>
        <w:t>Redaction records (absent)</w:t>
      </w:r>
    </w:p>
    <w:p>
      <w:pPr>
        <w:pStyle w:val="ListBullet"/>
      </w:pPr>
      <w:r>
        <w:t>Evidence minimization records (absent)</w:t>
      </w:r>
    </w:p>
    <w:p>
      <w:pPr>
        <w:pStyle w:val="ListBullet"/>
      </w:pPr>
      <w:r>
        <w:t>Validation protocol records (absent)</w:t>
      </w:r>
    </w:p>
    <w:p/>
    <w:p>
      <w:r>
        <w:t>Remediation Pattern:</w:t>
      </w:r>
    </w:p>
    <w:p>
      <w:pPr>
        <w:pStyle w:val="ListBullet"/>
      </w:pPr>
      <w:r>
        <w:t>Implement privacy-preserving third-party validation protocol (e.g., evidence-based validation pattern from Chapter 14)</w:t>
      </w:r>
    </w:p>
    <w:p>
      <w:pPr>
        <w:pStyle w:val="ListBullet"/>
      </w:pPr>
      <w:r>
        <w:t>Add disclosure policy requiring evidence minimization and selective disclosure</w:t>
      </w:r>
    </w:p>
    <w:p>
      <w:pPr>
        <w:pStyle w:val="ListBullet"/>
      </w:pPr>
      <w:r>
        <w:t>Implement redaction profile for sensitive data</w:t>
      </w:r>
    </w:p>
    <w:p>
      <w:pPr>
        <w:pStyle w:val="ListBullet"/>
      </w:pPr>
      <w:r>
        <w:t>Add data processing agreement requirement for validation providers</w:t>
      </w:r>
    </w:p>
    <w:p>
      <w:pPr>
        <w:pStyle w:val="ListBullet"/>
      </w:pPr>
      <w:r>
        <w:t>Implement validation protocol with hash manifests and verdict hashes instead of raw trace transfer</w:t>
      </w:r>
    </w:p>
    <w:p/>
    <w:p>
      <w:r>
        <w:t>Relevant MROs: MRO-10, MRO-11, MRO-12, MRO-13</w:t>
      </w:r>
    </w:p>
    <w:p>
      <w:r>
        <w:t>Relevant ALCS: ALCS-10, ALCS-11, ALCS-12, ALCS-13</w:t>
      </w:r>
    </w:p>
    <w:p/>
    <w:p/>
    <w:p>
      <w:pPr>
        <w:pStyle w:val="Heading3"/>
      </w:pPr>
      <w:r>
        <w:t>Scenario 6: Processor Chain Failure</w:t>
      </w:r>
    </w:p>
    <w:p/>
    <w:p>
      <w:r>
        <w:t>Failure Trigger:</w:t>
      </w:r>
    </w:p>
    <w:p>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
      <w:r>
        <w:t>Missing Lifecycle Object:</w:t>
      </w:r>
    </w:p>
    <w:p>
      <w:r>
        <w:t>Third-Party Processor/Subprocessor Chain (MRO-14); Tool-Action Liability Boundary (MRO-05); MAS Evidence Partitioning (MRO-08)</w:t>
      </w:r>
    </w:p>
    <w:p/>
    <w:p>
      <w:r>
        <w:t>Relevant ALCS Dimensions:</w:t>
      </w:r>
    </w:p>
    <w:p>
      <w:r>
        <w:t>ALCS-14: Third-Party Processor/Subprocessor Chain; ALCS-04: Accepted Outcome Compliance; ALCS-08: MAS Evidence Partitioning</w:t>
      </w:r>
    </w:p>
    <w:p/>
    <w:p>
      <w:r>
        <w:t>Enterprise Consequence:</w:t>
      </w:r>
    </w:p>
    <w:p>
      <w:r>
        <w:t>Processor chain liability dispute. GDPR Article 28 non-compliance. Unclear responsibility for breach. Vendor disputes. Insurance claim failure. Regulatory investigation. Customer trust loss. Reputational damage.</w:t>
      </w:r>
    </w:p>
    <w:p/>
    <w:p>
      <w:r>
        <w:t>Investigation Evidence Needed:</w:t>
      </w:r>
    </w:p>
    <w:p>
      <w:pPr>
        <w:pStyle w:val="ListBullet"/>
      </w:pPr>
      <w:r>
        <w:t>Processor agreements with each vendor</w:t>
      </w:r>
    </w:p>
    <w:p>
      <w:pPr>
        <w:pStyle w:val="ListBullet"/>
      </w:pPr>
      <w:r>
        <w:t>Subprocessor chain records showing data flow</w:t>
      </w:r>
    </w:p>
    <w:p>
      <w:pPr>
        <w:pStyle w:val="ListBullet"/>
      </w:pPr>
      <w:r>
        <w:t>Responsibility assignment records for each processor</w:t>
      </w:r>
    </w:p>
    <w:p>
      <w:pPr>
        <w:pStyle w:val="ListBullet"/>
      </w:pPr>
      <w:r>
        <w:t>Tool-action logs showing which processor handled which data</w:t>
      </w:r>
    </w:p>
    <w:p>
      <w:pPr>
        <w:pStyle w:val="ListBullet"/>
      </w:pPr>
      <w:r>
        <w:t>Evidence partitioning records showing processor boundaries</w:t>
      </w:r>
    </w:p>
    <w:p/>
    <w:p>
      <w:r>
        <w:t>Remediation Pattern:</w:t>
      </w:r>
    </w:p>
    <w:p>
      <w:pPr>
        <w:pStyle w:val="ListBullet"/>
      </w:pPr>
      <w:r>
        <w:t>Implement third-party processor/subprocessor chain mapping</w:t>
      </w:r>
    </w:p>
    <w:p>
      <w:pPr>
        <w:pStyle w:val="ListBullet"/>
      </w:pPr>
      <w:r>
        <w:t>Add processor agreements with GDPR Article 28 compliance</w:t>
      </w:r>
    </w:p>
    <w:p>
      <w:pPr>
        <w:pStyle w:val="ListBullet"/>
      </w:pPr>
      <w:r>
        <w:t>Implement responsibility assignment for each processor</w:t>
      </w:r>
    </w:p>
    <w:p>
      <w:pPr>
        <w:pStyle w:val="ListBullet"/>
      </w:pPr>
      <w:r>
        <w:t>Add tool-action liability boundary records</w:t>
      </w:r>
    </w:p>
    <w:p>
      <w:pPr>
        <w:pStyle w:val="ListBullet"/>
      </w:pPr>
      <w:r>
        <w:t>Implement evidence partitioning at processor boundaries</w:t>
      </w:r>
    </w:p>
    <w:p/>
    <w:p>
      <w:r>
        <w:t>Relevant MROs: MRO-14, MRO-05, MRO-08</w:t>
      </w:r>
    </w:p>
    <w:p>
      <w:r>
        <w:t>Relevant ALCS: ALCS-14, ALCS-04, ALCS-08</w:t>
      </w:r>
    </w:p>
    <w:p/>
    <w:p/>
    <w:p>
      <w:pPr>
        <w:pStyle w:val="Heading3"/>
      </w:pPr>
      <w:r>
        <w:t>Scenario 7: Vendor / Runtime Substitution Failure</w:t>
      </w:r>
    </w:p>
    <w:p/>
    <w:p>
      <w:r>
        <w:t>Failure Trigger:</w:t>
      </w:r>
    </w:p>
    <w:p>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
      <w:r>
        <w:t>Missing Lifecycle Object:</w:t>
      </w:r>
    </w:p>
    <w:p>
      <w:r>
        <w:t>Vendor/Model/Runtime Substitution Conformance (MRO-15); MAS Evidence Partitioning (MRO-08); Privacy/GDPR Lifecycle Mapping (MRO-10)</w:t>
      </w:r>
    </w:p>
    <w:p/>
    <w:p>
      <w:r>
        <w:t>Relevant ALCS Dimensions:</w:t>
      </w:r>
    </w:p>
    <w:p>
      <w:r>
        <w:t>ALCS-15: Vendor/Model/Runtime Substitution Conformance; ALCS-08: MAS Evidence Partitioning; ALCS-11: Privacy-Preserving Third-Party Validation</w:t>
      </w:r>
    </w:p>
    <w:p/>
    <w:p>
      <w:r>
        <w:t>Enterprise Consequence:</w:t>
      </w:r>
    </w:p>
    <w:p>
      <w:r>
        <w:t>Compliance drift. Evidence chain degradation. Authority boundary violations. Privacy violations. Audit failure. Inability to demonstrate conformance after substitution. Reputational damage.</w:t>
      </w:r>
    </w:p>
    <w:p/>
    <w:p>
      <w:r>
        <w:t>Investigation Evidence Needed:</w:t>
      </w:r>
    </w:p>
    <w:p>
      <w:pPr>
        <w:pStyle w:val="ListBullet"/>
      </w:pPr>
      <w:r>
        <w:t>Substitution records showing when and why the model was changed</w:t>
      </w:r>
    </w:p>
    <w:p>
      <w:pPr>
        <w:pStyle w:val="ListBullet"/>
      </w:pPr>
      <w:r>
        <w:t>Conformance validation records (absent)</w:t>
      </w:r>
    </w:p>
    <w:p>
      <w:pPr>
        <w:pStyle w:val="ListBullet"/>
      </w:pPr>
      <w:r>
        <w:t>Regression testing records (absent)</w:t>
      </w:r>
    </w:p>
    <w:p>
      <w:pPr>
        <w:pStyle w:val="ListBullet"/>
      </w:pPr>
      <w:r>
        <w:t>Evidence integrity validation records (absent)</w:t>
      </w:r>
    </w:p>
    <w:p>
      <w:pPr>
        <w:pStyle w:val="ListBullet"/>
      </w:pPr>
      <w:r>
        <w:t>Authority boundary validation records (absent)</w:t>
      </w:r>
    </w:p>
    <w:p/>
    <w:p>
      <w:r>
        <w:t>Remediation Pattern:</w:t>
      </w:r>
    </w:p>
    <w:p>
      <w:pPr>
        <w:pStyle w:val="ListBullet"/>
      </w:pPr>
      <w:r>
        <w:t>Implement vendor/model/runtime substitution conformance workflow</w:t>
      </w:r>
    </w:p>
    <w:p>
      <w:pPr>
        <w:pStyle w:val="ListBullet"/>
      </w:pPr>
      <w:r>
        <w:t>Add conformance validation testing before substitution</w:t>
      </w:r>
    </w:p>
    <w:p>
      <w:pPr>
        <w:pStyle w:val="ListBullet"/>
      </w:pPr>
      <w:r>
        <w:t>Implement regression testing for evidence chain integrity</w:t>
      </w:r>
    </w:p>
    <w:p>
      <w:pPr>
        <w:pStyle w:val="ListBullet"/>
      </w:pPr>
      <w:r>
        <w:t>Add authority boundary validation after substitution</w:t>
      </w:r>
    </w:p>
    <w:p>
      <w:pPr>
        <w:pStyle w:val="ListBullet"/>
      </w:pPr>
      <w:r>
        <w:t>Implement privacy-preserving validation protocol compatibility testing</w:t>
      </w:r>
    </w:p>
    <w:p/>
    <w:p>
      <w:r>
        <w:t>Relevant MROs: MRO-15, MRO-08, MRO-10</w:t>
      </w:r>
    </w:p>
    <w:p>
      <w:r>
        <w:t>Relevant ALCS: ALCS-15, ALCS-08, ALCS-11</w:t>
      </w:r>
    </w:p>
    <w:p/>
    <w:p/>
    <w:p>
      <w:pPr>
        <w:pStyle w:val="Heading3"/>
      </w:pPr>
      <w:r>
        <w:t>Scenario 8: Remediation Closure Failure</w:t>
      </w:r>
    </w:p>
    <w:p/>
    <w:p>
      <w:r>
        <w:t>Failure Trigger:</w:t>
      </w:r>
    </w:p>
    <w:p>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
      <w:r>
        <w:t>Missing Lifecycle Object:</w:t>
      </w:r>
    </w:p>
    <w:p>
      <w:r>
        <w:t>Incident, Dispute, and Remediation Closure (MRO-16); Accepted Outcome Compliance (MRO-04); MAS Evidence Partitioning (MRO-08)</w:t>
      </w:r>
    </w:p>
    <w:p/>
    <w:p>
      <w:r>
        <w:t>Relevant ALCS Dimensions:</w:t>
      </w:r>
    </w:p>
    <w:p>
      <w:r>
        <w:t>ALCS-04: Accepted Outcome Compliance; ALCS-08: MAS Evidence Partitioning; ALCS-06: Responsibility Transfer Across Agents</w:t>
      </w:r>
    </w:p>
    <w:p/>
    <w:p>
      <w:r>
        <w:t>Enterprise Consequence:</w:t>
      </w:r>
    </w:p>
    <w:p>
      <w:r>
        <w:t>Remediation delays. No closure state. Customer disputes without resolution. Regulatory investigation failure. Reputational damage. Inability to demonstrate that remediation was completed.</w:t>
      </w:r>
    </w:p>
    <w:p/>
    <w:p>
      <w:r>
        <w:t>Investigation Evidence Needed:</w:t>
      </w:r>
    </w:p>
    <w:p>
      <w:pPr>
        <w:pStyle w:val="ListBullet"/>
      </w:pPr>
      <w:r>
        <w:t>Incident records showing when the bug was discovered</w:t>
      </w:r>
    </w:p>
    <w:p>
      <w:pPr>
        <w:pStyle w:val="ListBullet"/>
      </w:pPr>
      <w:r>
        <w:t>Affected outcome records (absent)</w:t>
      </w:r>
    </w:p>
    <w:p>
      <w:pPr>
        <w:pStyle w:val="ListBullet"/>
      </w:pPr>
      <w:r>
        <w:t>Remediation records showing the fix</w:t>
      </w:r>
    </w:p>
    <w:p>
      <w:pPr>
        <w:pStyle w:val="ListBullet"/>
      </w:pPr>
      <w:r>
        <w:t>Closure acceptance records (absent)</w:t>
      </w:r>
    </w:p>
    <w:p>
      <w:pPr>
        <w:pStyle w:val="ListBullet"/>
      </w:pPr>
      <w:r>
        <w:t>Customer impact assessment records (absent)</w:t>
      </w:r>
    </w:p>
    <w:p>
      <w:pPr>
        <w:pStyle w:val="ListBullet"/>
      </w:pPr>
      <w:r>
        <w:t>Evidence review records (absent)</w:t>
      </w:r>
    </w:p>
    <w:p/>
    <w:p>
      <w:r>
        <w:t>Remediation Pattern:</w:t>
      </w:r>
    </w:p>
    <w:p>
      <w:pPr>
        <w:pStyle w:val="ListBullet"/>
      </w:pPr>
      <w:r>
        <w:t>Implement incident, dispute, and remediation closure workflow</w:t>
      </w:r>
    </w:p>
    <w:p>
      <w:pPr>
        <w:pStyle w:val="ListBullet"/>
      </w:pPr>
      <w:r>
        <w:t>Add responsible owner assignment for remediation</w:t>
      </w:r>
    </w:p>
    <w:p>
      <w:pPr>
        <w:pStyle w:val="ListBullet"/>
      </w:pPr>
      <w:r>
        <w:t>Implement affected outcome list generation</w:t>
      </w:r>
    </w:p>
    <w:p>
      <w:pPr>
        <w:pStyle w:val="ListBullet"/>
      </w:pPr>
      <w:r>
        <w:t>Add evidence review workflow for affected outcomes</w:t>
      </w:r>
    </w:p>
    <w:p>
      <w:pPr>
        <w:pStyle w:val="ListBullet"/>
      </w:pPr>
      <w:r>
        <w:t>Implement customer impact assessment</w:t>
      </w:r>
    </w:p>
    <w:p>
      <w:pPr>
        <w:pStyle w:val="ListBullet"/>
      </w:pPr>
      <w:r>
        <w:t>Add accepted closure state requiring explicit acceptance by responsible owner</w:t>
      </w:r>
    </w:p>
    <w:p/>
    <w:p>
      <w:r>
        <w:t>Relevant MROs: MRO-16, MRO-04, MRO-08</w:t>
      </w:r>
    </w:p>
    <w:p>
      <w:r>
        <w:t>Relevant ALCS: ALCS-04, ALCS-08, ALCS-06</w:t>
      </w:r>
    </w:p>
    <w:p/>
    <w:p/>
    <w:p>
      <w:pPr>
        <w:pStyle w:val="Heading2"/>
      </w:pPr>
      <w:r>
        <w:t>15.4 Remediation and Prevention Patterns</w:t>
      </w:r>
    </w:p>
    <w:p/>
    <w:p>
      <w:r>
        <w:t>The following table summarizes remediation and prevention patterns for the eight failure scenarios.</w:t>
      </w:r>
    </w:p>
    <w:p/>
    <w:p>
      <w:pPr>
        <w:keepNext/>
      </w:pPr>
      <w:r>
        <w:rPr>
          <w:b/>
          <w:sz w:val="17"/>
        </w:rPr>
        <w:t>Table T-15-03: Failure Scenario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1"/>
              </w:rPr>
              <w:t>Scenario</w:t>
            </w:r>
          </w:p>
        </w:tc>
        <w:tc>
          <w:tcPr>
            <w:tcW w:type="dxa" w:w="2880"/>
            <w:vAlign w:val="top"/>
            <w:shd w:fill="D9EAF7"/>
          </w:tcPr>
          <w:p>
            <w:pPr>
              <w:spacing w:after="0"/>
              <w:jc w:val="left"/>
            </w:pPr>
            <w:r>
              <w:rPr>
                <w:rFonts w:ascii="Arial" w:hAnsi="Arial"/>
                <w:b/>
                <w:sz w:val="11"/>
              </w:rPr>
              <w:t>Failure Trigger</w:t>
            </w:r>
          </w:p>
        </w:tc>
        <w:tc>
          <w:tcPr>
            <w:tcW w:type="dxa" w:w="2880"/>
            <w:vAlign w:val="top"/>
            <w:shd w:fill="D9EAF7"/>
          </w:tcPr>
          <w:p>
            <w:pPr>
              <w:spacing w:after="0"/>
              <w:jc w:val="left"/>
            </w:pPr>
            <w:r>
              <w:rPr>
                <w:rFonts w:ascii="Arial" w:hAnsi="Arial"/>
                <w:b/>
                <w:sz w:val="11"/>
              </w:rPr>
              <w:t>Missing Lifecycle Object</w:t>
            </w:r>
          </w:p>
        </w:tc>
        <w:tc>
          <w:tcPr>
            <w:tcW w:type="dxa" w:w="2880"/>
            <w:vAlign w:val="top"/>
            <w:shd w:fill="D9EAF7"/>
          </w:tcPr>
          <w:p>
            <w:pPr>
              <w:spacing w:after="0"/>
              <w:jc w:val="left"/>
            </w:pPr>
            <w:r>
              <w:rPr>
                <w:rFonts w:ascii="Arial" w:hAnsi="Arial"/>
                <w:b/>
                <w:sz w:val="11"/>
              </w:rPr>
              <w:t>Investigation Evidence</w:t>
            </w:r>
          </w:p>
        </w:tc>
        <w:tc>
          <w:tcPr>
            <w:tcW w:type="dxa" w:w="2880"/>
            <w:vAlign w:val="top"/>
            <w:shd w:fill="D9EAF7"/>
          </w:tcPr>
          <w:p>
            <w:pPr>
              <w:spacing w:after="0"/>
              <w:jc w:val="left"/>
            </w:pPr>
            <w:r>
              <w:rPr>
                <w:rFonts w:ascii="Arial" w:hAnsi="Arial"/>
                <w:b/>
                <w:sz w:val="11"/>
              </w:rPr>
              <w:t>Remediation Pattern</w:t>
            </w:r>
          </w:p>
        </w:tc>
      </w:tr>
      <w:tr>
        <w:trPr>
          <w:cantSplit/>
        </w:trPr>
        <w:tc>
          <w:tcPr>
            <w:tcW w:type="dxa" w:w="2880"/>
            <w:vAlign w:val="top"/>
          </w:tcPr>
          <w:p>
            <w:pPr>
              <w:spacing w:after="0"/>
              <w:jc w:val="left"/>
            </w:pPr>
            <w:r>
              <w:rPr>
                <w:rFonts w:ascii="Arial" w:hAnsi="Arial"/>
                <w:b w:val="0"/>
                <w:sz w:val="11"/>
              </w:rPr>
              <w:t>Authority Boundary Failure</w:t>
            </w:r>
          </w:p>
        </w:tc>
        <w:tc>
          <w:tcPr>
            <w:tcW w:type="dxa" w:w="2880"/>
            <w:vAlign w:val="top"/>
          </w:tcPr>
          <w:p>
            <w:pPr>
              <w:spacing w:after="0"/>
              <w:jc w:val="left"/>
            </w:pPr>
            <w:r>
              <w:rPr>
                <w:rFonts w:ascii="Arial" w:hAnsi="Arial"/>
                <w:b w:val="0"/>
                <w:sz w:val="11"/>
              </w:rPr>
              <w:t>Agent exceeds delegated authority; moves from advising to committing without human confirmation</w:t>
            </w:r>
          </w:p>
        </w:tc>
        <w:tc>
          <w:tcPr>
            <w:tcW w:type="dxa" w:w="2880"/>
            <w:vAlign w:val="top"/>
          </w:tcPr>
          <w:p>
            <w:pPr>
              <w:spacing w:after="0"/>
              <w:jc w:val="left"/>
            </w:pPr>
            <w:r>
              <w:rPr>
                <w:rFonts w:ascii="Arial" w:hAnsi="Arial"/>
                <w:b w:val="0"/>
                <w:sz w:val="11"/>
              </w:rPr>
              <w:t>Delegated Authority Boundary; Authority Drift Detection; Tool-Action Liability Boundary</w:t>
            </w:r>
          </w:p>
        </w:tc>
        <w:tc>
          <w:tcPr>
            <w:tcW w:type="dxa" w:w="2880"/>
            <w:vAlign w:val="top"/>
          </w:tcPr>
          <w:p>
            <w:pPr>
              <w:spacing w:after="0"/>
              <w:jc w:val="left"/>
            </w:pPr>
            <w:r>
              <w:rPr>
                <w:rFonts w:ascii="Arial" w:hAnsi="Arial"/>
                <w:b w:val="0"/>
                <w:sz w:val="11"/>
              </w:rPr>
              <w:t>Authority grant records; tool-action logs; drift detection logs; human confirmation records; acceptance records</w:t>
            </w:r>
          </w:p>
        </w:tc>
        <w:tc>
          <w:tcPr>
            <w:tcW w:type="dxa" w:w="2880"/>
            <w:vAlign w:val="top"/>
          </w:tcPr>
          <w:p>
            <w:pPr>
              <w:spacing w:after="0"/>
              <w:jc w:val="left"/>
            </w:pPr>
            <w:r>
              <w:rPr>
                <w:rFonts w:ascii="Arial" w:hAnsi="Arial"/>
                <w:b w:val="0"/>
                <w:sz w:val="11"/>
              </w:rPr>
              <w:t>Implement authority boundary enforcement; add drift detection; require human confirmation for commitments; add reauthorization workflow</w:t>
            </w:r>
          </w:p>
        </w:tc>
      </w:tr>
      <w:tr>
        <w:trPr>
          <w:cantSplit/>
        </w:trPr>
        <w:tc>
          <w:tcPr>
            <w:tcW w:type="dxa" w:w="2880"/>
            <w:vAlign w:val="top"/>
          </w:tcPr>
          <w:p>
            <w:pPr>
              <w:spacing w:after="0"/>
              <w:jc w:val="left"/>
            </w:pPr>
            <w:r>
              <w:rPr>
                <w:rFonts w:ascii="Arial" w:hAnsi="Arial"/>
                <w:b w:val="0"/>
                <w:sz w:val="11"/>
              </w:rPr>
              <w:t>Evidence Chain Failure</w:t>
            </w:r>
          </w:p>
        </w:tc>
        <w:tc>
          <w:tcPr>
            <w:tcW w:type="dxa" w:w="2880"/>
            <w:vAlign w:val="top"/>
          </w:tcPr>
          <w:p>
            <w:pPr>
              <w:spacing w:after="0"/>
              <w:jc w:val="left"/>
            </w:pPr>
            <w:r>
              <w:rPr>
                <w:rFonts w:ascii="Arial" w:hAnsi="Arial"/>
                <w:b w:val="0"/>
                <w:sz w:val="11"/>
              </w:rPr>
              <w:t>Organization has logs but cannot reconstruct authority, plan, confirmation, tool action, and accepted outcome</w:t>
            </w:r>
          </w:p>
        </w:tc>
        <w:tc>
          <w:tcPr>
            <w:tcW w:type="dxa" w:w="2880"/>
            <w:vAlign w:val="top"/>
          </w:tcPr>
          <w:p>
            <w:pPr>
              <w:spacing w:after="0"/>
              <w:jc w:val="left"/>
            </w:pPr>
            <w:r>
              <w:rPr>
                <w:rFonts w:ascii="Arial" w:hAnsi="Arial"/>
                <w:b w:val="0"/>
                <w:sz w:val="11"/>
              </w:rPr>
              <w:t>MAS Evidence Partitioning; Privacy-Preserving Third-Party Validation; Evidence Minimization</w:t>
            </w:r>
          </w:p>
        </w:tc>
        <w:tc>
          <w:tcPr>
            <w:tcW w:type="dxa" w:w="2880"/>
            <w:vAlign w:val="top"/>
          </w:tcPr>
          <w:p>
            <w:pPr>
              <w:spacing w:after="0"/>
              <w:jc w:val="left"/>
            </w:pPr>
            <w:r>
              <w:rPr>
                <w:rFonts w:ascii="Arial" w:hAnsi="Arial"/>
                <w:b w:val="0"/>
                <w:sz w:val="11"/>
              </w:rPr>
              <w:t>Partitioned evidence chain; evidence export records; retention policy records; validation protocol records</w:t>
            </w:r>
          </w:p>
        </w:tc>
        <w:tc>
          <w:tcPr>
            <w:tcW w:type="dxa" w:w="2880"/>
            <w:vAlign w:val="top"/>
          </w:tcPr>
          <w:p>
            <w:pPr>
              <w:spacing w:after="0"/>
              <w:jc w:val="left"/>
            </w:pPr>
            <w:r>
              <w:rPr>
                <w:rFonts w:ascii="Arial" w:hAnsi="Arial"/>
                <w:b w:val="0"/>
                <w:sz w:val="11"/>
              </w:rPr>
              <w:t>Implement MAS evidence partitioning; add evidence export with selective disclosure; add privacy-preserving validation protocol</w:t>
            </w:r>
          </w:p>
        </w:tc>
      </w:tr>
      <w:tr>
        <w:trPr>
          <w:cantSplit/>
        </w:trPr>
        <w:tc>
          <w:tcPr>
            <w:tcW w:type="dxa" w:w="2880"/>
            <w:vAlign w:val="top"/>
          </w:tcPr>
          <w:p>
            <w:pPr>
              <w:spacing w:after="0"/>
              <w:jc w:val="left"/>
            </w:pPr>
            <w:r>
              <w:rPr>
                <w:rFonts w:ascii="Arial" w:hAnsi="Arial"/>
                <w:b w:val="0"/>
                <w:sz w:val="11"/>
              </w:rPr>
              <w:t>Accepted Outcome Failure</w:t>
            </w:r>
          </w:p>
        </w:tc>
        <w:tc>
          <w:tcPr>
            <w:tcW w:type="dxa" w:w="2880"/>
            <w:vAlign w:val="top"/>
          </w:tcPr>
          <w:p>
            <w:pPr>
              <w:spacing w:after="0"/>
              <w:jc w:val="left"/>
            </w:pPr>
            <w:r>
              <w:rPr>
                <w:rFonts w:ascii="Arial" w:hAnsi="Arial"/>
                <w:b w:val="0"/>
                <w:sz w:val="11"/>
              </w:rPr>
              <w:t>Orchestrator marks task complete but no human accepts the result</w:t>
            </w:r>
          </w:p>
        </w:tc>
        <w:tc>
          <w:tcPr>
            <w:tcW w:type="dxa" w:w="2880"/>
            <w:vAlign w:val="top"/>
          </w:tcPr>
          <w:p>
            <w:pPr>
              <w:spacing w:after="0"/>
              <w:jc w:val="left"/>
            </w:pPr>
            <w:r>
              <w:rPr>
                <w:rFonts w:ascii="Arial" w:hAnsi="Arial"/>
                <w:b w:val="0"/>
                <w:sz w:val="11"/>
              </w:rPr>
              <w:t>Human-Role-to-MAS Responsibility Mapping; Accepted Outcome Compliance; Incident/Dispute/Remediation Closure</w:t>
            </w:r>
          </w:p>
        </w:tc>
        <w:tc>
          <w:tcPr>
            <w:tcW w:type="dxa" w:w="2880"/>
            <w:vAlign w:val="top"/>
          </w:tcPr>
          <w:p>
            <w:pPr>
              <w:spacing w:after="0"/>
              <w:jc w:val="left"/>
            </w:pPr>
            <w:r>
              <w:rPr>
                <w:rFonts w:ascii="Arial" w:hAnsi="Arial"/>
                <w:b w:val="0"/>
                <w:sz w:val="11"/>
              </w:rPr>
              <w:t>Role assignment records; acceptance records; review records; escalation records; remediation ownership records</w:t>
            </w:r>
          </w:p>
        </w:tc>
        <w:tc>
          <w:tcPr>
            <w:tcW w:type="dxa" w:w="2880"/>
            <w:vAlign w:val="top"/>
          </w:tcPr>
          <w:p>
            <w:pPr>
              <w:spacing w:after="0"/>
              <w:jc w:val="left"/>
            </w:pPr>
            <w:r>
              <w:rPr>
                <w:rFonts w:ascii="Arial" w:hAnsi="Arial"/>
                <w:b w:val="0"/>
                <w:sz w:val="11"/>
              </w:rPr>
              <w:t>Implement human-role-to-MAS responsibility mapping; add accepted outcome compliance workflow; add review and escalation workflow</w:t>
            </w:r>
          </w:p>
        </w:tc>
      </w:tr>
      <w:tr>
        <w:trPr>
          <w:cantSplit/>
        </w:trPr>
        <w:tc>
          <w:tcPr>
            <w:tcW w:type="dxa" w:w="2880"/>
            <w:vAlign w:val="top"/>
          </w:tcPr>
          <w:p>
            <w:pPr>
              <w:spacing w:after="0"/>
              <w:jc w:val="left"/>
            </w:pPr>
            <w:r>
              <w:rPr>
                <w:rFonts w:ascii="Arial" w:hAnsi="Arial"/>
                <w:b w:val="0"/>
                <w:sz w:val="11"/>
              </w:rPr>
              <w:t>Cross-Project Reuse Failure</w:t>
            </w:r>
          </w:p>
        </w:tc>
        <w:tc>
          <w:tcPr>
            <w:tcW w:type="dxa" w:w="2880"/>
            <w:vAlign w:val="top"/>
          </w:tcPr>
          <w:p>
            <w:pPr>
              <w:spacing w:after="0"/>
              <w:jc w:val="left"/>
            </w:pPr>
            <w:r>
              <w:rPr>
                <w:rFonts w:ascii="Arial" w:hAnsi="Arial"/>
                <w:b w:val="0"/>
                <w:sz w:val="11"/>
              </w:rPr>
              <w:t>Prompt, memory, or workflow reused across regulated contexts without reset or reauthorization</w:t>
            </w:r>
          </w:p>
        </w:tc>
        <w:tc>
          <w:tcPr>
            <w:tcW w:type="dxa" w:w="2880"/>
            <w:vAlign w:val="top"/>
          </w:tcPr>
          <w:p>
            <w:pPr>
              <w:spacing w:after="0"/>
              <w:jc w:val="left"/>
            </w:pPr>
            <w:r>
              <w:rPr>
                <w:rFonts w:ascii="Arial" w:hAnsi="Arial"/>
                <w:b w:val="0"/>
                <w:sz w:val="11"/>
              </w:rPr>
              <w:t>Cross-Project Reuse Compliance; Privacy/GDPR Lifecycle Mapping; Vendor/Model/Runtime Substitution Conformance</w:t>
            </w:r>
          </w:p>
        </w:tc>
        <w:tc>
          <w:tcPr>
            <w:tcW w:type="dxa" w:w="2880"/>
            <w:vAlign w:val="top"/>
          </w:tcPr>
          <w:p>
            <w:pPr>
              <w:spacing w:after="0"/>
              <w:jc w:val="left"/>
            </w:pPr>
            <w:r>
              <w:rPr>
                <w:rFonts w:ascii="Arial" w:hAnsi="Arial"/>
                <w:b w:val="0"/>
                <w:sz w:val="11"/>
              </w:rPr>
              <w:t>Reuse records; reset validation records; reauthorization records; context boundary records; privacy impact assessment records</w:t>
            </w:r>
          </w:p>
        </w:tc>
        <w:tc>
          <w:tcPr>
            <w:tcW w:type="dxa" w:w="2880"/>
            <w:vAlign w:val="top"/>
          </w:tcPr>
          <w:p>
            <w:pPr>
              <w:spacing w:after="0"/>
              <w:jc w:val="left"/>
            </w:pPr>
            <w:r>
              <w:rPr>
                <w:rFonts w:ascii="Arial" w:hAnsi="Arial"/>
                <w:b w:val="0"/>
                <w:sz w:val="11"/>
              </w:rPr>
              <w:t>Implement cross-project reuse compliance workflow; add context boundary validation; add privacy/GDPR lifecycle mapping</w:t>
            </w:r>
          </w:p>
        </w:tc>
      </w:tr>
      <w:tr>
        <w:trPr>
          <w:cantSplit/>
        </w:trPr>
        <w:tc>
          <w:tcPr>
            <w:tcW w:type="dxa" w:w="2880"/>
            <w:vAlign w:val="top"/>
          </w:tcPr>
          <w:p>
            <w:pPr>
              <w:spacing w:after="0"/>
              <w:jc w:val="left"/>
            </w:pPr>
            <w:r>
              <w:rPr>
                <w:rFonts w:ascii="Arial" w:hAnsi="Arial"/>
                <w:b w:val="0"/>
                <w:sz w:val="11"/>
              </w:rPr>
              <w:t>Privacy Validation Failure</w:t>
            </w:r>
          </w:p>
        </w:tc>
        <w:tc>
          <w:tcPr>
            <w:tcW w:type="dxa" w:w="2880"/>
            <w:vAlign w:val="top"/>
          </w:tcPr>
          <w:p>
            <w:pPr>
              <w:spacing w:after="0"/>
              <w:jc w:val="left"/>
            </w:pPr>
            <w:r>
              <w:rPr>
                <w:rFonts w:ascii="Arial" w:hAnsi="Arial"/>
                <w:b w:val="0"/>
                <w:sz w:val="11"/>
              </w:rPr>
              <w:t>Enterprise sends raw traces with PII to third-party reviewer without data processing agreement</w:t>
            </w:r>
          </w:p>
        </w:tc>
        <w:tc>
          <w:tcPr>
            <w:tcW w:type="dxa" w:w="2880"/>
            <w:vAlign w:val="top"/>
          </w:tcPr>
          <w:p>
            <w:pPr>
              <w:spacing w:after="0"/>
              <w:jc w:val="left"/>
            </w:pPr>
            <w:r>
              <w:rPr>
                <w:rFonts w:ascii="Arial" w:hAnsi="Arial"/>
                <w:b w:val="0"/>
                <w:sz w:val="11"/>
              </w:rPr>
              <w:t>Privacy/GDPR Lifecycle Mapping; Privacy-Preserving Third-Party Validation; Evidence Minimization; Data Subject Rights</w:t>
            </w:r>
          </w:p>
        </w:tc>
        <w:tc>
          <w:tcPr>
            <w:tcW w:type="dxa" w:w="2880"/>
            <w:vAlign w:val="top"/>
          </w:tcPr>
          <w:p>
            <w:pPr>
              <w:spacing w:after="0"/>
              <w:jc w:val="left"/>
            </w:pPr>
            <w:r>
              <w:rPr>
                <w:rFonts w:ascii="Arial" w:hAnsi="Arial"/>
                <w:b w:val="0"/>
                <w:sz w:val="11"/>
              </w:rPr>
              <w:t>Validation evidence transfer records; data processing agreement records; disclosure policy records; redaction records</w:t>
            </w:r>
          </w:p>
        </w:tc>
        <w:tc>
          <w:tcPr>
            <w:tcW w:type="dxa" w:w="2880"/>
            <w:vAlign w:val="top"/>
          </w:tcPr>
          <w:p>
            <w:pPr>
              <w:spacing w:after="0"/>
              <w:jc w:val="left"/>
            </w:pPr>
            <w:r>
              <w:rPr>
                <w:rFonts w:ascii="Arial" w:hAnsi="Arial"/>
                <w:b w:val="0"/>
                <w:sz w:val="11"/>
              </w:rPr>
              <w:t>Implement privacy-preserving validation protocol; add disclosure policy with evidence minimization; add redaction profile; require data processing agreements</w:t>
            </w:r>
          </w:p>
        </w:tc>
      </w:tr>
      <w:tr>
        <w:trPr>
          <w:cantSplit/>
        </w:trPr>
        <w:tc>
          <w:tcPr>
            <w:tcW w:type="dxa" w:w="2880"/>
            <w:vAlign w:val="top"/>
          </w:tcPr>
          <w:p>
            <w:pPr>
              <w:spacing w:after="0"/>
              <w:jc w:val="left"/>
            </w:pPr>
            <w:r>
              <w:rPr>
                <w:rFonts w:ascii="Arial" w:hAnsi="Arial"/>
                <w:b w:val="0"/>
                <w:sz w:val="11"/>
              </w:rPr>
              <w:t>Processor Chain Failure</w:t>
            </w:r>
          </w:p>
        </w:tc>
        <w:tc>
          <w:tcPr>
            <w:tcW w:type="dxa" w:w="2880"/>
            <w:vAlign w:val="top"/>
          </w:tcPr>
          <w:p>
            <w:pPr>
              <w:spacing w:after="0"/>
              <w:jc w:val="left"/>
            </w:pPr>
            <w:r>
              <w:rPr>
                <w:rFonts w:ascii="Arial" w:hAnsi="Arial"/>
                <w:b w:val="0"/>
                <w:sz w:val="11"/>
              </w:rPr>
              <w:t>Multi-vendor workflow but no processor/subprocessor responsibility chain exists</w:t>
            </w:r>
          </w:p>
        </w:tc>
        <w:tc>
          <w:tcPr>
            <w:tcW w:type="dxa" w:w="2880"/>
            <w:vAlign w:val="top"/>
          </w:tcPr>
          <w:p>
            <w:pPr>
              <w:spacing w:after="0"/>
              <w:jc w:val="left"/>
            </w:pPr>
            <w:r>
              <w:rPr>
                <w:rFonts w:ascii="Arial" w:hAnsi="Arial"/>
                <w:b w:val="0"/>
                <w:sz w:val="11"/>
              </w:rPr>
              <w:t>Third-Party Processor/Subprocessor Chain; Tool-Action Liability Boundary; MAS Evidence Partitioning</w:t>
            </w:r>
          </w:p>
        </w:tc>
        <w:tc>
          <w:tcPr>
            <w:tcW w:type="dxa" w:w="2880"/>
            <w:vAlign w:val="top"/>
          </w:tcPr>
          <w:p>
            <w:pPr>
              <w:spacing w:after="0"/>
              <w:jc w:val="left"/>
            </w:pPr>
            <w:r>
              <w:rPr>
                <w:rFonts w:ascii="Arial" w:hAnsi="Arial"/>
                <w:b w:val="0"/>
                <w:sz w:val="11"/>
              </w:rPr>
              <w:t>Processor agreements; subprocessor chain records; responsibility assignment records; tool-action logs; evidence partitioning records</w:t>
            </w:r>
          </w:p>
        </w:tc>
        <w:tc>
          <w:tcPr>
            <w:tcW w:type="dxa" w:w="2880"/>
            <w:vAlign w:val="top"/>
          </w:tcPr>
          <w:p>
            <w:pPr>
              <w:spacing w:after="0"/>
              <w:jc w:val="left"/>
            </w:pPr>
            <w:r>
              <w:rPr>
                <w:rFonts w:ascii="Arial" w:hAnsi="Arial"/>
                <w:b w:val="0"/>
                <w:sz w:val="11"/>
              </w:rPr>
              <w:t>Implement processor/subprocessor chain mapping; add processor agreements with GDPR Article 28 compliance; add responsibility assignment</w:t>
            </w:r>
          </w:p>
        </w:tc>
      </w:tr>
      <w:tr>
        <w:trPr>
          <w:cantSplit/>
        </w:trPr>
        <w:tc>
          <w:tcPr>
            <w:tcW w:type="dxa" w:w="2880"/>
            <w:vAlign w:val="top"/>
          </w:tcPr>
          <w:p>
            <w:pPr>
              <w:spacing w:after="0"/>
              <w:jc w:val="left"/>
            </w:pPr>
            <w:r>
              <w:rPr>
                <w:rFonts w:ascii="Arial" w:hAnsi="Arial"/>
                <w:b w:val="0"/>
                <w:sz w:val="11"/>
              </w:rPr>
              <w:t>Vendor/Runtime Substitution Failure</w:t>
            </w:r>
          </w:p>
        </w:tc>
        <w:tc>
          <w:tcPr>
            <w:tcW w:type="dxa" w:w="2880"/>
            <w:vAlign w:val="top"/>
          </w:tcPr>
          <w:p>
            <w:pPr>
              <w:spacing w:after="0"/>
              <w:jc w:val="left"/>
            </w:pPr>
            <w:r>
              <w:rPr>
                <w:rFonts w:ascii="Arial" w:hAnsi="Arial"/>
                <w:b w:val="0"/>
                <w:sz w:val="11"/>
              </w:rPr>
              <w:t>Model/runtime substitution degrades evidence, authority, and privacy semantics</w:t>
            </w:r>
          </w:p>
        </w:tc>
        <w:tc>
          <w:tcPr>
            <w:tcW w:type="dxa" w:w="2880"/>
            <w:vAlign w:val="top"/>
          </w:tcPr>
          <w:p>
            <w:pPr>
              <w:spacing w:after="0"/>
              <w:jc w:val="left"/>
            </w:pPr>
            <w:r>
              <w:rPr>
                <w:rFonts w:ascii="Arial" w:hAnsi="Arial"/>
                <w:b w:val="0"/>
                <w:sz w:val="11"/>
              </w:rPr>
              <w:t>Vendor/Model/Runtime Substitution Conformance; MAS Evidence Partitioning; Privacy/GDPR Lifecycle Mapping</w:t>
            </w:r>
          </w:p>
        </w:tc>
        <w:tc>
          <w:tcPr>
            <w:tcW w:type="dxa" w:w="2880"/>
            <w:vAlign w:val="top"/>
          </w:tcPr>
          <w:p>
            <w:pPr>
              <w:spacing w:after="0"/>
              <w:jc w:val="left"/>
            </w:pPr>
            <w:r>
              <w:rPr>
                <w:rFonts w:ascii="Arial" w:hAnsi="Arial"/>
                <w:b w:val="0"/>
                <w:sz w:val="11"/>
              </w:rPr>
              <w:t>Substitution records; conformance validation records; regression testing records; evidence integrity validation records</w:t>
            </w:r>
          </w:p>
        </w:tc>
        <w:tc>
          <w:tcPr>
            <w:tcW w:type="dxa" w:w="2880"/>
            <w:vAlign w:val="top"/>
          </w:tcPr>
          <w:p>
            <w:pPr>
              <w:spacing w:after="0"/>
              <w:jc w:val="left"/>
            </w:pPr>
            <w:r>
              <w:rPr>
                <w:rFonts w:ascii="Arial" w:hAnsi="Arial"/>
                <w:b w:val="0"/>
                <w:sz w:val="11"/>
              </w:rPr>
              <w:t>Implement substitution conformance workflow; add conformance validation testing; add regression testing for evidence chain integrity</w:t>
            </w:r>
          </w:p>
        </w:tc>
      </w:tr>
      <w:tr>
        <w:trPr>
          <w:cantSplit/>
        </w:trPr>
        <w:tc>
          <w:tcPr>
            <w:tcW w:type="dxa" w:w="2880"/>
            <w:vAlign w:val="top"/>
          </w:tcPr>
          <w:p>
            <w:pPr>
              <w:spacing w:after="0"/>
              <w:jc w:val="left"/>
            </w:pPr>
            <w:r>
              <w:rPr>
                <w:rFonts w:ascii="Arial" w:hAnsi="Arial"/>
                <w:b w:val="0"/>
                <w:sz w:val="11"/>
              </w:rPr>
              <w:t>Remediation Closure Failure</w:t>
            </w:r>
          </w:p>
        </w:tc>
        <w:tc>
          <w:tcPr>
            <w:tcW w:type="dxa" w:w="2880"/>
            <w:vAlign w:val="top"/>
          </w:tcPr>
          <w:p>
            <w:pPr>
              <w:spacing w:after="0"/>
              <w:jc w:val="left"/>
            </w:pPr>
            <w:r>
              <w:rPr>
                <w:rFonts w:ascii="Arial" w:hAnsi="Arial"/>
                <w:b w:val="0"/>
                <w:sz w:val="11"/>
              </w:rPr>
              <w:t>Bug fixed but no responsible owner, affected outcome list, evidence review, or accepted closure state</w:t>
            </w:r>
          </w:p>
        </w:tc>
        <w:tc>
          <w:tcPr>
            <w:tcW w:type="dxa" w:w="2880"/>
            <w:vAlign w:val="top"/>
          </w:tcPr>
          <w:p>
            <w:pPr>
              <w:spacing w:after="0"/>
              <w:jc w:val="left"/>
            </w:pPr>
            <w:r>
              <w:rPr>
                <w:rFonts w:ascii="Arial" w:hAnsi="Arial"/>
                <w:b w:val="0"/>
                <w:sz w:val="11"/>
              </w:rPr>
              <w:t>Incident/Dispute/Remediation Closure; Accepted Outcome Compliance; MAS Evidence Partitioning</w:t>
            </w:r>
          </w:p>
        </w:tc>
        <w:tc>
          <w:tcPr>
            <w:tcW w:type="dxa" w:w="2880"/>
            <w:vAlign w:val="top"/>
          </w:tcPr>
          <w:p>
            <w:pPr>
              <w:spacing w:after="0"/>
              <w:jc w:val="left"/>
            </w:pPr>
            <w:r>
              <w:rPr>
                <w:rFonts w:ascii="Arial" w:hAnsi="Arial"/>
                <w:b w:val="0"/>
                <w:sz w:val="11"/>
              </w:rPr>
              <w:t>Incident records; affected outcome records; remediation records; closure acceptance records; customer impact assessment records</w:t>
            </w:r>
          </w:p>
        </w:tc>
        <w:tc>
          <w:tcPr>
            <w:tcW w:type="dxa" w:w="2880"/>
            <w:vAlign w:val="top"/>
          </w:tcPr>
          <w:p>
            <w:pPr>
              <w:spacing w:after="0"/>
              <w:jc w:val="left"/>
            </w:pPr>
            <w:r>
              <w:rPr>
                <w:rFonts w:ascii="Arial" w:hAnsi="Arial"/>
                <w:b w:val="0"/>
                <w:sz w:val="11"/>
              </w:rPr>
              <w:t>Implement incident/dispute/remediation closure workflow; add responsible owner assignment; add affected outcome list generation; add closure acceptance</w:t>
            </w:r>
          </w:p>
        </w:tc>
      </w:tr>
    </w:tbl>
    <w:p>
      <w:pPr>
        <w:sectPr>
          <w:pgSz w:w="12240" w:h="15840" w:orient="landscape"/>
          <w:pgMar w:top="792" w:right="648" w:bottom="792" w:left="648" w:header="720" w:footer="720" w:gutter="0"/>
          <w:cols w:space="720"/>
          <w:docGrid w:linePitch="360"/>
        </w:sectPr>
      </w:pPr>
    </w:p>
    <w:p/>
    <w:p/>
    <w:p>
      <w:pPr>
        <w:keepNext/>
      </w:pPr>
      <w:r>
        <w:rPr>
          <w:b/>
          <w:sz w:val="17"/>
        </w:rPr>
        <w:t>Table T-15-04: Prevention and Remediation Patterns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1"/>
              </w:rPr>
              <w:t>Pattern</w:t>
            </w:r>
          </w:p>
        </w:tc>
        <w:tc>
          <w:tcPr>
            <w:tcW w:type="dxa" w:w="2880"/>
            <w:vAlign w:val="top"/>
            <w:shd w:fill="D9EAF7"/>
          </w:tcPr>
          <w:p>
            <w:pPr>
              <w:spacing w:after="0"/>
              <w:jc w:val="left"/>
            </w:pPr>
            <w:r>
              <w:rPr>
                <w:rFonts w:ascii="Arial" w:hAnsi="Arial"/>
                <w:b/>
                <w:sz w:val="11"/>
              </w:rPr>
              <w:t>Prevents Which Failure</w:t>
            </w:r>
          </w:p>
        </w:tc>
        <w:tc>
          <w:tcPr>
            <w:tcW w:type="dxa" w:w="2880"/>
            <w:vAlign w:val="top"/>
            <w:shd w:fill="D9EAF7"/>
          </w:tcPr>
          <w:p>
            <w:pPr>
              <w:spacing w:after="0"/>
              <w:jc w:val="left"/>
            </w:pPr>
            <w:r>
              <w:rPr>
                <w:rFonts w:ascii="Arial" w:hAnsi="Arial"/>
                <w:b/>
                <w:sz w:val="11"/>
              </w:rPr>
              <w:t>Required Object</w:t>
            </w:r>
          </w:p>
        </w:tc>
        <w:tc>
          <w:tcPr>
            <w:tcW w:type="dxa" w:w="2880"/>
            <w:vAlign w:val="top"/>
            <w:shd w:fill="D9EAF7"/>
          </w:tcPr>
          <w:p>
            <w:pPr>
              <w:spacing w:after="0"/>
              <w:jc w:val="left"/>
            </w:pPr>
            <w:r>
              <w:rPr>
                <w:rFonts w:ascii="Arial" w:hAnsi="Arial"/>
                <w:b/>
                <w:sz w:val="11"/>
              </w:rPr>
              <w:t>Operational Owner</w:t>
            </w:r>
          </w:p>
        </w:tc>
        <w:tc>
          <w:tcPr>
            <w:tcW w:type="dxa" w:w="2880"/>
            <w:vAlign w:val="top"/>
            <w:shd w:fill="D9EAF7"/>
          </w:tcPr>
          <w:p>
            <w:pPr>
              <w:spacing w:after="0"/>
              <w:jc w:val="left"/>
            </w:pPr>
            <w:r>
              <w:rPr>
                <w:rFonts w:ascii="Arial" w:hAnsi="Arial"/>
                <w:b/>
                <w:sz w:val="11"/>
              </w:rPr>
              <w:t>Evidence Artifact</w:t>
            </w:r>
          </w:p>
        </w:tc>
      </w:tr>
      <w:tr>
        <w:trPr>
          <w:cantSplit/>
        </w:trPr>
        <w:tc>
          <w:tcPr>
            <w:tcW w:type="dxa" w:w="2880"/>
            <w:vAlign w:val="top"/>
          </w:tcPr>
          <w:p>
            <w:pPr>
              <w:spacing w:after="0"/>
              <w:jc w:val="left"/>
            </w:pPr>
            <w:r>
              <w:rPr>
                <w:rFonts w:ascii="Arial" w:hAnsi="Arial"/>
                <w:b w:val="0"/>
                <w:sz w:val="11"/>
              </w:rPr>
              <w:t>Authority Boundary Enforcement</w:t>
            </w:r>
          </w:p>
        </w:tc>
        <w:tc>
          <w:tcPr>
            <w:tcW w:type="dxa" w:w="2880"/>
            <w:vAlign w:val="top"/>
          </w:tcPr>
          <w:p>
            <w:pPr>
              <w:spacing w:after="0"/>
              <w:jc w:val="left"/>
            </w:pPr>
            <w:r>
              <w:rPr>
                <w:rFonts w:ascii="Arial" w:hAnsi="Arial"/>
                <w:b w:val="0"/>
                <w:sz w:val="11"/>
              </w:rPr>
              <w:t>Authority Boundary Failure; Authority Drift</w:t>
            </w:r>
          </w:p>
        </w:tc>
        <w:tc>
          <w:tcPr>
            <w:tcW w:type="dxa" w:w="2880"/>
            <w:vAlign w:val="top"/>
          </w:tcPr>
          <w:p>
            <w:pPr>
              <w:spacing w:after="0"/>
              <w:jc w:val="left"/>
            </w:pPr>
            <w:r>
              <w:rPr>
                <w:rFonts w:ascii="Arial" w:hAnsi="Arial"/>
                <w:b w:val="0"/>
                <w:sz w:val="11"/>
              </w:rPr>
              <w:t>Delegated Authority Boundary (MRO-02); Authority Drift Detection (MRO-07)</w:t>
            </w:r>
          </w:p>
        </w:tc>
        <w:tc>
          <w:tcPr>
            <w:tcW w:type="dxa" w:w="2880"/>
            <w:vAlign w:val="top"/>
          </w:tcPr>
          <w:p>
            <w:pPr>
              <w:spacing w:after="0"/>
              <w:jc w:val="left"/>
            </w:pPr>
            <w:r>
              <w:rPr>
                <w:rFonts w:ascii="Arial" w:hAnsi="Arial"/>
                <w:b w:val="0"/>
                <w:sz w:val="11"/>
              </w:rPr>
              <w:t>Governance team; agent operations team</w:t>
            </w:r>
          </w:p>
        </w:tc>
        <w:tc>
          <w:tcPr>
            <w:tcW w:type="dxa" w:w="2880"/>
            <w:vAlign w:val="top"/>
          </w:tcPr>
          <w:p>
            <w:pPr>
              <w:spacing w:after="0"/>
              <w:jc w:val="left"/>
            </w:pPr>
            <w:r>
              <w:rPr>
                <w:rFonts w:ascii="Arial" w:hAnsi="Arial"/>
                <w:b w:val="0"/>
                <w:sz w:val="11"/>
              </w:rPr>
              <w:t>Authority grant records; boundary violation alerts; drift detection logs</w:t>
            </w:r>
          </w:p>
        </w:tc>
      </w:tr>
      <w:tr>
        <w:trPr>
          <w:cantSplit/>
        </w:trPr>
        <w:tc>
          <w:tcPr>
            <w:tcW w:type="dxa" w:w="2880"/>
            <w:vAlign w:val="top"/>
          </w:tcPr>
          <w:p>
            <w:pPr>
              <w:spacing w:after="0"/>
              <w:jc w:val="left"/>
            </w:pPr>
            <w:r>
              <w:rPr>
                <w:rFonts w:ascii="Arial" w:hAnsi="Arial"/>
                <w:b w:val="0"/>
                <w:sz w:val="11"/>
              </w:rPr>
              <w:t>MAS Evidence Partitioning</w:t>
            </w:r>
          </w:p>
        </w:tc>
        <w:tc>
          <w:tcPr>
            <w:tcW w:type="dxa" w:w="2880"/>
            <w:vAlign w:val="top"/>
          </w:tcPr>
          <w:p>
            <w:pPr>
              <w:spacing w:after="0"/>
              <w:jc w:val="left"/>
            </w:pPr>
            <w:r>
              <w:rPr>
                <w:rFonts w:ascii="Arial" w:hAnsi="Arial"/>
                <w:b w:val="0"/>
                <w:sz w:val="11"/>
              </w:rPr>
              <w:t>Evidence Chain Failure; Processor Chain Failure</w:t>
            </w:r>
          </w:p>
        </w:tc>
        <w:tc>
          <w:tcPr>
            <w:tcW w:type="dxa" w:w="2880"/>
            <w:vAlign w:val="top"/>
          </w:tcPr>
          <w:p>
            <w:pPr>
              <w:spacing w:after="0"/>
              <w:jc w:val="left"/>
            </w:pPr>
            <w:r>
              <w:rPr>
                <w:rFonts w:ascii="Arial" w:hAnsi="Arial"/>
                <w:b w:val="0"/>
                <w:sz w:val="11"/>
              </w:rPr>
              <w:t>MAS Evidence Partitioning (MRO-08)</w:t>
            </w:r>
          </w:p>
        </w:tc>
        <w:tc>
          <w:tcPr>
            <w:tcW w:type="dxa" w:w="2880"/>
            <w:vAlign w:val="top"/>
          </w:tcPr>
          <w:p>
            <w:pPr>
              <w:spacing w:after="0"/>
              <w:jc w:val="left"/>
            </w:pPr>
            <w:r>
              <w:rPr>
                <w:rFonts w:ascii="Arial" w:hAnsi="Arial"/>
                <w:b w:val="0"/>
                <w:sz w:val="11"/>
              </w:rPr>
              <w:t>Data governance team; compliance team</w:t>
            </w:r>
          </w:p>
        </w:tc>
        <w:tc>
          <w:tcPr>
            <w:tcW w:type="dxa" w:w="2880"/>
            <w:vAlign w:val="top"/>
          </w:tcPr>
          <w:p>
            <w:pPr>
              <w:spacing w:after="0"/>
              <w:jc w:val="left"/>
            </w:pPr>
            <w:r>
              <w:rPr>
                <w:rFonts w:ascii="Arial" w:hAnsi="Arial"/>
                <w:b w:val="0"/>
                <w:sz w:val="11"/>
              </w:rPr>
              <w:t>Partitioned evidence chains; evidence export logs; partition policy records</w:t>
            </w:r>
          </w:p>
        </w:tc>
      </w:tr>
      <w:tr>
        <w:trPr>
          <w:cantSplit/>
        </w:trPr>
        <w:tc>
          <w:tcPr>
            <w:tcW w:type="dxa" w:w="2880"/>
            <w:vAlign w:val="top"/>
          </w:tcPr>
          <w:p>
            <w:pPr>
              <w:spacing w:after="0"/>
              <w:jc w:val="left"/>
            </w:pPr>
            <w:r>
              <w:rPr>
                <w:rFonts w:ascii="Arial" w:hAnsi="Arial"/>
                <w:b w:val="0"/>
                <w:sz w:val="11"/>
              </w:rPr>
              <w:t>Accepted Outcome Compliance Workflow</w:t>
            </w:r>
          </w:p>
        </w:tc>
        <w:tc>
          <w:tcPr>
            <w:tcW w:type="dxa" w:w="2880"/>
            <w:vAlign w:val="top"/>
          </w:tcPr>
          <w:p>
            <w:pPr>
              <w:spacing w:after="0"/>
              <w:jc w:val="left"/>
            </w:pPr>
            <w:r>
              <w:rPr>
                <w:rFonts w:ascii="Arial" w:hAnsi="Arial"/>
                <w:b w:val="0"/>
                <w:sz w:val="11"/>
              </w:rPr>
              <w:t>Accepted Outcome Failure; Remediation Closure Failure</w:t>
            </w:r>
          </w:p>
        </w:tc>
        <w:tc>
          <w:tcPr>
            <w:tcW w:type="dxa" w:w="2880"/>
            <w:vAlign w:val="top"/>
          </w:tcPr>
          <w:p>
            <w:pPr>
              <w:spacing w:after="0"/>
              <w:jc w:val="left"/>
            </w:pPr>
            <w:r>
              <w:rPr>
                <w:rFonts w:ascii="Arial" w:hAnsi="Arial"/>
                <w:b w:val="0"/>
                <w:sz w:val="11"/>
              </w:rPr>
              <w:t>Accepted Outcome Compliance (MRO-04); Human-Role-to-MAS Responsibility Mapping (MRO-01)</w:t>
            </w:r>
          </w:p>
        </w:tc>
        <w:tc>
          <w:tcPr>
            <w:tcW w:type="dxa" w:w="2880"/>
            <w:vAlign w:val="top"/>
          </w:tcPr>
          <w:p>
            <w:pPr>
              <w:spacing w:after="0"/>
              <w:jc w:val="left"/>
            </w:pPr>
            <w:r>
              <w:rPr>
                <w:rFonts w:ascii="Arial" w:hAnsi="Arial"/>
                <w:b w:val="0"/>
                <w:sz w:val="11"/>
              </w:rPr>
              <w:t>Business process owner; compliance team</w:t>
            </w:r>
          </w:p>
        </w:tc>
        <w:tc>
          <w:tcPr>
            <w:tcW w:type="dxa" w:w="2880"/>
            <w:vAlign w:val="top"/>
          </w:tcPr>
          <w:p>
            <w:pPr>
              <w:spacing w:after="0"/>
              <w:jc w:val="left"/>
            </w:pPr>
            <w:r>
              <w:rPr>
                <w:rFonts w:ascii="Arial" w:hAnsi="Arial"/>
                <w:b w:val="0"/>
                <w:sz w:val="11"/>
              </w:rPr>
              <w:t>Acceptance records; review records; escalation records; closure acceptance records</w:t>
            </w:r>
          </w:p>
        </w:tc>
      </w:tr>
      <w:tr>
        <w:trPr>
          <w:cantSplit/>
        </w:trPr>
        <w:tc>
          <w:tcPr>
            <w:tcW w:type="dxa" w:w="2880"/>
            <w:vAlign w:val="top"/>
          </w:tcPr>
          <w:p>
            <w:pPr>
              <w:spacing w:after="0"/>
              <w:jc w:val="left"/>
            </w:pPr>
            <w:r>
              <w:rPr>
                <w:rFonts w:ascii="Arial" w:hAnsi="Arial"/>
                <w:b w:val="0"/>
                <w:sz w:val="11"/>
              </w:rPr>
              <w:t>Cross-Project Reuse Compliance Workflow</w:t>
            </w:r>
          </w:p>
        </w:tc>
        <w:tc>
          <w:tcPr>
            <w:tcW w:type="dxa" w:w="2880"/>
            <w:vAlign w:val="top"/>
          </w:tcPr>
          <w:p>
            <w:pPr>
              <w:spacing w:after="0"/>
              <w:jc w:val="left"/>
            </w:pPr>
            <w:r>
              <w:rPr>
                <w:rFonts w:ascii="Arial" w:hAnsi="Arial"/>
                <w:b w:val="0"/>
                <w:sz w:val="11"/>
              </w:rPr>
              <w:t>Cross-Project Reuse Failure</w:t>
            </w:r>
          </w:p>
        </w:tc>
        <w:tc>
          <w:tcPr>
            <w:tcW w:type="dxa" w:w="2880"/>
            <w:vAlign w:val="top"/>
          </w:tcPr>
          <w:p>
            <w:pPr>
              <w:spacing w:after="0"/>
              <w:jc w:val="left"/>
            </w:pPr>
            <w:r>
              <w:rPr>
                <w:rFonts w:ascii="Arial" w:hAnsi="Arial"/>
                <w:b w:val="0"/>
                <w:sz w:val="11"/>
              </w:rPr>
              <w:t>Cross-Project Reuse Compliance (MRO-09); Privacy/GDPR Lifecycle Mapping (MRO-10)</w:t>
            </w:r>
          </w:p>
        </w:tc>
        <w:tc>
          <w:tcPr>
            <w:tcW w:type="dxa" w:w="2880"/>
            <w:vAlign w:val="top"/>
          </w:tcPr>
          <w:p>
            <w:pPr>
              <w:spacing w:after="0"/>
              <w:jc w:val="left"/>
            </w:pPr>
            <w:r>
              <w:rPr>
                <w:rFonts w:ascii="Arial" w:hAnsi="Arial"/>
                <w:b w:val="0"/>
                <w:sz w:val="11"/>
              </w:rPr>
              <w:t>Data governance team; privacy team</w:t>
            </w:r>
          </w:p>
        </w:tc>
        <w:tc>
          <w:tcPr>
            <w:tcW w:type="dxa" w:w="2880"/>
            <w:vAlign w:val="top"/>
          </w:tcPr>
          <w:p>
            <w:pPr>
              <w:spacing w:after="0"/>
              <w:jc w:val="left"/>
            </w:pPr>
            <w:r>
              <w:rPr>
                <w:rFonts w:ascii="Arial" w:hAnsi="Arial"/>
                <w:b w:val="0"/>
                <w:sz w:val="11"/>
              </w:rPr>
              <w:t>Reuse records; reset validation records; reauthorization records; context boundary records</w:t>
            </w:r>
          </w:p>
        </w:tc>
      </w:tr>
      <w:tr>
        <w:trPr>
          <w:cantSplit/>
        </w:trPr>
        <w:tc>
          <w:tcPr>
            <w:tcW w:type="dxa" w:w="2880"/>
            <w:vAlign w:val="top"/>
          </w:tcPr>
          <w:p>
            <w:pPr>
              <w:spacing w:after="0"/>
              <w:jc w:val="left"/>
            </w:pPr>
            <w:r>
              <w:rPr>
                <w:rFonts w:ascii="Arial" w:hAnsi="Arial"/>
                <w:b w:val="0"/>
                <w:sz w:val="11"/>
              </w:rPr>
              <w:t>Privacy-Preserving Validation Protocol</w:t>
            </w:r>
          </w:p>
        </w:tc>
        <w:tc>
          <w:tcPr>
            <w:tcW w:type="dxa" w:w="2880"/>
            <w:vAlign w:val="top"/>
          </w:tcPr>
          <w:p>
            <w:pPr>
              <w:spacing w:after="0"/>
              <w:jc w:val="left"/>
            </w:pPr>
            <w:r>
              <w:rPr>
                <w:rFonts w:ascii="Arial" w:hAnsi="Arial"/>
                <w:b w:val="0"/>
                <w:sz w:val="11"/>
              </w:rPr>
              <w:t>Privacy Validation Failure</w:t>
            </w:r>
          </w:p>
        </w:tc>
        <w:tc>
          <w:tcPr>
            <w:tcW w:type="dxa" w:w="2880"/>
            <w:vAlign w:val="top"/>
          </w:tcPr>
          <w:p>
            <w:pPr>
              <w:spacing w:after="0"/>
              <w:jc w:val="left"/>
            </w:pPr>
            <w:r>
              <w:rPr>
                <w:rFonts w:ascii="Arial" w:hAnsi="Arial"/>
                <w:b w:val="0"/>
                <w:sz w:val="11"/>
              </w:rPr>
              <w:t>Privacy-Preserving Third-Party Validation (MRO-11); Evidence Minimization (MRO-12)</w:t>
            </w:r>
          </w:p>
        </w:tc>
        <w:tc>
          <w:tcPr>
            <w:tcW w:type="dxa" w:w="2880"/>
            <w:vAlign w:val="top"/>
          </w:tcPr>
          <w:p>
            <w:pPr>
              <w:spacing w:after="0"/>
              <w:jc w:val="left"/>
            </w:pPr>
            <w:r>
              <w:rPr>
                <w:rFonts w:ascii="Arial" w:hAnsi="Arial"/>
                <w:b w:val="0"/>
                <w:sz w:val="11"/>
              </w:rPr>
              <w:t>Privacy team; compliance team</w:t>
            </w:r>
          </w:p>
        </w:tc>
        <w:tc>
          <w:tcPr>
            <w:tcW w:type="dxa" w:w="2880"/>
            <w:vAlign w:val="top"/>
          </w:tcPr>
          <w:p>
            <w:pPr>
              <w:spacing w:after="0"/>
              <w:jc w:val="left"/>
            </w:pPr>
            <w:r>
              <w:rPr>
                <w:rFonts w:ascii="Arial" w:hAnsi="Arial"/>
                <w:b w:val="0"/>
                <w:sz w:val="11"/>
              </w:rPr>
              <w:t>Validation protocol records; disclosure policy records; redaction records; hash manifests; verdict hashes</w:t>
            </w:r>
          </w:p>
        </w:tc>
      </w:tr>
      <w:tr>
        <w:trPr>
          <w:cantSplit/>
        </w:trPr>
        <w:tc>
          <w:tcPr>
            <w:tcW w:type="dxa" w:w="2880"/>
            <w:vAlign w:val="top"/>
          </w:tcPr>
          <w:p>
            <w:pPr>
              <w:spacing w:after="0"/>
              <w:jc w:val="left"/>
            </w:pPr>
            <w:r>
              <w:rPr>
                <w:rFonts w:ascii="Arial" w:hAnsi="Arial"/>
                <w:b w:val="0"/>
                <w:sz w:val="11"/>
              </w:rPr>
              <w:t>Processor/Subprocessor Chain Mapping</w:t>
            </w:r>
          </w:p>
        </w:tc>
        <w:tc>
          <w:tcPr>
            <w:tcW w:type="dxa" w:w="2880"/>
            <w:vAlign w:val="top"/>
          </w:tcPr>
          <w:p>
            <w:pPr>
              <w:spacing w:after="0"/>
              <w:jc w:val="left"/>
            </w:pPr>
            <w:r>
              <w:rPr>
                <w:rFonts w:ascii="Arial" w:hAnsi="Arial"/>
                <w:b w:val="0"/>
                <w:sz w:val="11"/>
              </w:rPr>
              <w:t>Processor Chain Failure</w:t>
            </w:r>
          </w:p>
        </w:tc>
        <w:tc>
          <w:tcPr>
            <w:tcW w:type="dxa" w:w="2880"/>
            <w:vAlign w:val="top"/>
          </w:tcPr>
          <w:p>
            <w:pPr>
              <w:spacing w:after="0"/>
              <w:jc w:val="left"/>
            </w:pPr>
            <w:r>
              <w:rPr>
                <w:rFonts w:ascii="Arial" w:hAnsi="Arial"/>
                <w:b w:val="0"/>
                <w:sz w:val="11"/>
              </w:rPr>
              <w:t>Third-Party Processor/Subprocessor Chain (MRO-14)</w:t>
            </w:r>
          </w:p>
        </w:tc>
        <w:tc>
          <w:tcPr>
            <w:tcW w:type="dxa" w:w="2880"/>
            <w:vAlign w:val="top"/>
          </w:tcPr>
          <w:p>
            <w:pPr>
              <w:spacing w:after="0"/>
              <w:jc w:val="left"/>
            </w:pPr>
            <w:r>
              <w:rPr>
                <w:rFonts w:ascii="Arial" w:hAnsi="Arial"/>
                <w:b w:val="0"/>
                <w:sz w:val="11"/>
              </w:rPr>
              <w:t>Procurement team; legal team; data governance team</w:t>
            </w:r>
          </w:p>
        </w:tc>
        <w:tc>
          <w:tcPr>
            <w:tcW w:type="dxa" w:w="2880"/>
            <w:vAlign w:val="top"/>
          </w:tcPr>
          <w:p>
            <w:pPr>
              <w:spacing w:after="0"/>
              <w:jc w:val="left"/>
            </w:pPr>
            <w:r>
              <w:rPr>
                <w:rFonts w:ascii="Arial" w:hAnsi="Arial"/>
                <w:b w:val="0"/>
                <w:sz w:val="11"/>
              </w:rPr>
              <w:t>Processor agreements; subprocessor chain records; responsibility assignment records</w:t>
            </w:r>
          </w:p>
        </w:tc>
      </w:tr>
      <w:tr>
        <w:trPr>
          <w:cantSplit/>
        </w:trPr>
        <w:tc>
          <w:tcPr>
            <w:tcW w:type="dxa" w:w="2880"/>
            <w:vAlign w:val="top"/>
          </w:tcPr>
          <w:p>
            <w:pPr>
              <w:spacing w:after="0"/>
              <w:jc w:val="left"/>
            </w:pPr>
            <w:r>
              <w:rPr>
                <w:rFonts w:ascii="Arial" w:hAnsi="Arial"/>
                <w:b w:val="0"/>
                <w:sz w:val="11"/>
              </w:rPr>
              <w:t>Substitution Conformance Validation</w:t>
            </w:r>
          </w:p>
        </w:tc>
        <w:tc>
          <w:tcPr>
            <w:tcW w:type="dxa" w:w="2880"/>
            <w:vAlign w:val="top"/>
          </w:tcPr>
          <w:p>
            <w:pPr>
              <w:spacing w:after="0"/>
              <w:jc w:val="left"/>
            </w:pPr>
            <w:r>
              <w:rPr>
                <w:rFonts w:ascii="Arial" w:hAnsi="Arial"/>
                <w:b w:val="0"/>
                <w:sz w:val="11"/>
              </w:rPr>
              <w:t>Vendor/Runtime Substitution Failure</w:t>
            </w:r>
          </w:p>
        </w:tc>
        <w:tc>
          <w:tcPr>
            <w:tcW w:type="dxa" w:w="2880"/>
            <w:vAlign w:val="top"/>
          </w:tcPr>
          <w:p>
            <w:pPr>
              <w:spacing w:after="0"/>
              <w:jc w:val="left"/>
            </w:pPr>
            <w:r>
              <w:rPr>
                <w:rFonts w:ascii="Arial" w:hAnsi="Arial"/>
                <w:b w:val="0"/>
                <w:sz w:val="11"/>
              </w:rPr>
              <w:t>Vendor/Model/Runtime Substitution Conformance (MRO-15)</w:t>
            </w:r>
          </w:p>
        </w:tc>
        <w:tc>
          <w:tcPr>
            <w:tcW w:type="dxa" w:w="2880"/>
            <w:vAlign w:val="top"/>
          </w:tcPr>
          <w:p>
            <w:pPr>
              <w:spacing w:after="0"/>
              <w:jc w:val="left"/>
            </w:pPr>
            <w:r>
              <w:rPr>
                <w:rFonts w:ascii="Arial" w:hAnsi="Arial"/>
                <w:b w:val="0"/>
                <w:sz w:val="11"/>
              </w:rPr>
              <w:t>Engineering team; compliance team</w:t>
            </w:r>
          </w:p>
        </w:tc>
        <w:tc>
          <w:tcPr>
            <w:tcW w:type="dxa" w:w="2880"/>
            <w:vAlign w:val="top"/>
          </w:tcPr>
          <w:p>
            <w:pPr>
              <w:spacing w:after="0"/>
              <w:jc w:val="left"/>
            </w:pPr>
            <w:r>
              <w:rPr>
                <w:rFonts w:ascii="Arial" w:hAnsi="Arial"/>
                <w:b w:val="0"/>
                <w:sz w:val="11"/>
              </w:rPr>
              <w:t>Substitution records; conformance validation records; regression testing records; evidence integrity validation records</w:t>
            </w:r>
          </w:p>
        </w:tc>
      </w:tr>
      <w:tr>
        <w:trPr>
          <w:cantSplit/>
        </w:trPr>
        <w:tc>
          <w:tcPr>
            <w:tcW w:type="dxa" w:w="2880"/>
            <w:vAlign w:val="top"/>
          </w:tcPr>
          <w:p>
            <w:pPr>
              <w:spacing w:after="0"/>
              <w:jc w:val="left"/>
            </w:pPr>
            <w:r>
              <w:rPr>
                <w:rFonts w:ascii="Arial" w:hAnsi="Arial"/>
                <w:b w:val="0"/>
                <w:sz w:val="11"/>
              </w:rPr>
              <w:t>Incident/Dispute/Remediation Closure Workflow</w:t>
            </w:r>
          </w:p>
        </w:tc>
        <w:tc>
          <w:tcPr>
            <w:tcW w:type="dxa" w:w="2880"/>
            <w:vAlign w:val="top"/>
          </w:tcPr>
          <w:p>
            <w:pPr>
              <w:spacing w:after="0"/>
              <w:jc w:val="left"/>
            </w:pPr>
            <w:r>
              <w:rPr>
                <w:rFonts w:ascii="Arial" w:hAnsi="Arial"/>
                <w:b w:val="0"/>
                <w:sz w:val="11"/>
              </w:rPr>
              <w:t>Remediation Closure Failure</w:t>
            </w:r>
          </w:p>
        </w:tc>
        <w:tc>
          <w:tcPr>
            <w:tcW w:type="dxa" w:w="2880"/>
            <w:vAlign w:val="top"/>
          </w:tcPr>
          <w:p>
            <w:pPr>
              <w:spacing w:after="0"/>
              <w:jc w:val="left"/>
            </w:pPr>
            <w:r>
              <w:rPr>
                <w:rFonts w:ascii="Arial" w:hAnsi="Arial"/>
                <w:b w:val="0"/>
                <w:sz w:val="11"/>
              </w:rPr>
              <w:t>Incident, Dispute, and Remediation Closure (MRO-16)</w:t>
            </w:r>
          </w:p>
        </w:tc>
        <w:tc>
          <w:tcPr>
            <w:tcW w:type="dxa" w:w="2880"/>
            <w:vAlign w:val="top"/>
          </w:tcPr>
          <w:p>
            <w:pPr>
              <w:spacing w:after="0"/>
              <w:jc w:val="left"/>
            </w:pPr>
            <w:r>
              <w:rPr>
                <w:rFonts w:ascii="Arial" w:hAnsi="Arial"/>
                <w:b w:val="0"/>
                <w:sz w:val="11"/>
              </w:rPr>
              <w:t>Incident response team; customer support team; compliance team</w:t>
            </w:r>
          </w:p>
        </w:tc>
        <w:tc>
          <w:tcPr>
            <w:tcW w:type="dxa" w:w="2880"/>
            <w:vAlign w:val="top"/>
          </w:tcPr>
          <w:p>
            <w:pPr>
              <w:spacing w:after="0"/>
              <w:jc w:val="left"/>
            </w:pPr>
            <w:r>
              <w:rPr>
                <w:rFonts w:ascii="Arial" w:hAnsi="Arial"/>
                <w:b w:val="0"/>
                <w:sz w:val="11"/>
              </w:rPr>
              <w:t>Incident records; affected outcome records; remediation records; closure acceptance records; customer impact assessment records</w:t>
            </w:r>
          </w:p>
        </w:tc>
      </w:tr>
    </w:tbl>
    <w:p>
      <w:pPr>
        <w:sectPr>
          <w:pgSz w:w="15840" w:h="12240" w:orient="landscape"/>
          <w:pgMar w:top="792" w:right="648" w:bottom="792" w:left="648" w:header="720" w:footer="720" w:gutter="0"/>
          <w:cols w:space="720"/>
          <w:docGrid w:linePitch="360"/>
        </w:sectPr>
      </w:pPr>
    </w:p>
    <w:p/>
    <w:p>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
    <w:p>
      <w:pPr>
        <w:pStyle w:val="Heading2"/>
      </w:pPr>
      <w:r>
        <w:t>15.5 Bridge to Adoption Roadmap</w:t>
      </w:r>
    </w:p>
    <w:p/>
    <w:p>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
      <w:r>
        <w:t>The bridge from failure scenarios (Chapter 15) to adoption roadmap (Chapter 17) is the recognition that lifecycle governance is not a theoretical framework. It is a practical necessity for enterprises deploying agentic AI systems.</w:t>
      </w:r>
    </w:p>
    <w:p/>
    <w:p>
      <w:r>
        <w:t>Failure scenarios create enterprise consequences: accountability gaps, audit failures, privacy violations, liability disputes, regulatory non-compliance, customer harm, and reputational damage. Prevention and remediation patterns require specific lifecycle objects, operational owners, and evidence artifacts.</w:t>
      </w:r>
    </w:p>
    <w:p/>
    <w:p>
      <w:r>
        <w:t>Chapter 17 will present an adoption roadmap for enterprises implementing AI Agent Lifecycle Governance. The roadmap will address:</w:t>
      </w:r>
    </w:p>
    <w:p>
      <w:pPr>
        <w:pStyle w:val="ListBullet"/>
      </w:pPr>
      <w:r>
        <w:t>Where to start (maturity assessment, gap analysis, pilot projects)</w:t>
      </w:r>
    </w:p>
    <w:p>
      <w:pPr>
        <w:pStyle w:val="ListBullet"/>
      </w:pPr>
      <w:r>
        <w:t>How to integrate lifecycle governance with existing enterprise controls</w:t>
      </w:r>
    </w:p>
    <w:p>
      <w:pPr>
        <w:pStyle w:val="ListBullet"/>
      </w:pPr>
      <w:r>
        <w:t>How to operationalize lifecycle responsibility objects</w:t>
      </w:r>
    </w:p>
    <w:p>
      <w:pPr>
        <w:pStyle w:val="ListBullet"/>
      </w:pPr>
      <w:r>
        <w:t>How to measure progress and demonstrate conformance</w:t>
      </w:r>
    </w:p>
    <w:p>
      <w:pPr>
        <w:pStyle w:val="ListBullet"/>
      </w:pPr>
      <w:r>
        <w:t>How to scale from pilot to production</w:t>
      </w:r>
    </w:p>
    <w:p/>
    <w:p>
      <w:r>
        <w:t>The goal is not to claim that lifecycle governance eliminates all risk. The goal is to provide a practical path for enterprises to address the lifecycle governance gap.</w:t>
      </w:r>
    </w:p>
    <w:p/>
    <w:p/>
    <w:p>
      <w:r>
        <w:t>End of Chapter 15</w:t>
      </w:r>
    </w:p>
    <w:p/>
    <w:p>
      <w:r>
        <w:t>Chapter 15 Status: FILLED (Phase 1B-6; Phase 1C follow-up reviewed) — Enterprise Failure Scenarios complete; no system-specific capability claim requiring Appendix G-style finalization was introduced.</w:t>
      </w:r>
    </w:p>
    <w:p>
      <w:pPr>
        <w:pStyle w:val="Heading1"/>
      </w:pPr>
      <w:r>
        <w:t>16. Boundary to Companion Papers: Evidence, Assurance, and Insurability</w:t>
      </w:r>
    </w:p>
    <w:p/>
    <w:p>
      <w:r>
        <w:t>Version: v0.3.2-FRC-R3</w:t>
      </w:r>
    </w:p>
    <w:p>
      <w:r>
        <w:t>Status: FILLED — All sections 16.0-16.6 complete</w:t>
      </w:r>
    </w:p>
    <w:p>
      <w:r>
        <w:t>Phase: 1A-4.3</w:t>
      </w:r>
    </w:p>
    <w:p/>
    <w:p/>
    <w:p>
      <w:pPr>
        <w:pStyle w:val="Heading2"/>
      </w:pPr>
      <w:r>
        <w:t>16.0 Why Companion Paper Boundaries Matter</w:t>
      </w:r>
    </w:p>
    <w:p/>
    <w:p>
      <w:r>
        <w:t>This white paper has grown into a mother framework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
      <w:r>
        <w:t>The purpose of this chapter is to declare which topics are covered at framework-entry level in the main white paper and which topics are reserved for specialized companion papers. This boundary is intentional. This white paper defines the mother framework. It does not attempt to become every downstream assurance, insurance, audit, or procurement methodology.</w:t>
      </w:r>
    </w:p>
    <w:p/>
    <w:p>
      <w:r>
        <w:t>Two companion papers are planned:</w:t>
      </w:r>
    </w:p>
    <w:p/>
    <w:p>
      <w:r>
        <w:t>1. Agentic AI Evidence &amp; Assurance White Paper 2026 — defines audit control objectives, evidence sufficiency, test procedures, attestation readiness, and privacy-preserving validation patterns.</w:t>
      </w:r>
    </w:p>
    <w:p/>
    <w:p>
      <w:r>
        <w:t>2. Agentic AI Insurability White Paper 2026 — defines risk classification, tool-action liability, loss attribution, claim replay evidence, premium differentiation logic, exclusion triggers, and underwriting implications.</w:t>
      </w:r>
    </w:p>
    <w:p/>
    <w:p>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
    <w:p>
      <w:pPr>
        <w:pStyle w:val="Heading2"/>
      </w:pPr>
      <w:r>
        <w:t>16.1 What the Main White Paper Covers</w:t>
      </w:r>
    </w:p>
    <w:p/>
    <w:p>
      <w:r>
        <w:t>The main white paper covers the following topics at framework-entry level:</w:t>
      </w:r>
    </w:p>
    <w:p/>
    <w:p>
      <w:r>
        <w:t>Core Framework:</w:t>
      </w:r>
    </w:p>
    <w:p>
      <w:pPr>
        <w:pStyle w:val="ListBullet"/>
      </w:pPr>
      <w:r>
        <w:t>AI Agent Lifecycle Governance definition and lifecycle chain</w:t>
      </w:r>
    </w:p>
    <w:p>
      <w:pPr>
        <w:pStyle w:val="ListBullet"/>
      </w:pPr>
      <w:r>
        <w:t>Regulatory and standards baseline analysis</w:t>
      </w:r>
    </w:p>
    <w:p>
      <w:pPr>
        <w:pStyle w:val="ListBullet"/>
      </w:pPr>
      <w:r>
        <w:t>Missing Regulatory Objects (MRO-01 through MRO-16)</w:t>
      </w:r>
    </w:p>
    <w:p>
      <w:pPr>
        <w:pStyle w:val="ListBullet"/>
      </w:pPr>
      <w:r>
        <w:t>RCCS (Regulatory Compliance Coverage Score) framework</w:t>
      </w:r>
    </w:p>
    <w:p>
      <w:pPr>
        <w:pStyle w:val="ListBullet"/>
      </w:pPr>
      <w:r>
        <w:t>ALCS (Agentic Lifecycle Conformance Score) framework</w:t>
      </w:r>
    </w:p>
    <w:p>
      <w:pPr>
        <w:pStyle w:val="ListBullet"/>
      </w:pPr>
      <w:r>
        <w:t>Composite dual-layer scoring profile</w:t>
      </w:r>
    </w:p>
    <w:p>
      <w:pPr>
        <w:pStyle w:val="ListBullet"/>
      </w:pPr>
      <w:r>
        <w:t>Enterprise control crosswalk and procurement scorecard inputs</w:t>
      </w:r>
    </w:p>
    <w:p>
      <w:pPr>
        <w:pStyle w:val="ListBullet"/>
      </w:pPr>
      <w:r>
        <w:t>System positioning and comparative field mappings</w:t>
      </w:r>
    </w:p>
    <w:p>
      <w:pPr>
        <w:pStyle w:val="ListBullet"/>
      </w:pPr>
      <w:r>
        <w:t>MPLP boundary and non-claim discipline</w:t>
      </w:r>
    </w:p>
    <w:p>
      <w:pPr>
        <w:pStyle w:val="ListBullet"/>
      </w:pPr>
      <w:r>
        <w:t>Evidence-based validation pattern at framework-entry level</w:t>
      </w:r>
    </w:p>
    <w:p>
      <w:pPr>
        <w:pStyle w:val="ListBullet"/>
      </w:pPr>
      <w:r>
        <w:t>Enterprise failure scenarios</w:t>
      </w:r>
    </w:p>
    <w:p>
      <w:pPr>
        <w:pStyle w:val="ListBullet"/>
      </w:pPr>
      <w:r>
        <w:t>Adoption roadmap</w:t>
      </w:r>
    </w:p>
    <w:p/>
    <w:p>
      <w:r>
        <w:t>Framework-Entry Evidence Concepts:</w:t>
      </w:r>
    </w:p>
    <w:p>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
      <w:r>
        <w:t>Framework-Entry Insurance Concepts:</w:t>
      </w:r>
    </w:p>
    <w:p>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
      <w:r>
        <w:t>Boundary:</w:t>
      </w:r>
    </w:p>
    <w:p>
      <w:r>
        <w:t>The main white paper does not fully define:</w:t>
      </w:r>
    </w:p>
    <w:p>
      <w:pPr>
        <w:pStyle w:val="ListBullet"/>
      </w:pPr>
      <w:r>
        <w:t>Audit engagement procedures</w:t>
      </w:r>
    </w:p>
    <w:p>
      <w:pPr>
        <w:pStyle w:val="ListBullet"/>
      </w:pPr>
      <w:r>
        <w:t>Assurance opinions or attestation reports</w:t>
      </w:r>
    </w:p>
    <w:p>
      <w:pPr>
        <w:pStyle w:val="ListBullet"/>
      </w:pPr>
      <w:r>
        <w:t>Insurance policy wording or coverage terms</w:t>
      </w:r>
    </w:p>
    <w:p>
      <w:pPr>
        <w:pStyle w:val="ListBullet"/>
      </w:pPr>
      <w:r>
        <w:t>Premium pricing models or actuarial methodology</w:t>
      </w:r>
    </w:p>
    <w:p>
      <w:pPr>
        <w:pStyle w:val="ListBullet"/>
      </w:pPr>
      <w:r>
        <w:t>Loss quantification or claim settlement procedures</w:t>
      </w:r>
    </w:p>
    <w:p>
      <w:pPr>
        <w:pStyle w:val="ListBullet"/>
      </w:pPr>
      <w:r>
        <w:t>Legal compliance opinions or jurisdictional interpretations</w:t>
      </w:r>
    </w:p>
    <w:p>
      <w:pPr>
        <w:pStyle w:val="ListBullet"/>
      </w:pPr>
      <w:r>
        <w:t>Procurement recommendations or vendor selection criteria</w:t>
      </w:r>
    </w:p>
    <w:p>
      <w:pPr>
        <w:pStyle w:val="ListBullet"/>
      </w:pPr>
      <w:r>
        <w:t>Certification procedures or conformity assessment</w:t>
      </w:r>
    </w:p>
    <w:p>
      <w:pPr>
        <w:pStyle w:val="ListBullet"/>
      </w:pPr>
      <w:r>
        <w:t>Validation Lab operational procedures or certification authority claims</w:t>
      </w:r>
    </w:p>
    <w:p/>
    <w:p>
      <w:r>
        <w:t>The main white paper provides the governance mother framework.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
    <w:p>
      <w:pPr>
        <w:pStyle w:val="Heading2"/>
      </w:pPr>
      <w:r>
        <w:t>16.2 Companion Paper 1 — Agentic AI Evidence &amp; Assurance White Paper 2026</w:t>
      </w:r>
    </w:p>
    <w:p/>
    <w:p>
      <w:r>
        <w:t>The Agentic AI Evidence &amp; Assurance White Paper 2026 will define the audit, control testing, and validation methodology for agentic systems. It will build on the lifecycle governance framework defined in the main white paper and translate MROs, RCCS, and ALCS into audit control objectives, evidence requirements, and attestation readiness.</w:t>
      </w:r>
    </w:p>
    <w:p/>
    <w:p>
      <w:r>
        <w:t>Intended Scope:</w:t>
      </w:r>
    </w:p>
    <w:p/>
    <w:p>
      <w:r>
        <w:t>The Evidence &amp; Assurance companion paper will cover:</w:t>
      </w:r>
    </w:p>
    <w:p/>
    <w:p>
      <w:pPr>
        <w:pStyle w:val="ListBullet"/>
      </w:pPr>
      <w:r>
        <w:t>Evidence artifact taxonomy: What evidence types are required for each MRO and lifecycle stage.</w:t>
      </w:r>
    </w:p>
    <w:p>
      <w:pPr>
        <w:pStyle w:val="ListBullet"/>
      </w:pPr>
      <w:r>
        <w:t>Audit control objectives: How to translate MROs into testable control objectives.</w:t>
      </w:r>
    </w:p>
    <w:p>
      <w:pPr>
        <w:pStyle w:val="ListBullet"/>
      </w:pPr>
      <w:r>
        <w:t>Control activities: What control activities satisfy each objective.</w:t>
      </w:r>
    </w:p>
    <w:p>
      <w:pPr>
        <w:pStyle w:val="ListBullet"/>
      </w:pPr>
      <w:r>
        <w:t>Test procedures: How to test design effectiveness and operating effectiveness.</w:t>
      </w:r>
    </w:p>
    <w:p>
      <w:pPr>
        <w:pStyle w:val="ListBullet"/>
      </w:pPr>
      <w:r>
        <w:t>Design effectiveness: How to evaluate whether controls are properly designed.</w:t>
      </w:r>
    </w:p>
    <w:p>
      <w:pPr>
        <w:pStyle w:val="ListBullet"/>
      </w:pPr>
      <w:r>
        <w:t>Operating effectiveness: How to evaluate whether controls are operating as intended.</w:t>
      </w:r>
    </w:p>
    <w:p>
      <w:pPr>
        <w:pStyle w:val="ListBullet"/>
      </w:pPr>
      <w:r>
        <w:t>Evidence sufficiency: How much evidence is enough for audit readiness.</w:t>
      </w:r>
    </w:p>
    <w:p>
      <w:pPr>
        <w:pStyle w:val="ListBullet"/>
      </w:pPr>
      <w:r>
        <w:t>Evidence integrity: How to ensure evidence has not been tampered with.</w:t>
      </w:r>
    </w:p>
    <w:p>
      <w:pPr>
        <w:pStyle w:val="ListBullet"/>
      </w:pPr>
      <w:r>
        <w:t>Replayability: How to replay evidence for dispute resolution or audit review.</w:t>
      </w:r>
    </w:p>
    <w:p>
      <w:pPr>
        <w:pStyle w:val="ListBullet"/>
      </w:pPr>
      <w:r>
        <w:t>Attestation readiness: What evidence is required for third-party attestation.</w:t>
      </w:r>
    </w:p>
    <w:p>
      <w:pPr>
        <w:pStyle w:val="ListBullet"/>
      </w:pPr>
      <w:r>
        <w:t>Privacy-preserving validation patterns: How to validate evidence without exposing sensitive data.</w:t>
      </w:r>
    </w:p>
    <w:p>
      <w:pPr>
        <w:pStyle w:val="ListBullet"/>
      </w:pPr>
      <w:r>
        <w:t>Validation readiness: How to prepare for third-party validation or audit engagement.</w:t>
      </w:r>
    </w:p>
    <w:p>
      <w:pPr>
        <w:pStyle w:val="ListBullet"/>
      </w:pPr>
      <w:r>
        <w:t>Assurance engagement boundaries: What assurance engagements can and cannot claim.</w:t>
      </w:r>
    </w:p>
    <w:p/>
    <w:p>
      <w:r>
        <w:t>Boundary:</w:t>
      </w:r>
    </w:p>
    <w:p/>
    <w:p>
      <w:r>
        <w:t>The Evidence &amp; Assurance companion paper will not:</w:t>
      </w:r>
    </w:p>
    <w:p>
      <w:pPr>
        <w:pStyle w:val="ListBullet"/>
      </w:pPr>
      <w:r>
        <w:t>Create legal certification or regulatory approval</w:t>
      </w:r>
    </w:p>
    <w:p>
      <w:pPr>
        <w:pStyle w:val="ListBullet"/>
      </w:pPr>
      <w:r>
        <w:t>Claim that Validation Lab is a certification authority, regulator, or conformity assessment body</w:t>
      </w:r>
    </w:p>
    <w:p>
      <w:pPr>
        <w:pStyle w:val="ListBullet"/>
      </w:pPr>
      <w:r>
        <w:t>Issue audit opinions or replace professional audit judgment</w:t>
      </w:r>
    </w:p>
    <w:p>
      <w:pPr>
        <w:pStyle w:val="ListBullet"/>
      </w:pPr>
      <w:r>
        <w:t>Guarantee compliance with any specific regulation or standard</w:t>
      </w:r>
    </w:p>
    <w:p>
      <w:pPr>
        <w:pStyle w:val="ListBullet"/>
      </w:pPr>
      <w:r>
        <w:t>Replace internal audit, external audit, or regulatory examination</w:t>
      </w:r>
    </w:p>
    <w:p>
      <w:pPr>
        <w:pStyle w:val="ListBullet"/>
      </w:pPr>
      <w:r>
        <w:t>Define insurance underwriting, actuarial methodology, or premium pricing</w:t>
      </w:r>
    </w:p>
    <w:p/>
    <w:p>
      <w:r>
        <w:t>Validation Lab Positioning:</w:t>
      </w:r>
    </w:p>
    <w:p/>
    <w:p>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
      <w:r>
        <w:t>The Evidence &amp; Assurance companion paper will clarify that Validation Lab is an example of how privacy-preserving third-party validation could be structured. It is not the only method. It is not required for compliance. It is not a certification program.</w:t>
      </w:r>
    </w:p>
    <w:p/>
    <w:p/>
    <w:p>
      <w:pPr>
        <w:pStyle w:val="Heading2"/>
      </w:pPr>
      <w:r>
        <w:t>16.3 Companion Paper 2 — Agentic AI Insurability White Paper 2026</w:t>
      </w:r>
    </w:p>
    <w:p/>
    <w:p>
      <w:r>
        <w:t>The Agentic AI Insurability White Paper 2026 will define the risk classification, loss attribution, and underwriting implications for agentic systems. It will build on the lifecycle governance framework defined in the main white paper and translate MROs, RCCS, and ALCS into insurability criteria, claim replay evidence, and premium differentiation logic.</w:t>
      </w:r>
    </w:p>
    <w:p/>
    <w:p>
      <w:r>
        <w:t>Intended Scope:</w:t>
      </w:r>
    </w:p>
    <w:p/>
    <w:p>
      <w:r>
        <w:t>The Insurability companion paper will cover:</w:t>
      </w:r>
    </w:p>
    <w:p/>
    <w:p>
      <w:pPr>
        <w:pStyle w:val="ListBullet"/>
      </w:pPr>
      <w:r>
        <w:t>Insurability criteria: What makes an agentic system insurable or uninsurable.</w:t>
      </w:r>
    </w:p>
    <w:p>
      <w:pPr>
        <w:pStyle w:val="ListBullet"/>
      </w:pPr>
      <w:r>
        <w:t>Risk classification: How to classify agentic system risk for underwriting purposes.</w:t>
      </w:r>
    </w:p>
    <w:p>
      <w:pPr>
        <w:pStyle w:val="ListBullet"/>
      </w:pPr>
      <w:r>
        <w:t>Authority boundary risk: How delegated authority boundaries affect liability and coverage.</w:t>
      </w:r>
    </w:p>
    <w:p>
      <w:pPr>
        <w:pStyle w:val="ListBullet"/>
      </w:pPr>
      <w:r>
        <w:t>Tool-action liability: How to attribute liability for tool actions taken by agents.</w:t>
      </w:r>
    </w:p>
    <w:p>
      <w:pPr>
        <w:pStyle w:val="ListBullet"/>
      </w:pPr>
      <w:r>
        <w:t>Loss attribution: How to determine which party is responsible for a loss.</w:t>
      </w:r>
    </w:p>
    <w:p>
      <w:pPr>
        <w:pStyle w:val="ListBullet"/>
      </w:pPr>
      <w:r>
        <w:t>Loss quantification concepts: How to estimate potential losses from agentic system failures.</w:t>
      </w:r>
    </w:p>
    <w:p>
      <w:pPr>
        <w:pStyle w:val="ListBullet"/>
      </w:pPr>
      <w:r>
        <w:t>Claim replay evidence: What evidence is required to replay a claim for dispute resolution.</w:t>
      </w:r>
    </w:p>
    <w:p>
      <w:pPr>
        <w:pStyle w:val="ListBullet"/>
      </w:pPr>
      <w:r>
        <w:t>Dispute-ready evidence: How to structure evidence for insurance claim disputes.</w:t>
      </w:r>
    </w:p>
    <w:p>
      <w:pPr>
        <w:pStyle w:val="ListBullet"/>
      </w:pPr>
      <w:r>
        <w:t>Remediation closure: How to verify that incidents have been properly remediated.</w:t>
      </w:r>
    </w:p>
    <w:p>
      <w:pPr>
        <w:pStyle w:val="ListBullet"/>
      </w:pPr>
      <w:r>
        <w:t>Premium differentiation logic: How lifecycle conformance could affect premium pricing.</w:t>
      </w:r>
    </w:p>
    <w:p>
      <w:pPr>
        <w:pStyle w:val="ListBullet"/>
      </w:pPr>
      <w:r>
        <w:t>Exclusion triggers: What conditions could trigger coverage exclusions.</w:t>
      </w:r>
    </w:p>
    <w:p>
      <w:pPr>
        <w:pStyle w:val="ListBullet"/>
      </w:pPr>
      <w:r>
        <w:t>Autonomous-action exclusions: How autonomous actions affect coverage boundaries.</w:t>
      </w:r>
    </w:p>
    <w:p>
      <w:pPr>
        <w:pStyle w:val="ListBullet"/>
      </w:pPr>
      <w:r>
        <w:t>Moral hazard considerations: How to prevent moral hazard in agentic system insurance.</w:t>
      </w:r>
    </w:p>
    <w:p>
      <w:pPr>
        <w:pStyle w:val="ListBullet"/>
      </w:pPr>
      <w:r>
        <w:t>Coverage boundary analysis: Where coverage begins and ends for agentic systems.</w:t>
      </w:r>
    </w:p>
    <w:p/>
    <w:p>
      <w:r>
        <w:t>Boundary:</w:t>
      </w:r>
    </w:p>
    <w:p/>
    <w:p>
      <w:r>
        <w:t>The Insurability companion paper will not:</w:t>
      </w:r>
    </w:p>
    <w:p>
      <w:pPr>
        <w:pStyle w:val="ListBullet"/>
      </w:pPr>
      <w:r>
        <w:t>Define actual insurance policy wording or coverage terms</w:t>
      </w:r>
    </w:p>
    <w:p>
      <w:pPr>
        <w:pStyle w:val="ListBullet"/>
      </w:pPr>
      <w:r>
        <w:t>Set premiums or provide actuarial pricing models</w:t>
      </w:r>
    </w:p>
    <w:p>
      <w:pPr>
        <w:pStyle w:val="ListBullet"/>
      </w:pPr>
      <w:r>
        <w:t>Replace underwriting, actuarial, legal, or claims judgment</w:t>
      </w:r>
    </w:p>
    <w:p>
      <w:pPr>
        <w:pStyle w:val="ListBullet"/>
      </w:pPr>
      <w:r>
        <w:t>Guarantee insurability or coverage for any specific system</w:t>
      </w:r>
    </w:p>
    <w:p>
      <w:pPr>
        <w:pStyle w:val="ListBullet"/>
      </w:pPr>
      <w:r>
        <w:t>Issue legal opinions on liability or regulatory compliance</w:t>
      </w:r>
    </w:p>
    <w:p>
      <w:pPr>
        <w:pStyle w:val="ListBullet"/>
      </w:pPr>
      <w:r>
        <w:t>Replace insurance broker, underwriter, or claims adjuster judgment</w:t>
      </w:r>
    </w:p>
    <w:p>
      <w:pPr>
        <w:pStyle w:val="ListBullet"/>
      </w:pPr>
      <w:r>
        <w:t>Define claim settlement procedures or dispute resolution mechanisms</w:t>
      </w:r>
    </w:p>
    <w:p/>
    <w:p>
      <w:r>
        <w:t>The Insurability companion paper will provide a framework for analyzing insurability implications. It will not replace professional insurance judgment. It will not claim that RCCS or ALCS scores determine premiums. It will not claim that MPLP conformance guarantees insurability. It will clarify that insurability depends on underwriting judgment, actuarial analysis, legal review, and risk appetite, not only on lifecycle conformance scores.</w:t>
      </w:r>
    </w:p>
    <w:p/>
    <w:p/>
    <w:p>
      <w:pPr>
        <w:pStyle w:val="Heading2"/>
      </w:pPr>
      <w:r>
        <w:t>16.4 Companion Paper Boundary Matrix</w:t>
      </w:r>
    </w:p>
    <w:p/>
    <w:p>
      <w:r>
        <w:t>The following tables clarify which topics are covered in the main white paper and which are reserved for the Evidence &amp; Assurance and Insurability companion papers.</w:t>
      </w:r>
    </w:p>
    <w:p/>
    <w:p>
      <w:pPr>
        <w:pStyle w:val="Heading3"/>
      </w:pPr>
      <w:r>
        <w:t>Table T-16-01A: Main Paper vs Evidence &amp; Assurance Boundary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Topic</w:t>
            </w:r>
          </w:p>
        </w:tc>
        <w:tc>
          <w:tcPr>
            <w:tcW w:type="dxa" w:w="3408"/>
            <w:vAlign w:val="top"/>
            <w:shd w:fill="D9EAF7"/>
          </w:tcPr>
          <w:p>
            <w:pPr>
              <w:spacing w:after="0"/>
              <w:jc w:val="left"/>
            </w:pPr>
            <w:r>
              <w:rPr>
                <w:rFonts w:ascii="Arial" w:hAnsi="Arial"/>
                <w:b/>
                <w:sz w:val="16"/>
              </w:rPr>
              <w:t>Covered in Main White Paper</w:t>
            </w:r>
          </w:p>
        </w:tc>
        <w:tc>
          <w:tcPr>
            <w:tcW w:type="dxa" w:w="3408"/>
            <w:vAlign w:val="top"/>
            <w:shd w:fill="D9EAF7"/>
          </w:tcPr>
          <w:p>
            <w:pPr>
              <w:spacing w:after="0"/>
              <w:jc w:val="left"/>
            </w:pPr>
            <w:r>
              <w:rPr>
                <w:rFonts w:ascii="Arial" w:hAnsi="Arial"/>
                <w:b/>
                <w:sz w:val="16"/>
              </w:rPr>
              <w:t>Reserved for Evidence &amp; Assurance Paper</w:t>
            </w:r>
          </w:p>
        </w:tc>
      </w:tr>
      <w:tr>
        <w:trPr>
          <w:cantSplit/>
        </w:trPr>
        <w:tc>
          <w:tcPr>
            <w:tcW w:type="dxa" w:w="3408"/>
            <w:vAlign w:val="top"/>
          </w:tcPr>
          <w:p>
            <w:pPr>
              <w:spacing w:after="0"/>
              <w:jc w:val="left"/>
            </w:pPr>
            <w:r>
              <w:rPr>
                <w:rFonts w:ascii="Arial" w:hAnsi="Arial"/>
                <w:b w:val="0"/>
                <w:sz w:val="16"/>
              </w:rPr>
              <w:t>Evidence Chain</w:t>
            </w:r>
          </w:p>
        </w:tc>
        <w:tc>
          <w:tcPr>
            <w:tcW w:type="dxa" w:w="3408"/>
            <w:vAlign w:val="top"/>
          </w:tcPr>
          <w:p>
            <w:pPr>
              <w:spacing w:after="0"/>
              <w:jc w:val="left"/>
            </w:pPr>
            <w:r>
              <w:rPr>
                <w:rFonts w:ascii="Arial" w:hAnsi="Arial"/>
                <w:b w:val="0"/>
                <w:sz w:val="16"/>
              </w:rPr>
              <w:t>Defines evidence chain as lifecycle governance requirement; explains why evidence chain matters for agentic systems</w:t>
            </w:r>
          </w:p>
        </w:tc>
        <w:tc>
          <w:tcPr>
            <w:tcW w:type="dxa" w:w="3408"/>
            <w:vAlign w:val="top"/>
          </w:tcPr>
          <w:p>
            <w:pPr>
              <w:spacing w:after="0"/>
              <w:jc w:val="left"/>
            </w:pPr>
            <w:r>
              <w:rPr>
                <w:rFonts w:ascii="Arial" w:hAnsi="Arial"/>
                <w:b w:val="0"/>
                <w:sz w:val="16"/>
              </w:rPr>
              <w:t>Defines evidence sufficiency, integrity, replay procedures, and control testing methodology</w:t>
            </w:r>
          </w:p>
        </w:tc>
      </w:tr>
      <w:tr>
        <w:trPr>
          <w:cantSplit/>
        </w:trPr>
        <w:tc>
          <w:tcPr>
            <w:tcW w:type="dxa" w:w="3408"/>
            <w:vAlign w:val="top"/>
          </w:tcPr>
          <w:p>
            <w:pPr>
              <w:spacing w:after="0"/>
              <w:jc w:val="left"/>
            </w:pPr>
            <w:r>
              <w:rPr>
                <w:rFonts w:ascii="Arial" w:hAnsi="Arial"/>
                <w:b w:val="0"/>
                <w:sz w:val="16"/>
              </w:rPr>
              <w:t>Validation Readiness</w:t>
            </w:r>
          </w:p>
        </w:tc>
        <w:tc>
          <w:tcPr>
            <w:tcW w:type="dxa" w:w="3408"/>
            <w:vAlign w:val="top"/>
          </w:tcPr>
          <w:p>
            <w:pPr>
              <w:spacing w:after="0"/>
              <w:jc w:val="left"/>
            </w:pPr>
            <w:r>
              <w:rPr>
                <w:rFonts w:ascii="Arial" w:hAnsi="Arial"/>
                <w:b w:val="0"/>
                <w:sz w:val="16"/>
              </w:rPr>
              <w:t>Introduces privacy-preserving validation as MRO-11 concept</w:t>
            </w:r>
          </w:p>
        </w:tc>
        <w:tc>
          <w:tcPr>
            <w:tcW w:type="dxa" w:w="3408"/>
            <w:vAlign w:val="top"/>
          </w:tcPr>
          <w:p>
            <w:pPr>
              <w:spacing w:after="0"/>
              <w:jc w:val="left"/>
            </w:pPr>
            <w:r>
              <w:rPr>
                <w:rFonts w:ascii="Arial" w:hAnsi="Arial"/>
                <w:b w:val="0"/>
                <w:sz w:val="16"/>
              </w:rPr>
              <w:t>Defines validation engagement procedures, evidence requirements, and attestation readiness</w:t>
            </w:r>
          </w:p>
        </w:tc>
      </w:tr>
      <w:tr>
        <w:trPr>
          <w:cantSplit/>
        </w:trPr>
        <w:tc>
          <w:tcPr>
            <w:tcW w:type="dxa" w:w="3408"/>
            <w:vAlign w:val="top"/>
          </w:tcPr>
          <w:p>
            <w:pPr>
              <w:spacing w:after="0"/>
              <w:jc w:val="left"/>
            </w:pPr>
            <w:r>
              <w:rPr>
                <w:rFonts w:ascii="Arial" w:hAnsi="Arial"/>
                <w:b w:val="0"/>
                <w:sz w:val="16"/>
              </w:rPr>
              <w:t>Audit Readiness</w:t>
            </w:r>
          </w:p>
        </w:tc>
        <w:tc>
          <w:tcPr>
            <w:tcW w:type="dxa" w:w="3408"/>
            <w:vAlign w:val="top"/>
          </w:tcPr>
          <w:p>
            <w:pPr>
              <w:spacing w:after="0"/>
              <w:jc w:val="left"/>
            </w:pPr>
            <w:r>
              <w:rPr>
                <w:rFonts w:ascii="Arial" w:hAnsi="Arial"/>
                <w:b w:val="0"/>
                <w:sz w:val="16"/>
              </w:rPr>
              <w:t>Maps MROs to enterprise control questions; provides procurement scorecard inputs</w:t>
            </w:r>
          </w:p>
        </w:tc>
        <w:tc>
          <w:tcPr>
            <w:tcW w:type="dxa" w:w="3408"/>
            <w:vAlign w:val="top"/>
          </w:tcPr>
          <w:p>
            <w:pPr>
              <w:spacing w:after="0"/>
              <w:jc w:val="left"/>
            </w:pPr>
            <w:r>
              <w:rPr>
                <w:rFonts w:ascii="Arial" w:hAnsi="Arial"/>
                <w:b w:val="0"/>
                <w:sz w:val="16"/>
              </w:rPr>
              <w:t>Defines audit control objectives, test procedures, design effectiveness, and operating effectiveness testing</w:t>
            </w:r>
          </w:p>
        </w:tc>
      </w:tr>
      <w:tr>
        <w:trPr>
          <w:cantSplit/>
        </w:trPr>
        <w:tc>
          <w:tcPr>
            <w:tcW w:type="dxa" w:w="3408"/>
            <w:vAlign w:val="top"/>
          </w:tcPr>
          <w:p>
            <w:pPr>
              <w:spacing w:after="0"/>
              <w:jc w:val="left"/>
            </w:pPr>
            <w:r>
              <w:rPr>
                <w:rFonts w:ascii="Arial" w:hAnsi="Arial"/>
                <w:b w:val="0"/>
                <w:sz w:val="16"/>
              </w:rPr>
              <w:t>Control Objectives</w:t>
            </w:r>
          </w:p>
        </w:tc>
        <w:tc>
          <w:tcPr>
            <w:tcW w:type="dxa" w:w="3408"/>
            <w:vAlign w:val="top"/>
          </w:tcPr>
          <w:p>
            <w:pPr>
              <w:spacing w:after="0"/>
              <w:jc w:val="left"/>
            </w:pPr>
            <w:r>
              <w:rPr>
                <w:rFonts w:ascii="Arial" w:hAnsi="Arial"/>
                <w:b w:val="0"/>
                <w:sz w:val="16"/>
              </w:rPr>
              <w:t>Identifies control gaps created by agentic systems</w:t>
            </w:r>
          </w:p>
        </w:tc>
        <w:tc>
          <w:tcPr>
            <w:tcW w:type="dxa" w:w="3408"/>
            <w:vAlign w:val="top"/>
          </w:tcPr>
          <w:p>
            <w:pPr>
              <w:spacing w:after="0"/>
              <w:jc w:val="left"/>
            </w:pPr>
            <w:r>
              <w:rPr>
                <w:rFonts w:ascii="Arial" w:hAnsi="Arial"/>
                <w:b w:val="0"/>
                <w:sz w:val="16"/>
              </w:rPr>
              <w:t>Translates MROs into testable control objectives with evidence requirements</w:t>
            </w:r>
          </w:p>
        </w:tc>
      </w:tr>
      <w:tr>
        <w:trPr>
          <w:cantSplit/>
        </w:trPr>
        <w:tc>
          <w:tcPr>
            <w:tcW w:type="dxa" w:w="3408"/>
            <w:vAlign w:val="top"/>
          </w:tcPr>
          <w:p>
            <w:pPr>
              <w:spacing w:after="0"/>
              <w:jc w:val="left"/>
            </w:pPr>
            <w:r>
              <w:rPr>
                <w:rFonts w:ascii="Arial" w:hAnsi="Arial"/>
                <w:b w:val="0"/>
                <w:sz w:val="16"/>
              </w:rPr>
              <w:t>Control Activities</w:t>
            </w:r>
          </w:p>
        </w:tc>
        <w:tc>
          <w:tcPr>
            <w:tcW w:type="dxa" w:w="3408"/>
            <w:vAlign w:val="top"/>
          </w:tcPr>
          <w:p>
            <w:pPr>
              <w:spacing w:after="0"/>
              <w:jc w:val="left"/>
            </w:pPr>
            <w:r>
              <w:rPr>
                <w:rFonts w:ascii="Arial" w:hAnsi="Arial"/>
                <w:b w:val="0"/>
                <w:sz w:val="16"/>
              </w:rPr>
              <w:t>Describes lifecycle governance controls at framework level</w:t>
            </w:r>
          </w:p>
        </w:tc>
        <w:tc>
          <w:tcPr>
            <w:tcW w:type="dxa" w:w="3408"/>
            <w:vAlign w:val="top"/>
          </w:tcPr>
          <w:p>
            <w:pPr>
              <w:spacing w:after="0"/>
              <w:jc w:val="left"/>
            </w:pPr>
            <w:r>
              <w:rPr>
                <w:rFonts w:ascii="Arial" w:hAnsi="Arial"/>
                <w:b w:val="0"/>
                <w:sz w:val="16"/>
              </w:rPr>
              <w:t>Defines specific control activities, testing procedures, and evidence sufficiency criteria</w:t>
            </w:r>
          </w:p>
        </w:tc>
      </w:tr>
      <w:tr>
        <w:trPr>
          <w:cantSplit/>
        </w:trPr>
        <w:tc>
          <w:tcPr>
            <w:tcW w:type="dxa" w:w="3408"/>
            <w:vAlign w:val="top"/>
          </w:tcPr>
          <w:p>
            <w:pPr>
              <w:spacing w:after="0"/>
              <w:jc w:val="left"/>
            </w:pPr>
            <w:r>
              <w:rPr>
                <w:rFonts w:ascii="Arial" w:hAnsi="Arial"/>
                <w:b w:val="0"/>
                <w:sz w:val="16"/>
              </w:rPr>
              <w:t>Test Procedures</w:t>
            </w:r>
          </w:p>
        </w:tc>
        <w:tc>
          <w:tcPr>
            <w:tcW w:type="dxa" w:w="3408"/>
            <w:vAlign w:val="top"/>
          </w:tcPr>
          <w:p>
            <w:pPr>
              <w:spacing w:after="0"/>
              <w:jc w:val="left"/>
            </w:pPr>
            <w:r>
              <w:rPr>
                <w:rFonts w:ascii="Arial" w:hAnsi="Arial"/>
                <w:b w:val="0"/>
                <w:sz w:val="16"/>
              </w:rPr>
              <w:t>Not covered</w:t>
            </w:r>
          </w:p>
        </w:tc>
        <w:tc>
          <w:tcPr>
            <w:tcW w:type="dxa" w:w="3408"/>
            <w:vAlign w:val="top"/>
          </w:tcPr>
          <w:p>
            <w:pPr>
              <w:spacing w:after="0"/>
              <w:jc w:val="left"/>
            </w:pPr>
            <w:r>
              <w:rPr>
                <w:rFonts w:ascii="Arial" w:hAnsi="Arial"/>
                <w:b w:val="0"/>
                <w:sz w:val="16"/>
              </w:rPr>
              <w:t>Defines how to test controls for design and operating effectiveness</w:t>
            </w:r>
          </w:p>
        </w:tc>
      </w:tr>
      <w:tr>
        <w:trPr>
          <w:cantSplit/>
        </w:trPr>
        <w:tc>
          <w:tcPr>
            <w:tcW w:type="dxa" w:w="3408"/>
            <w:vAlign w:val="top"/>
          </w:tcPr>
          <w:p>
            <w:pPr>
              <w:spacing w:after="0"/>
              <w:jc w:val="left"/>
            </w:pPr>
            <w:r>
              <w:rPr>
                <w:rFonts w:ascii="Arial" w:hAnsi="Arial"/>
                <w:b w:val="0"/>
                <w:sz w:val="16"/>
              </w:rPr>
              <w:t>Design Effectiveness</w:t>
            </w:r>
          </w:p>
        </w:tc>
        <w:tc>
          <w:tcPr>
            <w:tcW w:type="dxa" w:w="3408"/>
            <w:vAlign w:val="top"/>
          </w:tcPr>
          <w:p>
            <w:pPr>
              <w:spacing w:after="0"/>
              <w:jc w:val="left"/>
            </w:pPr>
            <w:r>
              <w:rPr>
                <w:rFonts w:ascii="Arial" w:hAnsi="Arial"/>
                <w:b w:val="0"/>
                <w:sz w:val="16"/>
              </w:rPr>
              <w:t>Not covered</w:t>
            </w:r>
          </w:p>
        </w:tc>
        <w:tc>
          <w:tcPr>
            <w:tcW w:type="dxa" w:w="3408"/>
            <w:vAlign w:val="top"/>
          </w:tcPr>
          <w:p>
            <w:pPr>
              <w:spacing w:after="0"/>
              <w:jc w:val="left"/>
            </w:pPr>
            <w:r>
              <w:rPr>
                <w:rFonts w:ascii="Arial" w:hAnsi="Arial"/>
                <w:b w:val="0"/>
                <w:sz w:val="16"/>
              </w:rPr>
              <w:t>Defines how to evaluate whether controls are properly designed</w:t>
            </w:r>
          </w:p>
        </w:tc>
      </w:tr>
      <w:tr>
        <w:trPr>
          <w:cantSplit/>
        </w:trPr>
        <w:tc>
          <w:tcPr>
            <w:tcW w:type="dxa" w:w="3408"/>
            <w:vAlign w:val="top"/>
          </w:tcPr>
          <w:p>
            <w:pPr>
              <w:spacing w:after="0"/>
              <w:jc w:val="left"/>
            </w:pPr>
            <w:r>
              <w:rPr>
                <w:rFonts w:ascii="Arial" w:hAnsi="Arial"/>
                <w:b w:val="0"/>
                <w:sz w:val="16"/>
              </w:rPr>
              <w:t>Operating Effectiveness</w:t>
            </w:r>
          </w:p>
        </w:tc>
        <w:tc>
          <w:tcPr>
            <w:tcW w:type="dxa" w:w="3408"/>
            <w:vAlign w:val="top"/>
          </w:tcPr>
          <w:p>
            <w:pPr>
              <w:spacing w:after="0"/>
              <w:jc w:val="left"/>
            </w:pPr>
            <w:r>
              <w:rPr>
                <w:rFonts w:ascii="Arial" w:hAnsi="Arial"/>
                <w:b w:val="0"/>
                <w:sz w:val="16"/>
              </w:rPr>
              <w:t>Not covered</w:t>
            </w:r>
          </w:p>
        </w:tc>
        <w:tc>
          <w:tcPr>
            <w:tcW w:type="dxa" w:w="3408"/>
            <w:vAlign w:val="top"/>
          </w:tcPr>
          <w:p>
            <w:pPr>
              <w:spacing w:after="0"/>
              <w:jc w:val="left"/>
            </w:pPr>
            <w:r>
              <w:rPr>
                <w:rFonts w:ascii="Arial" w:hAnsi="Arial"/>
                <w:b w:val="0"/>
                <w:sz w:val="16"/>
              </w:rPr>
              <w:t>Defines how to evaluate whether controls are operating as intended</w:t>
            </w:r>
          </w:p>
        </w:tc>
      </w:tr>
      <w:tr>
        <w:trPr>
          <w:cantSplit/>
        </w:trPr>
        <w:tc>
          <w:tcPr>
            <w:tcW w:type="dxa" w:w="3408"/>
            <w:vAlign w:val="top"/>
          </w:tcPr>
          <w:p>
            <w:pPr>
              <w:spacing w:after="0"/>
              <w:jc w:val="left"/>
            </w:pPr>
            <w:r>
              <w:rPr>
                <w:rFonts w:ascii="Arial" w:hAnsi="Arial"/>
                <w:b w:val="0"/>
                <w:sz w:val="16"/>
              </w:rPr>
              <w:t>Attestation Readiness</w:t>
            </w:r>
          </w:p>
        </w:tc>
        <w:tc>
          <w:tcPr>
            <w:tcW w:type="dxa" w:w="3408"/>
            <w:vAlign w:val="top"/>
          </w:tcPr>
          <w:p>
            <w:pPr>
              <w:spacing w:after="0"/>
              <w:jc w:val="left"/>
            </w:pPr>
            <w:r>
              <w:rPr>
                <w:rFonts w:ascii="Arial" w:hAnsi="Arial"/>
                <w:b w:val="0"/>
                <w:sz w:val="16"/>
              </w:rPr>
              <w:t>Mentions attestation as downstream implication</w:t>
            </w:r>
          </w:p>
        </w:tc>
        <w:tc>
          <w:tcPr>
            <w:tcW w:type="dxa" w:w="3408"/>
            <w:vAlign w:val="top"/>
          </w:tcPr>
          <w:p>
            <w:pPr>
              <w:spacing w:after="0"/>
              <w:jc w:val="left"/>
            </w:pPr>
            <w:r>
              <w:rPr>
                <w:rFonts w:ascii="Arial" w:hAnsi="Arial"/>
                <w:b w:val="0"/>
                <w:sz w:val="16"/>
              </w:rPr>
              <w:t>Defines what evidence is required for third-party attestation or assurance engagement</w:t>
            </w:r>
          </w:p>
        </w:tc>
      </w:tr>
      <w:tr>
        <w:trPr>
          <w:cantSplit/>
        </w:trPr>
        <w:tc>
          <w:tcPr>
            <w:tcW w:type="dxa" w:w="3408"/>
            <w:vAlign w:val="top"/>
          </w:tcPr>
          <w:p>
            <w:pPr>
              <w:spacing w:after="0"/>
              <w:jc w:val="left"/>
            </w:pPr>
            <w:r>
              <w:rPr>
                <w:rFonts w:ascii="Arial" w:hAnsi="Arial"/>
                <w:b w:val="0"/>
                <w:sz w:val="16"/>
              </w:rPr>
              <w:t>Privacy-Preserving Validation</w:t>
            </w:r>
          </w:p>
        </w:tc>
        <w:tc>
          <w:tcPr>
            <w:tcW w:type="dxa" w:w="3408"/>
            <w:vAlign w:val="top"/>
          </w:tcPr>
          <w:p>
            <w:pPr>
              <w:spacing w:after="0"/>
              <w:jc w:val="left"/>
            </w:pPr>
            <w:r>
              <w:rPr>
                <w:rFonts w:ascii="Arial" w:hAnsi="Arial"/>
                <w:b w:val="0"/>
                <w:sz w:val="16"/>
              </w:rPr>
              <w:t>Defines MRO-11 and MRO-12 as lifecycle requirements</w:t>
            </w:r>
          </w:p>
        </w:tc>
        <w:tc>
          <w:tcPr>
            <w:tcW w:type="dxa" w:w="3408"/>
            <w:vAlign w:val="top"/>
          </w:tcPr>
          <w:p>
            <w:pPr>
              <w:spacing w:after="0"/>
              <w:jc w:val="left"/>
            </w:pPr>
            <w:r>
              <w:rPr>
                <w:rFonts w:ascii="Arial" w:hAnsi="Arial"/>
                <w:b w:val="0"/>
                <w:sz w:val="16"/>
              </w:rPr>
              <w:t>Defines validation procedures, selective disclosure, and privacy-preserving evidence adjudication</w:t>
            </w:r>
          </w:p>
        </w:tc>
      </w:tr>
      <w:tr>
        <w:trPr>
          <w:cantSplit/>
        </w:trPr>
        <w:tc>
          <w:tcPr>
            <w:tcW w:type="dxa" w:w="3408"/>
            <w:vAlign w:val="top"/>
          </w:tcPr>
          <w:p>
            <w:pPr>
              <w:spacing w:after="0"/>
              <w:jc w:val="left"/>
            </w:pPr>
            <w:r>
              <w:rPr>
                <w:rFonts w:ascii="Arial" w:hAnsi="Arial"/>
                <w:b w:val="0"/>
                <w:sz w:val="16"/>
              </w:rPr>
              <w:t>Enterprise Procurement</w:t>
            </w:r>
          </w:p>
        </w:tc>
        <w:tc>
          <w:tcPr>
            <w:tcW w:type="dxa" w:w="3408"/>
            <w:vAlign w:val="top"/>
          </w:tcPr>
          <w:p>
            <w:pPr>
              <w:spacing w:after="0"/>
              <w:jc w:val="left"/>
            </w:pPr>
            <w:r>
              <w:rPr>
                <w:rFonts w:ascii="Arial" w:hAnsi="Arial"/>
                <w:b w:val="0"/>
                <w:sz w:val="16"/>
              </w:rPr>
              <w:t>Provides procurement scorecard inputs based on RCCS/ALCS</w:t>
            </w:r>
          </w:p>
        </w:tc>
        <w:tc>
          <w:tcPr>
            <w:tcW w:type="dxa" w:w="3408"/>
            <w:vAlign w:val="top"/>
          </w:tcPr>
          <w:p>
            <w:pPr>
              <w:spacing w:after="0"/>
              <w:jc w:val="left"/>
            </w:pPr>
            <w:r>
              <w:rPr>
                <w:rFonts w:ascii="Arial" w:hAnsi="Arial"/>
                <w:b w:val="0"/>
                <w:sz w:val="16"/>
              </w:rPr>
              <w:t>Not primary scope; procurement decisions remain enterprise judgment</w:t>
            </w:r>
          </w:p>
        </w:tc>
      </w:tr>
      <w:tr>
        <w:trPr>
          <w:cantSplit/>
        </w:trPr>
        <w:tc>
          <w:tcPr>
            <w:tcW w:type="dxa" w:w="3408"/>
            <w:vAlign w:val="top"/>
          </w:tcPr>
          <w:p>
            <w:pPr>
              <w:spacing w:after="0"/>
              <w:jc w:val="left"/>
            </w:pPr>
            <w:r>
              <w:rPr>
                <w:rFonts w:ascii="Arial" w:hAnsi="Arial"/>
                <w:b w:val="0"/>
                <w:sz w:val="16"/>
              </w:rPr>
              <w:t>Board Reporting</w:t>
            </w:r>
          </w:p>
        </w:tc>
        <w:tc>
          <w:tcPr>
            <w:tcW w:type="dxa" w:w="3408"/>
            <w:vAlign w:val="top"/>
          </w:tcPr>
          <w:p>
            <w:pPr>
              <w:spacing w:after="0"/>
              <w:jc w:val="left"/>
            </w:pPr>
            <w:r>
              <w:rPr>
                <w:rFonts w:ascii="Arial" w:hAnsi="Arial"/>
                <w:b w:val="0"/>
                <w:sz w:val="16"/>
              </w:rPr>
              <w:t>Provides board reporting elements for agentic risk</w:t>
            </w:r>
          </w:p>
        </w:tc>
        <w:tc>
          <w:tcPr>
            <w:tcW w:type="dxa" w:w="3408"/>
            <w:vAlign w:val="top"/>
          </w:tcPr>
          <w:p>
            <w:pPr>
              <w:spacing w:after="0"/>
              <w:jc w:val="left"/>
            </w:pPr>
            <w:r>
              <w:rPr>
                <w:rFonts w:ascii="Arial" w:hAnsi="Arial"/>
                <w:b w:val="0"/>
                <w:sz w:val="16"/>
              </w:rPr>
              <w:t>Not primary scope; board reporting remains enterprise governance responsibility</w:t>
            </w:r>
          </w:p>
        </w:tc>
      </w:tr>
    </w:tbl>
    <w:p>
      <w:pPr>
        <w:sectPr>
          <w:pgSz w:w="15840" w:h="12240"/>
          <w:pgMar w:top="792" w:right="648" w:bottom="792" w:left="648" w:header="720" w:footer="720" w:gutter="0"/>
          <w:cols w:space="720"/>
          <w:docGrid w:linePitch="360"/>
        </w:sectPr>
      </w:pPr>
    </w:p>
    <w:p/>
    <w:p>
      <w:pPr>
        <w:pStyle w:val="Heading3"/>
      </w:pPr>
      <w:r>
        <w:t>Table T-16-01B: Main Paper vs Insurability Boundary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Topic</w:t>
            </w:r>
          </w:p>
        </w:tc>
        <w:tc>
          <w:tcPr>
            <w:tcW w:type="dxa" w:w="3408"/>
            <w:vAlign w:val="top"/>
            <w:shd w:fill="D9EAF7"/>
          </w:tcPr>
          <w:p>
            <w:pPr>
              <w:spacing w:after="0"/>
              <w:jc w:val="left"/>
            </w:pPr>
            <w:r>
              <w:rPr>
                <w:rFonts w:ascii="Arial" w:hAnsi="Arial"/>
                <w:b/>
                <w:sz w:val="16"/>
              </w:rPr>
              <w:t>Covered in Main White Paper</w:t>
            </w:r>
          </w:p>
        </w:tc>
        <w:tc>
          <w:tcPr>
            <w:tcW w:type="dxa" w:w="3408"/>
            <w:vAlign w:val="top"/>
            <w:shd w:fill="D9EAF7"/>
          </w:tcPr>
          <w:p>
            <w:pPr>
              <w:spacing w:after="0"/>
              <w:jc w:val="left"/>
            </w:pPr>
            <w:r>
              <w:rPr>
                <w:rFonts w:ascii="Arial" w:hAnsi="Arial"/>
                <w:b/>
                <w:sz w:val="16"/>
              </w:rPr>
              <w:t>Reserved for Insurability Paper</w:t>
            </w:r>
          </w:p>
        </w:tc>
      </w:tr>
      <w:tr>
        <w:trPr>
          <w:cantSplit/>
        </w:trPr>
        <w:tc>
          <w:tcPr>
            <w:tcW w:type="dxa" w:w="3408"/>
            <w:vAlign w:val="top"/>
          </w:tcPr>
          <w:p>
            <w:pPr>
              <w:spacing w:after="0"/>
              <w:jc w:val="left"/>
            </w:pPr>
            <w:r>
              <w:rPr>
                <w:rFonts w:ascii="Arial" w:hAnsi="Arial"/>
                <w:b w:val="0"/>
                <w:sz w:val="16"/>
              </w:rPr>
              <w:t>Tool-Action Liability</w:t>
            </w:r>
          </w:p>
        </w:tc>
        <w:tc>
          <w:tcPr>
            <w:tcW w:type="dxa" w:w="3408"/>
            <w:vAlign w:val="top"/>
          </w:tcPr>
          <w:p>
            <w:pPr>
              <w:spacing w:after="0"/>
              <w:jc w:val="left"/>
            </w:pPr>
            <w:r>
              <w:rPr>
                <w:rFonts w:ascii="Arial" w:hAnsi="Arial"/>
                <w:b w:val="0"/>
                <w:sz w:val="16"/>
              </w:rPr>
              <w:t>Defines MRO-05 (Tool-Action Liability Boundary) as lifecycle governance object</w:t>
            </w:r>
          </w:p>
        </w:tc>
        <w:tc>
          <w:tcPr>
            <w:tcW w:type="dxa" w:w="3408"/>
            <w:vAlign w:val="top"/>
          </w:tcPr>
          <w:p>
            <w:pPr>
              <w:spacing w:after="0"/>
              <w:jc w:val="left"/>
            </w:pPr>
            <w:r>
              <w:rPr>
                <w:rFonts w:ascii="Arial" w:hAnsi="Arial"/>
                <w:b w:val="0"/>
                <w:sz w:val="16"/>
              </w:rPr>
              <w:t>Evaluates liability boundary implications, loss attribution, and coverage analysis</w:t>
            </w:r>
          </w:p>
        </w:tc>
      </w:tr>
      <w:tr>
        <w:trPr>
          <w:cantSplit/>
        </w:trPr>
        <w:tc>
          <w:tcPr>
            <w:tcW w:type="dxa" w:w="3408"/>
            <w:vAlign w:val="top"/>
          </w:tcPr>
          <w:p>
            <w:pPr>
              <w:spacing w:after="0"/>
              <w:jc w:val="left"/>
            </w:pPr>
            <w:r>
              <w:rPr>
                <w:rFonts w:ascii="Arial" w:hAnsi="Arial"/>
                <w:b w:val="0"/>
                <w:sz w:val="16"/>
              </w:rPr>
              <w:t>Dispute-Ready Replay</w:t>
            </w:r>
          </w:p>
        </w:tc>
        <w:tc>
          <w:tcPr>
            <w:tcW w:type="dxa" w:w="3408"/>
            <w:vAlign w:val="top"/>
          </w:tcPr>
          <w:p>
            <w:pPr>
              <w:spacing w:after="0"/>
              <w:jc w:val="left"/>
            </w:pPr>
            <w:r>
              <w:rPr>
                <w:rFonts w:ascii="Arial" w:hAnsi="Arial"/>
                <w:b w:val="0"/>
                <w:sz w:val="16"/>
              </w:rPr>
              <w:t>Defines evidence chain and replay as lifecycle requirements</w:t>
            </w:r>
          </w:p>
        </w:tc>
        <w:tc>
          <w:tcPr>
            <w:tcW w:type="dxa" w:w="3408"/>
            <w:vAlign w:val="top"/>
          </w:tcPr>
          <w:p>
            <w:pPr>
              <w:spacing w:after="0"/>
              <w:jc w:val="left"/>
            </w:pPr>
            <w:r>
              <w:rPr>
                <w:rFonts w:ascii="Arial" w:hAnsi="Arial"/>
                <w:b w:val="0"/>
                <w:sz w:val="16"/>
              </w:rPr>
              <w:t>Defines claim replay procedures, dispute-ready evidence structure, and claim settlement implications</w:t>
            </w:r>
          </w:p>
        </w:tc>
      </w:tr>
      <w:tr>
        <w:trPr>
          <w:cantSplit/>
        </w:trPr>
        <w:tc>
          <w:tcPr>
            <w:tcW w:type="dxa" w:w="3408"/>
            <w:vAlign w:val="top"/>
          </w:tcPr>
          <w:p>
            <w:pPr>
              <w:spacing w:after="0"/>
              <w:jc w:val="left"/>
            </w:pPr>
            <w:r>
              <w:rPr>
                <w:rFonts w:ascii="Arial" w:hAnsi="Arial"/>
                <w:b w:val="0"/>
                <w:sz w:val="16"/>
              </w:rPr>
              <w:t>Claim Replay</w:t>
            </w:r>
          </w:p>
        </w:tc>
        <w:tc>
          <w:tcPr>
            <w:tcW w:type="dxa" w:w="3408"/>
            <w:vAlign w:val="top"/>
          </w:tcPr>
          <w:p>
            <w:pPr>
              <w:spacing w:after="0"/>
              <w:jc w:val="left"/>
            </w:pPr>
            <w:r>
              <w:rPr>
                <w:rFonts w:ascii="Arial" w:hAnsi="Arial"/>
                <w:b w:val="0"/>
                <w:sz w:val="16"/>
              </w:rPr>
              <w:t>Mentions claim replay as downstream implication of evidence chain</w:t>
            </w:r>
          </w:p>
        </w:tc>
        <w:tc>
          <w:tcPr>
            <w:tcW w:type="dxa" w:w="3408"/>
            <w:vAlign w:val="top"/>
          </w:tcPr>
          <w:p>
            <w:pPr>
              <w:spacing w:after="0"/>
              <w:jc w:val="left"/>
            </w:pPr>
            <w:r>
              <w:rPr>
                <w:rFonts w:ascii="Arial" w:hAnsi="Arial"/>
                <w:b w:val="0"/>
                <w:sz w:val="16"/>
              </w:rPr>
              <w:t>Defines claim replay methodology, evidence requirements, and dispute resolution procedures</w:t>
            </w:r>
          </w:p>
        </w:tc>
      </w:tr>
      <w:tr>
        <w:trPr>
          <w:cantSplit/>
        </w:trPr>
        <w:tc>
          <w:tcPr>
            <w:tcW w:type="dxa" w:w="3408"/>
            <w:vAlign w:val="top"/>
          </w:tcPr>
          <w:p>
            <w:pPr>
              <w:spacing w:after="0"/>
              <w:jc w:val="left"/>
            </w:pPr>
            <w:r>
              <w:rPr>
                <w:rFonts w:ascii="Arial" w:hAnsi="Arial"/>
                <w:b w:val="0"/>
                <w:sz w:val="16"/>
              </w:rPr>
              <w:t>Loss Attribution</w:t>
            </w:r>
          </w:p>
        </w:tc>
        <w:tc>
          <w:tcPr>
            <w:tcW w:type="dxa" w:w="3408"/>
            <w:vAlign w:val="top"/>
          </w:tcPr>
          <w:p>
            <w:pPr>
              <w:spacing w:after="0"/>
              <w:jc w:val="left"/>
            </w:pPr>
            <w:r>
              <w:rPr>
                <w:rFonts w:ascii="Arial" w:hAnsi="Arial"/>
                <w:b w:val="0"/>
                <w:sz w:val="16"/>
              </w:rPr>
              <w:t>Defines authority boundary and responsibility transfer as MROs</w:t>
            </w:r>
          </w:p>
        </w:tc>
        <w:tc>
          <w:tcPr>
            <w:tcW w:type="dxa" w:w="3408"/>
            <w:vAlign w:val="top"/>
          </w:tcPr>
          <w:p>
            <w:pPr>
              <w:spacing w:after="0"/>
              <w:jc w:val="left"/>
            </w:pPr>
            <w:r>
              <w:rPr>
                <w:rFonts w:ascii="Arial" w:hAnsi="Arial"/>
                <w:b w:val="0"/>
                <w:sz w:val="16"/>
              </w:rPr>
              <w:t>Defines loss attribution methodology, liability analysis, and coverage boundary implications</w:t>
            </w:r>
          </w:p>
        </w:tc>
      </w:tr>
      <w:tr>
        <w:trPr>
          <w:cantSplit/>
        </w:trPr>
        <w:tc>
          <w:tcPr>
            <w:tcW w:type="dxa" w:w="3408"/>
            <w:vAlign w:val="top"/>
          </w:tcPr>
          <w:p>
            <w:pPr>
              <w:spacing w:after="0"/>
              <w:jc w:val="left"/>
            </w:pPr>
            <w:r>
              <w:rPr>
                <w:rFonts w:ascii="Arial" w:hAnsi="Arial"/>
                <w:b w:val="0"/>
                <w:sz w:val="16"/>
              </w:rPr>
              <w:t>Risk Classification</w:t>
            </w:r>
          </w:p>
        </w:tc>
        <w:tc>
          <w:tcPr>
            <w:tcW w:type="dxa" w:w="3408"/>
            <w:vAlign w:val="top"/>
          </w:tcPr>
          <w:p>
            <w:pPr>
              <w:spacing w:after="0"/>
              <w:jc w:val="left"/>
            </w:pPr>
            <w:r>
              <w:rPr>
                <w:rFonts w:ascii="Arial" w:hAnsi="Arial"/>
                <w:b w:val="0"/>
                <w:sz w:val="16"/>
              </w:rPr>
              <w:t>Provides RCCS/ALCS scores as risk inputs; does not claim scores determine risk classification</w:t>
            </w:r>
          </w:p>
        </w:tc>
        <w:tc>
          <w:tcPr>
            <w:tcW w:type="dxa" w:w="3408"/>
            <w:vAlign w:val="top"/>
          </w:tcPr>
          <w:p>
            <w:pPr>
              <w:spacing w:after="0"/>
              <w:jc w:val="left"/>
            </w:pPr>
            <w:r>
              <w:rPr>
                <w:rFonts w:ascii="Arial" w:hAnsi="Arial"/>
                <w:b w:val="0"/>
                <w:sz w:val="16"/>
              </w:rPr>
              <w:t>Analyzes how lifecycle conformance affects risk classification for underwriting purposes</w:t>
            </w:r>
          </w:p>
        </w:tc>
      </w:tr>
      <w:tr>
        <w:trPr>
          <w:cantSplit/>
        </w:trPr>
        <w:tc>
          <w:tcPr>
            <w:tcW w:type="dxa" w:w="3408"/>
            <w:vAlign w:val="top"/>
          </w:tcPr>
          <w:p>
            <w:pPr>
              <w:spacing w:after="0"/>
              <w:jc w:val="left"/>
            </w:pPr>
            <w:r>
              <w:rPr>
                <w:rFonts w:ascii="Arial" w:hAnsi="Arial"/>
                <w:b w:val="0"/>
                <w:sz w:val="16"/>
              </w:rPr>
              <w:t>Premium Differentiation</w:t>
            </w:r>
          </w:p>
        </w:tc>
        <w:tc>
          <w:tcPr>
            <w:tcW w:type="dxa" w:w="3408"/>
            <w:vAlign w:val="top"/>
          </w:tcPr>
          <w:p>
            <w:pPr>
              <w:spacing w:after="0"/>
              <w:jc w:val="left"/>
            </w:pPr>
            <w:r>
              <w:rPr>
                <w:rFonts w:ascii="Arial" w:hAnsi="Arial"/>
                <w:b w:val="0"/>
                <w:sz w:val="16"/>
              </w:rPr>
              <w:t>Mentions premium differentiation as potential downstream implication</w:t>
            </w:r>
          </w:p>
        </w:tc>
        <w:tc>
          <w:tcPr>
            <w:tcW w:type="dxa" w:w="3408"/>
            <w:vAlign w:val="top"/>
          </w:tcPr>
          <w:p>
            <w:pPr>
              <w:spacing w:after="0"/>
              <w:jc w:val="left"/>
            </w:pPr>
            <w:r>
              <w:rPr>
                <w:rFonts w:ascii="Arial" w:hAnsi="Arial"/>
                <w:b w:val="0"/>
                <w:sz w:val="16"/>
              </w:rPr>
              <w:t>Analyzes premium differentiation logic without defining actual pricing or actuarial models</w:t>
            </w:r>
          </w:p>
        </w:tc>
      </w:tr>
      <w:tr>
        <w:trPr>
          <w:cantSplit/>
        </w:trPr>
        <w:tc>
          <w:tcPr>
            <w:tcW w:type="dxa" w:w="3408"/>
            <w:vAlign w:val="top"/>
          </w:tcPr>
          <w:p>
            <w:pPr>
              <w:spacing w:after="0"/>
              <w:jc w:val="left"/>
            </w:pPr>
            <w:r>
              <w:rPr>
                <w:rFonts w:ascii="Arial" w:hAnsi="Arial"/>
                <w:b w:val="0"/>
                <w:sz w:val="16"/>
              </w:rPr>
              <w:t>Exclusion Triggers</w:t>
            </w:r>
          </w:p>
        </w:tc>
        <w:tc>
          <w:tcPr>
            <w:tcW w:type="dxa" w:w="3408"/>
            <w:vAlign w:val="top"/>
          </w:tcPr>
          <w:p>
            <w:pPr>
              <w:spacing w:after="0"/>
              <w:jc w:val="left"/>
            </w:pPr>
            <w:r>
              <w:rPr>
                <w:rFonts w:ascii="Arial" w:hAnsi="Arial"/>
                <w:b w:val="0"/>
                <w:sz w:val="16"/>
              </w:rPr>
              <w:t>Defines authority drift and autonomous action boundaries as lifecycle risks</w:t>
            </w:r>
          </w:p>
        </w:tc>
        <w:tc>
          <w:tcPr>
            <w:tcW w:type="dxa" w:w="3408"/>
            <w:vAlign w:val="top"/>
          </w:tcPr>
          <w:p>
            <w:pPr>
              <w:spacing w:after="0"/>
              <w:jc w:val="left"/>
            </w:pPr>
            <w:r>
              <w:rPr>
                <w:rFonts w:ascii="Arial" w:hAnsi="Arial"/>
                <w:b w:val="0"/>
                <w:sz w:val="16"/>
              </w:rPr>
              <w:t>Analyzes exclusion trigger implications for coverage boundaries</w:t>
            </w:r>
          </w:p>
        </w:tc>
      </w:tr>
      <w:tr>
        <w:trPr>
          <w:cantSplit/>
        </w:trPr>
        <w:tc>
          <w:tcPr>
            <w:tcW w:type="dxa" w:w="3408"/>
            <w:vAlign w:val="top"/>
          </w:tcPr>
          <w:p>
            <w:pPr>
              <w:spacing w:after="0"/>
              <w:jc w:val="left"/>
            </w:pPr>
            <w:r>
              <w:rPr>
                <w:rFonts w:ascii="Arial" w:hAnsi="Arial"/>
                <w:b w:val="0"/>
                <w:sz w:val="16"/>
              </w:rPr>
              <w:t>Incident Remediation Closure</w:t>
            </w:r>
          </w:p>
        </w:tc>
        <w:tc>
          <w:tcPr>
            <w:tcW w:type="dxa" w:w="3408"/>
            <w:vAlign w:val="top"/>
          </w:tcPr>
          <w:p>
            <w:pPr>
              <w:spacing w:after="0"/>
              <w:jc w:val="left"/>
            </w:pPr>
            <w:r>
              <w:rPr>
                <w:rFonts w:ascii="Arial" w:hAnsi="Arial"/>
                <w:b w:val="0"/>
                <w:sz w:val="16"/>
              </w:rPr>
              <w:t>Defines MRO-16 (Incident, Dispute, and Remediation Closure) as lifecycle requirement</w:t>
            </w:r>
          </w:p>
        </w:tc>
        <w:tc>
          <w:tcPr>
            <w:tcW w:type="dxa" w:w="3408"/>
            <w:vAlign w:val="top"/>
          </w:tcPr>
          <w:p>
            <w:pPr>
              <w:spacing w:after="0"/>
              <w:jc w:val="left"/>
            </w:pPr>
            <w:r>
              <w:rPr>
                <w:rFonts w:ascii="Arial" w:hAnsi="Arial"/>
                <w:b w:val="0"/>
                <w:sz w:val="16"/>
              </w:rPr>
              <w:t>Defines remediation closure verification for claim settlement and coverage restoration</w:t>
            </w:r>
          </w:p>
        </w:tc>
      </w:tr>
      <w:tr>
        <w:trPr>
          <w:cantSplit/>
        </w:trPr>
        <w:tc>
          <w:tcPr>
            <w:tcW w:type="dxa" w:w="3408"/>
            <w:vAlign w:val="top"/>
          </w:tcPr>
          <w:p>
            <w:pPr>
              <w:spacing w:after="0"/>
              <w:jc w:val="left"/>
            </w:pPr>
            <w:r>
              <w:rPr>
                <w:rFonts w:ascii="Arial" w:hAnsi="Arial"/>
                <w:b w:val="0"/>
                <w:sz w:val="16"/>
              </w:rPr>
              <w:t>Authority Boundary Risk</w:t>
            </w:r>
          </w:p>
        </w:tc>
        <w:tc>
          <w:tcPr>
            <w:tcW w:type="dxa" w:w="3408"/>
            <w:vAlign w:val="top"/>
          </w:tcPr>
          <w:p>
            <w:pPr>
              <w:spacing w:after="0"/>
              <w:jc w:val="left"/>
            </w:pPr>
            <w:r>
              <w:rPr>
                <w:rFonts w:ascii="Arial" w:hAnsi="Arial"/>
                <w:b w:val="0"/>
                <w:sz w:val="16"/>
              </w:rPr>
              <w:t>Defines MRO-02 (Delegated Authority Boundary) and MRO-07 (Authority Drift)</w:t>
            </w:r>
          </w:p>
        </w:tc>
        <w:tc>
          <w:tcPr>
            <w:tcW w:type="dxa" w:w="3408"/>
            <w:vAlign w:val="top"/>
          </w:tcPr>
          <w:p>
            <w:pPr>
              <w:spacing w:after="0"/>
              <w:jc w:val="left"/>
            </w:pPr>
            <w:r>
              <w:rPr>
                <w:rFonts w:ascii="Arial" w:hAnsi="Arial"/>
                <w:b w:val="0"/>
                <w:sz w:val="16"/>
              </w:rPr>
              <w:t>Analyzes authority boundary risk for underwriting, coverage, and liability purposes</w:t>
            </w:r>
          </w:p>
        </w:tc>
      </w:tr>
      <w:tr>
        <w:trPr>
          <w:cantSplit/>
        </w:trPr>
        <w:tc>
          <w:tcPr>
            <w:tcW w:type="dxa" w:w="3408"/>
            <w:vAlign w:val="top"/>
          </w:tcPr>
          <w:p>
            <w:pPr>
              <w:spacing w:after="0"/>
              <w:jc w:val="left"/>
            </w:pPr>
            <w:r>
              <w:rPr>
                <w:rFonts w:ascii="Arial" w:hAnsi="Arial"/>
                <w:b w:val="0"/>
                <w:sz w:val="16"/>
              </w:rPr>
              <w:t>Moral Hazard</w:t>
            </w:r>
          </w:p>
        </w:tc>
        <w:tc>
          <w:tcPr>
            <w:tcW w:type="dxa" w:w="3408"/>
            <w:vAlign w:val="top"/>
          </w:tcPr>
          <w:p>
            <w:pPr>
              <w:spacing w:after="0"/>
              <w:jc w:val="left"/>
            </w:pPr>
            <w:r>
              <w:rPr>
                <w:rFonts w:ascii="Arial" w:hAnsi="Arial"/>
                <w:b w:val="0"/>
                <w:sz w:val="16"/>
              </w:rPr>
              <w:t>Not covered</w:t>
            </w:r>
          </w:p>
        </w:tc>
        <w:tc>
          <w:tcPr>
            <w:tcW w:type="dxa" w:w="3408"/>
            <w:vAlign w:val="top"/>
          </w:tcPr>
          <w:p>
            <w:pPr>
              <w:spacing w:after="0"/>
              <w:jc w:val="left"/>
            </w:pPr>
            <w:r>
              <w:rPr>
                <w:rFonts w:ascii="Arial" w:hAnsi="Arial"/>
                <w:b w:val="0"/>
                <w:sz w:val="16"/>
              </w:rPr>
              <w:t>Analyzes moral hazard considerations for agentic system insurance</w:t>
            </w:r>
          </w:p>
        </w:tc>
      </w:tr>
      <w:tr>
        <w:trPr>
          <w:cantSplit/>
        </w:trPr>
        <w:tc>
          <w:tcPr>
            <w:tcW w:type="dxa" w:w="3408"/>
            <w:vAlign w:val="top"/>
          </w:tcPr>
          <w:p>
            <w:pPr>
              <w:spacing w:after="0"/>
              <w:jc w:val="left"/>
            </w:pPr>
            <w:r>
              <w:rPr>
                <w:rFonts w:ascii="Arial" w:hAnsi="Arial"/>
                <w:b w:val="0"/>
                <w:sz w:val="16"/>
              </w:rPr>
              <w:t>Coverage Boundary Analysis</w:t>
            </w:r>
          </w:p>
        </w:tc>
        <w:tc>
          <w:tcPr>
            <w:tcW w:type="dxa" w:w="3408"/>
            <w:vAlign w:val="top"/>
          </w:tcPr>
          <w:p>
            <w:pPr>
              <w:spacing w:after="0"/>
              <w:jc w:val="left"/>
            </w:pPr>
            <w:r>
              <w:rPr>
                <w:rFonts w:ascii="Arial" w:hAnsi="Arial"/>
                <w:b w:val="0"/>
                <w:sz w:val="16"/>
              </w:rPr>
              <w:t>Not covered</w:t>
            </w:r>
          </w:p>
        </w:tc>
        <w:tc>
          <w:tcPr>
            <w:tcW w:type="dxa" w:w="3408"/>
            <w:vAlign w:val="top"/>
          </w:tcPr>
          <w:p>
            <w:pPr>
              <w:spacing w:after="0"/>
              <w:jc w:val="left"/>
            </w:pPr>
            <w:r>
              <w:rPr>
                <w:rFonts w:ascii="Arial" w:hAnsi="Arial"/>
                <w:b w:val="0"/>
                <w:sz w:val="16"/>
              </w:rPr>
              <w:t>Defines where coverage begins and ends for agentic systems</w:t>
            </w:r>
          </w:p>
        </w:tc>
      </w:tr>
    </w:tbl>
    <w:p>
      <w:pPr>
        <w:sectPr>
          <w:pgSz w:w="15840" w:h="12240"/>
          <w:pgMar w:top="792" w:right="648" w:bottom="792" w:left="648" w:header="720" w:footer="720" w:gutter="0"/>
          <w:cols w:space="720"/>
          <w:docGrid w:linePitch="360"/>
        </w:sectPr>
      </w:pPr>
    </w:p>
    <w:p/>
    <w:p>
      <w:r>
        <w:t>Key Distinction:</w:t>
      </w:r>
    </w:p>
    <w:p/>
    <w:p>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
    <w:p>
      <w:pPr>
        <w:pStyle w:val="Heading2"/>
      </w:pPr>
      <w:r>
        <w:t>16.5 Non-Claim Discipline</w:t>
      </w:r>
    </w:p>
    <w:p/>
    <w:p>
      <w:pPr>
        <w:spacing w:before="160" w:after="80"/>
        <w:jc w:val="center"/>
      </w:pPr>
      <w:r>
        <w:rPr>
          <w:b/>
          <w:color w:val="1F4E79"/>
          <w:sz w:val="18"/>
        </w:rPr>
        <w:t>This section establishes explicit boundaries for what the main white paper does and does not claim. These boundaries apply to the entire document, including all chapters, tables, figures, and appendices.</w:t>
      </w:r>
    </w:p>
    <w:p/>
    <w:p>
      <w:r>
        <w:t>Explicit Statements:</w:t>
      </w:r>
    </w:p>
    <w:p/>
    <w:p>
      <w:pPr>
        <w:pStyle w:val="ListBullet"/>
      </w:pPr>
      <w:r>
        <w:t>This white paper is not legal advice. It does not provide legal opinions, jurisdictional interpretations, or compliance conclusions. Legal compliance requires professional legal judgment.</w:t>
      </w:r>
    </w:p>
    <w:p/>
    <w:p>
      <w:pPr>
        <w:pStyle w:val="ListBullet"/>
      </w:pPr>
      <w:r>
        <w:t>This white paper is not an audit opinion. It does not issue audit opinions, attestation reports, or assurance conclusions. Audit readiness requires professional audit judgment.</w:t>
      </w:r>
    </w:p>
    <w:p/>
    <w:p>
      <w:pPr>
        <w:pStyle w:val="ListBullet"/>
      </w:pPr>
      <w:r>
        <w:t>This white paper is not an assurance report. It does not provide assurance engagements, attestation services, or certification. Assurance requires professional assurance judgment.</w:t>
      </w:r>
    </w:p>
    <w:p/>
    <w:p>
      <w:pPr>
        <w:pStyle w:val="ListBullet"/>
      </w:pPr>
      <w:r>
        <w:t>This white paper is not an insurance underwriting manual. It does not define insurance policy wording, premium pricing, actuarial methodology, or claim settlement procedures. Insurability requires professional underwriting, actuarial, and claims judgment.</w:t>
      </w:r>
    </w:p>
    <w:p/>
    <w:p>
      <w:pPr>
        <w:pStyle w:val="ListBullet"/>
      </w:pPr>
      <w:r>
        <w:t>This white paper is not a certification program. It does not certify compliance, issue conformity assessments, or provide regulatory approval. Certification requires accredited conformity assessment bodies.</w:t>
      </w:r>
    </w:p>
    <w:p/>
    <w:p>
      <w:pPr>
        <w:pStyle w:val="ListBullet"/>
      </w:pPr>
      <w:r>
        <w:t>This white paper does not certify compliance. RCCS and ALCS are analytical frameworks, not legal compliance scores. High scores do not guarantee compliance. Low scores do not prove non-compliance.</w:t>
      </w:r>
    </w:p>
    <w:p/>
    <w:p>
      <w:pPr>
        <w:pStyle w:val="ListBullet"/>
      </w:pPr>
      <w:r>
        <w:t>RCCS and ALCS are analytical frameworks, not legal compliance scores. They provide structured inputs for risk assessment, procurement, audit, and insurance analysis. They do not replace professional judgment.</w:t>
      </w:r>
    </w:p>
    <w:p/>
    <w:p>
      <w:pPr>
        <w:pStyle w:val="ListBullet"/>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
      <w:pPr>
        <w:pStyle w:val="ListBullet"/>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
      <w:pPr>
        <w:pStyle w:val="Heading3"/>
      </w:pPr>
      <w:r>
        <w:t>Table T-16-02: Claim Boundaries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shd w:fill="D9EAF7"/>
          </w:tcPr>
          <w:p>
            <w:pPr>
              <w:spacing w:after="0"/>
              <w:jc w:val="left"/>
            </w:pPr>
            <w:r>
              <w:rPr>
                <w:rFonts w:ascii="Arial" w:hAnsi="Arial"/>
                <w:b/>
                <w:sz w:val="16"/>
              </w:rPr>
              <w:t>Claim Area</w:t>
            </w:r>
          </w:p>
        </w:tc>
        <w:tc>
          <w:tcPr>
            <w:tcW w:type="dxa" w:w="3408"/>
            <w:vAlign w:val="top"/>
            <w:shd w:fill="D9EAF7"/>
          </w:tcPr>
          <w:p>
            <w:pPr>
              <w:spacing w:after="0"/>
              <w:jc w:val="left"/>
            </w:pPr>
            <w:r>
              <w:rPr>
                <w:rFonts w:ascii="Arial" w:hAnsi="Arial"/>
                <w:b/>
                <w:sz w:val="16"/>
              </w:rPr>
              <w:t>Allowed Wording</w:t>
            </w:r>
          </w:p>
        </w:tc>
        <w:tc>
          <w:tcPr>
            <w:tcW w:type="dxa" w:w="3408"/>
            <w:vAlign w:val="top"/>
            <w:shd w:fill="D9EAF7"/>
          </w:tcPr>
          <w:p>
            <w:pPr>
              <w:spacing w:after="0"/>
              <w:jc w:val="left"/>
            </w:pPr>
            <w:r>
              <w:rPr>
                <w:rFonts w:ascii="Arial" w:hAnsi="Arial"/>
                <w:b/>
                <w:sz w:val="16"/>
              </w:rPr>
              <w:t>Forbidden Wording</w:t>
            </w:r>
          </w:p>
        </w:tc>
      </w:tr>
      <w:tr>
        <w:trPr>
          <w:cantSplit/>
        </w:trPr>
        <w:tc>
          <w:tcPr>
            <w:tcW w:type="dxa" w:w="3408"/>
            <w:vAlign w:val="top"/>
          </w:tcPr>
          <w:p>
            <w:pPr>
              <w:spacing w:after="0"/>
              <w:jc w:val="left"/>
            </w:pPr>
            <w:r>
              <w:rPr>
                <w:rFonts w:ascii="Arial" w:hAnsi="Arial"/>
                <w:b w:val="0"/>
                <w:sz w:val="16"/>
              </w:rPr>
              <w:t>Legal</w:t>
            </w:r>
          </w:p>
        </w:tc>
        <w:tc>
          <w:tcPr>
            <w:tcW w:type="dxa" w:w="3408"/>
            <w:vAlign w:val="top"/>
          </w:tcPr>
          <w:p>
            <w:pPr>
              <w:spacing w:after="0"/>
              <w:jc w:val="left"/>
            </w:pPr>
            <w:r>
              <w:rPr>
                <w:rFonts w:ascii="Arial" w:hAnsi="Arial"/>
                <w:b w:val="0"/>
                <w:sz w:val="16"/>
              </w:rPr>
              <w:t>"This framework may help inform compliance analysis" / "Legal compliance requires professional legal judgment"</w:t>
            </w:r>
          </w:p>
        </w:tc>
        <w:tc>
          <w:tcPr>
            <w:tcW w:type="dxa" w:w="3408"/>
            <w:vAlign w:val="top"/>
          </w:tcPr>
          <w:p>
            <w:pPr>
              <w:spacing w:after="0"/>
              <w:jc w:val="left"/>
            </w:pPr>
            <w:r>
              <w:rPr>
                <w:rFonts w:ascii="Arial" w:hAnsi="Arial"/>
                <w:b w:val="0"/>
                <w:sz w:val="16"/>
              </w:rPr>
              <w:t>"Regulator-approved" / "Certified compliant" / "Guarantees legal compliance" / "Official legal standard"</w:t>
            </w:r>
          </w:p>
        </w:tc>
      </w:tr>
      <w:tr>
        <w:trPr>
          <w:cantSplit/>
        </w:trPr>
        <w:tc>
          <w:tcPr>
            <w:tcW w:type="dxa" w:w="3408"/>
            <w:vAlign w:val="top"/>
          </w:tcPr>
          <w:p>
            <w:pPr>
              <w:spacing w:after="0"/>
              <w:jc w:val="left"/>
            </w:pPr>
            <w:r>
              <w:rPr>
                <w:rFonts w:ascii="Arial" w:hAnsi="Arial"/>
                <w:b w:val="0"/>
                <w:sz w:val="16"/>
              </w:rPr>
              <w:t>Audit / Assurance</w:t>
            </w:r>
          </w:p>
        </w:tc>
        <w:tc>
          <w:tcPr>
            <w:tcW w:type="dxa" w:w="3408"/>
            <w:vAlign w:val="top"/>
          </w:tcPr>
          <w:p>
            <w:pPr>
              <w:spacing w:after="0"/>
              <w:jc w:val="left"/>
            </w:pPr>
            <w:r>
              <w:rPr>
                <w:rFonts w:ascii="Arial" w:hAnsi="Arial"/>
                <w:b w:val="0"/>
                <w:sz w:val="16"/>
              </w:rPr>
              <w:t>"This framework provides audit readiness inputs" / "Audit opinions require professional audit judgment"</w:t>
            </w:r>
          </w:p>
        </w:tc>
        <w:tc>
          <w:tcPr>
            <w:tcW w:type="dxa" w:w="3408"/>
            <w:vAlign w:val="top"/>
          </w:tcPr>
          <w:p>
            <w:pPr>
              <w:spacing w:after="0"/>
              <w:jc w:val="left"/>
            </w:pPr>
            <w:r>
              <w:rPr>
                <w:rFonts w:ascii="Arial" w:hAnsi="Arial"/>
                <w:b w:val="0"/>
                <w:sz w:val="16"/>
              </w:rPr>
              <w:t>"Certifies audit compliance" / "Issues audit opinions" / "Replaces internal audit" / "Guaranteed audit-ready"</w:t>
            </w:r>
          </w:p>
        </w:tc>
      </w:tr>
      <w:tr>
        <w:trPr>
          <w:cantSplit/>
        </w:trPr>
        <w:tc>
          <w:tcPr>
            <w:tcW w:type="dxa" w:w="3408"/>
            <w:vAlign w:val="top"/>
          </w:tcPr>
          <w:p>
            <w:pPr>
              <w:spacing w:after="0"/>
              <w:jc w:val="left"/>
            </w:pPr>
            <w:r>
              <w:rPr>
                <w:rFonts w:ascii="Arial" w:hAnsi="Arial"/>
                <w:b w:val="0"/>
                <w:sz w:val="16"/>
              </w:rPr>
              <w:t>Insurance</w:t>
            </w:r>
          </w:p>
        </w:tc>
        <w:tc>
          <w:tcPr>
            <w:tcW w:type="dxa" w:w="3408"/>
            <w:vAlign w:val="top"/>
          </w:tcPr>
          <w:p>
            <w:pPr>
              <w:spacing w:after="0"/>
              <w:jc w:val="left"/>
            </w:pPr>
            <w:r>
              <w:rPr>
                <w:rFonts w:ascii="Arial" w:hAnsi="Arial"/>
                <w:b w:val="0"/>
                <w:sz w:val="16"/>
              </w:rPr>
              <w:t>"This framework may inform insurability analysis" / "Underwriting requires professional insurance judgment"</w:t>
            </w:r>
          </w:p>
        </w:tc>
        <w:tc>
          <w:tcPr>
            <w:tcW w:type="dxa" w:w="3408"/>
            <w:vAlign w:val="top"/>
          </w:tcPr>
          <w:p>
            <w:pPr>
              <w:spacing w:after="0"/>
              <w:jc w:val="left"/>
            </w:pPr>
            <w:r>
              <w:rPr>
                <w:rFonts w:ascii="Arial" w:hAnsi="Arial"/>
                <w:b w:val="0"/>
                <w:sz w:val="16"/>
              </w:rPr>
              <w:t>"Guaranteed insurable" / "Sets premiums" / "Defines policy wording" / "Replaces underwriting judgment"</w:t>
            </w:r>
          </w:p>
        </w:tc>
      </w:tr>
      <w:tr>
        <w:trPr>
          <w:cantSplit/>
        </w:trPr>
        <w:tc>
          <w:tcPr>
            <w:tcW w:type="dxa" w:w="3408"/>
            <w:vAlign w:val="top"/>
          </w:tcPr>
          <w:p>
            <w:pPr>
              <w:spacing w:after="0"/>
              <w:jc w:val="left"/>
            </w:pPr>
            <w:r>
              <w:rPr>
                <w:rFonts w:ascii="Arial" w:hAnsi="Arial"/>
                <w:b w:val="0"/>
                <w:sz w:val="16"/>
              </w:rPr>
              <w:t>RCCS / ALCS</w:t>
            </w:r>
          </w:p>
        </w:tc>
        <w:tc>
          <w:tcPr>
            <w:tcW w:type="dxa" w:w="3408"/>
            <w:vAlign w:val="top"/>
          </w:tcPr>
          <w:p>
            <w:pPr>
              <w:spacing w:after="0"/>
              <w:jc w:val="left"/>
            </w:pPr>
            <w:r>
              <w:rPr>
                <w:rFonts w:ascii="Arial" w:hAnsi="Arial"/>
                <w:b w:val="0"/>
                <w:sz w:val="16"/>
              </w:rPr>
              <w:t>"Analytical frameworks for risk assessment" / "Structured inputs for professional judgment"</w:t>
            </w:r>
          </w:p>
        </w:tc>
        <w:tc>
          <w:tcPr>
            <w:tcW w:type="dxa" w:w="3408"/>
            <w:vAlign w:val="top"/>
          </w:tcPr>
          <w:p>
            <w:pPr>
              <w:spacing w:after="0"/>
              <w:jc w:val="left"/>
            </w:pPr>
            <w:r>
              <w:rPr>
                <w:rFonts w:ascii="Arial" w:hAnsi="Arial"/>
                <w:b w:val="0"/>
                <w:sz w:val="16"/>
              </w:rPr>
              <w:t>"Legal compliance scores" / "Certification scores" / "Guarantees compliance" / "The only scoring method"</w:t>
            </w:r>
          </w:p>
        </w:tc>
      </w:tr>
      <w:tr>
        <w:trPr>
          <w:cantSplit/>
        </w:trPr>
        <w:tc>
          <w:tcPr>
            <w:tcW w:type="dxa" w:w="3408"/>
            <w:vAlign w:val="top"/>
          </w:tcPr>
          <w:p>
            <w:pPr>
              <w:spacing w:after="0"/>
              <w:jc w:val="left"/>
            </w:pPr>
            <w:r>
              <w:rPr>
                <w:rFonts w:ascii="Arial" w:hAnsi="Arial"/>
                <w:b w:val="0"/>
                <w:sz w:val="16"/>
              </w:rPr>
              <w:t>MPLP</w:t>
            </w:r>
          </w:p>
        </w:tc>
        <w:tc>
          <w:tcPr>
            <w:tcW w:type="dxa" w:w="3408"/>
            <w:vAlign w:val="top"/>
          </w:tcPr>
          <w:p>
            <w:pPr>
              <w:spacing w:after="0"/>
              <w:jc w:val="left"/>
            </w:pPr>
            <w:r>
              <w:rPr>
                <w:rFonts w:ascii="Arial" w:hAnsi="Arial"/>
                <w:b w:val="0"/>
                <w:sz w:val="16"/>
              </w:rPr>
              <w:t>"One example of lifecycle protocol implementation" / "Not required for compliance"</w:t>
            </w:r>
          </w:p>
        </w:tc>
        <w:tc>
          <w:tcPr>
            <w:tcW w:type="dxa" w:w="3408"/>
            <w:vAlign w:val="top"/>
          </w:tcPr>
          <w:p>
            <w:pPr>
              <w:spacing w:after="0"/>
              <w:jc w:val="left"/>
            </w:pPr>
            <w:r>
              <w:rPr>
                <w:rFonts w:ascii="Arial" w:hAnsi="Arial"/>
                <w:b w:val="0"/>
                <w:sz w:val="16"/>
              </w:rPr>
              <w:t>"Required for compliance" / "The only solution" / "Official standard" / "Regulator-mandated"</w:t>
            </w:r>
          </w:p>
        </w:tc>
      </w:tr>
      <w:tr>
        <w:trPr>
          <w:cantSplit/>
        </w:trPr>
        <w:tc>
          <w:tcPr>
            <w:tcW w:type="dxa" w:w="3408"/>
            <w:vAlign w:val="top"/>
          </w:tcPr>
          <w:p>
            <w:pPr>
              <w:spacing w:after="0"/>
              <w:jc w:val="left"/>
            </w:pPr>
            <w:r>
              <w:rPr>
                <w:rFonts w:ascii="Arial" w:hAnsi="Arial"/>
                <w:b w:val="0"/>
                <w:sz w:val="16"/>
              </w:rPr>
              <w:t>Validation Lab</w:t>
            </w:r>
          </w:p>
        </w:tc>
        <w:tc>
          <w:tcPr>
            <w:tcW w:type="dxa" w:w="3408"/>
            <w:vAlign w:val="top"/>
          </w:tcPr>
          <w:p>
            <w:pPr>
              <w:spacing w:after="0"/>
              <w:jc w:val="left"/>
            </w:pPr>
            <w:r>
              <w:rPr>
                <w:rFonts w:ascii="Arial" w:hAnsi="Arial"/>
                <w:b w:val="0"/>
                <w:sz w:val="16"/>
              </w:rPr>
              <w:t>"Non-certifying evidence adjudication example" / "One approach to privacy-preserving validation"</w:t>
            </w:r>
          </w:p>
        </w:tc>
        <w:tc>
          <w:tcPr>
            <w:tcW w:type="dxa" w:w="3408"/>
            <w:vAlign w:val="top"/>
          </w:tcPr>
          <w:p>
            <w:pPr>
              <w:spacing w:after="0"/>
              <w:jc w:val="left"/>
            </w:pPr>
            <w:r>
              <w:rPr>
                <w:rFonts w:ascii="Arial" w:hAnsi="Arial"/>
                <w:b w:val="0"/>
                <w:sz w:val="16"/>
              </w:rPr>
              <w:t>"Certification authority" / "Certifies compliance" / "Required for compliance" / "Regulator-approved" / "Official validator"</w:t>
            </w:r>
          </w:p>
        </w:tc>
      </w:tr>
      <w:tr>
        <w:trPr>
          <w:cantSplit/>
        </w:trPr>
        <w:tc>
          <w:tcPr>
            <w:tcW w:type="dxa" w:w="3408"/>
            <w:vAlign w:val="top"/>
          </w:tcPr>
          <w:p>
            <w:pPr>
              <w:spacing w:after="0"/>
              <w:jc w:val="left"/>
            </w:pPr>
            <w:r>
              <w:rPr>
                <w:rFonts w:ascii="Arial" w:hAnsi="Arial"/>
                <w:b w:val="0"/>
                <w:sz w:val="16"/>
              </w:rPr>
              <w:t>System Mapping</w:t>
            </w:r>
          </w:p>
        </w:tc>
        <w:tc>
          <w:tcPr>
            <w:tcW w:type="dxa" w:w="3408"/>
            <w:vAlign w:val="top"/>
          </w:tcPr>
          <w:p>
            <w:pPr>
              <w:spacing w:after="0"/>
              <w:jc w:val="left"/>
            </w:pPr>
            <w:r>
              <w:rPr>
                <w:rFonts w:ascii="Arial" w:hAnsi="Arial"/>
                <w:b w:val="0"/>
                <w:sz w:val="16"/>
              </w:rPr>
              <w:t>"Comparative analysis of lifecycle conformance strength" / "Not endorsements or certifications"</w:t>
            </w:r>
          </w:p>
        </w:tc>
        <w:tc>
          <w:tcPr>
            <w:tcW w:type="dxa" w:w="3408"/>
            <w:vAlign w:val="top"/>
          </w:tcPr>
          <w:p>
            <w:pPr>
              <w:spacing w:after="0"/>
              <w:jc w:val="left"/>
            </w:pPr>
            <w:r>
              <w:rPr>
                <w:rFonts w:ascii="Arial" w:hAnsi="Arial"/>
                <w:b w:val="0"/>
                <w:sz w:val="16"/>
              </w:rPr>
              <w:t>"Certified systems" / "Approved vendors" / "Guaranteed compliant" / "Official rankings"</w:t>
            </w:r>
          </w:p>
        </w:tc>
      </w:tr>
    </w:tbl>
    <w:p>
      <w:pPr>
        <w:sectPr>
          <w:pgSz w:w="15840" w:h="12240"/>
          <w:pgMar w:top="792" w:right="648" w:bottom="792" w:left="648" w:header="720" w:footer="720" w:gutter="0"/>
          <w:cols w:space="720"/>
          <w:docGrid w:linePitch="360"/>
        </w:sectPr>
      </w:pPr>
    </w:p>
    <w:p/>
    <w:p>
      <w:r>
        <w:t>Interpretation Guidance:</w:t>
      </w:r>
    </w:p>
    <w:p/>
    <w:p>
      <w:r>
        <w:t>When interpreting this white paper, readers should understand that:</w:t>
      </w:r>
    </w:p>
    <w:p/>
    <w:p>
      <w:r>
        <w:t>1. Framework, not mandate: This white paper defines a governance framework. It does not mandate specific implementations, vendors, or methods.</w:t>
      </w:r>
    </w:p>
    <w:p/>
    <w:p>
      <w:r>
        <w:t>2. Inputs, not conclusions: RCCS, ALCS, MROs, and system mappings provide structured inputs for professional judgment. They do not replace legal, audit, insurance, actuarial, or procurement judgment.</w:t>
      </w:r>
    </w:p>
    <w:p/>
    <w:p>
      <w:r>
        <w:t>3. Examples, not requirements: MPLP and Validation Lab are examples of how lifecycle governance could be implemented. They are not required for compliance. Other approaches may be equally valid.</w:t>
      </w:r>
    </w:p>
    <w:p/>
    <w:p>
      <w:r>
        <w:t>4. Analysis, not certification: System mappings and comparative field positioning are analytical tools. They are not endorsements, certifications, or vendor recommendations.</w:t>
      </w:r>
    </w:p>
    <w:p/>
    <w:p>
      <w:r>
        <w:t>5. Disclosure, not guarantee: Evidence levels (L1-L5) disclose the basis for claims. L5 (author inference) does not guarantee accuracy. Professional judgment is required to evaluate all claims.</w:t>
      </w:r>
    </w:p>
    <w:p/>
    <w:p/>
    <w:p>
      <w:pPr>
        <w:pStyle w:val="Heading2"/>
      </w:pPr>
      <w:r>
        <w:t>16.6 Bridge to Adoption Roadmap</w:t>
      </w:r>
    </w:p>
    <w:p/>
    <w:p>
      <w:r>
        <w:t>The companion-paper boundary clarifies adoption sequencing for enterprises, auditors, insurers, and regulators evaluating agentic systems.</w:t>
      </w:r>
    </w:p>
    <w:p/>
    <w:p>
      <w:r>
        <w:t>Recommended Adoption Sequence:</w:t>
      </w:r>
    </w:p>
    <w:p/>
    <w:p>
      <w:r>
        <w:t>1. Use the main white paper to understand the AI Agent Lifecycle Governance mother framework, Missing Regulatory Objects, RCCS/ALCS scoring, enterprise control crosswalk, and system positioning. This provides the conceptual foundation and framework-entry understanding.</w:t>
      </w:r>
    </w:p>
    <w:p/>
    <w:p>
      <w:r>
        <w:t>2. Use the Evidence &amp; Assurance companion paper (when published) for audit readiness, control testing methodology, evidence sufficiency analysis, attestation preparation, and privacy-preserving validation procedures. This provides the assurance methodology layer.</w:t>
      </w:r>
    </w:p>
    <w:p/>
    <w:p>
      <w:r>
        <w:t>3. Use the Insurability companion paper (when published) for risk classification, loss attribution analysis, claim replay evidence preparation, premium differentiation understanding, and coverage boundary analysis. This provides the risk transfer and insurability layer.</w:t>
      </w:r>
    </w:p>
    <w:p/>
    <w:p>
      <w:r>
        <w:t>4. Use industry briefs (when published) for sector-specific operationalization in accounting, insurance, banking, healthcare, legal, and other regulated enterprise applications. This provides the industry-specific implementation layer.</w:t>
      </w:r>
    </w:p>
    <w:p/>
    <w:p>
      <w:r>
        <w:t>Why This Sequence Matters:</w:t>
      </w:r>
    </w:p>
    <w:p/>
    <w:p>
      <w:r>
        <w:t>The main white paper defines the governance mother framework. Without understanding MROs, RCCS, ALCS, and lifecycle conformance, the assurance and insurability methodologies will not make sense. The companion papers build on the main framework. They do not replace it.</w:t>
      </w:r>
    </w:p>
    <w:p/>
    <w:p>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
      <w:r>
        <w:t>Bridge to Chapter 17:</w:t>
      </w:r>
    </w:p>
    <w:p/>
    <w:p>
      <w:r>
        <w:t>Chapter 17 will define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
      <w:r>
        <w:t>The boundary also ensures that adoption recommendations do not overreach into legal, audit, insurance, or procurement conclusions. Chapter 17 will provide adoption guidance, not adoption mandates. It will clarify that adoption pathways depend on enterprise context, regulatory jurisdiction, industry sector, and risk appetite, not only on lifecycle conformance scores.</w:t>
      </w:r>
    </w:p>
    <w:p/>
    <w:p/>
    <w:p>
      <w:pPr>
        <w:spacing w:before="160" w:after="80"/>
        <w:jc w:val="center"/>
      </w:pPr>
      <w:r>
        <w:rPr>
          <w:b/>
          <w:color w:val="1F4E79"/>
          <w:sz w:val="18"/>
        </w:rPr>
        <w:t>FIGURE PLACEHOLDER F-10: Companion Paper Boundary Map</w:t>
      </w:r>
    </w:p>
    <w:p/>
    <w:p>
      <w:pPr>
        <w:spacing w:before="160" w:after="80"/>
        <w:jc w:val="center"/>
      </w:pPr>
      <w:r>
        <w:rPr>
          <w:b/>
          <w:color w:val="1F4E79"/>
          <w:sz w:val="18"/>
        </w:rPr>
        <w:t>Figure description:</w:t>
      </w:r>
    </w:p>
    <w:p/>
    <w:p>
      <w:pPr>
        <w:spacing w:before="60" w:after="100"/>
        <w:ind w:left="259"/>
      </w:pPr>
      <w:r>
        <w:rPr>
          <w:rFonts w:ascii="Courier New" w:hAnsi="Courier New"/>
          <w:sz w:val="15"/>
        </w:rPr>
        <w:t>Main White Paper: AI Agent Lifecycle Governance Mother Framework</w:t>
        <w:br/>
        <w:t xml:space="preserve">        ├── Evidence &amp; Assurance Paper: Audit / validation / evidence procedures</w:t>
        <w:br/>
        <w:t xml:space="preserve">        ├── Insurability Paper: Risk transfer / claim replay / underwriting implications</w:t>
        <w:br/>
        <w:t xml:space="preserve">        └── Later Industry Briefs: Accounting, insurance, banking, regulated enterprise applications</w:t>
      </w:r>
    </w:p>
    <w:p/>
    <w:p>
      <w:pPr>
        <w:spacing w:before="160" w:after="80"/>
        <w:jc w:val="center"/>
      </w:pPr>
      <w:r>
        <w:rPr>
          <w:b/>
          <w:color w:val="1F4E79"/>
          <w:sz w:val="18"/>
        </w:rPr>
        <w:t>The figure illustrates that the main white paper is the mother framework. The companion papers extend the framework into specialized professional judgment domains. Industry briefs will further extend the framework into sector-specific operationalization. This layered structure prevents scope overload and ensures that each paper remains focused on its core purpose.</w:t>
      </w:r>
    </w:p>
    <w:p/>
    <w:p/>
    <w:p>
      <w:r>
        <w:t>Chapter 16 Status: ✓ FILLED — All sections 16.0-16.6 complete. Companion paper boundary established. Non-claim discipline defined. Bridge to Chapter 17 adoption roadmap complete.</w:t>
      </w:r>
    </w:p>
    <w:p>
      <w:pPr>
        <w:pStyle w:val="Heading1"/>
      </w:pPr>
      <w:r>
        <w:t>17. Adoption Roadmap for AI Agent Lifecycle Governance</w:t>
      </w:r>
    </w:p>
    <w:p/>
    <w:p>
      <w:r>
        <w:t>Version: v0.3.2-FRC-R3</w:t>
      </w:r>
    </w:p>
    <w:p>
      <w:r>
        <w:t>Status: Reconstructed from v0.3.1 semantic base</w:t>
      </w:r>
    </w:p>
    <w:p>
      <w:r>
        <w:t>Phase: 1B-7</w:t>
      </w:r>
    </w:p>
    <w:p/>
    <w:p/>
    <w:p>
      <w:pPr>
        <w:pStyle w:val="Heading2"/>
      </w:pPr>
      <w:r>
        <w:t>17.0 Why Adoption Roadmap Matters</w:t>
      </w:r>
    </w:p>
    <w:p/>
    <w:p>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
      <w:r>
        <w:t>The roadmap is not a procurement guide, certification checklist, or legal compliance procedure. It is a staged adoption path that helps enterprises:</w:t>
      </w:r>
    </w:p>
    <w:p>
      <w:pPr>
        <w:pStyle w:val="ListBullet"/>
      </w:pPr>
      <w:r>
        <w:t>Inventory agentic behavior and identify lifecycle governance gaps</w:t>
      </w:r>
    </w:p>
    <w:p>
      <w:pPr>
        <w:pStyle w:val="ListBullet"/>
      </w:pPr>
      <w:r>
        <w:t>Define delegated authority boundaries and human-role-to-MAS responsibility mappings</w:t>
      </w:r>
    </w:p>
    <w:p>
      <w:pPr>
        <w:pStyle w:val="ListBullet"/>
      </w:pPr>
      <w:r>
        <w:t>Convert orchestration logs into partitioned evidence chains</w:t>
      </w:r>
    </w:p>
    <w:p>
      <w:pPr>
        <w:pStyle w:val="ListBullet"/>
      </w:pPr>
      <w:r>
        <w:t>Map privacy and data subject rights across lifecycle surfaces</w:t>
      </w:r>
    </w:p>
    <w:p>
      <w:pPr>
        <w:pStyle w:val="ListBullet"/>
      </w:pPr>
      <w:r>
        <w:t>Prepare for evidence-based validation and third-party review</w:t>
      </w:r>
    </w:p>
    <w:p>
      <w:pPr>
        <w:pStyle w:val="ListBullet"/>
      </w:pPr>
      <w:r>
        <w:t>Operationalize incident, dispute, and remediation closure workflows</w:t>
      </w:r>
    </w:p>
    <w:p>
      <w:pPr>
        <w:pStyle w:val="ListBullet"/>
      </w:pPr>
      <w:r>
        <w:t>Scale lifecycle governance through integration with existing enterprise controls</w:t>
      </w:r>
    </w:p>
    <w:p/>
    <w:p>
      <w:r>
        <w:t>The goal is not to claim that lifecycle governance eliminates all risk. The goal is to provide a practical path for enterprises to address the lifecycle governance gap identified in this white paper.</w:t>
      </w:r>
    </w:p>
    <w:p/>
    <w:p/>
    <w:p>
      <w:pPr>
        <w:pStyle w:val="Heading2"/>
      </w:pPr>
      <w:r>
        <w:t>17.1 Maturity Assessment and Gap Analysis</w:t>
      </w:r>
    </w:p>
    <w:p/>
    <w:p>
      <w:r>
        <w:t>Enterprises should begin adoption with a maturity assessment to understand their current lifecycle governance capability and identify gaps. The following table defines five maturity levels.</w:t>
      </w:r>
    </w:p>
    <w:p/>
    <w:p>
      <w:pPr>
        <w:keepNext/>
      </w:pPr>
      <w:r>
        <w:rPr>
          <w:b/>
          <w:sz w:val="17"/>
        </w:rPr>
        <w:t>Table T-17-01: Adoption Maturity Levels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1"/>
              </w:rPr>
              <w:t>Level</w:t>
            </w:r>
          </w:p>
        </w:tc>
        <w:tc>
          <w:tcPr>
            <w:tcW w:type="dxa" w:w="2880"/>
            <w:vAlign w:val="top"/>
            <w:shd w:fill="D9EAF7"/>
          </w:tcPr>
          <w:p>
            <w:pPr>
              <w:spacing w:after="0"/>
              <w:jc w:val="left"/>
            </w:pPr>
            <w:r>
              <w:rPr>
                <w:rFonts w:ascii="Arial" w:hAnsi="Arial"/>
                <w:b/>
                <w:sz w:val="11"/>
              </w:rPr>
              <w:t>Enterprise State</w:t>
            </w:r>
          </w:p>
        </w:tc>
        <w:tc>
          <w:tcPr>
            <w:tcW w:type="dxa" w:w="2880"/>
            <w:vAlign w:val="top"/>
            <w:shd w:fill="D9EAF7"/>
          </w:tcPr>
          <w:p>
            <w:pPr>
              <w:spacing w:after="0"/>
              <w:jc w:val="left"/>
            </w:pPr>
            <w:r>
              <w:rPr>
                <w:rFonts w:ascii="Arial" w:hAnsi="Arial"/>
                <w:b/>
                <w:sz w:val="11"/>
              </w:rPr>
              <w:t>Lifecycle Governance Capability</w:t>
            </w:r>
          </w:p>
        </w:tc>
        <w:tc>
          <w:tcPr>
            <w:tcW w:type="dxa" w:w="2880"/>
            <w:vAlign w:val="top"/>
            <w:shd w:fill="D9EAF7"/>
          </w:tcPr>
          <w:p>
            <w:pPr>
              <w:spacing w:after="0"/>
              <w:jc w:val="left"/>
            </w:pPr>
            <w:r>
              <w:rPr>
                <w:rFonts w:ascii="Arial" w:hAnsi="Arial"/>
                <w:b/>
                <w:sz w:val="11"/>
              </w:rPr>
              <w:t>Typical Gap</w:t>
            </w:r>
          </w:p>
        </w:tc>
        <w:tc>
          <w:tcPr>
            <w:tcW w:type="dxa" w:w="2880"/>
            <w:vAlign w:val="top"/>
            <w:shd w:fill="D9EAF7"/>
          </w:tcPr>
          <w:p>
            <w:pPr>
              <w:spacing w:after="0"/>
              <w:jc w:val="left"/>
            </w:pPr>
            <w:r>
              <w:rPr>
                <w:rFonts w:ascii="Arial" w:hAnsi="Arial"/>
                <w:b/>
                <w:sz w:val="11"/>
              </w:rPr>
              <w:t>Recommended Next Step</w:t>
            </w:r>
          </w:p>
        </w:tc>
      </w:tr>
      <w:tr>
        <w:trPr>
          <w:cantSplit/>
        </w:trPr>
        <w:tc>
          <w:tcPr>
            <w:tcW w:type="dxa" w:w="2880"/>
            <w:vAlign w:val="top"/>
          </w:tcPr>
          <w:p>
            <w:pPr>
              <w:spacing w:after="0"/>
              <w:jc w:val="left"/>
            </w:pPr>
            <w:r>
              <w:rPr>
                <w:rFonts w:ascii="Arial" w:hAnsi="Arial"/>
                <w:b w:val="0"/>
                <w:sz w:val="11"/>
              </w:rPr>
              <w:t>Level 0: Unaware</w:t>
            </w:r>
          </w:p>
        </w:tc>
        <w:tc>
          <w:tcPr>
            <w:tcW w:type="dxa" w:w="2880"/>
            <w:vAlign w:val="top"/>
          </w:tcPr>
          <w:p>
            <w:pPr>
              <w:spacing w:after="0"/>
              <w:jc w:val="left"/>
            </w:pPr>
            <w:r>
              <w:rPr>
                <w:rFonts w:ascii="Arial" w:hAnsi="Arial"/>
                <w:b w:val="0"/>
                <w:sz w:val="11"/>
              </w:rPr>
              <w:t>Agentic AI systems deployed; no lifecycle governance awareness; model governance assumed sufficient</w:t>
            </w:r>
          </w:p>
        </w:tc>
        <w:tc>
          <w:tcPr>
            <w:tcW w:type="dxa" w:w="2880"/>
            <w:vAlign w:val="top"/>
          </w:tcPr>
          <w:p>
            <w:pPr>
              <w:spacing w:after="0"/>
              <w:jc w:val="left"/>
            </w:pPr>
            <w:r>
              <w:rPr>
                <w:rFonts w:ascii="Arial" w:hAnsi="Arial"/>
                <w:b w:val="0"/>
                <w:sz w:val="11"/>
              </w:rPr>
              <w:t>No lifecycle responsibility objects; no authority boundaries; no accepted outcome compliance; no evidence partitioning</w:t>
            </w:r>
          </w:p>
        </w:tc>
        <w:tc>
          <w:tcPr>
            <w:tcW w:type="dxa" w:w="2880"/>
            <w:vAlign w:val="top"/>
          </w:tcPr>
          <w:p>
            <w:pPr>
              <w:spacing w:after="0"/>
              <w:jc w:val="left"/>
            </w:pPr>
            <w:r>
              <w:rPr>
                <w:rFonts w:ascii="Arial" w:hAnsi="Arial"/>
                <w:b w:val="0"/>
                <w:sz w:val="11"/>
              </w:rPr>
              <w:t>Execution logs exist but cannot reconstruct authority, plan, confirmation, tool action, and accepted outcome; no responsible human role for agent outcomes; no evidence-based validation capability</w:t>
            </w:r>
          </w:p>
        </w:tc>
        <w:tc>
          <w:tcPr>
            <w:tcW w:type="dxa" w:w="2880"/>
            <w:vAlign w:val="top"/>
          </w:tcPr>
          <w:p>
            <w:pPr>
              <w:spacing w:after="0"/>
              <w:jc w:val="left"/>
            </w:pPr>
            <w:r>
              <w:rPr>
                <w:rFonts w:ascii="Arial" w:hAnsi="Arial"/>
                <w:b w:val="0"/>
                <w:sz w:val="11"/>
              </w:rPr>
              <w:t>Inventory agentic behavior; identify where agents make decisions, use tools, or hand off work; assess whether model governance covers lifecycle responsibility</w:t>
            </w:r>
          </w:p>
        </w:tc>
      </w:tr>
      <w:tr>
        <w:trPr>
          <w:cantSplit/>
        </w:trPr>
        <w:tc>
          <w:tcPr>
            <w:tcW w:type="dxa" w:w="2880"/>
            <w:vAlign w:val="top"/>
          </w:tcPr>
          <w:p>
            <w:pPr>
              <w:spacing w:after="0"/>
              <w:jc w:val="left"/>
            </w:pPr>
            <w:r>
              <w:rPr>
                <w:rFonts w:ascii="Arial" w:hAnsi="Arial"/>
                <w:b w:val="0"/>
                <w:sz w:val="11"/>
              </w:rPr>
              <w:t>Level 1: Aware</w:t>
            </w:r>
          </w:p>
        </w:tc>
        <w:tc>
          <w:tcPr>
            <w:tcW w:type="dxa" w:w="2880"/>
            <w:vAlign w:val="top"/>
          </w:tcPr>
          <w:p>
            <w:pPr>
              <w:spacing w:after="0"/>
              <w:jc w:val="left"/>
            </w:pPr>
            <w:r>
              <w:rPr>
                <w:rFonts w:ascii="Arial" w:hAnsi="Arial"/>
                <w:b w:val="0"/>
                <w:sz w:val="11"/>
              </w:rPr>
              <w:t>Lifecycle governance gap recognized; pilot projects identified; governance team assigned</w:t>
            </w:r>
          </w:p>
        </w:tc>
        <w:tc>
          <w:tcPr>
            <w:tcW w:type="dxa" w:w="2880"/>
            <w:vAlign w:val="top"/>
          </w:tcPr>
          <w:p>
            <w:pPr>
              <w:spacing w:after="0"/>
              <w:jc w:val="left"/>
            </w:pPr>
            <w:r>
              <w:rPr>
                <w:rFonts w:ascii="Arial" w:hAnsi="Arial"/>
                <w:b w:val="0"/>
                <w:sz w:val="11"/>
              </w:rPr>
              <w:t>Basic lifecycle inventory; some authority boundaries documented; human oversight exists but not mapped to MAS responsibilities</w:t>
            </w:r>
          </w:p>
        </w:tc>
        <w:tc>
          <w:tcPr>
            <w:tcW w:type="dxa" w:w="2880"/>
            <w:vAlign w:val="top"/>
          </w:tcPr>
          <w:p>
            <w:pPr>
              <w:spacing w:after="0"/>
              <w:jc w:val="left"/>
            </w:pPr>
            <w:r>
              <w:rPr>
                <w:rFonts w:ascii="Arial" w:hAnsi="Arial"/>
                <w:b w:val="0"/>
                <w:sz w:val="11"/>
              </w:rPr>
              <w:t>Authority boundaries are implicit or undocumented; human oversight is ad-hoc; evidence chains are incomplete; no privacy-preserving validation capability</w:t>
            </w:r>
          </w:p>
        </w:tc>
        <w:tc>
          <w:tcPr>
            <w:tcW w:type="dxa" w:w="2880"/>
            <w:vAlign w:val="top"/>
          </w:tcPr>
          <w:p>
            <w:pPr>
              <w:spacing w:after="0"/>
              <w:jc w:val="left"/>
            </w:pPr>
            <w:r>
              <w:rPr>
                <w:rFonts w:ascii="Arial" w:hAnsi="Arial"/>
                <w:b w:val="0"/>
                <w:sz w:val="11"/>
              </w:rPr>
              <w:t>Define delegated authority boundaries for pilot projects; map human roles to MAS responsibilities; document accepted outcome compliance workflow</w:t>
            </w:r>
          </w:p>
        </w:tc>
      </w:tr>
      <w:tr>
        <w:trPr>
          <w:cantSplit/>
        </w:trPr>
        <w:tc>
          <w:tcPr>
            <w:tcW w:type="dxa" w:w="2880"/>
            <w:vAlign w:val="top"/>
          </w:tcPr>
          <w:p>
            <w:pPr>
              <w:spacing w:after="0"/>
              <w:jc w:val="left"/>
            </w:pPr>
            <w:r>
              <w:rPr>
                <w:rFonts w:ascii="Arial" w:hAnsi="Arial"/>
                <w:b w:val="0"/>
                <w:sz w:val="11"/>
              </w:rPr>
              <w:t>Level 2: Pilot</w:t>
            </w:r>
          </w:p>
        </w:tc>
        <w:tc>
          <w:tcPr>
            <w:tcW w:type="dxa" w:w="2880"/>
            <w:vAlign w:val="top"/>
          </w:tcPr>
          <w:p>
            <w:pPr>
              <w:spacing w:after="0"/>
              <w:jc w:val="left"/>
            </w:pPr>
            <w:r>
              <w:rPr>
                <w:rFonts w:ascii="Arial" w:hAnsi="Arial"/>
                <w:b w:val="0"/>
                <w:sz w:val="11"/>
              </w:rPr>
              <w:t>Pilot projects operationalize lifecycle responsibility objects; evidence chains exist for pilot scope; authority boundaries enforced</w:t>
            </w:r>
          </w:p>
        </w:tc>
        <w:tc>
          <w:tcPr>
            <w:tcW w:type="dxa" w:w="2880"/>
            <w:vAlign w:val="top"/>
          </w:tcPr>
          <w:p>
            <w:pPr>
              <w:spacing w:after="0"/>
              <w:jc w:val="left"/>
            </w:pPr>
            <w:r>
              <w:rPr>
                <w:rFonts w:ascii="Arial" w:hAnsi="Arial"/>
                <w:b w:val="0"/>
                <w:sz w:val="11"/>
              </w:rPr>
              <w:t>Delegated authority boundaries defined; human-role-to-MAS responsibility mapping exists; accepted outcome compliance workflow operational; evidence partitioning implemented for pilot scope</w:t>
            </w:r>
          </w:p>
        </w:tc>
        <w:tc>
          <w:tcPr>
            <w:tcW w:type="dxa" w:w="2880"/>
            <w:vAlign w:val="top"/>
          </w:tcPr>
          <w:p>
            <w:pPr>
              <w:spacing w:after="0"/>
              <w:jc w:val="left"/>
            </w:pPr>
            <w:r>
              <w:rPr>
                <w:rFonts w:ascii="Arial" w:hAnsi="Arial"/>
                <w:b w:val="0"/>
                <w:sz w:val="11"/>
              </w:rPr>
              <w:t>Pilot scope is limited; lifecycle governance not integrated with existing enterprise controls; no cross-project reuse compliance; no vendor/runtime substitution conformance</w:t>
            </w:r>
          </w:p>
        </w:tc>
        <w:tc>
          <w:tcPr>
            <w:tcW w:type="dxa" w:w="2880"/>
            <w:vAlign w:val="top"/>
          </w:tcPr>
          <w:p>
            <w:pPr>
              <w:spacing w:after="0"/>
              <w:jc w:val="left"/>
            </w:pPr>
            <w:r>
              <w:rPr>
                <w:rFonts w:ascii="Arial" w:hAnsi="Arial"/>
                <w:b w:val="0"/>
                <w:sz w:val="11"/>
              </w:rPr>
              <w:t>Integrate lifecycle governance with existing enterprise controls (audit, privacy, security, procurement); extend evidence partitioning beyond pilot scope; implement cross-project reuse compliance</w:t>
            </w:r>
          </w:p>
        </w:tc>
      </w:tr>
      <w:tr>
        <w:trPr>
          <w:cantSplit/>
        </w:trPr>
        <w:tc>
          <w:tcPr>
            <w:tcW w:type="dxa" w:w="2880"/>
            <w:vAlign w:val="top"/>
          </w:tcPr>
          <w:p>
            <w:pPr>
              <w:spacing w:after="0"/>
              <w:jc w:val="left"/>
            </w:pPr>
            <w:r>
              <w:rPr>
                <w:rFonts w:ascii="Arial" w:hAnsi="Arial"/>
                <w:b w:val="0"/>
                <w:sz w:val="11"/>
              </w:rPr>
              <w:t>Level 3: Integrated</w:t>
            </w:r>
          </w:p>
        </w:tc>
        <w:tc>
          <w:tcPr>
            <w:tcW w:type="dxa" w:w="2880"/>
            <w:vAlign w:val="top"/>
          </w:tcPr>
          <w:p>
            <w:pPr>
              <w:spacing w:after="0"/>
              <w:jc w:val="left"/>
            </w:pPr>
            <w:r>
              <w:rPr>
                <w:rFonts w:ascii="Arial" w:hAnsi="Arial"/>
                <w:b w:val="0"/>
                <w:sz w:val="11"/>
              </w:rPr>
              <w:t>Lifecycle governance integrated with existing enterprise controls; evidence-based validation capability operational; privacy-preserving validation protocol implemented</w:t>
            </w:r>
          </w:p>
        </w:tc>
        <w:tc>
          <w:tcPr>
            <w:tcW w:type="dxa" w:w="2880"/>
            <w:vAlign w:val="top"/>
          </w:tcPr>
          <w:p>
            <w:pPr>
              <w:spacing w:after="0"/>
              <w:jc w:val="left"/>
            </w:pPr>
            <w:r>
              <w:rPr>
                <w:rFonts w:ascii="Arial" w:hAnsi="Arial"/>
                <w:b w:val="0"/>
                <w:sz w:val="11"/>
              </w:rPr>
              <w:t>Evidence partitioning operational; privacy-preserving validation protocol implemented; cross-project reuse compliance enforced; vendor/runtime substitution conformance validated</w:t>
            </w:r>
          </w:p>
        </w:tc>
        <w:tc>
          <w:tcPr>
            <w:tcW w:type="dxa" w:w="2880"/>
            <w:vAlign w:val="top"/>
          </w:tcPr>
          <w:p>
            <w:pPr>
              <w:spacing w:after="0"/>
              <w:jc w:val="left"/>
            </w:pPr>
            <w:r>
              <w:rPr>
                <w:rFonts w:ascii="Arial" w:hAnsi="Arial"/>
                <w:b w:val="0"/>
                <w:sz w:val="11"/>
              </w:rPr>
              <w:t>Lifecycle governance not yet scaled to all agentic workflows; incident/dispute/remediation closure workflow exists but not fully operationalized; continuous improvement not yet systematic</w:t>
            </w:r>
          </w:p>
        </w:tc>
        <w:tc>
          <w:tcPr>
            <w:tcW w:type="dxa" w:w="2880"/>
            <w:vAlign w:val="top"/>
          </w:tcPr>
          <w:p>
            <w:pPr>
              <w:spacing w:after="0"/>
              <w:jc w:val="left"/>
            </w:pPr>
            <w:r>
              <w:rPr>
                <w:rFonts w:ascii="Arial" w:hAnsi="Arial"/>
                <w:b w:val="0"/>
                <w:sz w:val="11"/>
              </w:rPr>
              <w:t>Scale lifecycle governance to all agentic workflows; operationalize incident/dispute/remediation closure workflow; implement continuous improvement and monitoring</w:t>
            </w:r>
          </w:p>
        </w:tc>
      </w:tr>
      <w:tr>
        <w:trPr>
          <w:cantSplit/>
        </w:trPr>
        <w:tc>
          <w:tcPr>
            <w:tcW w:type="dxa" w:w="2880"/>
            <w:vAlign w:val="top"/>
          </w:tcPr>
          <w:p>
            <w:pPr>
              <w:spacing w:after="0"/>
              <w:jc w:val="left"/>
            </w:pPr>
            <w:r>
              <w:rPr>
                <w:rFonts w:ascii="Arial" w:hAnsi="Arial"/>
                <w:b w:val="0"/>
                <w:sz w:val="11"/>
              </w:rPr>
              <w:t>Level 4: Scaled</w:t>
            </w:r>
          </w:p>
        </w:tc>
        <w:tc>
          <w:tcPr>
            <w:tcW w:type="dxa" w:w="2880"/>
            <w:vAlign w:val="top"/>
          </w:tcPr>
          <w:p>
            <w:pPr>
              <w:spacing w:after="0"/>
              <w:jc w:val="left"/>
            </w:pPr>
            <w:r>
              <w:rPr>
                <w:rFonts w:ascii="Arial" w:hAnsi="Arial"/>
                <w:b w:val="0"/>
                <w:sz w:val="11"/>
              </w:rPr>
              <w:t>Lifecycle governance scaled to all agentic workflows; continuous improvement operational; evidence-based validation integrated with audit readiness</w:t>
            </w:r>
          </w:p>
        </w:tc>
        <w:tc>
          <w:tcPr>
            <w:tcW w:type="dxa" w:w="2880"/>
            <w:vAlign w:val="top"/>
          </w:tcPr>
          <w:p>
            <w:pPr>
              <w:spacing w:after="0"/>
              <w:jc w:val="left"/>
            </w:pPr>
            <w:r>
              <w:rPr>
                <w:rFonts w:ascii="Arial" w:hAnsi="Arial"/>
                <w:b w:val="0"/>
                <w:sz w:val="11"/>
              </w:rPr>
              <w:t>All lifecycle responsibility objects operational; evidence-based validation integrated with audit readiness; incident/dispute/remediation closure workflow fully operationalized; continuous improvement and monitoring systematic</w:t>
            </w:r>
          </w:p>
        </w:tc>
        <w:tc>
          <w:tcPr>
            <w:tcW w:type="dxa" w:w="2880"/>
            <w:vAlign w:val="top"/>
          </w:tcPr>
          <w:p>
            <w:pPr>
              <w:spacing w:after="0"/>
              <w:jc w:val="left"/>
            </w:pPr>
            <w:r>
              <w:rPr>
                <w:rFonts w:ascii="Arial" w:hAnsi="Arial"/>
                <w:b w:val="0"/>
                <w:sz w:val="11"/>
              </w:rPr>
              <w:t>Lifecycle governance is operational but may require refinement as agentic systems evolve; new MROs may emerge as agentic AI capabilities expand</w:t>
            </w:r>
          </w:p>
        </w:tc>
        <w:tc>
          <w:tcPr>
            <w:tcW w:type="dxa" w:w="2880"/>
            <w:vAlign w:val="top"/>
          </w:tcPr>
          <w:p>
            <w:pPr>
              <w:spacing w:after="0"/>
              <w:jc w:val="left"/>
            </w:pPr>
            <w:r>
              <w:rPr>
                <w:rFonts w:ascii="Arial" w:hAnsi="Arial"/>
                <w:b w:val="0"/>
                <w:sz w:val="11"/>
              </w:rPr>
              <w:t>Maintain lifecycle governance through continuous improvement; monitor for new lifecycle governance gaps; contribute to industry standards and regulatory dialogue</w:t>
            </w:r>
          </w:p>
        </w:tc>
      </w:tr>
    </w:tbl>
    <w:p>
      <w:pPr>
        <w:sectPr>
          <w:pgSz w:w="12240" w:h="15840" w:orient="landscape"/>
          <w:pgMar w:top="792" w:right="648" w:bottom="792" w:left="648" w:header="720" w:footer="720" w:gutter="0"/>
          <w:cols w:space="720"/>
          <w:docGrid w:linePitch="360"/>
        </w:sectPr>
      </w:pPr>
    </w:p>
    <w:p/>
    <w:p>
      <w:r>
        <w:t>Interpretation: Maturity assessment helps enterprises understand where they are and what gaps exist. Most enterprises deploying agentic AI systems are at Level 0 or Level 1. The roadmap provides a staged path from Level 0 to Level 4.</w:t>
      </w:r>
    </w:p>
    <w:p/>
    <w:p/>
    <w:p>
      <w:pPr>
        <w:pStyle w:val="Heading2"/>
      </w:pPr>
      <w:r>
        <w:t>17.2 Pilot Project Selection</w:t>
      </w:r>
    </w:p>
    <w:p/>
    <w:p>
      <w:r>
        <w:t>Enterprises should select pilot projects carefully to maximize learning and minimize risk. The following table defines pilot selection criteria.</w:t>
      </w:r>
    </w:p>
    <w:p/>
    <w:p>
      <w:pPr>
        <w:keepNext/>
      </w:pPr>
      <w:r>
        <w:rPr>
          <w:b/>
          <w:sz w:val="17"/>
        </w:rPr>
        <w:t>Table T-17-02: Pilot Project Selection Criteria</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shd w:fill="D9EAF7"/>
          </w:tcPr>
          <w:p>
            <w:pPr>
              <w:spacing w:after="0"/>
              <w:jc w:val="left"/>
            </w:pPr>
            <w:r>
              <w:rPr>
                <w:rFonts w:ascii="Arial" w:hAnsi="Arial"/>
                <w:b/>
                <w:sz w:val="11"/>
              </w:rPr>
              <w:t>Criterion</w:t>
            </w:r>
          </w:p>
        </w:tc>
        <w:tc>
          <w:tcPr>
            <w:tcW w:type="dxa" w:w="3600"/>
            <w:vAlign w:val="top"/>
            <w:shd w:fill="D9EAF7"/>
          </w:tcPr>
          <w:p>
            <w:pPr>
              <w:spacing w:after="0"/>
              <w:jc w:val="left"/>
            </w:pPr>
            <w:r>
              <w:rPr>
                <w:rFonts w:ascii="Arial" w:hAnsi="Arial"/>
                <w:b/>
                <w:sz w:val="11"/>
              </w:rPr>
              <w:t>Why It Matters</w:t>
            </w:r>
          </w:p>
        </w:tc>
        <w:tc>
          <w:tcPr>
            <w:tcW w:type="dxa" w:w="3600"/>
            <w:vAlign w:val="top"/>
            <w:shd w:fill="D9EAF7"/>
          </w:tcPr>
          <w:p>
            <w:pPr>
              <w:spacing w:after="0"/>
              <w:jc w:val="left"/>
            </w:pPr>
            <w:r>
              <w:rPr>
                <w:rFonts w:ascii="Arial" w:hAnsi="Arial"/>
                <w:b/>
                <w:sz w:val="11"/>
              </w:rPr>
              <w:t>Good Pilot Signal</w:t>
            </w:r>
          </w:p>
        </w:tc>
        <w:tc>
          <w:tcPr>
            <w:tcW w:type="dxa" w:w="3600"/>
            <w:vAlign w:val="top"/>
            <w:shd w:fill="D9EAF7"/>
          </w:tcPr>
          <w:p>
            <w:pPr>
              <w:spacing w:after="0"/>
              <w:jc w:val="left"/>
            </w:pPr>
            <w:r>
              <w:rPr>
                <w:rFonts w:ascii="Arial" w:hAnsi="Arial"/>
                <w:b/>
                <w:sz w:val="11"/>
              </w:rPr>
              <w:t>Avoid If</w:t>
            </w:r>
          </w:p>
        </w:tc>
      </w:tr>
      <w:tr>
        <w:trPr>
          <w:cantSplit/>
        </w:trPr>
        <w:tc>
          <w:tcPr>
            <w:tcW w:type="dxa" w:w="3600"/>
            <w:vAlign w:val="top"/>
          </w:tcPr>
          <w:p>
            <w:pPr>
              <w:spacing w:after="0"/>
              <w:jc w:val="left"/>
            </w:pPr>
            <w:r>
              <w:rPr>
                <w:rFonts w:ascii="Arial" w:hAnsi="Arial"/>
                <w:b w:val="0"/>
                <w:sz w:val="11"/>
              </w:rPr>
              <w:t>Bounded scope</w:t>
            </w:r>
          </w:p>
        </w:tc>
        <w:tc>
          <w:tcPr>
            <w:tcW w:type="dxa" w:w="3600"/>
            <w:vAlign w:val="top"/>
          </w:tcPr>
          <w:p>
            <w:pPr>
              <w:spacing w:after="0"/>
              <w:jc w:val="left"/>
            </w:pPr>
            <w:r>
              <w:rPr>
                <w:rFonts w:ascii="Arial" w:hAnsi="Arial"/>
                <w:b w:val="0"/>
                <w:sz w:val="11"/>
              </w:rPr>
              <w:t>Pilot should be large enough to demonstrate lifecycle governance value but small enough to manage risk</w:t>
            </w:r>
          </w:p>
        </w:tc>
        <w:tc>
          <w:tcPr>
            <w:tcW w:type="dxa" w:w="3600"/>
            <w:vAlign w:val="top"/>
          </w:tcPr>
          <w:p>
            <w:pPr>
              <w:spacing w:after="0"/>
              <w:jc w:val="left"/>
            </w:pPr>
            <w:r>
              <w:rPr>
                <w:rFonts w:ascii="Arial" w:hAnsi="Arial"/>
                <w:b w:val="0"/>
                <w:sz w:val="11"/>
              </w:rPr>
              <w:t>Single business process; single regulated context; single customer segment; clear authority boundaries</w:t>
            </w:r>
          </w:p>
        </w:tc>
        <w:tc>
          <w:tcPr>
            <w:tcW w:type="dxa" w:w="3600"/>
            <w:vAlign w:val="top"/>
          </w:tcPr>
          <w:p>
            <w:pPr>
              <w:spacing w:after="0"/>
              <w:jc w:val="left"/>
            </w:pPr>
            <w:r>
              <w:rPr>
                <w:rFonts w:ascii="Arial" w:hAnsi="Arial"/>
                <w:b w:val="0"/>
                <w:sz w:val="11"/>
              </w:rPr>
              <w:t>Unbounded scope; cross-jurisdictional; mission-critical; customer-facing without rollback capability</w:t>
            </w:r>
          </w:p>
        </w:tc>
      </w:tr>
      <w:tr>
        <w:trPr>
          <w:cantSplit/>
        </w:trPr>
        <w:tc>
          <w:tcPr>
            <w:tcW w:type="dxa" w:w="3600"/>
            <w:vAlign w:val="top"/>
          </w:tcPr>
          <w:p>
            <w:pPr>
              <w:spacing w:after="0"/>
              <w:jc w:val="left"/>
            </w:pPr>
            <w:r>
              <w:rPr>
                <w:rFonts w:ascii="Arial" w:hAnsi="Arial"/>
                <w:b w:val="0"/>
                <w:sz w:val="11"/>
              </w:rPr>
              <w:t>Measurable outcomes</w:t>
            </w:r>
          </w:p>
        </w:tc>
        <w:tc>
          <w:tcPr>
            <w:tcW w:type="dxa" w:w="3600"/>
            <w:vAlign w:val="top"/>
          </w:tcPr>
          <w:p>
            <w:pPr>
              <w:spacing w:after="0"/>
              <w:jc w:val="left"/>
            </w:pPr>
            <w:r>
              <w:rPr>
                <w:rFonts w:ascii="Arial" w:hAnsi="Arial"/>
                <w:b w:val="0"/>
                <w:sz w:val="11"/>
              </w:rPr>
              <w:t>Pilot should produce measurable evidence of lifecycle governance effectiveness</w:t>
            </w:r>
          </w:p>
        </w:tc>
        <w:tc>
          <w:tcPr>
            <w:tcW w:type="dxa" w:w="3600"/>
            <w:vAlign w:val="top"/>
          </w:tcPr>
          <w:p>
            <w:pPr>
              <w:spacing w:after="0"/>
              <w:jc w:val="left"/>
            </w:pPr>
            <w:r>
              <w:rPr>
                <w:rFonts w:ascii="Arial" w:hAnsi="Arial"/>
                <w:b w:val="0"/>
                <w:sz w:val="11"/>
              </w:rPr>
              <w:t>Clear success criteria; measurable evidence artifacts; audit readiness improvement; dispute resolution improvement</w:t>
            </w:r>
          </w:p>
        </w:tc>
        <w:tc>
          <w:tcPr>
            <w:tcW w:type="dxa" w:w="3600"/>
            <w:vAlign w:val="top"/>
          </w:tcPr>
          <w:p>
            <w:pPr>
              <w:spacing w:after="0"/>
              <w:jc w:val="left"/>
            </w:pPr>
            <w:r>
              <w:rPr>
                <w:rFonts w:ascii="Arial" w:hAnsi="Arial"/>
                <w:b w:val="0"/>
                <w:sz w:val="11"/>
              </w:rPr>
              <w:t>Vague success criteria; no measurable evidence artifacts; no audit readiness baseline</w:t>
            </w:r>
          </w:p>
        </w:tc>
      </w:tr>
      <w:tr>
        <w:trPr>
          <w:cantSplit/>
        </w:trPr>
        <w:tc>
          <w:tcPr>
            <w:tcW w:type="dxa" w:w="3600"/>
            <w:vAlign w:val="top"/>
          </w:tcPr>
          <w:p>
            <w:pPr>
              <w:spacing w:after="0"/>
              <w:jc w:val="left"/>
            </w:pPr>
            <w:r>
              <w:rPr>
                <w:rFonts w:ascii="Arial" w:hAnsi="Arial"/>
                <w:b w:val="0"/>
                <w:sz w:val="11"/>
              </w:rPr>
              <w:t>Regulatory relevance</w:t>
            </w:r>
          </w:p>
        </w:tc>
        <w:tc>
          <w:tcPr>
            <w:tcW w:type="dxa" w:w="3600"/>
            <w:vAlign w:val="top"/>
          </w:tcPr>
          <w:p>
            <w:pPr>
              <w:spacing w:after="0"/>
              <w:jc w:val="left"/>
            </w:pPr>
            <w:r>
              <w:rPr>
                <w:rFonts w:ascii="Arial" w:hAnsi="Arial"/>
                <w:b w:val="0"/>
                <w:sz w:val="11"/>
              </w:rPr>
              <w:t>Pilot should address a regulated context where lifecycle governance gaps create compliance risk</w:t>
            </w:r>
          </w:p>
        </w:tc>
        <w:tc>
          <w:tcPr>
            <w:tcW w:type="dxa" w:w="3600"/>
            <w:vAlign w:val="top"/>
          </w:tcPr>
          <w:p>
            <w:pPr>
              <w:spacing w:after="0"/>
              <w:jc w:val="left"/>
            </w:pPr>
            <w:r>
              <w:rPr>
                <w:rFonts w:ascii="Arial" w:hAnsi="Arial"/>
                <w:b w:val="0"/>
                <w:sz w:val="11"/>
              </w:rPr>
              <w:t>GDPR, HIPAA, SOX, EU AI Act, or other regulated context; audit readiness required; evidence retention required</w:t>
            </w:r>
          </w:p>
        </w:tc>
        <w:tc>
          <w:tcPr>
            <w:tcW w:type="dxa" w:w="3600"/>
            <w:vAlign w:val="top"/>
          </w:tcPr>
          <w:p>
            <w:pPr>
              <w:spacing w:after="0"/>
              <w:jc w:val="left"/>
            </w:pPr>
            <w:r>
              <w:rPr>
                <w:rFonts w:ascii="Arial" w:hAnsi="Arial"/>
                <w:b w:val="0"/>
                <w:sz w:val="11"/>
              </w:rPr>
              <w:t>Non-regulated context; no audit readiness requirement; no evidence retention requirement</w:t>
            </w:r>
          </w:p>
        </w:tc>
      </w:tr>
      <w:tr>
        <w:trPr>
          <w:cantSplit/>
        </w:trPr>
        <w:tc>
          <w:tcPr>
            <w:tcW w:type="dxa" w:w="3600"/>
            <w:vAlign w:val="top"/>
          </w:tcPr>
          <w:p>
            <w:pPr>
              <w:spacing w:after="0"/>
              <w:jc w:val="left"/>
            </w:pPr>
            <w:r>
              <w:rPr>
                <w:rFonts w:ascii="Arial" w:hAnsi="Arial"/>
                <w:b w:val="0"/>
                <w:sz w:val="11"/>
              </w:rPr>
              <w:t>Executive sponsorship</w:t>
            </w:r>
          </w:p>
        </w:tc>
        <w:tc>
          <w:tcPr>
            <w:tcW w:type="dxa" w:w="3600"/>
            <w:vAlign w:val="top"/>
          </w:tcPr>
          <w:p>
            <w:pPr>
              <w:spacing w:after="0"/>
              <w:jc w:val="left"/>
            </w:pPr>
            <w:r>
              <w:rPr>
                <w:rFonts w:ascii="Arial" w:hAnsi="Arial"/>
                <w:b w:val="0"/>
                <w:sz w:val="11"/>
              </w:rPr>
              <w:t>Pilot should have executive sponsorship to ensure organizational commitment</w:t>
            </w:r>
          </w:p>
        </w:tc>
        <w:tc>
          <w:tcPr>
            <w:tcW w:type="dxa" w:w="3600"/>
            <w:vAlign w:val="top"/>
          </w:tcPr>
          <w:p>
            <w:pPr>
              <w:spacing w:after="0"/>
              <w:jc w:val="left"/>
            </w:pPr>
            <w:r>
              <w:rPr>
                <w:rFonts w:ascii="Arial" w:hAnsi="Arial"/>
                <w:b w:val="0"/>
                <w:sz w:val="11"/>
              </w:rPr>
              <w:t>Executive sponsor assigned; governance team assigned; budget allocated; success criteria agreed</w:t>
            </w:r>
          </w:p>
        </w:tc>
        <w:tc>
          <w:tcPr>
            <w:tcW w:type="dxa" w:w="3600"/>
            <w:vAlign w:val="top"/>
          </w:tcPr>
          <w:p>
            <w:pPr>
              <w:spacing w:after="0"/>
              <w:jc w:val="left"/>
            </w:pPr>
            <w:r>
              <w:rPr>
                <w:rFonts w:ascii="Arial" w:hAnsi="Arial"/>
                <w:b w:val="0"/>
                <w:sz w:val="11"/>
              </w:rPr>
              <w:t>No executive sponsor; no governance team; no budget; no success criteria</w:t>
            </w:r>
          </w:p>
        </w:tc>
      </w:tr>
      <w:tr>
        <w:trPr>
          <w:cantSplit/>
        </w:trPr>
        <w:tc>
          <w:tcPr>
            <w:tcW w:type="dxa" w:w="3600"/>
            <w:vAlign w:val="top"/>
          </w:tcPr>
          <w:p>
            <w:pPr>
              <w:spacing w:after="0"/>
              <w:jc w:val="left"/>
            </w:pPr>
            <w:r>
              <w:rPr>
                <w:rFonts w:ascii="Arial" w:hAnsi="Arial"/>
                <w:b w:val="0"/>
                <w:sz w:val="11"/>
              </w:rPr>
              <w:t>Failure scenario relevance</w:t>
            </w:r>
          </w:p>
        </w:tc>
        <w:tc>
          <w:tcPr>
            <w:tcW w:type="dxa" w:w="3600"/>
            <w:vAlign w:val="top"/>
          </w:tcPr>
          <w:p>
            <w:pPr>
              <w:spacing w:after="0"/>
              <w:jc w:val="left"/>
            </w:pPr>
            <w:r>
              <w:rPr>
                <w:rFonts w:ascii="Arial" w:hAnsi="Arial"/>
                <w:b w:val="0"/>
                <w:sz w:val="11"/>
              </w:rPr>
              <w:t>Pilot should address one or more enterprise failure scenarios from Chapter 15</w:t>
            </w:r>
          </w:p>
        </w:tc>
        <w:tc>
          <w:tcPr>
            <w:tcW w:type="dxa" w:w="3600"/>
            <w:vAlign w:val="top"/>
          </w:tcPr>
          <w:p>
            <w:pPr>
              <w:spacing w:after="0"/>
              <w:jc w:val="left"/>
            </w:pPr>
            <w:r>
              <w:rPr>
                <w:rFonts w:ascii="Arial" w:hAnsi="Arial"/>
                <w:b w:val="0"/>
                <w:sz w:val="11"/>
              </w:rPr>
              <w:t>Pilot addresses authority boundary failure, evidence chain failure, accepted outcome failure, or other Chapter 15 scenario</w:t>
            </w:r>
          </w:p>
        </w:tc>
        <w:tc>
          <w:tcPr>
            <w:tcW w:type="dxa" w:w="3600"/>
            <w:vAlign w:val="top"/>
          </w:tcPr>
          <w:p>
            <w:pPr>
              <w:spacing w:after="0"/>
              <w:jc w:val="left"/>
            </w:pPr>
            <w:r>
              <w:rPr>
                <w:rFonts w:ascii="Arial" w:hAnsi="Arial"/>
                <w:b w:val="0"/>
                <w:sz w:val="11"/>
              </w:rPr>
              <w:t>Pilot does not address any Chapter 15 scenario; no clear failure mode to prevent</w:t>
            </w:r>
          </w:p>
        </w:tc>
      </w:tr>
      <w:tr>
        <w:trPr>
          <w:cantSplit/>
        </w:trPr>
        <w:tc>
          <w:tcPr>
            <w:tcW w:type="dxa" w:w="3600"/>
            <w:vAlign w:val="top"/>
          </w:tcPr>
          <w:p>
            <w:pPr>
              <w:spacing w:after="0"/>
              <w:jc w:val="left"/>
            </w:pPr>
            <w:r>
              <w:rPr>
                <w:rFonts w:ascii="Arial" w:hAnsi="Arial"/>
                <w:b w:val="0"/>
                <w:sz w:val="11"/>
              </w:rPr>
              <w:t>Integration opportunity</w:t>
            </w:r>
          </w:p>
        </w:tc>
        <w:tc>
          <w:tcPr>
            <w:tcW w:type="dxa" w:w="3600"/>
            <w:vAlign w:val="top"/>
          </w:tcPr>
          <w:p>
            <w:pPr>
              <w:spacing w:after="0"/>
              <w:jc w:val="left"/>
            </w:pPr>
            <w:r>
              <w:rPr>
                <w:rFonts w:ascii="Arial" w:hAnsi="Arial"/>
                <w:b w:val="0"/>
                <w:sz w:val="11"/>
              </w:rPr>
              <w:t>Pilot should integrate with existing enterprise controls to demonstrate scalability</w:t>
            </w:r>
          </w:p>
        </w:tc>
        <w:tc>
          <w:tcPr>
            <w:tcW w:type="dxa" w:w="3600"/>
            <w:vAlign w:val="top"/>
          </w:tcPr>
          <w:p>
            <w:pPr>
              <w:spacing w:after="0"/>
              <w:jc w:val="left"/>
            </w:pPr>
            <w:r>
              <w:rPr>
                <w:rFonts w:ascii="Arial" w:hAnsi="Arial"/>
                <w:b w:val="0"/>
                <w:sz w:val="11"/>
              </w:rPr>
              <w:t>Pilot integrates with existing audit, privacy, security, or procurement controls; evidence artifacts align with existing control frameworks</w:t>
            </w:r>
          </w:p>
        </w:tc>
        <w:tc>
          <w:tcPr>
            <w:tcW w:type="dxa" w:w="3600"/>
            <w:vAlign w:val="top"/>
          </w:tcPr>
          <w:p>
            <w:pPr>
              <w:spacing w:after="0"/>
              <w:jc w:val="left"/>
            </w:pPr>
            <w:r>
              <w:rPr>
                <w:rFonts w:ascii="Arial" w:hAnsi="Arial"/>
                <w:b w:val="0"/>
                <w:sz w:val="11"/>
              </w:rPr>
              <w:t>Pilot is isolated from existing enterprise controls; no integration opportunity; evidence artifacts do not align with existing control frameworks</w:t>
            </w:r>
          </w:p>
        </w:tc>
      </w:tr>
      <w:tr>
        <w:trPr>
          <w:cantSplit/>
        </w:trPr>
        <w:tc>
          <w:tcPr>
            <w:tcW w:type="dxa" w:w="3600"/>
            <w:vAlign w:val="top"/>
          </w:tcPr>
          <w:p>
            <w:pPr>
              <w:spacing w:after="0"/>
              <w:jc w:val="left"/>
            </w:pPr>
            <w:r>
              <w:rPr>
                <w:rFonts w:ascii="Arial" w:hAnsi="Arial"/>
                <w:b w:val="0"/>
                <w:sz w:val="11"/>
              </w:rPr>
              <w:t>Rollback capability</w:t>
            </w:r>
          </w:p>
        </w:tc>
        <w:tc>
          <w:tcPr>
            <w:tcW w:type="dxa" w:w="3600"/>
            <w:vAlign w:val="top"/>
          </w:tcPr>
          <w:p>
            <w:pPr>
              <w:spacing w:after="0"/>
              <w:jc w:val="left"/>
            </w:pPr>
            <w:r>
              <w:rPr>
                <w:rFonts w:ascii="Arial" w:hAnsi="Arial"/>
                <w:b w:val="0"/>
                <w:sz w:val="11"/>
              </w:rPr>
              <w:t>Pilot should have rollback capability to manage risk</w:t>
            </w:r>
          </w:p>
        </w:tc>
        <w:tc>
          <w:tcPr>
            <w:tcW w:type="dxa" w:w="3600"/>
            <w:vAlign w:val="top"/>
          </w:tcPr>
          <w:p>
            <w:pPr>
              <w:spacing w:after="0"/>
              <w:jc w:val="left"/>
            </w:pPr>
            <w:r>
              <w:rPr>
                <w:rFonts w:ascii="Arial" w:hAnsi="Arial"/>
                <w:b w:val="0"/>
                <w:sz w:val="11"/>
              </w:rPr>
              <w:t>Pilot can be rolled back without customer impact; pilot can be paused without operational disruption</w:t>
            </w:r>
          </w:p>
        </w:tc>
        <w:tc>
          <w:tcPr>
            <w:tcW w:type="dxa" w:w="3600"/>
            <w:vAlign w:val="top"/>
          </w:tcPr>
          <w:p>
            <w:pPr>
              <w:spacing w:after="0"/>
              <w:jc w:val="left"/>
            </w:pPr>
            <w:r>
              <w:rPr>
                <w:rFonts w:ascii="Arial" w:hAnsi="Arial"/>
                <w:b w:val="0"/>
                <w:sz w:val="11"/>
              </w:rPr>
              <w:t>Pilot cannot be rolled back; pilot is mission-critical; pilot has irreversible customer impact</w:t>
            </w:r>
          </w:p>
        </w:tc>
      </w:tr>
    </w:tbl>
    <w:p>
      <w:pPr>
        <w:sectPr>
          <w:pgSz w:w="15840" w:h="12240" w:orient="landscape"/>
          <w:pgMar w:top="792" w:right="648" w:bottom="792" w:left="648" w:header="720" w:footer="720" w:gutter="0"/>
          <w:cols w:space="720"/>
          <w:docGrid w:linePitch="360"/>
        </w:sectPr>
      </w:pPr>
    </w:p>
    <w:p/>
    <w:p>
      <w:r>
        <w:t>Interpretation: Pilot selection criteria help enterprises choose projects that maximize learning and minimize risk. Good pilots are bounded, measurable, regulated, sponsored, relevant to failure scenarios, integrated with existing controls, and rollback-capable.</w:t>
      </w:r>
    </w:p>
    <w:p/>
    <w:p/>
    <w:p>
      <w:pPr>
        <w:pStyle w:val="Heading2"/>
      </w:pPr>
      <w:r>
        <w:t>17.3 Integration with Existing Enterprise Controls</w:t>
      </w:r>
    </w:p>
    <w:p/>
    <w:p>
      <w:r>
        <w:t>Lifecycle governance should integrate with existing enterprise controls, not replace them. The following table maps existing enterprise controls to lifecycle governance extensions.</w:t>
      </w:r>
    </w:p>
    <w:p/>
    <w:p>
      <w:pPr>
        <w:keepNext/>
      </w:pPr>
      <w:r>
        <w:rPr>
          <w:b/>
          <w:sz w:val="17"/>
        </w:rPr>
        <w:t>Table T-17-03: Existing Enterprise Control Integration</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3600"/>
            <w:vAlign w:val="top"/>
            <w:shd w:fill="D9EAF7"/>
          </w:tcPr>
          <w:p>
            <w:pPr>
              <w:spacing w:after="0"/>
              <w:jc w:val="left"/>
            </w:pPr>
            <w:r>
              <w:rPr>
                <w:rFonts w:ascii="Arial" w:hAnsi="Arial"/>
                <w:b/>
                <w:sz w:val="11"/>
              </w:rPr>
              <w:t>Existing Control</w:t>
            </w:r>
          </w:p>
        </w:tc>
        <w:tc>
          <w:tcPr>
            <w:tcW w:type="dxa" w:w="3600"/>
            <w:vAlign w:val="top"/>
            <w:shd w:fill="D9EAF7"/>
          </w:tcPr>
          <w:p>
            <w:pPr>
              <w:spacing w:after="0"/>
              <w:jc w:val="left"/>
            </w:pPr>
            <w:r>
              <w:rPr>
                <w:rFonts w:ascii="Arial" w:hAnsi="Arial"/>
                <w:b/>
                <w:sz w:val="11"/>
              </w:rPr>
              <w:t>Lifecycle Governance Extension</w:t>
            </w:r>
          </w:p>
        </w:tc>
        <w:tc>
          <w:tcPr>
            <w:tcW w:type="dxa" w:w="3600"/>
            <w:vAlign w:val="top"/>
            <w:shd w:fill="D9EAF7"/>
          </w:tcPr>
          <w:p>
            <w:pPr>
              <w:spacing w:after="0"/>
              <w:jc w:val="left"/>
            </w:pPr>
            <w:r>
              <w:rPr>
                <w:rFonts w:ascii="Arial" w:hAnsi="Arial"/>
                <w:b/>
                <w:sz w:val="11"/>
              </w:rPr>
              <w:t>Relevant Object</w:t>
            </w:r>
          </w:p>
        </w:tc>
        <w:tc>
          <w:tcPr>
            <w:tcW w:type="dxa" w:w="3600"/>
            <w:vAlign w:val="top"/>
            <w:shd w:fill="D9EAF7"/>
          </w:tcPr>
          <w:p>
            <w:pPr>
              <w:spacing w:after="0"/>
              <w:jc w:val="left"/>
            </w:pPr>
            <w:r>
              <w:rPr>
                <w:rFonts w:ascii="Arial" w:hAnsi="Arial"/>
                <w:b/>
                <w:sz w:val="11"/>
              </w:rPr>
              <w:t>Evidence Artifact</w:t>
            </w:r>
          </w:p>
        </w:tc>
      </w:tr>
      <w:tr>
        <w:trPr>
          <w:cantSplit/>
        </w:trPr>
        <w:tc>
          <w:tcPr>
            <w:tcW w:type="dxa" w:w="3600"/>
            <w:vAlign w:val="top"/>
          </w:tcPr>
          <w:p>
            <w:pPr>
              <w:spacing w:after="0"/>
              <w:jc w:val="left"/>
            </w:pPr>
            <w:r>
              <w:rPr>
                <w:rFonts w:ascii="Arial" w:hAnsi="Arial"/>
                <w:b w:val="0"/>
                <w:sz w:val="11"/>
              </w:rPr>
              <w:t>Internal Audit</w:t>
            </w:r>
          </w:p>
        </w:tc>
        <w:tc>
          <w:tcPr>
            <w:tcW w:type="dxa" w:w="3600"/>
            <w:vAlign w:val="top"/>
          </w:tcPr>
          <w:p>
            <w:pPr>
              <w:spacing w:after="0"/>
              <w:jc w:val="left"/>
            </w:pPr>
            <w:r>
              <w:rPr>
                <w:rFonts w:ascii="Arial" w:hAnsi="Arial"/>
                <w:b w:val="0"/>
                <w:sz w:val="11"/>
              </w:rPr>
              <w:t>Extend audit scope to include lifecycle responsibility objects; add evidence partitioning and selective disclosure capability</w:t>
            </w:r>
          </w:p>
        </w:tc>
        <w:tc>
          <w:tcPr>
            <w:tcW w:type="dxa" w:w="3600"/>
            <w:vAlign w:val="top"/>
          </w:tcPr>
          <w:p>
            <w:pPr>
              <w:spacing w:after="0"/>
              <w:jc w:val="left"/>
            </w:pPr>
            <w:r>
              <w:rPr>
                <w:rFonts w:ascii="Arial" w:hAnsi="Arial"/>
                <w:b w:val="0"/>
                <w:sz w:val="11"/>
              </w:rPr>
              <w:t>MRO-08: MAS Evidence Partitioning; MRO-11: Privacy-Preserving Third-Party Validation; MRO-12: Evidence Minimization and Selective Disclosure</w:t>
            </w:r>
          </w:p>
        </w:tc>
        <w:tc>
          <w:tcPr>
            <w:tcW w:type="dxa" w:w="3600"/>
            <w:vAlign w:val="top"/>
          </w:tcPr>
          <w:p>
            <w:pPr>
              <w:spacing w:after="0"/>
              <w:jc w:val="left"/>
            </w:pPr>
            <w:r>
              <w:rPr>
                <w:rFonts w:ascii="Arial" w:hAnsi="Arial"/>
                <w:b w:val="0"/>
                <w:sz w:val="11"/>
              </w:rPr>
              <w:t>Partitioned evidence chains; evidence export logs; selective disclosure records; audit trail for lifecycle responsibility objects</w:t>
            </w:r>
          </w:p>
        </w:tc>
      </w:tr>
      <w:tr>
        <w:trPr>
          <w:cantSplit/>
        </w:trPr>
        <w:tc>
          <w:tcPr>
            <w:tcW w:type="dxa" w:w="3600"/>
            <w:vAlign w:val="top"/>
          </w:tcPr>
          <w:p>
            <w:pPr>
              <w:spacing w:after="0"/>
              <w:jc w:val="left"/>
            </w:pPr>
            <w:r>
              <w:rPr>
                <w:rFonts w:ascii="Arial" w:hAnsi="Arial"/>
                <w:b w:val="0"/>
                <w:sz w:val="11"/>
              </w:rPr>
              <w:t>Privacy / Data Governance</w:t>
            </w:r>
          </w:p>
        </w:tc>
        <w:tc>
          <w:tcPr>
            <w:tcW w:type="dxa" w:w="3600"/>
            <w:vAlign w:val="top"/>
          </w:tcPr>
          <w:p>
            <w:pPr>
              <w:spacing w:after="0"/>
              <w:jc w:val="left"/>
            </w:pPr>
            <w:r>
              <w:rPr>
                <w:rFonts w:ascii="Arial" w:hAnsi="Arial"/>
                <w:b w:val="0"/>
                <w:sz w:val="11"/>
              </w:rPr>
              <w:t>Extend privacy controls to include agentic lifecycle surfaces; map data subject rights to evidence retention; implement privacy-preserving validation</w:t>
            </w:r>
          </w:p>
        </w:tc>
        <w:tc>
          <w:tcPr>
            <w:tcW w:type="dxa" w:w="3600"/>
            <w:vAlign w:val="top"/>
          </w:tcPr>
          <w:p>
            <w:pPr>
              <w:spacing w:after="0"/>
              <w:jc w:val="left"/>
            </w:pPr>
            <w:r>
              <w:rPr>
                <w:rFonts w:ascii="Arial" w:hAnsi="Arial"/>
                <w:b w:val="0"/>
                <w:sz w:val="11"/>
              </w:rPr>
              <w:t>MRO-10: Privacy/GDPR Lifecycle Mapping; MRO-11: Privacy-Preserving Third-Party Validation; MRO-13: Data Subject Rights vs Evidence Retention</w:t>
            </w:r>
          </w:p>
        </w:tc>
        <w:tc>
          <w:tcPr>
            <w:tcW w:type="dxa" w:w="3600"/>
            <w:vAlign w:val="top"/>
          </w:tcPr>
          <w:p>
            <w:pPr>
              <w:spacing w:after="0"/>
              <w:jc w:val="left"/>
            </w:pPr>
            <w:r>
              <w:rPr>
                <w:rFonts w:ascii="Arial" w:hAnsi="Arial"/>
                <w:b w:val="0"/>
                <w:sz w:val="11"/>
              </w:rPr>
              <w:t>Data flow records; retention policy records; data subject rights workflow records; privacy-preserving validation protocol records</w:t>
            </w:r>
          </w:p>
        </w:tc>
      </w:tr>
      <w:tr>
        <w:trPr>
          <w:cantSplit/>
        </w:trPr>
        <w:tc>
          <w:tcPr>
            <w:tcW w:type="dxa" w:w="3600"/>
            <w:vAlign w:val="top"/>
          </w:tcPr>
          <w:p>
            <w:pPr>
              <w:spacing w:after="0"/>
              <w:jc w:val="left"/>
            </w:pPr>
            <w:r>
              <w:rPr>
                <w:rFonts w:ascii="Arial" w:hAnsi="Arial"/>
                <w:b w:val="0"/>
                <w:sz w:val="11"/>
              </w:rPr>
              <w:t>Security / Access Management</w:t>
            </w:r>
          </w:p>
        </w:tc>
        <w:tc>
          <w:tcPr>
            <w:tcW w:type="dxa" w:w="3600"/>
            <w:vAlign w:val="top"/>
          </w:tcPr>
          <w:p>
            <w:pPr>
              <w:spacing w:after="0"/>
              <w:jc w:val="left"/>
            </w:pPr>
            <w:r>
              <w:rPr>
                <w:rFonts w:ascii="Arial" w:hAnsi="Arial"/>
                <w:b w:val="0"/>
                <w:sz w:val="11"/>
              </w:rPr>
              <w:t>Extend access controls to include delegated authority boundaries; implement authority drift detection; add tool-action authorization</w:t>
            </w:r>
          </w:p>
        </w:tc>
        <w:tc>
          <w:tcPr>
            <w:tcW w:type="dxa" w:w="3600"/>
            <w:vAlign w:val="top"/>
          </w:tcPr>
          <w:p>
            <w:pPr>
              <w:spacing w:after="0"/>
              <w:jc w:val="left"/>
            </w:pPr>
            <w:r>
              <w:rPr>
                <w:rFonts w:ascii="Arial" w:hAnsi="Arial"/>
                <w:b w:val="0"/>
                <w:sz w:val="11"/>
              </w:rPr>
              <w:t>MRO-02: Delegated Authority Boundary; MRO-05: Tool-Action Liability Boundary; MRO-07: Authority Drift</w:t>
            </w:r>
          </w:p>
        </w:tc>
        <w:tc>
          <w:tcPr>
            <w:tcW w:type="dxa" w:w="3600"/>
            <w:vAlign w:val="top"/>
          </w:tcPr>
          <w:p>
            <w:pPr>
              <w:spacing w:after="0"/>
              <w:jc w:val="left"/>
            </w:pPr>
            <w:r>
              <w:rPr>
                <w:rFonts w:ascii="Arial" w:hAnsi="Arial"/>
                <w:b w:val="0"/>
                <w:sz w:val="11"/>
              </w:rPr>
              <w:t>Authority grant records; tool-action authorization records; boundary violation alerts; drift detection logs</w:t>
            </w:r>
          </w:p>
        </w:tc>
      </w:tr>
      <w:tr>
        <w:trPr>
          <w:cantSplit/>
        </w:trPr>
        <w:tc>
          <w:tcPr>
            <w:tcW w:type="dxa" w:w="3600"/>
            <w:vAlign w:val="top"/>
          </w:tcPr>
          <w:p>
            <w:pPr>
              <w:spacing w:after="0"/>
              <w:jc w:val="left"/>
            </w:pPr>
            <w:r>
              <w:rPr>
                <w:rFonts w:ascii="Arial" w:hAnsi="Arial"/>
                <w:b w:val="0"/>
                <w:sz w:val="11"/>
              </w:rPr>
              <w:t>Procurement / Vendor Management</w:t>
            </w:r>
          </w:p>
        </w:tc>
        <w:tc>
          <w:tcPr>
            <w:tcW w:type="dxa" w:w="3600"/>
            <w:vAlign w:val="top"/>
          </w:tcPr>
          <w:p>
            <w:pPr>
              <w:spacing w:after="0"/>
              <w:jc w:val="left"/>
            </w:pPr>
            <w:r>
              <w:rPr>
                <w:rFonts w:ascii="Arial" w:hAnsi="Arial"/>
                <w:b w:val="0"/>
                <w:sz w:val="11"/>
              </w:rPr>
              <w:t>Extend vendor management to include processor/subprocessor chain mapping; add vendor/runtime substitution conformance validation</w:t>
            </w:r>
          </w:p>
        </w:tc>
        <w:tc>
          <w:tcPr>
            <w:tcW w:type="dxa" w:w="3600"/>
            <w:vAlign w:val="top"/>
          </w:tcPr>
          <w:p>
            <w:pPr>
              <w:spacing w:after="0"/>
              <w:jc w:val="left"/>
            </w:pPr>
            <w:r>
              <w:rPr>
                <w:rFonts w:ascii="Arial" w:hAnsi="Arial"/>
                <w:b w:val="0"/>
                <w:sz w:val="11"/>
              </w:rPr>
              <w:t>MRO-14: Third-Party Processor/Subprocessor Chain; MRO-15: Vendor/Model/Runtime Substitution Conformance</w:t>
            </w:r>
          </w:p>
        </w:tc>
        <w:tc>
          <w:tcPr>
            <w:tcW w:type="dxa" w:w="3600"/>
            <w:vAlign w:val="top"/>
          </w:tcPr>
          <w:p>
            <w:pPr>
              <w:spacing w:after="0"/>
              <w:jc w:val="left"/>
            </w:pPr>
            <w:r>
              <w:rPr>
                <w:rFonts w:ascii="Arial" w:hAnsi="Arial"/>
                <w:b w:val="0"/>
                <w:sz w:val="11"/>
              </w:rPr>
              <w:t>Processor agreements; subprocessor chain records; substitution records; conformance validation records</w:t>
            </w:r>
          </w:p>
        </w:tc>
      </w:tr>
      <w:tr>
        <w:trPr>
          <w:cantSplit/>
        </w:trPr>
        <w:tc>
          <w:tcPr>
            <w:tcW w:type="dxa" w:w="3600"/>
            <w:vAlign w:val="top"/>
          </w:tcPr>
          <w:p>
            <w:pPr>
              <w:spacing w:after="0"/>
              <w:jc w:val="left"/>
            </w:pPr>
            <w:r>
              <w:rPr>
                <w:rFonts w:ascii="Arial" w:hAnsi="Arial"/>
                <w:b w:val="0"/>
                <w:sz w:val="11"/>
              </w:rPr>
              <w:t>Incident Response</w:t>
            </w:r>
          </w:p>
        </w:tc>
        <w:tc>
          <w:tcPr>
            <w:tcW w:type="dxa" w:w="3600"/>
            <w:vAlign w:val="top"/>
          </w:tcPr>
          <w:p>
            <w:pPr>
              <w:spacing w:after="0"/>
              <w:jc w:val="left"/>
            </w:pPr>
            <w:r>
              <w:rPr>
                <w:rFonts w:ascii="Arial" w:hAnsi="Arial"/>
                <w:b w:val="0"/>
                <w:sz w:val="11"/>
              </w:rPr>
              <w:t>Extend incident response to include lifecycle-specific incident types; add incident/dispute/remediation closure workflow</w:t>
            </w:r>
          </w:p>
        </w:tc>
        <w:tc>
          <w:tcPr>
            <w:tcW w:type="dxa" w:w="3600"/>
            <w:vAlign w:val="top"/>
          </w:tcPr>
          <w:p>
            <w:pPr>
              <w:spacing w:after="0"/>
              <w:jc w:val="left"/>
            </w:pPr>
            <w:r>
              <w:rPr>
                <w:rFonts w:ascii="Arial" w:hAnsi="Arial"/>
                <w:b w:val="0"/>
                <w:sz w:val="11"/>
              </w:rPr>
              <w:t>MRO-16: Incident, Dispute, and Remediation Closure</w:t>
            </w:r>
          </w:p>
        </w:tc>
        <w:tc>
          <w:tcPr>
            <w:tcW w:type="dxa" w:w="3600"/>
            <w:vAlign w:val="top"/>
          </w:tcPr>
          <w:p>
            <w:pPr>
              <w:spacing w:after="0"/>
              <w:jc w:val="left"/>
            </w:pPr>
            <w:r>
              <w:rPr>
                <w:rFonts w:ascii="Arial" w:hAnsi="Arial"/>
                <w:b w:val="0"/>
                <w:sz w:val="11"/>
              </w:rPr>
              <w:t>Incident records; affected outcome records; remediation records; closure acceptance records; customer impact assessment records</w:t>
            </w:r>
          </w:p>
        </w:tc>
      </w:tr>
      <w:tr>
        <w:trPr>
          <w:cantSplit/>
        </w:trPr>
        <w:tc>
          <w:tcPr>
            <w:tcW w:type="dxa" w:w="3600"/>
            <w:vAlign w:val="top"/>
          </w:tcPr>
          <w:p>
            <w:pPr>
              <w:spacing w:after="0"/>
              <w:jc w:val="left"/>
            </w:pPr>
            <w:r>
              <w:rPr>
                <w:rFonts w:ascii="Arial" w:hAnsi="Arial"/>
                <w:b w:val="0"/>
                <w:sz w:val="11"/>
              </w:rPr>
              <w:t>Compliance / Regulatory Reporting</w:t>
            </w:r>
          </w:p>
        </w:tc>
        <w:tc>
          <w:tcPr>
            <w:tcW w:type="dxa" w:w="3600"/>
            <w:vAlign w:val="top"/>
          </w:tcPr>
          <w:p>
            <w:pPr>
              <w:spacing w:after="0"/>
              <w:jc w:val="left"/>
            </w:pPr>
            <w:r>
              <w:rPr>
                <w:rFonts w:ascii="Arial" w:hAnsi="Arial"/>
                <w:b w:val="0"/>
                <w:sz w:val="11"/>
              </w:rPr>
              <w:t>Extend compliance reporting to include lifecycle responsibility objects; add RCCS/ALCS as analytical tools (not legal scores)</w:t>
            </w:r>
          </w:p>
        </w:tc>
        <w:tc>
          <w:tcPr>
            <w:tcW w:type="dxa" w:w="3600"/>
            <w:vAlign w:val="top"/>
          </w:tcPr>
          <w:p>
            <w:pPr>
              <w:spacing w:after="0"/>
              <w:jc w:val="left"/>
            </w:pPr>
            <w:r>
              <w:rPr>
                <w:rFonts w:ascii="Arial" w:hAnsi="Arial"/>
                <w:b w:val="0"/>
                <w:sz w:val="11"/>
              </w:rPr>
              <w:t>MRO-01: Human Role to MAS Responsibility Mapping; MRO-04: Accepted Outcome Compliance</w:t>
            </w:r>
          </w:p>
        </w:tc>
        <w:tc>
          <w:tcPr>
            <w:tcW w:type="dxa" w:w="3600"/>
            <w:vAlign w:val="top"/>
          </w:tcPr>
          <w:p>
            <w:pPr>
              <w:spacing w:after="0"/>
              <w:jc w:val="left"/>
            </w:pPr>
            <w:r>
              <w:rPr>
                <w:rFonts w:ascii="Arial" w:hAnsi="Arial"/>
                <w:b w:val="0"/>
                <w:sz w:val="11"/>
              </w:rPr>
              <w:t>Role assignment records; acceptance records; review records; escalation records; RCCS/ALCS analytical reports (not legal compliance scores)</w:t>
            </w:r>
          </w:p>
        </w:tc>
      </w:tr>
      <w:tr>
        <w:trPr>
          <w:cantSplit/>
        </w:trPr>
        <w:tc>
          <w:tcPr>
            <w:tcW w:type="dxa" w:w="3600"/>
            <w:vAlign w:val="top"/>
          </w:tcPr>
          <w:p>
            <w:pPr>
              <w:spacing w:after="0"/>
              <w:jc w:val="left"/>
            </w:pPr>
            <w:r>
              <w:rPr>
                <w:rFonts w:ascii="Arial" w:hAnsi="Arial"/>
                <w:b w:val="0"/>
                <w:sz w:val="11"/>
              </w:rPr>
              <w:t>Model Risk Management</w:t>
            </w:r>
          </w:p>
        </w:tc>
        <w:tc>
          <w:tcPr>
            <w:tcW w:type="dxa" w:w="3600"/>
            <w:vAlign w:val="top"/>
          </w:tcPr>
          <w:p>
            <w:pPr>
              <w:spacing w:after="0"/>
              <w:jc w:val="left"/>
            </w:pPr>
            <w:r>
              <w:rPr>
                <w:rFonts w:ascii="Arial" w:hAnsi="Arial"/>
                <w:b w:val="0"/>
                <w:sz w:val="11"/>
              </w:rPr>
              <w:t>Extend model risk management to include lifecycle risk; add authority-transition influence monitoring; add model substitution conformance</w:t>
            </w:r>
          </w:p>
        </w:tc>
        <w:tc>
          <w:tcPr>
            <w:tcW w:type="dxa" w:w="3600"/>
            <w:vAlign w:val="top"/>
          </w:tcPr>
          <w:p>
            <w:pPr>
              <w:spacing w:after="0"/>
              <w:jc w:val="left"/>
            </w:pPr>
            <w:r>
              <w:rPr>
                <w:rFonts w:ascii="Arial" w:hAnsi="Arial"/>
                <w:b w:val="0"/>
                <w:sz w:val="11"/>
              </w:rPr>
              <w:t>MRO-07: Authority Drift; MRO-15: Vendor/Model/Runtime Substitution Conformance</w:t>
            </w:r>
          </w:p>
        </w:tc>
        <w:tc>
          <w:tcPr>
            <w:tcW w:type="dxa" w:w="3600"/>
            <w:vAlign w:val="top"/>
          </w:tcPr>
          <w:p>
            <w:pPr>
              <w:spacing w:after="0"/>
              <w:jc w:val="left"/>
            </w:pPr>
            <w:r>
              <w:rPr>
                <w:rFonts w:ascii="Arial" w:hAnsi="Arial"/>
                <w:b w:val="0"/>
                <w:sz w:val="11"/>
              </w:rPr>
              <w:t>Model inventory; model version records; authority baseline records; drift detection logs; substitution conformance validation records</w:t>
            </w:r>
          </w:p>
        </w:tc>
      </w:tr>
      <w:tr>
        <w:trPr>
          <w:cantSplit/>
        </w:trPr>
        <w:tc>
          <w:tcPr>
            <w:tcW w:type="dxa" w:w="3600"/>
            <w:vAlign w:val="top"/>
          </w:tcPr>
          <w:p>
            <w:pPr>
              <w:spacing w:after="0"/>
              <w:jc w:val="left"/>
            </w:pPr>
            <w:r>
              <w:rPr>
                <w:rFonts w:ascii="Arial" w:hAnsi="Arial"/>
                <w:b w:val="0"/>
                <w:sz w:val="11"/>
              </w:rPr>
              <w:t>Business Continuity / Rollback</w:t>
            </w:r>
          </w:p>
        </w:tc>
        <w:tc>
          <w:tcPr>
            <w:tcW w:type="dxa" w:w="3600"/>
            <w:vAlign w:val="top"/>
          </w:tcPr>
          <w:p>
            <w:pPr>
              <w:spacing w:after="0"/>
              <w:jc w:val="left"/>
            </w:pPr>
            <w:r>
              <w:rPr>
                <w:rFonts w:ascii="Arial" w:hAnsi="Arial"/>
                <w:b w:val="0"/>
                <w:sz w:val="11"/>
              </w:rPr>
              <w:t>Extend business continuity to include agentic workflow rollback; add cross-project reuse compliance; add context boundary validation</w:t>
            </w:r>
          </w:p>
        </w:tc>
        <w:tc>
          <w:tcPr>
            <w:tcW w:type="dxa" w:w="3600"/>
            <w:vAlign w:val="top"/>
          </w:tcPr>
          <w:p>
            <w:pPr>
              <w:spacing w:after="0"/>
              <w:jc w:val="left"/>
            </w:pPr>
            <w:r>
              <w:rPr>
                <w:rFonts w:ascii="Arial" w:hAnsi="Arial"/>
                <w:b w:val="0"/>
                <w:sz w:val="11"/>
              </w:rPr>
              <w:t>MRO-09: Cross-Project Reuse Compliance</w:t>
            </w:r>
          </w:p>
        </w:tc>
        <w:tc>
          <w:tcPr>
            <w:tcW w:type="dxa" w:w="3600"/>
            <w:vAlign w:val="top"/>
          </w:tcPr>
          <w:p>
            <w:pPr>
              <w:spacing w:after="0"/>
              <w:jc w:val="left"/>
            </w:pPr>
            <w:r>
              <w:rPr>
                <w:rFonts w:ascii="Arial" w:hAnsi="Arial"/>
                <w:b w:val="0"/>
                <w:sz w:val="11"/>
              </w:rPr>
              <w:t>Reuse records; reset validation records; reauthorization records; context boundary records; rollback capability validation records</w:t>
            </w:r>
          </w:p>
        </w:tc>
      </w:tr>
    </w:tbl>
    <w:p>
      <w:pPr>
        <w:sectPr>
          <w:pgSz w:w="12240" w:h="15840" w:orient="landscape"/>
          <w:pgMar w:top="792" w:right="648" w:bottom="792" w:left="648" w:header="720" w:footer="720" w:gutter="0"/>
          <w:cols w:space="720"/>
          <w:docGrid w:linePitch="360"/>
        </w:sectPr>
      </w:pPr>
    </w:p>
    <w:p/>
    <w:p>
      <w:r>
        <w:t>Interpretation: Lifecycle governance extends existing enterprise controls rather than replacing them. Integration ensures that lifecycle responsibility objects align with existing control frameworks and evidence artifacts.</w:t>
      </w:r>
    </w:p>
    <w:p/>
    <w:p/>
    <w:p>
      <w:pPr>
        <w:pStyle w:val="Heading2"/>
      </w:pPr>
      <w:r>
        <w:t>17.4 Operationalizing Lifecycle Responsibility Objects</w:t>
      </w:r>
    </w:p>
    <w:p/>
    <w:p>
      <w:r>
        <w:t>Enterprises should operationalize lifecycle responsibility objects in stages. The following table defines a Stage 0-to-7 roadmap.</w:t>
      </w:r>
    </w:p>
    <w:p/>
    <w:p>
      <w:pPr>
        <w:keepNext/>
      </w:pPr>
      <w:r>
        <w:rPr>
          <w:b/>
          <w:sz w:val="17"/>
        </w:rPr>
        <w:t>Table T-17-04: Adoption Roadmap by Stage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1"/>
              </w:rPr>
              <w:t>Stage</w:t>
            </w:r>
          </w:p>
        </w:tc>
        <w:tc>
          <w:tcPr>
            <w:tcW w:type="dxa" w:w="2880"/>
            <w:vAlign w:val="top"/>
            <w:shd w:fill="D9EAF7"/>
          </w:tcPr>
          <w:p>
            <w:pPr>
              <w:spacing w:after="0"/>
              <w:jc w:val="left"/>
            </w:pPr>
            <w:r>
              <w:rPr>
                <w:rFonts w:ascii="Arial" w:hAnsi="Arial"/>
                <w:b/>
                <w:sz w:val="11"/>
              </w:rPr>
              <w:t>Goal</w:t>
            </w:r>
          </w:p>
        </w:tc>
        <w:tc>
          <w:tcPr>
            <w:tcW w:type="dxa" w:w="2880"/>
            <w:vAlign w:val="top"/>
            <w:shd w:fill="D9EAF7"/>
          </w:tcPr>
          <w:p>
            <w:pPr>
              <w:spacing w:after="0"/>
              <w:jc w:val="left"/>
            </w:pPr>
            <w:r>
              <w:rPr>
                <w:rFonts w:ascii="Arial" w:hAnsi="Arial"/>
                <w:b/>
                <w:sz w:val="11"/>
              </w:rPr>
              <w:t>Key Actions</w:t>
            </w:r>
          </w:p>
        </w:tc>
        <w:tc>
          <w:tcPr>
            <w:tcW w:type="dxa" w:w="2880"/>
            <w:vAlign w:val="top"/>
            <w:shd w:fill="D9EAF7"/>
          </w:tcPr>
          <w:p>
            <w:pPr>
              <w:spacing w:after="0"/>
              <w:jc w:val="left"/>
            </w:pPr>
            <w:r>
              <w:rPr>
                <w:rFonts w:ascii="Arial" w:hAnsi="Arial"/>
                <w:b/>
                <w:sz w:val="11"/>
              </w:rPr>
              <w:t>Output</w:t>
            </w:r>
          </w:p>
        </w:tc>
        <w:tc>
          <w:tcPr>
            <w:tcW w:type="dxa" w:w="2880"/>
            <w:vAlign w:val="top"/>
            <w:shd w:fill="D9EAF7"/>
          </w:tcPr>
          <w:p>
            <w:pPr>
              <w:spacing w:after="0"/>
              <w:jc w:val="left"/>
            </w:pPr>
            <w:r>
              <w:rPr>
                <w:rFonts w:ascii="Arial" w:hAnsi="Arial"/>
                <w:b/>
                <w:sz w:val="11"/>
              </w:rPr>
              <w:t>Success Indicator</w:t>
            </w:r>
          </w:p>
        </w:tc>
      </w:tr>
      <w:tr>
        <w:trPr>
          <w:cantSplit/>
        </w:trPr>
        <w:tc>
          <w:tcPr>
            <w:tcW w:type="dxa" w:w="2880"/>
            <w:vAlign w:val="top"/>
          </w:tcPr>
          <w:p>
            <w:pPr>
              <w:spacing w:after="0"/>
              <w:jc w:val="left"/>
            </w:pPr>
            <w:r>
              <w:rPr>
                <w:rFonts w:ascii="Arial" w:hAnsi="Arial"/>
                <w:b w:val="0"/>
                <w:sz w:val="11"/>
              </w:rPr>
              <w:t>Stage 0: Inventory</w:t>
            </w:r>
          </w:p>
        </w:tc>
        <w:tc>
          <w:tcPr>
            <w:tcW w:type="dxa" w:w="2880"/>
            <w:vAlign w:val="top"/>
          </w:tcPr>
          <w:p>
            <w:pPr>
              <w:spacing w:after="0"/>
              <w:jc w:val="left"/>
            </w:pPr>
            <w:r>
              <w:rPr>
                <w:rFonts w:ascii="Arial" w:hAnsi="Arial"/>
                <w:b w:val="0"/>
                <w:sz w:val="11"/>
              </w:rPr>
              <w:t>Inventory agentic behavior and identify lifecycle governance gaps</w:t>
            </w:r>
          </w:p>
        </w:tc>
        <w:tc>
          <w:tcPr>
            <w:tcW w:type="dxa" w:w="2880"/>
            <w:vAlign w:val="top"/>
          </w:tcPr>
          <w:p>
            <w:pPr>
              <w:spacing w:after="0"/>
              <w:jc w:val="left"/>
            </w:pPr>
            <w:r>
              <w:rPr>
                <w:rFonts w:ascii="Arial" w:hAnsi="Arial"/>
                <w:b w:val="0"/>
                <w:sz w:val="11"/>
              </w:rPr>
              <w:t>Identify where agents make decisions, use tools, or hand off work; assess whether model governance covers lifecycle responsibility; identify failure scenarios from Chapter 15 that apply</w:t>
            </w:r>
          </w:p>
        </w:tc>
        <w:tc>
          <w:tcPr>
            <w:tcW w:type="dxa" w:w="2880"/>
            <w:vAlign w:val="top"/>
          </w:tcPr>
          <w:p>
            <w:pPr>
              <w:spacing w:after="0"/>
              <w:jc w:val="left"/>
            </w:pPr>
            <w:r>
              <w:rPr>
                <w:rFonts w:ascii="Arial" w:hAnsi="Arial"/>
                <w:b w:val="0"/>
                <w:sz w:val="11"/>
              </w:rPr>
              <w:t>Agentic behavior inventory; lifecycle governance gap analysis; failure scenario risk assessment</w:t>
            </w:r>
          </w:p>
        </w:tc>
        <w:tc>
          <w:tcPr>
            <w:tcW w:type="dxa" w:w="2880"/>
            <w:vAlign w:val="top"/>
          </w:tcPr>
          <w:p>
            <w:pPr>
              <w:spacing w:after="0"/>
              <w:jc w:val="left"/>
            </w:pPr>
            <w:r>
              <w:rPr>
                <w:rFonts w:ascii="Arial" w:hAnsi="Arial"/>
                <w:b w:val="0"/>
                <w:sz w:val="11"/>
              </w:rPr>
              <w:t>Executive awareness of lifecycle governance gap; pilot project candidates identified</w:t>
            </w:r>
          </w:p>
        </w:tc>
      </w:tr>
      <w:tr>
        <w:trPr>
          <w:cantSplit/>
        </w:trPr>
        <w:tc>
          <w:tcPr>
            <w:tcW w:type="dxa" w:w="2880"/>
            <w:vAlign w:val="top"/>
          </w:tcPr>
          <w:p>
            <w:pPr>
              <w:spacing w:after="0"/>
              <w:jc w:val="left"/>
            </w:pPr>
            <w:r>
              <w:rPr>
                <w:rFonts w:ascii="Arial" w:hAnsi="Arial"/>
                <w:b w:val="0"/>
                <w:sz w:val="11"/>
              </w:rPr>
              <w:t>Stage 1: Authority</w:t>
            </w:r>
          </w:p>
        </w:tc>
        <w:tc>
          <w:tcPr>
            <w:tcW w:type="dxa" w:w="2880"/>
            <w:vAlign w:val="top"/>
          </w:tcPr>
          <w:p>
            <w:pPr>
              <w:spacing w:after="0"/>
              <w:jc w:val="left"/>
            </w:pPr>
            <w:r>
              <w:rPr>
                <w:rFonts w:ascii="Arial" w:hAnsi="Arial"/>
                <w:b w:val="0"/>
                <w:sz w:val="11"/>
              </w:rPr>
              <w:t>Define delegated authority boundaries and implement authority drift detection</w:t>
            </w:r>
          </w:p>
        </w:tc>
        <w:tc>
          <w:tcPr>
            <w:tcW w:type="dxa" w:w="2880"/>
            <w:vAlign w:val="top"/>
          </w:tcPr>
          <w:p>
            <w:pPr>
              <w:spacing w:after="0"/>
              <w:jc w:val="left"/>
            </w:pPr>
            <w:r>
              <w:rPr>
                <w:rFonts w:ascii="Arial" w:hAnsi="Arial"/>
                <w:b w:val="0"/>
                <w:sz w:val="11"/>
              </w:rPr>
              <w:t>Define authority grant records; implement tool-action authorization; add boundary violation alerts; implement drift detection monitoring</w:t>
            </w:r>
          </w:p>
        </w:tc>
        <w:tc>
          <w:tcPr>
            <w:tcW w:type="dxa" w:w="2880"/>
            <w:vAlign w:val="top"/>
          </w:tcPr>
          <w:p>
            <w:pPr>
              <w:spacing w:after="0"/>
              <w:jc w:val="left"/>
            </w:pPr>
            <w:r>
              <w:rPr>
                <w:rFonts w:ascii="Arial" w:hAnsi="Arial"/>
                <w:b w:val="0"/>
                <w:sz w:val="11"/>
              </w:rPr>
              <w:t>Delegated authority boundary records; tool-action authorization records; boundary violation alerts; drift detection logs</w:t>
            </w:r>
          </w:p>
        </w:tc>
        <w:tc>
          <w:tcPr>
            <w:tcW w:type="dxa" w:w="2880"/>
            <w:vAlign w:val="top"/>
          </w:tcPr>
          <w:p>
            <w:pPr>
              <w:spacing w:after="0"/>
              <w:jc w:val="left"/>
            </w:pPr>
            <w:r>
              <w:rPr>
                <w:rFonts w:ascii="Arial" w:hAnsi="Arial"/>
                <w:b w:val="0"/>
                <w:sz w:val="11"/>
              </w:rPr>
              <w:t>Authority boundaries are explicit and enforced; authority drift is detected and escalated</w:t>
            </w:r>
          </w:p>
        </w:tc>
      </w:tr>
      <w:tr>
        <w:trPr>
          <w:cantSplit/>
        </w:trPr>
        <w:tc>
          <w:tcPr>
            <w:tcW w:type="dxa" w:w="2880"/>
            <w:vAlign w:val="top"/>
          </w:tcPr>
          <w:p>
            <w:pPr>
              <w:spacing w:after="0"/>
              <w:jc w:val="left"/>
            </w:pPr>
            <w:r>
              <w:rPr>
                <w:rFonts w:ascii="Arial" w:hAnsi="Arial"/>
                <w:b w:val="0"/>
                <w:sz w:val="11"/>
              </w:rPr>
              <w:t>Stage 2: Responsibility</w:t>
            </w:r>
          </w:p>
        </w:tc>
        <w:tc>
          <w:tcPr>
            <w:tcW w:type="dxa" w:w="2880"/>
            <w:vAlign w:val="top"/>
          </w:tcPr>
          <w:p>
            <w:pPr>
              <w:spacing w:after="0"/>
              <w:jc w:val="left"/>
            </w:pPr>
            <w:r>
              <w:rPr>
                <w:rFonts w:ascii="Arial" w:hAnsi="Arial"/>
                <w:b w:val="0"/>
                <w:sz w:val="11"/>
              </w:rPr>
              <w:t>Map human roles to MAS responsibilities and implement accepted outcome compliance</w:t>
            </w:r>
          </w:p>
        </w:tc>
        <w:tc>
          <w:tcPr>
            <w:tcW w:type="dxa" w:w="2880"/>
            <w:vAlign w:val="top"/>
          </w:tcPr>
          <w:p>
            <w:pPr>
              <w:spacing w:after="0"/>
              <w:jc w:val="left"/>
            </w:pPr>
            <w:r>
              <w:rPr>
                <w:rFonts w:ascii="Arial" w:hAnsi="Arial"/>
                <w:b w:val="0"/>
                <w:sz w:val="11"/>
              </w:rPr>
              <w:t>Define role assignment records; implement acceptance records; add review and escalation workflow; implement closure acceptance workflow</w:t>
            </w:r>
          </w:p>
        </w:tc>
        <w:tc>
          <w:tcPr>
            <w:tcW w:type="dxa" w:w="2880"/>
            <w:vAlign w:val="top"/>
          </w:tcPr>
          <w:p>
            <w:pPr>
              <w:spacing w:after="0"/>
              <w:jc w:val="left"/>
            </w:pPr>
            <w:r>
              <w:rPr>
                <w:rFonts w:ascii="Arial" w:hAnsi="Arial"/>
                <w:b w:val="0"/>
                <w:sz w:val="11"/>
              </w:rPr>
              <w:t>Human-role-to-MAS responsibility mapping; acceptance records; review records; escalation records; closure acceptance records</w:t>
            </w:r>
          </w:p>
        </w:tc>
        <w:tc>
          <w:tcPr>
            <w:tcW w:type="dxa" w:w="2880"/>
            <w:vAlign w:val="top"/>
          </w:tcPr>
          <w:p>
            <w:pPr>
              <w:spacing w:after="0"/>
              <w:jc w:val="left"/>
            </w:pPr>
            <w:r>
              <w:rPr>
                <w:rFonts w:ascii="Arial" w:hAnsi="Arial"/>
                <w:b w:val="0"/>
                <w:sz w:val="11"/>
              </w:rPr>
              <w:t>Accountable human role exists for every agent outcome; accepted outcome compliance workflow operational</w:t>
            </w:r>
          </w:p>
        </w:tc>
      </w:tr>
      <w:tr>
        <w:trPr>
          <w:cantSplit/>
        </w:trPr>
        <w:tc>
          <w:tcPr>
            <w:tcW w:type="dxa" w:w="2880"/>
            <w:vAlign w:val="top"/>
          </w:tcPr>
          <w:p>
            <w:pPr>
              <w:spacing w:after="0"/>
              <w:jc w:val="left"/>
            </w:pPr>
            <w:r>
              <w:rPr>
                <w:rFonts w:ascii="Arial" w:hAnsi="Arial"/>
                <w:b w:val="0"/>
                <w:sz w:val="11"/>
              </w:rPr>
              <w:t>Stage 3: Evidence</w:t>
            </w:r>
          </w:p>
        </w:tc>
        <w:tc>
          <w:tcPr>
            <w:tcW w:type="dxa" w:w="2880"/>
            <w:vAlign w:val="top"/>
          </w:tcPr>
          <w:p>
            <w:pPr>
              <w:spacing w:after="0"/>
              <w:jc w:val="left"/>
            </w:pPr>
            <w:r>
              <w:rPr>
                <w:rFonts w:ascii="Arial" w:hAnsi="Arial"/>
                <w:b w:val="0"/>
                <w:sz w:val="11"/>
              </w:rPr>
              <w:t>Convert orchestration logs into partitioned evidence chains</w:t>
            </w:r>
          </w:p>
        </w:tc>
        <w:tc>
          <w:tcPr>
            <w:tcW w:type="dxa" w:w="2880"/>
            <w:vAlign w:val="top"/>
          </w:tcPr>
          <w:p>
            <w:pPr>
              <w:spacing w:after="0"/>
              <w:jc w:val="left"/>
            </w:pPr>
            <w:r>
              <w:rPr>
                <w:rFonts w:ascii="Arial" w:hAnsi="Arial"/>
                <w:b w:val="0"/>
                <w:sz w:val="11"/>
              </w:rPr>
              <w:t>Implement MAS evidence partitioning; add evidence export capability with selective disclosure; implement evidence chain integrity validation</w:t>
            </w:r>
          </w:p>
        </w:tc>
        <w:tc>
          <w:tcPr>
            <w:tcW w:type="dxa" w:w="2880"/>
            <w:vAlign w:val="top"/>
          </w:tcPr>
          <w:p>
            <w:pPr>
              <w:spacing w:after="0"/>
              <w:jc w:val="left"/>
            </w:pPr>
            <w:r>
              <w:rPr>
                <w:rFonts w:ascii="Arial" w:hAnsi="Arial"/>
                <w:b w:val="0"/>
                <w:sz w:val="11"/>
              </w:rPr>
              <w:t>Partitioned evidence chains; evidence export logs; partition policy records; selective disclosure records; evidence integrity validation records</w:t>
            </w:r>
          </w:p>
        </w:tc>
        <w:tc>
          <w:tcPr>
            <w:tcW w:type="dxa" w:w="2880"/>
            <w:vAlign w:val="top"/>
          </w:tcPr>
          <w:p>
            <w:pPr>
              <w:spacing w:after="0"/>
              <w:jc w:val="left"/>
            </w:pPr>
            <w:r>
              <w:rPr>
                <w:rFonts w:ascii="Arial" w:hAnsi="Arial"/>
                <w:b w:val="0"/>
                <w:sz w:val="11"/>
              </w:rPr>
              <w:t>Evidence chains can reconstruct authority, plan, confirmation, tool action, and accepted outcome; evidence can be selectively disclosed to auditors</w:t>
            </w:r>
          </w:p>
        </w:tc>
      </w:tr>
      <w:tr>
        <w:trPr>
          <w:cantSplit/>
        </w:trPr>
        <w:tc>
          <w:tcPr>
            <w:tcW w:type="dxa" w:w="2880"/>
            <w:vAlign w:val="top"/>
          </w:tcPr>
          <w:p>
            <w:pPr>
              <w:spacing w:after="0"/>
              <w:jc w:val="left"/>
            </w:pPr>
            <w:r>
              <w:rPr>
                <w:rFonts w:ascii="Arial" w:hAnsi="Arial"/>
                <w:b w:val="0"/>
                <w:sz w:val="11"/>
              </w:rPr>
              <w:t>Stage 4: Privacy</w:t>
            </w:r>
          </w:p>
        </w:tc>
        <w:tc>
          <w:tcPr>
            <w:tcW w:type="dxa" w:w="2880"/>
            <w:vAlign w:val="top"/>
          </w:tcPr>
          <w:p>
            <w:pPr>
              <w:spacing w:after="0"/>
              <w:jc w:val="left"/>
            </w:pPr>
            <w:r>
              <w:rPr>
                <w:rFonts w:ascii="Arial" w:hAnsi="Arial"/>
                <w:b w:val="0"/>
                <w:sz w:val="11"/>
              </w:rPr>
              <w:t>Map privacy and data subject rights across lifecycle surfaces</w:t>
            </w:r>
          </w:p>
        </w:tc>
        <w:tc>
          <w:tcPr>
            <w:tcW w:type="dxa" w:w="2880"/>
            <w:vAlign w:val="top"/>
          </w:tcPr>
          <w:p>
            <w:pPr>
              <w:spacing w:after="0"/>
              <w:jc w:val="left"/>
            </w:pPr>
            <w:r>
              <w:rPr>
                <w:rFonts w:ascii="Arial" w:hAnsi="Arial"/>
                <w:b w:val="0"/>
                <w:sz w:val="11"/>
              </w:rPr>
              <w:t>Implement privacy/GDPR lifecycle mapping; add data subject rights workflow; implement evidence minimization and selective disclosure policy</w:t>
            </w:r>
          </w:p>
        </w:tc>
        <w:tc>
          <w:tcPr>
            <w:tcW w:type="dxa" w:w="2880"/>
            <w:vAlign w:val="top"/>
          </w:tcPr>
          <w:p>
            <w:pPr>
              <w:spacing w:after="0"/>
              <w:jc w:val="left"/>
            </w:pPr>
            <w:r>
              <w:rPr>
                <w:rFonts w:ascii="Arial" w:hAnsi="Arial"/>
                <w:b w:val="0"/>
                <w:sz w:val="11"/>
              </w:rPr>
              <w:t>Data flow records; retention policy records; data subject rights workflow records; evidence minimization records; selective disclosure policy records</w:t>
            </w:r>
          </w:p>
        </w:tc>
        <w:tc>
          <w:tcPr>
            <w:tcW w:type="dxa" w:w="2880"/>
            <w:vAlign w:val="top"/>
          </w:tcPr>
          <w:p>
            <w:pPr>
              <w:spacing w:after="0"/>
              <w:jc w:val="left"/>
            </w:pPr>
            <w:r>
              <w:rPr>
                <w:rFonts w:ascii="Arial" w:hAnsi="Arial"/>
                <w:b w:val="0"/>
                <w:sz w:val="11"/>
              </w:rPr>
              <w:t>Privacy is mapped across lifecycle surfaces; data subject rights can be exercised without destroying evidence; evidence minimization policy operational</w:t>
            </w:r>
          </w:p>
        </w:tc>
      </w:tr>
      <w:tr>
        <w:trPr>
          <w:cantSplit/>
        </w:trPr>
        <w:tc>
          <w:tcPr>
            <w:tcW w:type="dxa" w:w="2880"/>
            <w:vAlign w:val="top"/>
          </w:tcPr>
          <w:p>
            <w:pPr>
              <w:spacing w:after="0"/>
              <w:jc w:val="left"/>
            </w:pPr>
            <w:r>
              <w:rPr>
                <w:rFonts w:ascii="Arial" w:hAnsi="Arial"/>
                <w:b w:val="0"/>
                <w:sz w:val="11"/>
              </w:rPr>
              <w:t>Stage 5: Validation</w:t>
            </w:r>
          </w:p>
        </w:tc>
        <w:tc>
          <w:tcPr>
            <w:tcW w:type="dxa" w:w="2880"/>
            <w:vAlign w:val="top"/>
          </w:tcPr>
          <w:p>
            <w:pPr>
              <w:spacing w:after="0"/>
              <w:jc w:val="left"/>
            </w:pPr>
            <w:r>
              <w:rPr>
                <w:rFonts w:ascii="Arial" w:hAnsi="Arial"/>
                <w:b w:val="0"/>
                <w:sz w:val="11"/>
              </w:rPr>
              <w:t>Prepare for evidence-based validation and third-party review</w:t>
            </w:r>
          </w:p>
        </w:tc>
        <w:tc>
          <w:tcPr>
            <w:tcW w:type="dxa" w:w="2880"/>
            <w:vAlign w:val="top"/>
          </w:tcPr>
          <w:p>
            <w:pPr>
              <w:spacing w:after="0"/>
              <w:jc w:val="left"/>
            </w:pPr>
            <w:r>
              <w:rPr>
                <w:rFonts w:ascii="Arial" w:hAnsi="Arial"/>
                <w:b w:val="0"/>
                <w:sz w:val="11"/>
              </w:rPr>
              <w:t>Implement privacy-preserving validation protocol (e.g., evidence-based validation pattern from Chapter 14); add disclosure profile and redaction profile; implement hash manifests and verdict hashes</w:t>
            </w:r>
          </w:p>
        </w:tc>
        <w:tc>
          <w:tcPr>
            <w:tcW w:type="dxa" w:w="2880"/>
            <w:vAlign w:val="top"/>
          </w:tcPr>
          <w:p>
            <w:pPr>
              <w:spacing w:after="0"/>
              <w:jc w:val="left"/>
            </w:pPr>
            <w:r>
              <w:rPr>
                <w:rFonts w:ascii="Arial" w:hAnsi="Arial"/>
                <w:b w:val="0"/>
                <w:sz w:val="11"/>
              </w:rPr>
              <w:t>Validation protocol records; disclosure profile records; redaction profile records; hash manifests; verdict hashes</w:t>
            </w:r>
          </w:p>
        </w:tc>
        <w:tc>
          <w:tcPr>
            <w:tcW w:type="dxa" w:w="2880"/>
            <w:vAlign w:val="top"/>
          </w:tcPr>
          <w:p>
            <w:pPr>
              <w:spacing w:after="0"/>
              <w:jc w:val="left"/>
            </w:pPr>
            <w:r>
              <w:rPr>
                <w:rFonts w:ascii="Arial" w:hAnsi="Arial"/>
                <w:b w:val="0"/>
                <w:sz w:val="11"/>
              </w:rPr>
              <w:t>Evidence can be validated by third parties without exposing sensitive data; validation results are privacy-preserving and tamper-evident</w:t>
            </w:r>
          </w:p>
        </w:tc>
      </w:tr>
      <w:tr>
        <w:trPr>
          <w:cantSplit/>
        </w:trPr>
        <w:tc>
          <w:tcPr>
            <w:tcW w:type="dxa" w:w="2880"/>
            <w:vAlign w:val="top"/>
          </w:tcPr>
          <w:p>
            <w:pPr>
              <w:spacing w:after="0"/>
              <w:jc w:val="left"/>
            </w:pPr>
            <w:r>
              <w:rPr>
                <w:rFonts w:ascii="Arial" w:hAnsi="Arial"/>
                <w:b w:val="0"/>
                <w:sz w:val="11"/>
              </w:rPr>
              <w:t>Stage 6: Remediation</w:t>
            </w:r>
          </w:p>
        </w:tc>
        <w:tc>
          <w:tcPr>
            <w:tcW w:type="dxa" w:w="2880"/>
            <w:vAlign w:val="top"/>
          </w:tcPr>
          <w:p>
            <w:pPr>
              <w:spacing w:after="0"/>
              <w:jc w:val="left"/>
            </w:pPr>
            <w:r>
              <w:rPr>
                <w:rFonts w:ascii="Arial" w:hAnsi="Arial"/>
                <w:b w:val="0"/>
                <w:sz w:val="11"/>
              </w:rPr>
              <w:t>Operationalize incident, dispute, and remediation closure workflows</w:t>
            </w:r>
          </w:p>
        </w:tc>
        <w:tc>
          <w:tcPr>
            <w:tcW w:type="dxa" w:w="2880"/>
            <w:vAlign w:val="top"/>
          </w:tcPr>
          <w:p>
            <w:pPr>
              <w:spacing w:after="0"/>
              <w:jc w:val="left"/>
            </w:pPr>
            <w:r>
              <w:rPr>
                <w:rFonts w:ascii="Arial" w:hAnsi="Arial"/>
                <w:b w:val="0"/>
                <w:sz w:val="11"/>
              </w:rPr>
              <w:t>Implement incident records; add affected outcome list generation; implement remediation records; add closure acceptance workflow; implement customer impact assessment</w:t>
            </w:r>
          </w:p>
        </w:tc>
        <w:tc>
          <w:tcPr>
            <w:tcW w:type="dxa" w:w="2880"/>
            <w:vAlign w:val="top"/>
          </w:tcPr>
          <w:p>
            <w:pPr>
              <w:spacing w:after="0"/>
              <w:jc w:val="left"/>
            </w:pPr>
            <w:r>
              <w:rPr>
                <w:rFonts w:ascii="Arial" w:hAnsi="Arial"/>
                <w:b w:val="0"/>
                <w:sz w:val="11"/>
              </w:rPr>
              <w:t>Incident records; affected outcome records; remediation records; closure acceptance records; customer impact assessment records</w:t>
            </w:r>
          </w:p>
        </w:tc>
        <w:tc>
          <w:tcPr>
            <w:tcW w:type="dxa" w:w="2880"/>
            <w:vAlign w:val="top"/>
          </w:tcPr>
          <w:p>
            <w:pPr>
              <w:spacing w:after="0"/>
              <w:jc w:val="left"/>
            </w:pPr>
            <w:r>
              <w:rPr>
                <w:rFonts w:ascii="Arial" w:hAnsi="Arial"/>
                <w:b w:val="0"/>
                <w:sz w:val="11"/>
              </w:rPr>
              <w:t>Incidents are tracked with responsible owners; affected outcomes are identified; remediation is documented; closure is accepted by responsible owner</w:t>
            </w:r>
          </w:p>
        </w:tc>
      </w:tr>
      <w:tr>
        <w:trPr>
          <w:cantSplit/>
        </w:trPr>
        <w:tc>
          <w:tcPr>
            <w:tcW w:type="dxa" w:w="2880"/>
            <w:vAlign w:val="top"/>
          </w:tcPr>
          <w:p>
            <w:pPr>
              <w:spacing w:after="0"/>
              <w:jc w:val="left"/>
            </w:pPr>
            <w:r>
              <w:rPr>
                <w:rFonts w:ascii="Arial" w:hAnsi="Arial"/>
                <w:b w:val="0"/>
                <w:sz w:val="11"/>
              </w:rPr>
              <w:t>Stage 7: Scale</w:t>
            </w:r>
          </w:p>
        </w:tc>
        <w:tc>
          <w:tcPr>
            <w:tcW w:type="dxa" w:w="2880"/>
            <w:vAlign w:val="top"/>
          </w:tcPr>
          <w:p>
            <w:pPr>
              <w:spacing w:after="0"/>
              <w:jc w:val="left"/>
            </w:pPr>
            <w:r>
              <w:rPr>
                <w:rFonts w:ascii="Arial" w:hAnsi="Arial"/>
                <w:b w:val="0"/>
                <w:sz w:val="11"/>
              </w:rPr>
              <w:t>Scale lifecycle governance through integration and continuous improvement</w:t>
            </w:r>
          </w:p>
        </w:tc>
        <w:tc>
          <w:tcPr>
            <w:tcW w:type="dxa" w:w="2880"/>
            <w:vAlign w:val="top"/>
          </w:tcPr>
          <w:p>
            <w:pPr>
              <w:spacing w:after="0"/>
              <w:jc w:val="left"/>
            </w:pPr>
            <w:r>
              <w:rPr>
                <w:rFonts w:ascii="Arial" w:hAnsi="Arial"/>
                <w:b w:val="0"/>
                <w:sz w:val="11"/>
              </w:rPr>
              <w:t>Integrate lifecycle governance with existing enterprise controls (Table T-17-03); extend to all agentic workflows; implement continuous improvement and monitoring; contribute to industry standards</w:t>
            </w:r>
          </w:p>
        </w:tc>
        <w:tc>
          <w:tcPr>
            <w:tcW w:type="dxa" w:w="2880"/>
            <w:vAlign w:val="top"/>
          </w:tcPr>
          <w:p>
            <w:pPr>
              <w:spacing w:after="0"/>
              <w:jc w:val="left"/>
            </w:pPr>
            <w:r>
              <w:rPr>
                <w:rFonts w:ascii="Arial" w:hAnsi="Arial"/>
                <w:b w:val="0"/>
                <w:sz w:val="11"/>
              </w:rPr>
              <w:t>Lifecycle governance integrated with audit, privacy, security, procurement, incident response, compliance, model risk, and business continuity; continuous improvement operational</w:t>
            </w:r>
          </w:p>
        </w:tc>
        <w:tc>
          <w:tcPr>
            <w:tcW w:type="dxa" w:w="2880"/>
            <w:vAlign w:val="top"/>
          </w:tcPr>
          <w:p>
            <w:pPr>
              <w:spacing w:after="0"/>
              <w:jc w:val="left"/>
            </w:pPr>
            <w:r>
              <w:rPr>
                <w:rFonts w:ascii="Arial" w:hAnsi="Arial"/>
                <w:b w:val="0"/>
                <w:sz w:val="11"/>
              </w:rPr>
              <w:t>Lifecycle governance is operational for all agentic workflows; continuous improvement and monitoring systematic; enterprise contributes to industry standards</w:t>
            </w:r>
          </w:p>
        </w:tc>
      </w:tr>
    </w:tbl>
    <w:p>
      <w:pPr>
        <w:sectPr>
          <w:pgSz w:w="15840" w:h="12240" w:orient="landscape"/>
          <w:pgMar w:top="792" w:right="648" w:bottom="792" w:left="648" w:header="720" w:footer="720" w:gutter="0"/>
          <w:cols w:space="720"/>
          <w:docGrid w:linePitch="360"/>
        </w:sectPr>
      </w:pPr>
    </w:p>
    <w:p/>
    <w:p>
      <w:r>
        <w:t>Interpretation: The Stage 0-to-7 roadmap provides a practical path from lifecycle governance awareness to scaled operational capability. Each stage builds on the previous stage and produces measurable outputs and success indicators.</w:t>
      </w:r>
    </w:p>
    <w:p/>
    <w:p/>
    <w:p>
      <w:pPr>
        <w:pStyle w:val="Heading2"/>
      </w:pPr>
      <w:r>
        <w:t>17.5 Measuring Progress and Demonstrating Conformance</w:t>
      </w:r>
    </w:p>
    <w:p/>
    <w:p>
      <w:r>
        <w:t>Enterprises should measure progress using lifecycle responsibility objects as evidence artifacts, not using RCCS/ALCS as legal compliance scores. The following table clarifies how RCCS and ALCS should be used in adoption.</w:t>
      </w:r>
    </w:p>
    <w:p/>
    <w:p>
      <w:pPr>
        <w:keepNext/>
      </w:pPr>
      <w:r>
        <w:rPr>
          <w:b/>
          <w:sz w:val="17"/>
        </w:rPr>
        <w:t>Table T-17-05: RCCS/ALCS Use in Adoption</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3600"/>
            <w:vAlign w:val="top"/>
            <w:shd w:fill="D9EAF7"/>
          </w:tcPr>
          <w:p>
            <w:pPr>
              <w:spacing w:after="0"/>
              <w:jc w:val="left"/>
            </w:pPr>
            <w:r>
              <w:rPr>
                <w:rFonts w:ascii="Arial" w:hAnsi="Arial"/>
                <w:b/>
                <w:sz w:val="11"/>
              </w:rPr>
              <w:t>Use Case</w:t>
            </w:r>
          </w:p>
        </w:tc>
        <w:tc>
          <w:tcPr>
            <w:tcW w:type="dxa" w:w="3600"/>
            <w:vAlign w:val="top"/>
            <w:shd w:fill="D9EAF7"/>
          </w:tcPr>
          <w:p>
            <w:pPr>
              <w:spacing w:after="0"/>
              <w:jc w:val="left"/>
            </w:pPr>
            <w:r>
              <w:rPr>
                <w:rFonts w:ascii="Arial" w:hAnsi="Arial"/>
                <w:b/>
                <w:sz w:val="11"/>
              </w:rPr>
              <w:t>RCCS Role</w:t>
            </w:r>
          </w:p>
        </w:tc>
        <w:tc>
          <w:tcPr>
            <w:tcW w:type="dxa" w:w="3600"/>
            <w:vAlign w:val="top"/>
            <w:shd w:fill="D9EAF7"/>
          </w:tcPr>
          <w:p>
            <w:pPr>
              <w:spacing w:after="0"/>
              <w:jc w:val="left"/>
            </w:pPr>
            <w:r>
              <w:rPr>
                <w:rFonts w:ascii="Arial" w:hAnsi="Arial"/>
                <w:b/>
                <w:sz w:val="11"/>
              </w:rPr>
              <w:t>ALCS Role</w:t>
            </w:r>
          </w:p>
        </w:tc>
        <w:tc>
          <w:tcPr>
            <w:tcW w:type="dxa" w:w="3600"/>
            <w:vAlign w:val="top"/>
            <w:shd w:fill="D9EAF7"/>
          </w:tcPr>
          <w:p>
            <w:pPr>
              <w:spacing w:after="0"/>
              <w:jc w:val="left"/>
            </w:pPr>
            <w:r>
              <w:rPr>
                <w:rFonts w:ascii="Arial" w:hAnsi="Arial"/>
                <w:b/>
                <w:sz w:val="11"/>
              </w:rPr>
              <w:t>Boundary</w:t>
            </w:r>
          </w:p>
        </w:tc>
      </w:tr>
      <w:tr>
        <w:trPr>
          <w:cantSplit/>
        </w:trPr>
        <w:tc>
          <w:tcPr>
            <w:tcW w:type="dxa" w:w="3600"/>
            <w:vAlign w:val="top"/>
          </w:tcPr>
          <w:p>
            <w:pPr>
              <w:spacing w:after="0"/>
              <w:jc w:val="left"/>
            </w:pPr>
            <w:r>
              <w:rPr>
                <w:rFonts w:ascii="Arial" w:hAnsi="Arial"/>
                <w:b w:val="0"/>
                <w:sz w:val="11"/>
              </w:rPr>
              <w:t>Gap analysis</w:t>
            </w:r>
          </w:p>
        </w:tc>
        <w:tc>
          <w:tcPr>
            <w:tcW w:type="dxa" w:w="3600"/>
            <w:vAlign w:val="top"/>
          </w:tcPr>
          <w:p>
            <w:pPr>
              <w:spacing w:after="0"/>
              <w:jc w:val="left"/>
            </w:pPr>
            <w:r>
              <w:rPr>
                <w:rFonts w:ascii="Arial" w:hAnsi="Arial"/>
                <w:b w:val="0"/>
                <w:sz w:val="11"/>
              </w:rPr>
              <w:t>RCCS dimensions identify regulatory compliance coverage gaps (e.g., RCCS-04 Record-Keeping, RCCS-06 Human Oversight)</w:t>
            </w:r>
          </w:p>
        </w:tc>
        <w:tc>
          <w:tcPr>
            <w:tcW w:type="dxa" w:w="3600"/>
            <w:vAlign w:val="top"/>
          </w:tcPr>
          <w:p>
            <w:pPr>
              <w:spacing w:after="0"/>
              <w:jc w:val="left"/>
            </w:pPr>
            <w:r>
              <w:rPr>
                <w:rFonts w:ascii="Arial" w:hAnsi="Arial"/>
                <w:b w:val="0"/>
                <w:sz w:val="11"/>
              </w:rPr>
              <w:t>ALCS dimensions identify lifecycle responsibility object gaps (e.g., ALCS-02 Delegated Authority Boundary, ALCS-04 Accepted Outcome Compliance, ALCS-06 Responsibility Transfer Across Agents)</w:t>
            </w:r>
          </w:p>
        </w:tc>
        <w:tc>
          <w:tcPr>
            <w:tcW w:type="dxa" w:w="3600"/>
            <w:vAlign w:val="top"/>
          </w:tcPr>
          <w:p>
            <w:pPr>
              <w:spacing w:after="0"/>
              <w:jc w:val="left"/>
            </w:pPr>
            <w:r>
              <w:rPr>
                <w:rFonts w:ascii="Arial" w:hAnsi="Arial"/>
                <w:b w:val="0"/>
                <w:sz w:val="11"/>
              </w:rPr>
              <w:t>RCCS/ALCS are analytical tools, not legal compliance scores; gaps identified by RCCS/ALCS require organizational interpretation and legal review</w:t>
            </w:r>
          </w:p>
        </w:tc>
      </w:tr>
      <w:tr>
        <w:trPr>
          <w:cantSplit/>
        </w:trPr>
        <w:tc>
          <w:tcPr>
            <w:tcW w:type="dxa" w:w="3600"/>
            <w:vAlign w:val="top"/>
          </w:tcPr>
          <w:p>
            <w:pPr>
              <w:spacing w:after="0"/>
              <w:jc w:val="left"/>
            </w:pPr>
            <w:r>
              <w:rPr>
                <w:rFonts w:ascii="Arial" w:hAnsi="Arial"/>
                <w:b w:val="0"/>
                <w:sz w:val="11"/>
              </w:rPr>
              <w:t>Pilot project baseline</w:t>
            </w:r>
          </w:p>
        </w:tc>
        <w:tc>
          <w:tcPr>
            <w:tcW w:type="dxa" w:w="3600"/>
            <w:vAlign w:val="top"/>
          </w:tcPr>
          <w:p>
            <w:pPr>
              <w:spacing w:after="0"/>
              <w:jc w:val="left"/>
            </w:pPr>
            <w:r>
              <w:rPr>
                <w:rFonts w:ascii="Arial" w:hAnsi="Arial"/>
                <w:b w:val="0"/>
                <w:sz w:val="11"/>
              </w:rPr>
              <w:t>RCCS baseline measures regulatory compliance coverage before pilot; RCCS post-pilot measures improvement</w:t>
            </w:r>
          </w:p>
        </w:tc>
        <w:tc>
          <w:tcPr>
            <w:tcW w:type="dxa" w:w="3600"/>
            <w:vAlign w:val="top"/>
          </w:tcPr>
          <w:p>
            <w:pPr>
              <w:spacing w:after="0"/>
              <w:jc w:val="left"/>
            </w:pPr>
            <w:r>
              <w:rPr>
                <w:rFonts w:ascii="Arial" w:hAnsi="Arial"/>
                <w:b w:val="0"/>
                <w:sz w:val="11"/>
              </w:rPr>
              <w:t>ALCS baseline measures lifecycle responsibility object maturity before pilot; ALCS post-pilot measures improvement</w:t>
            </w:r>
          </w:p>
        </w:tc>
        <w:tc>
          <w:tcPr>
            <w:tcW w:type="dxa" w:w="3600"/>
            <w:vAlign w:val="top"/>
          </w:tcPr>
          <w:p>
            <w:pPr>
              <w:spacing w:after="0"/>
              <w:jc w:val="left"/>
            </w:pPr>
            <w:r>
              <w:rPr>
                <w:rFonts w:ascii="Arial" w:hAnsi="Arial"/>
                <w:b w:val="0"/>
                <w:sz w:val="11"/>
              </w:rPr>
              <w:t>RCCS/ALCS baselines are internal analytical tools; they do not prove legal compliance or regulatory approval</w:t>
            </w:r>
          </w:p>
        </w:tc>
      </w:tr>
      <w:tr>
        <w:trPr>
          <w:cantSplit/>
        </w:trPr>
        <w:tc>
          <w:tcPr>
            <w:tcW w:type="dxa" w:w="3600"/>
            <w:vAlign w:val="top"/>
          </w:tcPr>
          <w:p>
            <w:pPr>
              <w:spacing w:after="0"/>
              <w:jc w:val="left"/>
            </w:pPr>
            <w:r>
              <w:rPr>
                <w:rFonts w:ascii="Arial" w:hAnsi="Arial"/>
                <w:b w:val="0"/>
                <w:sz w:val="11"/>
              </w:rPr>
              <w:t>System evaluation</w:t>
            </w:r>
          </w:p>
        </w:tc>
        <w:tc>
          <w:tcPr>
            <w:tcW w:type="dxa" w:w="3600"/>
            <w:vAlign w:val="top"/>
          </w:tcPr>
          <w:p>
            <w:pPr>
              <w:spacing w:after="0"/>
              <w:jc w:val="left"/>
            </w:pPr>
            <w:r>
              <w:rPr>
                <w:rFonts w:ascii="Arial" w:hAnsi="Arial"/>
                <w:b w:val="0"/>
                <w:sz w:val="11"/>
              </w:rPr>
              <w:t>RCCS posture helps evaluate whether a system provides regulatory compliance coverage primitives</w:t>
            </w:r>
          </w:p>
        </w:tc>
        <w:tc>
          <w:tcPr>
            <w:tcW w:type="dxa" w:w="3600"/>
            <w:vAlign w:val="top"/>
          </w:tcPr>
          <w:p>
            <w:pPr>
              <w:spacing w:after="0"/>
              <w:jc w:val="left"/>
            </w:pPr>
            <w:r>
              <w:rPr>
                <w:rFonts w:ascii="Arial" w:hAnsi="Arial"/>
                <w:b w:val="0"/>
                <w:sz w:val="11"/>
              </w:rPr>
              <w:t>ALCS posture helps evaluate whether a system provides lifecycle responsibility object primitives</w:t>
            </w:r>
          </w:p>
        </w:tc>
        <w:tc>
          <w:tcPr>
            <w:tcW w:type="dxa" w:w="3600"/>
            <w:vAlign w:val="top"/>
          </w:tcPr>
          <w:p>
            <w:pPr>
              <w:spacing w:after="0"/>
              <w:jc w:val="left"/>
            </w:pPr>
            <w:r>
              <w:rPr>
                <w:rFonts w:ascii="Arial" w:hAnsi="Arial"/>
                <w:b w:val="0"/>
                <w:sz w:val="11"/>
              </w:rPr>
              <w:t>RCCS/ALCS postures are analytical tools for system comparison (Chapter 11-12); they are not product rankings, certifications, or procurement recommendations</w:t>
            </w:r>
          </w:p>
        </w:tc>
      </w:tr>
      <w:tr>
        <w:trPr>
          <w:cantSplit/>
        </w:trPr>
        <w:tc>
          <w:tcPr>
            <w:tcW w:type="dxa" w:w="3600"/>
            <w:vAlign w:val="top"/>
          </w:tcPr>
          <w:p>
            <w:pPr>
              <w:spacing w:after="0"/>
              <w:jc w:val="left"/>
            </w:pPr>
            <w:r>
              <w:rPr>
                <w:rFonts w:ascii="Arial" w:hAnsi="Arial"/>
                <w:b w:val="0"/>
                <w:sz w:val="11"/>
              </w:rPr>
              <w:t>Audit readiness</w:t>
            </w:r>
          </w:p>
        </w:tc>
        <w:tc>
          <w:tcPr>
            <w:tcW w:type="dxa" w:w="3600"/>
            <w:vAlign w:val="top"/>
          </w:tcPr>
          <w:p>
            <w:pPr>
              <w:spacing w:after="0"/>
              <w:jc w:val="left"/>
            </w:pPr>
            <w:r>
              <w:rPr>
                <w:rFonts w:ascii="Arial" w:hAnsi="Arial"/>
                <w:b w:val="0"/>
                <w:sz w:val="11"/>
              </w:rPr>
              <w:t>RCCS dimensions map to audit control objectives (e.g., RCCS-04 Record-Keeping → audit trail requirements)</w:t>
            </w:r>
          </w:p>
        </w:tc>
        <w:tc>
          <w:tcPr>
            <w:tcW w:type="dxa" w:w="3600"/>
            <w:vAlign w:val="top"/>
          </w:tcPr>
          <w:p>
            <w:pPr>
              <w:spacing w:after="0"/>
              <w:jc w:val="left"/>
            </w:pPr>
            <w:r>
              <w:rPr>
                <w:rFonts w:ascii="Arial" w:hAnsi="Arial"/>
                <w:b w:val="0"/>
                <w:sz w:val="11"/>
              </w:rPr>
              <w:t>ALCS dimensions map to lifecycle responsibility objects that auditors may request (e.g., ALCS-08 MAS Evidence Partitioning → evidence reconstruction)</w:t>
            </w:r>
          </w:p>
        </w:tc>
        <w:tc>
          <w:tcPr>
            <w:tcW w:type="dxa" w:w="3600"/>
            <w:vAlign w:val="top"/>
          </w:tcPr>
          <w:p>
            <w:pPr>
              <w:spacing w:after="0"/>
              <w:jc w:val="left"/>
            </w:pPr>
            <w:r>
              <w:rPr>
                <w:rFonts w:ascii="Arial" w:hAnsi="Arial"/>
                <w:b w:val="0"/>
                <w:sz w:val="11"/>
              </w:rPr>
              <w:t>RCCS/ALCS help prepare for audit but do not replace audit opinions, assurance reports, or legal compliance determinations</w:t>
            </w:r>
          </w:p>
        </w:tc>
      </w:tr>
      <w:tr>
        <w:trPr>
          <w:cantSplit/>
        </w:trPr>
        <w:tc>
          <w:tcPr>
            <w:tcW w:type="dxa" w:w="3600"/>
            <w:vAlign w:val="top"/>
          </w:tcPr>
          <w:p>
            <w:pPr>
              <w:spacing w:after="0"/>
              <w:jc w:val="left"/>
            </w:pPr>
            <w:r>
              <w:rPr>
                <w:rFonts w:ascii="Arial" w:hAnsi="Arial"/>
                <w:b w:val="0"/>
                <w:sz w:val="11"/>
              </w:rPr>
              <w:t>Evidence-based validation</w:t>
            </w:r>
          </w:p>
        </w:tc>
        <w:tc>
          <w:tcPr>
            <w:tcW w:type="dxa" w:w="3600"/>
            <w:vAlign w:val="top"/>
          </w:tcPr>
          <w:p>
            <w:pPr>
              <w:spacing w:after="0"/>
              <w:jc w:val="left"/>
            </w:pPr>
            <w:r>
              <w:rPr>
                <w:rFonts w:ascii="Arial" w:hAnsi="Arial"/>
                <w:b w:val="0"/>
                <w:sz w:val="11"/>
              </w:rPr>
              <w:t>RCCS dimensions help identify what regulatory compliance evidence should be validated</w:t>
            </w:r>
          </w:p>
        </w:tc>
        <w:tc>
          <w:tcPr>
            <w:tcW w:type="dxa" w:w="3600"/>
            <w:vAlign w:val="top"/>
          </w:tcPr>
          <w:p>
            <w:pPr>
              <w:spacing w:after="0"/>
              <w:jc w:val="left"/>
            </w:pPr>
            <w:r>
              <w:rPr>
                <w:rFonts w:ascii="Arial" w:hAnsi="Arial"/>
                <w:b w:val="0"/>
                <w:sz w:val="11"/>
              </w:rPr>
              <w:t>ALCS dimensions help identify what lifecycle responsibility objects should be validated</w:t>
            </w:r>
          </w:p>
        </w:tc>
        <w:tc>
          <w:tcPr>
            <w:tcW w:type="dxa" w:w="3600"/>
            <w:vAlign w:val="top"/>
          </w:tcPr>
          <w:p>
            <w:pPr>
              <w:spacing w:after="0"/>
              <w:jc w:val="left"/>
            </w:pPr>
            <w:r>
              <w:rPr>
                <w:rFonts w:ascii="Arial" w:hAnsi="Arial"/>
                <w:b w:val="0"/>
                <w:sz w:val="11"/>
              </w:rPr>
              <w:t>RCCS/ALCS help scope validation but do not replace validation protocols, validation providers, or validation results</w:t>
            </w:r>
          </w:p>
        </w:tc>
      </w:tr>
      <w:tr>
        <w:trPr>
          <w:cantSplit/>
        </w:trPr>
        <w:tc>
          <w:tcPr>
            <w:tcW w:type="dxa" w:w="3600"/>
            <w:vAlign w:val="top"/>
          </w:tcPr>
          <w:p>
            <w:pPr>
              <w:spacing w:after="0"/>
              <w:jc w:val="left"/>
            </w:pPr>
            <w:r>
              <w:rPr>
                <w:rFonts w:ascii="Arial" w:hAnsi="Arial"/>
                <w:b w:val="0"/>
                <w:sz w:val="11"/>
              </w:rPr>
              <w:t>Continuous improvement</w:t>
            </w:r>
          </w:p>
        </w:tc>
        <w:tc>
          <w:tcPr>
            <w:tcW w:type="dxa" w:w="3600"/>
            <w:vAlign w:val="top"/>
          </w:tcPr>
          <w:p>
            <w:pPr>
              <w:spacing w:after="0"/>
              <w:jc w:val="left"/>
            </w:pPr>
            <w:r>
              <w:rPr>
                <w:rFonts w:ascii="Arial" w:hAnsi="Arial"/>
                <w:b w:val="0"/>
                <w:sz w:val="11"/>
              </w:rPr>
              <w:t>RCCS dimensions help monitor regulatory compliance coverage over time</w:t>
            </w:r>
          </w:p>
        </w:tc>
        <w:tc>
          <w:tcPr>
            <w:tcW w:type="dxa" w:w="3600"/>
            <w:vAlign w:val="top"/>
          </w:tcPr>
          <w:p>
            <w:pPr>
              <w:spacing w:after="0"/>
              <w:jc w:val="left"/>
            </w:pPr>
            <w:r>
              <w:rPr>
                <w:rFonts w:ascii="Arial" w:hAnsi="Arial"/>
                <w:b w:val="0"/>
                <w:sz w:val="11"/>
              </w:rPr>
              <w:t>ALCS dimensions help monitor lifecycle responsibility object maturity over time</w:t>
            </w:r>
          </w:p>
        </w:tc>
        <w:tc>
          <w:tcPr>
            <w:tcW w:type="dxa" w:w="3600"/>
            <w:vAlign w:val="top"/>
          </w:tcPr>
          <w:p>
            <w:pPr>
              <w:spacing w:after="0"/>
              <w:jc w:val="left"/>
            </w:pPr>
            <w:r>
              <w:rPr>
                <w:rFonts w:ascii="Arial" w:hAnsi="Arial"/>
                <w:b w:val="0"/>
                <w:sz w:val="11"/>
              </w:rPr>
              <w:t>RCCS/ALCS are monitoring tools, not legal compliance scores; continuous improvement requires organizational governance, not just scoring</w:t>
            </w:r>
          </w:p>
        </w:tc>
      </w:tr>
    </w:tbl>
    <w:p>
      <w:pPr>
        <w:sectPr>
          <w:pgSz w:w="12240" w:h="15840" w:orient="landscape"/>
          <w:pgMar w:top="792" w:right="648" w:bottom="792" w:left="648" w:header="720" w:footer="720" w:gutter="0"/>
          <w:cols w:space="720"/>
          <w:docGrid w:linePitch="360"/>
        </w:sectPr>
      </w:pPr>
    </w:p>
    <w:p/>
    <w:p>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
    <w:p>
      <w:pPr>
        <w:pStyle w:val="Heading2"/>
      </w:pPr>
      <w:r>
        <w:t>17.6 Scaling from Pilot to Production</w:t>
      </w:r>
    </w:p>
    <w:p/>
    <w:p>
      <w:r>
        <w:t>Scaling from pilot to production requires organizational commitment, integration with existing enterprise controls, and continuous improvement. Enterprises should:</w:t>
      </w:r>
    </w:p>
    <w:p/>
    <w:p>
      <w:r>
        <w:t>1. Extend pilot learnings to additional workflows: Use pilot project learnings to extend lifecycle governance to additional agentic workflows. Prioritize workflows that address Chapter 15 failure scenarios or that operate in regulated contexts.</w:t>
      </w:r>
    </w:p>
    <w:p/>
    <w:p>
      <w:r>
        <w:t>2. Integrate with existing enterprise controls: Use Table T-17-03 to integrate lifecycle governance with existing audit, privacy, security, procurement, incident response, compliance, model risk, and business continuity controls.</w:t>
      </w:r>
    </w:p>
    <w:p/>
    <w:p>
      <w:r>
        <w:t>3. 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
      <w:r>
        <w:t>4. 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
      <w:r>
        <w:t>5. Prepare for evidence-based validation: Implement privacy-preserving validation protocols (e.g., evidence-based validation pattern from Chapter 14) to prepare for third-party review. Ensure that evidence can be validated without exposing sensitive data.</w:t>
      </w:r>
    </w:p>
    <w:p/>
    <w:p>
      <w:r>
        <w:t>6. 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
      <w:r>
        <w:t>7. Contribute to industry standards: As lifecycle governance matures, contribute to industry standards and regulatory dialogue. Share learnings with industry peers, participate in standards development, and engage with regulators to inform policy development.</w:t>
      </w:r>
    </w:p>
    <w:p/>
    <w:p>
      <w:r>
        <w:t>Scaling is not a one-time event. It is a continuous process that requires organizational commitment, integration with existing controls, and continuous improvement.</w:t>
      </w:r>
    </w:p>
    <w:p/>
    <w:p/>
    <w:p>
      <w:pPr>
        <w:pStyle w:val="Heading2"/>
      </w:pPr>
      <w:r>
        <w:t>17.7 Bridge to Conclusion</w:t>
      </w:r>
    </w:p>
    <w:p/>
    <w:p>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
      <w:r>
        <w:t>The bridge from adoption roadmap (Chapter 17) to conclusion (Chapter 18) is the recognition that AI Agent Lifecycle Governance is not a theoretical framework. It is a practical necessity for enterprises deploying agentic AI systems.</w:t>
      </w:r>
    </w:p>
    <w:p/>
    <w:p>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
      <w:r>
        <w:t>Chapter 18 will conclude the white paper with a restatement of the core thesis, a summary of contributions, a statement of boundaries, and a call to action.</w:t>
      </w:r>
    </w:p>
    <w:p/>
    <w:p/>
    <w:p>
      <w:r>
        <w:t>End of Chapter 17</w:t>
      </w:r>
    </w:p>
    <w:p/>
    <w:p>
      <w:r>
        <w:t>Chapter 17 Status: FILLED (Phase 1B-7; Phase 1C follow-up reviewed) — Adoption Roadmap complete; taxonomy and evidence-level wording harmonized.</w:t>
      </w:r>
    </w:p>
    <w:p>
      <w:pPr>
        <w:pStyle w:val="Heading1"/>
      </w:pPr>
      <w:r>
        <w:t>18. Conclusion</w:t>
      </w:r>
    </w:p>
    <w:p/>
    <w:p>
      <w:r>
        <w:t>Version: v0.3.2-FRC-R3</w:t>
      </w:r>
    </w:p>
    <w:p>
      <w:r>
        <w:t>Status: Reconstructed from v0.3.1 semantic base</w:t>
      </w:r>
    </w:p>
    <w:p>
      <w:r>
        <w:t>Phase: 1B-7</w:t>
      </w:r>
    </w:p>
    <w:p/>
    <w:p/>
    <w:p>
      <w:pPr>
        <w:pStyle w:val="Heading2"/>
      </w:pPr>
      <w:r>
        <w:t>18.0 Core Thesis Restatement</w:t>
      </w:r>
    </w:p>
    <w:p/>
    <w:p>
      <w:r>
        <w:t>AI Agent / MAS compliance is not only model compliance. It is lifecycle responsibility compliance.</w:t>
      </w:r>
    </w:p>
    <w:p/>
    <w:p>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
      <w:pPr>
        <w:pStyle w:val="ListBullet"/>
      </w:pPr>
      <w:r>
        <w:t>Human-role-to-MAS responsibility mapping</w:t>
      </w:r>
    </w:p>
    <w:p>
      <w:pPr>
        <w:pStyle w:val="ListBullet"/>
      </w:pPr>
      <w:r>
        <w:t>Delegated authority boundaries</w:t>
      </w:r>
    </w:p>
    <w:p>
      <w:pPr>
        <w:pStyle w:val="ListBullet"/>
      </w:pPr>
      <w:r>
        <w:t>Accepted outcome compliance</w:t>
      </w:r>
    </w:p>
    <w:p>
      <w:pPr>
        <w:pStyle w:val="ListBullet"/>
      </w:pPr>
      <w:r>
        <w:t>Tool-action liability boundaries</w:t>
      </w:r>
    </w:p>
    <w:p>
      <w:pPr>
        <w:pStyle w:val="ListBullet"/>
      </w:pPr>
      <w:r>
        <w:t>Responsibility transfer across agents</w:t>
      </w:r>
    </w:p>
    <w:p>
      <w:pPr>
        <w:pStyle w:val="ListBullet"/>
      </w:pPr>
      <w:r>
        <w:t>Authority drift detection</w:t>
      </w:r>
    </w:p>
    <w:p>
      <w:pPr>
        <w:pStyle w:val="ListBullet"/>
      </w:pPr>
      <w:r>
        <w:t>MAS evidence partitioning</w:t>
      </w:r>
    </w:p>
    <w:p>
      <w:pPr>
        <w:pStyle w:val="ListBullet"/>
      </w:pPr>
      <w:r>
        <w:t>Cross-project reuse compliance</w:t>
      </w:r>
    </w:p>
    <w:p>
      <w:pPr>
        <w:pStyle w:val="ListBullet"/>
      </w:pPr>
      <w:r>
        <w:t>Privacy/GDPR lifecycle mapping</w:t>
      </w:r>
    </w:p>
    <w:p>
      <w:pPr>
        <w:pStyle w:val="ListBullet"/>
      </w:pPr>
      <w:r>
        <w:t>Privacy-preserving third-party validation</w:t>
      </w:r>
    </w:p>
    <w:p>
      <w:pPr>
        <w:pStyle w:val="ListBullet"/>
      </w:pPr>
      <w:r>
        <w:t>Evidence minimization and selective disclosure</w:t>
      </w:r>
    </w:p>
    <w:p>
      <w:pPr>
        <w:pStyle w:val="ListBullet"/>
      </w:pPr>
      <w:r>
        <w:t>Data subject rights vs evidence retention reconciliation</w:t>
      </w:r>
    </w:p>
    <w:p>
      <w:pPr>
        <w:pStyle w:val="ListBullet"/>
      </w:pPr>
      <w:r>
        <w:t>Third-party processor/subprocessor chain mapping</w:t>
      </w:r>
    </w:p>
    <w:p>
      <w:pPr>
        <w:pStyle w:val="ListBullet"/>
      </w:pPr>
      <w:r>
        <w:t>Vendor/model/runtime substitution conformance</w:t>
      </w:r>
    </w:p>
    <w:p>
      <w:pPr>
        <w:pStyle w:val="ListBullet"/>
      </w:pPr>
      <w:r>
        <w:t>Incident, dispute, and remediation closure</w:t>
      </w:r>
    </w:p>
    <w:p/>
    <w:p>
      <w:r>
        <w:t>Execution is not delivery, and execution is not compliance. Orchestration logs record execution. Evidence chains record lifecycle responsibility. Model governance addresses model behavior. Lifecycle governance addresses responsibility for outcomes.</w:t>
      </w:r>
    </w:p>
    <w:p/>
    <w:p>
      <w:r>
        <w:t>The transition from model governance to agentic lifecycle conformance is not a theoretical exercise. It is a practical necessity for enterprises deploying agentic AI systems in regulated contexts.</w:t>
      </w:r>
    </w:p>
    <w:p/>
    <w:p/>
    <w:p>
      <w:pPr>
        <w:pStyle w:val="Heading2"/>
      </w:pPr>
      <w:r>
        <w:t>18.1 What This White Paper Provides</w:t>
      </w:r>
    </w:p>
    <w:p/>
    <w:p>
      <w:r>
        <w:t>This white paper provides a framework for AI Agent Lifecycle Governance. The framework consists of eight core contributions.</w:t>
      </w:r>
    </w:p>
    <w:p/>
    <w:p>
      <w:pPr>
        <w:keepNext/>
      </w:pPr>
      <w:r>
        <w:rPr>
          <w:b/>
          <w:sz w:val="17"/>
        </w:rPr>
        <w:t>Table T-18-01: White Paper Contribution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shd w:fill="D9EAF7"/>
          </w:tcPr>
          <w:p>
            <w:pPr>
              <w:spacing w:after="0"/>
              <w:jc w:val="left"/>
            </w:pPr>
            <w:r>
              <w:rPr>
                <w:rFonts w:ascii="Arial" w:hAnsi="Arial"/>
                <w:b/>
                <w:sz w:val="11"/>
              </w:rPr>
              <w:t>Contribution</w:t>
            </w:r>
          </w:p>
        </w:tc>
        <w:tc>
          <w:tcPr>
            <w:tcW w:type="dxa" w:w="3600"/>
            <w:vAlign w:val="top"/>
            <w:shd w:fill="D9EAF7"/>
          </w:tcPr>
          <w:p>
            <w:pPr>
              <w:spacing w:after="0"/>
              <w:jc w:val="left"/>
            </w:pPr>
            <w:r>
              <w:rPr>
                <w:rFonts w:ascii="Arial" w:hAnsi="Arial"/>
                <w:b/>
                <w:sz w:val="11"/>
              </w:rPr>
              <w:t>Purpose</w:t>
            </w:r>
          </w:p>
        </w:tc>
        <w:tc>
          <w:tcPr>
            <w:tcW w:type="dxa" w:w="3600"/>
            <w:vAlign w:val="top"/>
            <w:shd w:fill="D9EAF7"/>
          </w:tcPr>
          <w:p>
            <w:pPr>
              <w:spacing w:after="0"/>
              <w:jc w:val="left"/>
            </w:pPr>
            <w:r>
              <w:rPr>
                <w:rFonts w:ascii="Arial" w:hAnsi="Arial"/>
                <w:b/>
                <w:sz w:val="11"/>
              </w:rPr>
              <w:t>Practical Use</w:t>
            </w:r>
          </w:p>
        </w:tc>
        <w:tc>
          <w:tcPr>
            <w:tcW w:type="dxa" w:w="3600"/>
            <w:vAlign w:val="top"/>
            <w:shd w:fill="D9EAF7"/>
          </w:tcPr>
          <w:p>
            <w:pPr>
              <w:spacing w:after="0"/>
              <w:jc w:val="left"/>
            </w:pPr>
            <w:r>
              <w:rPr>
                <w:rFonts w:ascii="Arial" w:hAnsi="Arial"/>
                <w:b/>
                <w:sz w:val="11"/>
              </w:rPr>
              <w:t>Boundary</w:t>
            </w:r>
          </w:p>
        </w:tc>
      </w:tr>
      <w:tr>
        <w:trPr>
          <w:cantSplit/>
        </w:trPr>
        <w:tc>
          <w:tcPr>
            <w:tcW w:type="dxa" w:w="3600"/>
            <w:vAlign w:val="top"/>
          </w:tcPr>
          <w:p>
            <w:pPr>
              <w:spacing w:after="0"/>
              <w:jc w:val="left"/>
            </w:pPr>
            <w:r>
              <w:rPr>
                <w:rFonts w:ascii="Arial" w:hAnsi="Arial"/>
                <w:b w:val="0"/>
                <w:sz w:val="11"/>
              </w:rPr>
              <w:t>AI Agent Lifecycle Governance (Chapter 2)</w:t>
            </w:r>
          </w:p>
        </w:tc>
        <w:tc>
          <w:tcPr>
            <w:tcW w:type="dxa" w:w="3600"/>
            <w:vAlign w:val="top"/>
          </w:tcPr>
          <w:p>
            <w:pPr>
              <w:spacing w:after="0"/>
              <w:jc w:val="left"/>
            </w:pPr>
            <w:r>
              <w:rPr>
                <w:rFonts w:ascii="Arial" w:hAnsi="Arial"/>
                <w:b w:val="0"/>
                <w:sz w:val="11"/>
              </w:rPr>
              <w:t>Define the missing layer between model governance and enterprise trust</w:t>
            </w:r>
          </w:p>
        </w:tc>
        <w:tc>
          <w:tcPr>
            <w:tcW w:type="dxa" w:w="3600"/>
            <w:vAlign w:val="top"/>
          </w:tcPr>
          <w:p>
            <w:pPr>
              <w:spacing w:after="0"/>
              <w:jc w:val="left"/>
            </w:pPr>
            <w:r>
              <w:rPr>
                <w:rFonts w:ascii="Arial" w:hAnsi="Arial"/>
                <w:b w:val="0"/>
                <w:sz w:val="11"/>
              </w:rPr>
              <w:t>Enterprises can use this framework to identify lifecycle governance gaps and design lifecycle responsibility objects</w:t>
            </w:r>
          </w:p>
        </w:tc>
        <w:tc>
          <w:tcPr>
            <w:tcW w:type="dxa" w:w="3600"/>
            <w:vAlign w:val="top"/>
          </w:tcPr>
          <w:p>
            <w:pPr>
              <w:spacing w:after="0"/>
              <w:jc w:val="left"/>
            </w:pPr>
            <w:r>
              <w:rPr>
                <w:rFonts w:ascii="Arial" w:hAnsi="Arial"/>
                <w:b w:val="0"/>
                <w:sz w:val="11"/>
              </w:rPr>
              <w:t>This is a governance framework, not a legal compliance procedure, certification program, or regulatory approval process</w:t>
            </w:r>
          </w:p>
        </w:tc>
      </w:tr>
      <w:tr>
        <w:trPr>
          <w:cantSplit/>
        </w:trPr>
        <w:tc>
          <w:tcPr>
            <w:tcW w:type="dxa" w:w="3600"/>
            <w:vAlign w:val="top"/>
          </w:tcPr>
          <w:p>
            <w:pPr>
              <w:spacing w:after="0"/>
              <w:jc w:val="left"/>
            </w:pPr>
            <w:r>
              <w:rPr>
                <w:rFonts w:ascii="Arial" w:hAnsi="Arial"/>
                <w:b w:val="0"/>
                <w:sz w:val="11"/>
              </w:rPr>
              <w:t>Sixteen Missing Regulatory Objects (Chapter 6)</w:t>
            </w:r>
          </w:p>
        </w:tc>
        <w:tc>
          <w:tcPr>
            <w:tcW w:type="dxa" w:w="3600"/>
            <w:vAlign w:val="top"/>
          </w:tcPr>
          <w:p>
            <w:pPr>
              <w:spacing w:after="0"/>
              <w:jc w:val="left"/>
            </w:pPr>
            <w:r>
              <w:rPr>
                <w:rFonts w:ascii="Arial" w:hAnsi="Arial"/>
                <w:b w:val="0"/>
                <w:sz w:val="11"/>
              </w:rPr>
              <w:t>Identify the lifecycle responsibility objects that model-centric governance does not address</w:t>
            </w:r>
          </w:p>
        </w:tc>
        <w:tc>
          <w:tcPr>
            <w:tcW w:type="dxa" w:w="3600"/>
            <w:vAlign w:val="top"/>
          </w:tcPr>
          <w:p>
            <w:pPr>
              <w:spacing w:after="0"/>
              <w:jc w:val="left"/>
            </w:pPr>
            <w:r>
              <w:rPr>
                <w:rFonts w:ascii="Arial" w:hAnsi="Arial"/>
                <w:b w:val="0"/>
                <w:sz w:val="11"/>
              </w:rPr>
              <w:t>Enterprises can use the sixteen MROs as a checklist for lifecycle governance design; auditors can use MROs to scope lifecycle governance reviews</w:t>
            </w:r>
          </w:p>
        </w:tc>
        <w:tc>
          <w:tcPr>
            <w:tcW w:type="dxa" w:w="3600"/>
            <w:vAlign w:val="top"/>
          </w:tcPr>
          <w:p>
            <w:pPr>
              <w:spacing w:after="0"/>
              <w:jc w:val="left"/>
            </w:pPr>
            <w:r>
              <w:rPr>
                <w:rFonts w:ascii="Arial" w:hAnsi="Arial"/>
                <w:b w:val="0"/>
                <w:sz w:val="11"/>
              </w:rPr>
              <w:t>MROs are governance objects, not legal requirements; MRO presence does not prove legal compliance; MRO absence does not prove non-compliance</w:t>
            </w:r>
          </w:p>
        </w:tc>
      </w:tr>
      <w:tr>
        <w:trPr>
          <w:cantSplit/>
        </w:trPr>
        <w:tc>
          <w:tcPr>
            <w:tcW w:type="dxa" w:w="3600"/>
            <w:vAlign w:val="top"/>
          </w:tcPr>
          <w:p>
            <w:pPr>
              <w:spacing w:after="0"/>
              <w:jc w:val="left"/>
            </w:pPr>
            <w:r>
              <w:rPr>
                <w:rFonts w:ascii="Arial" w:hAnsi="Arial"/>
                <w:b w:val="0"/>
                <w:sz w:val="11"/>
              </w:rPr>
              <w:t>RCCS — Regulatory Compliance Coverage Score (Chapter 7)</w:t>
            </w:r>
          </w:p>
        </w:tc>
        <w:tc>
          <w:tcPr>
            <w:tcW w:type="dxa" w:w="3600"/>
            <w:vAlign w:val="top"/>
          </w:tcPr>
          <w:p>
            <w:pPr>
              <w:spacing w:after="0"/>
              <w:jc w:val="left"/>
            </w:pPr>
            <w:r>
              <w:rPr>
                <w:rFonts w:ascii="Arial" w:hAnsi="Arial"/>
                <w:b w:val="0"/>
                <w:sz w:val="11"/>
              </w:rPr>
              <w:t>Measure regulatory compliance coverage across ten dimensions</w:t>
            </w:r>
          </w:p>
        </w:tc>
        <w:tc>
          <w:tcPr>
            <w:tcW w:type="dxa" w:w="3600"/>
            <w:vAlign w:val="top"/>
          </w:tcPr>
          <w:p>
            <w:pPr>
              <w:spacing w:after="0"/>
              <w:jc w:val="left"/>
            </w:pPr>
            <w:r>
              <w:rPr>
                <w:rFonts w:ascii="Arial" w:hAnsi="Arial"/>
                <w:b w:val="0"/>
                <w:sz w:val="11"/>
              </w:rPr>
              <w:t>Enterprises can use RCCS to identify regulatory compliance coverage gaps; system evaluators can use RCCS to compare systems by regulatory compliance coverage posture</w:t>
            </w:r>
          </w:p>
        </w:tc>
        <w:tc>
          <w:tcPr>
            <w:tcW w:type="dxa" w:w="3600"/>
            <w:vAlign w:val="top"/>
          </w:tcPr>
          <w:p>
            <w:pPr>
              <w:spacing w:after="0"/>
              <w:jc w:val="left"/>
            </w:pPr>
            <w:r>
              <w:rPr>
                <w:rFonts w:ascii="Arial" w:hAnsi="Arial"/>
                <w:b w:val="0"/>
                <w:sz w:val="11"/>
              </w:rPr>
              <w:t>RCCS is an analytical tool, not a legal compliance score; high RCCS does not prove legal compliance; low RCCS does not prove non-compliance</w:t>
            </w:r>
          </w:p>
        </w:tc>
      </w:tr>
      <w:tr>
        <w:trPr>
          <w:cantSplit/>
        </w:trPr>
        <w:tc>
          <w:tcPr>
            <w:tcW w:type="dxa" w:w="3600"/>
            <w:vAlign w:val="top"/>
          </w:tcPr>
          <w:p>
            <w:pPr>
              <w:spacing w:after="0"/>
              <w:jc w:val="left"/>
            </w:pPr>
            <w:r>
              <w:rPr>
                <w:rFonts w:ascii="Arial" w:hAnsi="Arial"/>
                <w:b w:val="0"/>
                <w:sz w:val="11"/>
              </w:rPr>
              <w:t>ALCS — Agentic Lifecycle Conformance Score (Chapter 8)</w:t>
            </w:r>
          </w:p>
        </w:tc>
        <w:tc>
          <w:tcPr>
            <w:tcW w:type="dxa" w:w="3600"/>
            <w:vAlign w:val="top"/>
          </w:tcPr>
          <w:p>
            <w:pPr>
              <w:spacing w:after="0"/>
              <w:jc w:val="left"/>
            </w:pPr>
            <w:r>
              <w:rPr>
                <w:rFonts w:ascii="Arial" w:hAnsi="Arial"/>
                <w:b w:val="0"/>
                <w:sz w:val="11"/>
              </w:rPr>
              <w:t>Measure lifecycle responsibility object maturity across fifteen dimensions</w:t>
            </w:r>
          </w:p>
        </w:tc>
        <w:tc>
          <w:tcPr>
            <w:tcW w:type="dxa" w:w="3600"/>
            <w:vAlign w:val="top"/>
          </w:tcPr>
          <w:p>
            <w:pPr>
              <w:spacing w:after="0"/>
              <w:jc w:val="left"/>
            </w:pPr>
            <w:r>
              <w:rPr>
                <w:rFonts w:ascii="Arial" w:hAnsi="Arial"/>
                <w:b w:val="0"/>
                <w:sz w:val="11"/>
              </w:rPr>
              <w:t>Enterprises can use ALCS to identify lifecycle responsibility object gaps; system evaluators can use ALCS to compare systems by lifecycle conformance posture</w:t>
            </w:r>
          </w:p>
        </w:tc>
        <w:tc>
          <w:tcPr>
            <w:tcW w:type="dxa" w:w="3600"/>
            <w:vAlign w:val="top"/>
          </w:tcPr>
          <w:p>
            <w:pPr>
              <w:spacing w:after="0"/>
              <w:jc w:val="left"/>
            </w:pPr>
            <w:r>
              <w:rPr>
                <w:rFonts w:ascii="Arial" w:hAnsi="Arial"/>
                <w:b w:val="0"/>
                <w:sz w:val="11"/>
              </w:rPr>
              <w:t>ALCS is an analytical tool, not a legal compliance score; high ALCS does not prove legal compliance; low ALCS does not prove non-compliance</w:t>
            </w:r>
          </w:p>
        </w:tc>
      </w:tr>
      <w:tr>
        <w:trPr>
          <w:cantSplit/>
        </w:trPr>
        <w:tc>
          <w:tcPr>
            <w:tcW w:type="dxa" w:w="3600"/>
            <w:vAlign w:val="top"/>
          </w:tcPr>
          <w:p>
            <w:pPr>
              <w:spacing w:after="0"/>
              <w:jc w:val="left"/>
            </w:pPr>
            <w:r>
              <w:rPr>
                <w:rFonts w:ascii="Arial" w:hAnsi="Arial"/>
                <w:b w:val="0"/>
                <w:sz w:val="11"/>
              </w:rPr>
              <w:t>System-Category Mapping (Chapters 11-12)</w:t>
            </w:r>
          </w:p>
        </w:tc>
        <w:tc>
          <w:tcPr>
            <w:tcW w:type="dxa" w:w="3600"/>
            <w:vAlign w:val="top"/>
          </w:tcPr>
          <w:p>
            <w:pPr>
              <w:spacing w:after="0"/>
              <w:jc w:val="left"/>
            </w:pPr>
            <w:r>
              <w:rPr>
                <w:rFonts w:ascii="Arial" w:hAnsi="Arial"/>
                <w:b w:val="0"/>
                <w:sz w:val="11"/>
              </w:rPr>
              <w:t>Map eight systems across four categories by RCCS/ALCS posture and lifecycle gaps</w:t>
            </w:r>
          </w:p>
        </w:tc>
        <w:tc>
          <w:tcPr>
            <w:tcW w:type="dxa" w:w="3600"/>
            <w:vAlign w:val="top"/>
          </w:tcPr>
          <w:p>
            <w:pPr>
              <w:spacing w:after="0"/>
              <w:jc w:val="left"/>
            </w:pPr>
            <w:r>
              <w:rPr>
                <w:rFonts w:ascii="Arial" w:hAnsi="Arial"/>
                <w:b w:val="0"/>
                <w:sz w:val="11"/>
              </w:rPr>
              <w:t>Enterprises can use system mappings to understand how different system categories address lifecycle governance; system designers can use mappings to identify lifecycle governance design patterns</w:t>
            </w:r>
          </w:p>
        </w:tc>
        <w:tc>
          <w:tcPr>
            <w:tcW w:type="dxa" w:w="3600"/>
            <w:vAlign w:val="top"/>
          </w:tcPr>
          <w:p>
            <w:pPr>
              <w:spacing w:after="0"/>
              <w:jc w:val="left"/>
            </w:pPr>
            <w:r>
              <w:rPr>
                <w:rFonts w:ascii="Arial" w:hAnsi="Arial"/>
                <w:b w:val="0"/>
                <w:sz w:val="11"/>
              </w:rPr>
              <w:t>System mappings are analytical tools, not product rankings, certifications, procurement recommendations, or vendor endorsements</w:t>
            </w:r>
          </w:p>
        </w:tc>
      </w:tr>
      <w:tr>
        <w:trPr>
          <w:cantSplit/>
        </w:trPr>
        <w:tc>
          <w:tcPr>
            <w:tcW w:type="dxa" w:w="3600"/>
            <w:vAlign w:val="top"/>
          </w:tcPr>
          <w:p>
            <w:pPr>
              <w:spacing w:after="0"/>
              <w:jc w:val="left"/>
            </w:pPr>
            <w:r>
              <w:rPr>
                <w:rFonts w:ascii="Arial" w:hAnsi="Arial"/>
                <w:b w:val="0"/>
                <w:sz w:val="11"/>
              </w:rPr>
              <w:t>Evidence-Based Validation Pattern (Chapter 14)</w:t>
            </w:r>
          </w:p>
        </w:tc>
        <w:tc>
          <w:tcPr>
            <w:tcW w:type="dxa" w:w="3600"/>
            <w:vAlign w:val="top"/>
          </w:tcPr>
          <w:p>
            <w:pPr>
              <w:spacing w:after="0"/>
              <w:jc w:val="left"/>
            </w:pPr>
            <w:r>
              <w:rPr>
                <w:rFonts w:ascii="Arial" w:hAnsi="Arial"/>
                <w:b w:val="0"/>
                <w:sz w:val="11"/>
              </w:rPr>
              <w:t>Define a reusable methodology for privacy-preserving third-party validation of lifecycle responsibility objects</w:t>
            </w:r>
          </w:p>
        </w:tc>
        <w:tc>
          <w:tcPr>
            <w:tcW w:type="dxa" w:w="3600"/>
            <w:vAlign w:val="top"/>
          </w:tcPr>
          <w:p>
            <w:pPr>
              <w:spacing w:after="0"/>
              <w:jc w:val="left"/>
            </w:pPr>
            <w:r>
              <w:rPr>
                <w:rFonts w:ascii="Arial" w:hAnsi="Arial"/>
                <w:b w:val="0"/>
                <w:sz w:val="11"/>
              </w:rPr>
              <w:t>Enterprises can use the evidence-based validation pattern to prepare for third-party review without exposing sensitive data; validation providers can use the pattern to design privacy-preserving validation protocols</w:t>
            </w:r>
          </w:p>
        </w:tc>
        <w:tc>
          <w:tcPr>
            <w:tcW w:type="dxa" w:w="3600"/>
            <w:vAlign w:val="top"/>
          </w:tcPr>
          <w:p>
            <w:pPr>
              <w:spacing w:after="0"/>
              <w:jc w:val="left"/>
            </w:pPr>
            <w:r>
              <w:rPr>
                <w:rFonts w:ascii="Arial" w:hAnsi="Arial"/>
                <w:b w:val="0"/>
                <w:sz w:val="11"/>
              </w:rPr>
              <w:t>The pattern is a methodology, not a certification program; validation results do not prove legal compliance; Validation Lab is one non-certifying example, not the only validation path</w:t>
            </w:r>
          </w:p>
        </w:tc>
      </w:tr>
      <w:tr>
        <w:trPr>
          <w:cantSplit/>
        </w:trPr>
        <w:tc>
          <w:tcPr>
            <w:tcW w:type="dxa" w:w="3600"/>
            <w:vAlign w:val="top"/>
          </w:tcPr>
          <w:p>
            <w:pPr>
              <w:spacing w:after="0"/>
              <w:jc w:val="left"/>
            </w:pPr>
            <w:r>
              <w:rPr>
                <w:rFonts w:ascii="Arial" w:hAnsi="Arial"/>
                <w:b w:val="0"/>
                <w:sz w:val="11"/>
              </w:rPr>
              <w:t>Enterprise Failure Scenarios (Chapter 15)</w:t>
            </w:r>
          </w:p>
        </w:tc>
        <w:tc>
          <w:tcPr>
            <w:tcW w:type="dxa" w:w="3600"/>
            <w:vAlign w:val="top"/>
          </w:tcPr>
          <w:p>
            <w:pPr>
              <w:spacing w:after="0"/>
              <w:jc w:val="left"/>
            </w:pPr>
            <w:r>
              <w:rPr>
                <w:rFonts w:ascii="Arial" w:hAnsi="Arial"/>
                <w:b w:val="0"/>
                <w:sz w:val="11"/>
              </w:rPr>
              <w:t>Demonstrate where lifecycle governance gaps create predictable enterprise failures</w:t>
            </w:r>
          </w:p>
        </w:tc>
        <w:tc>
          <w:tcPr>
            <w:tcW w:type="dxa" w:w="3600"/>
            <w:vAlign w:val="top"/>
          </w:tcPr>
          <w:p>
            <w:pPr>
              <w:spacing w:after="0"/>
              <w:jc w:val="left"/>
            </w:pPr>
            <w:r>
              <w:rPr>
                <w:rFonts w:ascii="Arial" w:hAnsi="Arial"/>
                <w:b w:val="0"/>
                <w:sz w:val="11"/>
              </w:rPr>
              <w:t>Enterprises can use failure scenarios as test cases for lifecycle governance design; risk managers can use scenarios to assess lifecycle governance risk</w:t>
            </w:r>
          </w:p>
        </w:tc>
        <w:tc>
          <w:tcPr>
            <w:tcW w:type="dxa" w:w="3600"/>
            <w:vAlign w:val="top"/>
          </w:tcPr>
          <w:p>
            <w:pPr>
              <w:spacing w:after="0"/>
              <w:jc w:val="left"/>
            </w:pPr>
            <w:r>
              <w:rPr>
                <w:rFonts w:ascii="Arial" w:hAnsi="Arial"/>
                <w:b w:val="0"/>
                <w:sz w:val="11"/>
              </w:rPr>
              <w:t>Scenarios are demonstrations, not claims that agentic AI is uniquely unsafe; scenarios show where model-centric governance becomes insufficient, not that lifecycle governance eliminates all risk</w:t>
            </w:r>
          </w:p>
        </w:tc>
      </w:tr>
      <w:tr>
        <w:trPr>
          <w:cantSplit/>
        </w:trPr>
        <w:tc>
          <w:tcPr>
            <w:tcW w:type="dxa" w:w="3600"/>
            <w:vAlign w:val="top"/>
          </w:tcPr>
          <w:p>
            <w:pPr>
              <w:spacing w:after="0"/>
              <w:jc w:val="left"/>
            </w:pPr>
            <w:r>
              <w:rPr>
                <w:rFonts w:ascii="Arial" w:hAnsi="Arial"/>
                <w:b w:val="0"/>
                <w:sz w:val="11"/>
              </w:rPr>
              <w:t>Adoption Roadmap (Chapter 17)</w:t>
            </w:r>
          </w:p>
        </w:tc>
        <w:tc>
          <w:tcPr>
            <w:tcW w:type="dxa" w:w="3600"/>
            <w:vAlign w:val="top"/>
          </w:tcPr>
          <w:p>
            <w:pPr>
              <w:spacing w:after="0"/>
              <w:jc w:val="left"/>
            </w:pPr>
            <w:r>
              <w:rPr>
                <w:rFonts w:ascii="Arial" w:hAnsi="Arial"/>
                <w:b w:val="0"/>
                <w:sz w:val="11"/>
              </w:rPr>
              <w:t>Provide a staged path from lifecycle governance awareness to scaled operational capability</w:t>
            </w:r>
          </w:p>
        </w:tc>
        <w:tc>
          <w:tcPr>
            <w:tcW w:type="dxa" w:w="3600"/>
            <w:vAlign w:val="top"/>
          </w:tcPr>
          <w:p>
            <w:pPr>
              <w:spacing w:after="0"/>
              <w:jc w:val="left"/>
            </w:pPr>
            <w:r>
              <w:rPr>
                <w:rFonts w:ascii="Arial" w:hAnsi="Arial"/>
                <w:b w:val="0"/>
                <w:sz w:val="11"/>
              </w:rPr>
              <w:t>Enterprises can use the adoption roadmap to operationalize lifecycle responsibility objects; governance teams can use the roadmap to integrate lifecycle governance with existing enterprise controls</w:t>
            </w:r>
          </w:p>
        </w:tc>
        <w:tc>
          <w:tcPr>
            <w:tcW w:type="dxa" w:w="3600"/>
            <w:vAlign w:val="top"/>
          </w:tcPr>
          <w:p>
            <w:pPr>
              <w:spacing w:after="0"/>
              <w:jc w:val="left"/>
            </w:pPr>
            <w:r>
              <w:rPr>
                <w:rFonts w:ascii="Arial" w:hAnsi="Arial"/>
                <w:b w:val="0"/>
                <w:sz w:val="11"/>
              </w:rPr>
              <w:t>The roadmap is a practical guide, not a certification checklist, legal compliance procedure, or regulatory approval process</w:t>
            </w:r>
          </w:p>
        </w:tc>
      </w:tr>
    </w:tbl>
    <w:p>
      <w:pPr>
        <w:sectPr>
          <w:pgSz w:w="15840" w:h="12240" w:orient="landscape"/>
          <w:pgMar w:top="792" w:right="648" w:bottom="792" w:left="648" w:header="720" w:footer="720" w:gutter="0"/>
          <w:cols w:space="720"/>
          <w:docGrid w:linePitch="360"/>
        </w:sectPr>
      </w:pPr>
    </w:p>
    <w:p/>
    <w:p>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
    <w:p>
      <w:pPr>
        <w:pStyle w:val="Heading2"/>
      </w:pPr>
      <w:r>
        <w:t>18.2 What This White Paper Does Not Provide</w:t>
      </w:r>
    </w:p>
    <w:p/>
    <w:p>
      <w:r>
        <w:t>This white paper is a governance framework, not a legal compliance procedure, certification program, or regulatory approval process. The following table clarifies what this paper says and what it does not say.</w:t>
      </w:r>
    </w:p>
    <w:p/>
    <w:p>
      <w:pPr>
        <w:keepNext/>
      </w:pPr>
      <w:r>
        <w:rPr>
          <w:b/>
          <w:sz w:val="17"/>
        </w:rPr>
        <w:t>Table T-18-02: Non-Claims and Boundaries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4800"/>
            <w:vAlign w:val="top"/>
            <w:shd w:fill="D9EAF7"/>
          </w:tcPr>
          <w:p>
            <w:pPr>
              <w:spacing w:after="0"/>
              <w:jc w:val="left"/>
            </w:pPr>
            <w:r>
              <w:rPr>
                <w:rFonts w:ascii="Arial" w:hAnsi="Arial"/>
                <w:b/>
                <w:sz w:val="11"/>
              </w:rPr>
              <w:t>Area</w:t>
            </w:r>
          </w:p>
        </w:tc>
        <w:tc>
          <w:tcPr>
            <w:tcW w:type="dxa" w:w="4800"/>
            <w:vAlign w:val="top"/>
            <w:shd w:fill="D9EAF7"/>
          </w:tcPr>
          <w:p>
            <w:pPr>
              <w:spacing w:after="0"/>
              <w:jc w:val="left"/>
            </w:pPr>
            <w:r>
              <w:rPr>
                <w:rFonts w:ascii="Arial" w:hAnsi="Arial"/>
                <w:b/>
                <w:sz w:val="11"/>
              </w:rPr>
              <w:t>This Paper Says</w:t>
            </w:r>
          </w:p>
        </w:tc>
        <w:tc>
          <w:tcPr>
            <w:tcW w:type="dxa" w:w="4800"/>
            <w:vAlign w:val="top"/>
            <w:shd w:fill="D9EAF7"/>
          </w:tcPr>
          <w:p>
            <w:pPr>
              <w:spacing w:after="0"/>
              <w:jc w:val="left"/>
            </w:pPr>
            <w:r>
              <w:rPr>
                <w:rFonts w:ascii="Arial" w:hAnsi="Arial"/>
                <w:b/>
                <w:sz w:val="11"/>
              </w:rPr>
              <w:t>This Paper Does Not Say</w:t>
            </w:r>
          </w:p>
        </w:tc>
      </w:tr>
      <w:tr>
        <w:trPr>
          <w:cantSplit/>
        </w:trPr>
        <w:tc>
          <w:tcPr>
            <w:tcW w:type="dxa" w:w="4800"/>
            <w:vAlign w:val="top"/>
          </w:tcPr>
          <w:p>
            <w:pPr>
              <w:spacing w:after="0"/>
              <w:jc w:val="left"/>
            </w:pPr>
            <w:r>
              <w:rPr>
                <w:rFonts w:ascii="Arial" w:hAnsi="Arial"/>
                <w:b w:val="0"/>
                <w:sz w:val="11"/>
              </w:rPr>
              <w:t>Legal Compliance</w:t>
            </w:r>
          </w:p>
        </w:tc>
        <w:tc>
          <w:tcPr>
            <w:tcW w:type="dxa" w:w="4800"/>
            <w:vAlign w:val="top"/>
          </w:tcPr>
          <w:p>
            <w:pPr>
              <w:spacing w:after="0"/>
              <w:jc w:val="left"/>
            </w:pPr>
            <w:r>
              <w:rPr>
                <w:rFonts w:ascii="Arial" w:hAnsi="Arial"/>
                <w:b w:val="0"/>
                <w:sz w:val="11"/>
              </w:rPr>
              <w:t>Lifecycle governance addresses lifecycle responsibility objects that support regulatory compliance coverage; RCCS/ALCS measure compliance coverage gaps</w:t>
            </w:r>
          </w:p>
        </w:tc>
        <w:tc>
          <w:tcPr>
            <w:tcW w:type="dxa" w:w="4800"/>
            <w:vAlign w:val="top"/>
          </w:tcPr>
          <w:p>
            <w:pPr>
              <w:spacing w:after="0"/>
              <w:jc w:val="left"/>
            </w:pPr>
            <w:r>
              <w:rPr>
                <w:rFonts w:ascii="Arial" w:hAnsi="Arial"/>
                <w:b w:val="0"/>
                <w:sz w:val="11"/>
              </w:rPr>
              <w:t>This paper proves legal compliance; high RCCS/ALCS scores guarantee legal compliance; this paper provides legal advice; this paper interprets specific regulations for specific jurisdictions</w:t>
            </w:r>
          </w:p>
        </w:tc>
      </w:tr>
      <w:tr>
        <w:trPr>
          <w:cantSplit/>
        </w:trPr>
        <w:tc>
          <w:tcPr>
            <w:tcW w:type="dxa" w:w="4800"/>
            <w:vAlign w:val="top"/>
          </w:tcPr>
          <w:p>
            <w:pPr>
              <w:spacing w:after="0"/>
              <w:jc w:val="left"/>
            </w:pPr>
            <w:r>
              <w:rPr>
                <w:rFonts w:ascii="Arial" w:hAnsi="Arial"/>
                <w:b w:val="0"/>
                <w:sz w:val="11"/>
              </w:rPr>
              <w:t>Certification</w:t>
            </w:r>
          </w:p>
        </w:tc>
        <w:tc>
          <w:tcPr>
            <w:tcW w:type="dxa" w:w="4800"/>
            <w:vAlign w:val="top"/>
          </w:tcPr>
          <w:p>
            <w:pPr>
              <w:spacing w:after="0"/>
              <w:jc w:val="left"/>
            </w:pPr>
            <w:r>
              <w:rPr>
                <w:rFonts w:ascii="Arial" w:hAnsi="Arial"/>
                <w:b w:val="0"/>
                <w:sz w:val="11"/>
              </w:rPr>
              <w:t>Lifecycle governance can be evaluated using RCCS/ALCS as analytical tools; evidence-based validation can support third-party review</w:t>
            </w:r>
          </w:p>
        </w:tc>
        <w:tc>
          <w:tcPr>
            <w:tcW w:type="dxa" w:w="4800"/>
            <w:vAlign w:val="top"/>
          </w:tcPr>
          <w:p>
            <w:pPr>
              <w:spacing w:after="0"/>
              <w:jc w:val="left"/>
            </w:pPr>
            <w:r>
              <w:rPr>
                <w:rFonts w:ascii="Arial" w:hAnsi="Arial"/>
                <w:b w:val="0"/>
                <w:sz w:val="11"/>
              </w:rPr>
              <w:t>This paper is a certification program; RCCS/ALCS certify compliance; Validation Lab is a certification authority; this paper certifies systems or organizations</w:t>
            </w:r>
          </w:p>
        </w:tc>
      </w:tr>
      <w:tr>
        <w:trPr>
          <w:cantSplit/>
        </w:trPr>
        <w:tc>
          <w:tcPr>
            <w:tcW w:type="dxa" w:w="4800"/>
            <w:vAlign w:val="top"/>
          </w:tcPr>
          <w:p>
            <w:pPr>
              <w:spacing w:after="0"/>
              <w:jc w:val="left"/>
            </w:pPr>
            <w:r>
              <w:rPr>
                <w:rFonts w:ascii="Arial" w:hAnsi="Arial"/>
                <w:b w:val="0"/>
                <w:sz w:val="11"/>
              </w:rPr>
              <w:t>Regulatory Approval</w:t>
            </w:r>
          </w:p>
        </w:tc>
        <w:tc>
          <w:tcPr>
            <w:tcW w:type="dxa" w:w="4800"/>
            <w:vAlign w:val="top"/>
          </w:tcPr>
          <w:p>
            <w:pPr>
              <w:spacing w:after="0"/>
              <w:jc w:val="left"/>
            </w:pPr>
            <w:r>
              <w:rPr>
                <w:rFonts w:ascii="Arial" w:hAnsi="Arial"/>
                <w:b w:val="0"/>
                <w:sz w:val="11"/>
              </w:rPr>
              <w:t>Lifecycle governance aligns with regulatory requirements for human oversight, accountability, transparency, record-keeping, and contestability</w:t>
            </w:r>
          </w:p>
        </w:tc>
        <w:tc>
          <w:tcPr>
            <w:tcW w:type="dxa" w:w="4800"/>
            <w:vAlign w:val="top"/>
          </w:tcPr>
          <w:p>
            <w:pPr>
              <w:spacing w:after="0"/>
              <w:jc w:val="left"/>
            </w:pPr>
            <w:r>
              <w:rPr>
                <w:rFonts w:ascii="Arial" w:hAnsi="Arial"/>
                <w:b w:val="0"/>
                <w:sz w:val="11"/>
              </w:rPr>
              <w:t>This paper is regulator-approved; this paper is the official compliance standard; regulators endorse RCCS/ALCS; regulators require MPLP or Validation Lab</w:t>
            </w:r>
          </w:p>
        </w:tc>
      </w:tr>
      <w:tr>
        <w:trPr>
          <w:cantSplit/>
        </w:trPr>
        <w:tc>
          <w:tcPr>
            <w:tcW w:type="dxa" w:w="4800"/>
            <w:vAlign w:val="top"/>
          </w:tcPr>
          <w:p>
            <w:pPr>
              <w:spacing w:after="0"/>
              <w:jc w:val="left"/>
            </w:pPr>
            <w:r>
              <w:rPr>
                <w:rFonts w:ascii="Arial" w:hAnsi="Arial"/>
                <w:b w:val="0"/>
                <w:sz w:val="11"/>
              </w:rPr>
              <w:t>System Ranking</w:t>
            </w:r>
          </w:p>
        </w:tc>
        <w:tc>
          <w:tcPr>
            <w:tcW w:type="dxa" w:w="4800"/>
            <w:vAlign w:val="top"/>
          </w:tcPr>
          <w:p>
            <w:pPr>
              <w:spacing w:after="0"/>
              <w:jc w:val="left"/>
            </w:pPr>
            <w:r>
              <w:rPr>
                <w:rFonts w:ascii="Arial" w:hAnsi="Arial"/>
                <w:b w:val="0"/>
                <w:sz w:val="11"/>
              </w:rPr>
              <w:t>System mappings compare systems by RCCS/ALCS posture and lifecycle gaps using responsibility semantics</w:t>
            </w:r>
          </w:p>
        </w:tc>
        <w:tc>
          <w:tcPr>
            <w:tcW w:type="dxa" w:w="4800"/>
            <w:vAlign w:val="top"/>
          </w:tcPr>
          <w:p>
            <w:pPr>
              <w:spacing w:after="0"/>
              <w:jc w:val="left"/>
            </w:pPr>
            <w:r>
              <w:rPr>
                <w:rFonts w:ascii="Arial" w:hAnsi="Arial"/>
                <w:b w:val="0"/>
                <w:sz w:val="11"/>
              </w:rPr>
              <w:t>System mappings rank products by quality; system mappings recommend specific vendors; system mappings certify systems; other systems are non-compliant</w:t>
            </w:r>
          </w:p>
        </w:tc>
      </w:tr>
      <w:tr>
        <w:trPr>
          <w:cantSplit/>
        </w:trPr>
        <w:tc>
          <w:tcPr>
            <w:tcW w:type="dxa" w:w="4800"/>
            <w:vAlign w:val="top"/>
          </w:tcPr>
          <w:p>
            <w:pPr>
              <w:spacing w:after="0"/>
              <w:jc w:val="left"/>
            </w:pPr>
            <w:r>
              <w:rPr>
                <w:rFonts w:ascii="Arial" w:hAnsi="Arial"/>
                <w:b w:val="0"/>
                <w:sz w:val="11"/>
              </w:rPr>
              <w:t>MPLP</w:t>
            </w:r>
          </w:p>
        </w:tc>
        <w:tc>
          <w:tcPr>
            <w:tcW w:type="dxa" w:w="4800"/>
            <w:vAlign w:val="top"/>
          </w:tcPr>
          <w:p>
            <w:pPr>
              <w:spacing w:after="0"/>
              <w:jc w:val="left"/>
            </w:pPr>
            <w:r>
              <w:rPr>
                <w:rFonts w:ascii="Arial" w:hAnsi="Arial"/>
                <w:b w:val="0"/>
                <w:sz w:val="11"/>
              </w:rPr>
              <w:t>MPLP is one lifecycle protocol path that maps strongly to ALCS dimensions; MPLP provides protocol-level semantics for lifecycle responsibility objects</w:t>
            </w:r>
          </w:p>
        </w:tc>
        <w:tc>
          <w:tcPr>
            <w:tcW w:type="dxa" w:w="4800"/>
            <w:vAlign w:val="top"/>
          </w:tcPr>
          <w:p>
            <w:pPr>
              <w:spacing w:after="0"/>
              <w:jc w:val="left"/>
            </w:pPr>
            <w:r>
              <w:rPr>
                <w:rFonts w:ascii="Arial" w:hAnsi="Arial"/>
                <w:b w:val="0"/>
                <w:sz w:val="11"/>
              </w:rPr>
              <w:t>MPLP is required for compliance; MPLP is the only correct path; MPLP certifies compliance; MPLP is regulator-approved; MPLP proves legal compliance</w:t>
            </w:r>
          </w:p>
        </w:tc>
      </w:tr>
      <w:tr>
        <w:trPr>
          <w:cantSplit/>
        </w:trPr>
        <w:tc>
          <w:tcPr>
            <w:tcW w:type="dxa" w:w="4800"/>
            <w:vAlign w:val="top"/>
          </w:tcPr>
          <w:p>
            <w:pPr>
              <w:spacing w:after="0"/>
              <w:jc w:val="left"/>
            </w:pPr>
            <w:r>
              <w:rPr>
                <w:rFonts w:ascii="Arial" w:hAnsi="Arial"/>
                <w:b w:val="0"/>
                <w:sz w:val="11"/>
              </w:rPr>
              <w:t>Validation Lab</w:t>
            </w:r>
          </w:p>
        </w:tc>
        <w:tc>
          <w:tcPr>
            <w:tcW w:type="dxa" w:w="4800"/>
            <w:vAlign w:val="top"/>
          </w:tcPr>
          <w:p>
            <w:pPr>
              <w:spacing w:after="0"/>
              <w:jc w:val="left"/>
            </w:pPr>
            <w:r>
              <w:rPr>
                <w:rFonts w:ascii="Arial" w:hAnsi="Arial"/>
                <w:b w:val="0"/>
                <w:sz w:val="11"/>
              </w:rPr>
              <w:t>Validation Lab is one non-certifying evidence adjudication example that demonstrates the evidence-based validation pattern</w:t>
            </w:r>
          </w:p>
        </w:tc>
        <w:tc>
          <w:tcPr>
            <w:tcW w:type="dxa" w:w="4800"/>
            <w:vAlign w:val="top"/>
          </w:tcPr>
          <w:p>
            <w:pPr>
              <w:spacing w:after="0"/>
              <w:jc w:val="left"/>
            </w:pPr>
            <w:r>
              <w:rPr>
                <w:rFonts w:ascii="Arial" w:hAnsi="Arial"/>
                <w:b w:val="0"/>
                <w:sz w:val="11"/>
              </w:rPr>
              <w:t>Validation Lab is a certification authority; Validation Lab certifies compliance; Validation Lab proves legal compliance; Validation Lab is the only validation path; Validation Lab is regulator-approved</w:t>
            </w:r>
          </w:p>
        </w:tc>
      </w:tr>
      <w:tr>
        <w:trPr>
          <w:cantSplit/>
        </w:trPr>
        <w:tc>
          <w:tcPr>
            <w:tcW w:type="dxa" w:w="4800"/>
            <w:vAlign w:val="top"/>
          </w:tcPr>
          <w:p>
            <w:pPr>
              <w:spacing w:after="0"/>
              <w:jc w:val="left"/>
            </w:pPr>
            <w:r>
              <w:rPr>
                <w:rFonts w:ascii="Arial" w:hAnsi="Arial"/>
                <w:b w:val="0"/>
                <w:sz w:val="11"/>
              </w:rPr>
              <w:t>Risk Elimination</w:t>
            </w:r>
          </w:p>
        </w:tc>
        <w:tc>
          <w:tcPr>
            <w:tcW w:type="dxa" w:w="4800"/>
            <w:vAlign w:val="top"/>
          </w:tcPr>
          <w:p>
            <w:pPr>
              <w:spacing w:after="0"/>
              <w:jc w:val="left"/>
            </w:pPr>
            <w:r>
              <w:rPr>
                <w:rFonts w:ascii="Arial" w:hAnsi="Arial"/>
                <w:b w:val="0"/>
                <w:sz w:val="11"/>
              </w:rPr>
              <w:t>Lifecycle governance addresses lifecycle governance gaps that create predictable enterprise failures; lifecycle governance supports risk management</w:t>
            </w:r>
          </w:p>
        </w:tc>
        <w:tc>
          <w:tcPr>
            <w:tcW w:type="dxa" w:w="4800"/>
            <w:vAlign w:val="top"/>
          </w:tcPr>
          <w:p>
            <w:pPr>
              <w:spacing w:after="0"/>
              <w:jc w:val="left"/>
            </w:pPr>
            <w:r>
              <w:rPr>
                <w:rFonts w:ascii="Arial" w:hAnsi="Arial"/>
                <w:b w:val="0"/>
                <w:sz w:val="11"/>
              </w:rPr>
              <w:t>Lifecycle governance eliminates all risk; agentic AI is uniquely unsafe; lifecycle governance guarantees operational effectiveness; lifecycle governance prevents all failures</w:t>
            </w:r>
          </w:p>
        </w:tc>
      </w:tr>
      <w:tr>
        <w:trPr>
          <w:cantSplit/>
        </w:trPr>
        <w:tc>
          <w:tcPr>
            <w:tcW w:type="dxa" w:w="4800"/>
            <w:vAlign w:val="top"/>
          </w:tcPr>
          <w:p>
            <w:pPr>
              <w:spacing w:after="0"/>
              <w:jc w:val="left"/>
            </w:pPr>
            <w:r>
              <w:rPr>
                <w:rFonts w:ascii="Arial" w:hAnsi="Arial"/>
                <w:b w:val="0"/>
                <w:sz w:val="11"/>
              </w:rPr>
              <w:t>Completeness</w:t>
            </w:r>
          </w:p>
        </w:tc>
        <w:tc>
          <w:tcPr>
            <w:tcW w:type="dxa" w:w="4800"/>
            <w:vAlign w:val="top"/>
          </w:tcPr>
          <w:p>
            <w:pPr>
              <w:spacing w:after="0"/>
              <w:jc w:val="left"/>
            </w:pPr>
            <w:r>
              <w:rPr>
                <w:rFonts w:ascii="Arial" w:hAnsi="Arial"/>
                <w:b w:val="0"/>
                <w:sz w:val="11"/>
              </w:rPr>
              <w:t>This paper defines sixteen Missing Regulatory Objects and provides a framework for lifecycle governance</w:t>
            </w:r>
          </w:p>
        </w:tc>
        <w:tc>
          <w:tcPr>
            <w:tcW w:type="dxa" w:w="4800"/>
            <w:vAlign w:val="top"/>
          </w:tcPr>
          <w:p>
            <w:pPr>
              <w:spacing w:after="0"/>
              <w:jc w:val="left"/>
            </w:pPr>
            <w:r>
              <w:rPr>
                <w:rFonts w:ascii="Arial" w:hAnsi="Arial"/>
                <w:b w:val="0"/>
                <w:sz w:val="11"/>
              </w:rPr>
              <w:t>This paper is complete; no additional lifecycle responsibility objects will emerge; this paper addresses all regulatory requirements; this paper replaces legal review</w:t>
            </w:r>
          </w:p>
        </w:tc>
      </w:tr>
    </w:tbl>
    <w:p>
      <w:pPr>
        <w:sectPr>
          <w:pgSz w:w="12240" w:h="15840" w:orient="landscape"/>
          <w:pgMar w:top="792" w:right="648" w:bottom="792" w:left="648" w:header="720" w:footer="720" w:gutter="0"/>
          <w:cols w:space="720"/>
          <w:docGrid w:linePitch="360"/>
        </w:sectPr>
      </w:pPr>
    </w:p>
    <w:p/>
    <w:p>
      <w:r>
        <w:t>Interpretation: This white paper provides a governance framework, not legal advice, certification, regulatory approval, product ranking, or risk elimination. Enterprises must interpret the framework within their legal, regulatory, and operational context.</w:t>
      </w:r>
    </w:p>
    <w:p/>
    <w:p/>
    <w:p>
      <w:pPr>
        <w:pStyle w:val="Heading2"/>
      </w:pPr>
      <w:r>
        <w:t>18.3 Call to Action</w:t>
      </w:r>
    </w:p>
    <w:p/>
    <w:p>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
      <w:r>
        <w:t>Recommended first steps:</w:t>
      </w:r>
    </w:p>
    <w:p/>
    <w:p>
      <w:r>
        <w:t>1. Inventory agentic behavior: Identify where agents make decisions, use tools, or hand off work. Assess whether model governance covers lifecycle responsibility.</w:t>
      </w:r>
    </w:p>
    <w:p/>
    <w:p>
      <w:r>
        <w:t>2. Assess lifecycle governance gaps: Use the sixteen Missing Regulatory Objects (Chapter 6) as a checklist. Use RCCS/ALCS (Chapters 7-8) as analytical tools to identify gaps.</w:t>
      </w:r>
    </w:p>
    <w:p/>
    <w:p>
      <w:r>
        <w:t>3. Select a pilot project: Use pilot selection criteria (Table T-17-02) to choose a bounded, measurable, regulated, sponsored, and rollback-capable pilot project.</w:t>
      </w:r>
    </w:p>
    <w:p/>
    <w:p>
      <w:r>
        <w:t>4. Define authority boundaries: Start with delegated authority boundaries (MRO-02). Define authority grant records, implement tool-action authorization, and add boundary violation alerts.</w:t>
      </w:r>
    </w:p>
    <w:p/>
    <w:p>
      <w:r>
        <w:t>5. Map human roles to MAS responsibilities: Implement human-role-to-MAS responsibility mapping (MRO-01). Define role assignment records, implement acceptance records, and add review and escalation workflows.</w:t>
      </w:r>
    </w:p>
    <w:p/>
    <w:p>
      <w:r>
        <w:t>6. Convert logs into evidence chains: Implement MAS evidence partitioning (MRO-08). Add evidence export capability with selective disclosure. Implement evidence chain integrity validation.</w:t>
      </w:r>
    </w:p>
    <w:p/>
    <w:p>
      <w:r>
        <w:t>7. Integrate with existing enterprise controls: Use Table T-17-03 to integrate lifecycle governance with existing audit, privacy, security, procurement, incident response, compliance, model risk, and business continuity controls.</w:t>
      </w:r>
    </w:p>
    <w:p/>
    <w:p>
      <w:r>
        <w:t>8. 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
      <w:r>
        <w:t>Lifecycle governance is not a one-time project. It is a continuous process that requires organizational commitment, integration with existing controls, and continuous improvement.</w:t>
      </w:r>
    </w:p>
    <w:p/>
    <w:p/>
    <w:p>
      <w:pPr>
        <w:pStyle w:val="Heading2"/>
      </w:pPr>
      <w:r>
        <w:t>18.4 Closing Statement</w:t>
      </w:r>
    </w:p>
    <w:p/>
    <w:p>
      <w:r>
        <w:t>AI Agent Lifecycle Governance is the missing layer between model governance and enterprise trust. Model-centric governance addresses model behavior. Lifecycle governance addresses responsibility for outcomes.</w:t>
      </w:r>
    </w:p>
    <w:p/>
    <w:p>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demonstrate how different system categories address lifecycle governance. Evidence-based validation patterns support privacy-preserving third-party review. Enterprise failure scenarios demonstrate where lifecycle governance gaps create predictable failures. The adoption roadmap provides a staged path from awareness to scaled operational capability.</w:t>
      </w:r>
    </w:p>
    <w:p/>
    <w:p>
      <w:r>
        <w:t>Execution is not delivery, and execution is not compliance. Orchestration logs record execution. Evidence chains record lifecycle responsibility. Model governance addresses model behavior. Lifecycle governance addresses responsibility for outcomes.</w:t>
      </w:r>
    </w:p>
    <w:p/>
    <w:p>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
      <w:r>
        <w:t>AI Agent / MAS compliance is not only model compliance. It is lifecycle responsibility compliance.</w:t>
      </w:r>
    </w:p>
    <w:p/>
    <w:p/>
    <w:p>
      <w:r>
        <w:t>End of Chapter 18</w:t>
      </w:r>
    </w:p>
    <w:p/>
    <w:p>
      <w:r>
        <w:t>Chapter 18 Status: FILLED (Phase 1B-7; Phase 1C follow-up reviewed) — Conclusion complete; boundary statements preserved and no final vendor assessment introduced.</w:t>
      </w:r>
    </w:p>
    <w:p/>
    <w:p/>
    <w:p>
      <w:r>
        <w:t>End of Global AI Compliance White Paper 2026 v0.3.2-FRC-R3 Body Chapters</w:t>
      </w:r>
    </w:p>
    <w:p/>
    <w:p>
      <w:r>
        <w:t>Appendices A-K filled; Phase 1C cleanup and claim-level source binding complete; Phase 1D publication QA remains pending.</w:t>
      </w:r>
    </w:p>
    <w:p>
      <w:pPr>
        <w:pStyle w:val="Heading1"/>
      </w:pPr>
      <w:r>
        <w:t>Appendix A — Machine-Readable Object Templates</w:t>
      </w:r>
    </w:p>
    <w:p/>
    <w:p>
      <w:r>
        <w:t>Version: v0.3.2-FRC-R3</w:t>
      </w:r>
    </w:p>
    <w:p>
      <w:r>
        <w:t>Status: Reconstructed from v0.3.1 semantic base</w:t>
      </w:r>
    </w:p>
    <w:p>
      <w:r>
        <w:t>Phase: 1B-8</w:t>
      </w:r>
    </w:p>
    <w:p/>
    <w:p/>
    <w:p>
      <w:pPr>
        <w:pStyle w:val="Heading2"/>
      </w:pPr>
      <w:r>
        <w:t>A.0 Template Boundary</w:t>
      </w:r>
    </w:p>
    <w:p/>
    <w:p>
      <w:r>
        <w:t>This appendix provides illustrative machine-readable templates for the sixteen Missing Regulatory Objects defined in Chapter 6. These templates are reference structures, not formal schemas, legal requirements, or certification requirements.</w:t>
      </w:r>
    </w:p>
    <w:p/>
    <w:p>
      <w:r>
        <w:t>Boundary statement:</w:t>
      </w:r>
    </w:p>
    <w:p/>
    <w:p>
      <w:pPr>
        <w:pStyle w:val="ListBullet"/>
      </w:pPr>
      <w:r>
        <w:t>These templates are illustrative only. They demonstrate how lifecycle responsibility objects might be represented in machine-readable form. They are not formal MPLP schemas, not legal requirements, and not certification requirements.</w:t>
      </w:r>
    </w:p>
    <w:p/>
    <w:p>
      <w:pPr>
        <w:pStyle w:val="ListBullet"/>
      </w:pPr>
      <w:r>
        <w:t>These templates are not prescriptive. Organizations may use different field names, data types, or structures. The templates show one possible approach to representing lifecycle responsibility objects.</w:t>
      </w:r>
    </w:p>
    <w:p/>
    <w:p>
      <w:pPr>
        <w:pStyle w:val="ListBullet"/>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
      <w:pPr>
        <w:pStyle w:val="ListBullet"/>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
    <w:p>
      <w:pPr>
        <w:pStyle w:val="Heading2"/>
      </w:pPr>
      <w:r>
        <w:t>A.1 Shared Field Conventions</w:t>
      </w:r>
    </w:p>
    <w:p/>
    <w:p>
      <w:r>
        <w:t>All sixteen MRO templates share a common set of fields to support lifecycle traceability, evidence partitioning, and cross-object relationships.</w:t>
      </w:r>
    </w:p>
    <w:p/>
    <w:p>
      <w:r>
        <w:t>Shared fields:</w:t>
      </w:r>
    </w:p>
    <w:p/>
    <w:p>
      <w:pPr>
        <w:spacing w:before="60" w:after="100"/>
        <w:ind w:left="259"/>
      </w:pPr>
      <w:r>
        <w:rPr>
          <w:rFonts w:ascii="Courier New" w:hAnsi="Courier New"/>
          <w:sz w:val="15"/>
        </w:rP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
      <w:r>
        <w:t>Object-specific fields: Each MRO template includes 3-6 object-specific fields relevant to that MRO's purpose.</w:t>
      </w:r>
    </w:p>
    <w:p/>
    <w:p/>
    <w:p>
      <w:pPr>
        <w:pStyle w:val="Heading2"/>
      </w:pPr>
      <w:r>
        <w:t>A.2 MRO Template Index</w:t>
      </w:r>
    </w:p>
    <w:p/>
    <w:p>
      <w:r>
        <w:t>The following table indexes the sixteen MRO templates and their object-specific fields.</w:t>
      </w:r>
    </w:p>
    <w:p/>
    <w:p>
      <w:pPr>
        <w:keepNext/>
      </w:pPr>
      <w:r>
        <w:rPr>
          <w:b/>
          <w:sz w:val="17"/>
        </w:rPr>
        <w:t>Table T-A-01: Appendix A Template Index</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3"/>
              </w:rPr>
              <w:t>MRO ID</w:t>
            </w:r>
          </w:p>
        </w:tc>
        <w:tc>
          <w:tcPr>
            <w:tcW w:type="dxa" w:w="2880"/>
            <w:vAlign w:val="top"/>
            <w:shd w:fill="D9EAF7"/>
          </w:tcPr>
          <w:p>
            <w:pPr>
              <w:spacing w:after="0"/>
              <w:jc w:val="left"/>
            </w:pPr>
            <w:r>
              <w:rPr>
                <w:rFonts w:ascii="Arial" w:hAnsi="Arial"/>
                <w:b/>
                <w:sz w:val="13"/>
              </w:rPr>
              <w:t>Object Name</w:t>
            </w:r>
          </w:p>
        </w:tc>
        <w:tc>
          <w:tcPr>
            <w:tcW w:type="dxa" w:w="2880"/>
            <w:vAlign w:val="top"/>
            <w:shd w:fill="D9EAF7"/>
          </w:tcPr>
          <w:p>
            <w:pPr>
              <w:spacing w:after="0"/>
              <w:jc w:val="left"/>
            </w:pPr>
            <w:r>
              <w:rPr>
                <w:rFonts w:ascii="Arial" w:hAnsi="Arial"/>
                <w:b/>
                <w:sz w:val="13"/>
              </w:rPr>
              <w:t>Template Purpose</w:t>
            </w:r>
          </w:p>
        </w:tc>
        <w:tc>
          <w:tcPr>
            <w:tcW w:type="dxa" w:w="2880"/>
            <w:vAlign w:val="top"/>
            <w:shd w:fill="D9EAF7"/>
          </w:tcPr>
          <w:p>
            <w:pPr>
              <w:spacing w:after="0"/>
              <w:jc w:val="left"/>
            </w:pPr>
            <w:r>
              <w:rPr>
                <w:rFonts w:ascii="Arial" w:hAnsi="Arial"/>
                <w:b/>
                <w:sz w:val="13"/>
              </w:rPr>
              <w:t>Object-Specific Fields</w:t>
            </w:r>
          </w:p>
        </w:tc>
        <w:tc>
          <w:tcPr>
            <w:tcW w:type="dxa" w:w="2880"/>
            <w:vAlign w:val="top"/>
            <w:shd w:fill="D9EAF7"/>
          </w:tcPr>
          <w:p>
            <w:pPr>
              <w:spacing w:after="0"/>
              <w:jc w:val="left"/>
            </w:pPr>
            <w:r>
              <w:rPr>
                <w:rFonts w:ascii="Arial" w:hAnsi="Arial"/>
                <w:b/>
                <w:sz w:val="13"/>
              </w:rPr>
              <w:t>Boundary</w:t>
            </w:r>
          </w:p>
        </w:tc>
      </w:tr>
      <w:tr>
        <w:trPr>
          <w:cantSplit/>
        </w:trPr>
        <w:tc>
          <w:tcPr>
            <w:tcW w:type="dxa" w:w="2880"/>
            <w:vAlign w:val="top"/>
          </w:tcPr>
          <w:p>
            <w:pPr>
              <w:spacing w:after="0"/>
              <w:jc w:val="left"/>
            </w:pPr>
            <w:r>
              <w:rPr>
                <w:rFonts w:ascii="Arial" w:hAnsi="Arial"/>
                <w:b w:val="0"/>
                <w:sz w:val="13"/>
              </w:rPr>
              <w:t>MRO-01</w:t>
            </w:r>
          </w:p>
        </w:tc>
        <w:tc>
          <w:tcPr>
            <w:tcW w:type="dxa" w:w="2880"/>
            <w:vAlign w:val="top"/>
          </w:tcPr>
          <w:p>
            <w:pPr>
              <w:spacing w:after="0"/>
              <w:jc w:val="left"/>
            </w:pPr>
            <w:r>
              <w:rPr>
                <w:rFonts w:ascii="Arial" w:hAnsi="Arial"/>
                <w:b w:val="0"/>
                <w:sz w:val="13"/>
              </w:rPr>
              <w:t>Human Role to MAS Responsibility Mapping</w:t>
            </w:r>
          </w:p>
        </w:tc>
        <w:tc>
          <w:tcPr>
            <w:tcW w:type="dxa" w:w="2880"/>
            <w:vAlign w:val="top"/>
          </w:tcPr>
          <w:p>
            <w:pPr>
              <w:spacing w:after="0"/>
              <w:jc w:val="left"/>
            </w:pPr>
            <w:r>
              <w:rPr>
                <w:rFonts w:ascii="Arial" w:hAnsi="Arial"/>
                <w:b w:val="0"/>
                <w:sz w:val="13"/>
              </w:rPr>
              <w:t>Map human roles to MAS responsibilities with explicit acceptance records</w:t>
            </w:r>
          </w:p>
        </w:tc>
        <w:tc>
          <w:tcPr>
            <w:tcW w:type="dxa" w:w="2880"/>
            <w:vAlign w:val="top"/>
          </w:tcPr>
          <w:p>
            <w:pPr>
              <w:spacing w:after="0"/>
              <w:jc w:val="left"/>
            </w:pPr>
            <w:r>
              <w:rPr>
                <w:rFonts w:ascii="Arial" w:hAnsi="Arial"/>
                <w:b w:val="0"/>
                <w:sz w:val="13"/>
              </w:rPr>
              <w:t>human_role_name, mas_responsibility_scope, acceptance_required, escalation_policy, review_frequency</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MRO-02</w:t>
            </w:r>
          </w:p>
        </w:tc>
        <w:tc>
          <w:tcPr>
            <w:tcW w:type="dxa" w:w="2880"/>
            <w:vAlign w:val="top"/>
          </w:tcPr>
          <w:p>
            <w:pPr>
              <w:spacing w:after="0"/>
              <w:jc w:val="left"/>
            </w:pPr>
            <w:r>
              <w:rPr>
                <w:rFonts w:ascii="Arial" w:hAnsi="Arial"/>
                <w:b w:val="0"/>
                <w:sz w:val="13"/>
              </w:rPr>
              <w:t>Delegated Authority Boundary</w:t>
            </w:r>
          </w:p>
        </w:tc>
        <w:tc>
          <w:tcPr>
            <w:tcW w:type="dxa" w:w="2880"/>
            <w:vAlign w:val="top"/>
          </w:tcPr>
          <w:p>
            <w:pPr>
              <w:spacing w:after="0"/>
              <w:jc w:val="left"/>
            </w:pPr>
            <w:r>
              <w:rPr>
                <w:rFonts w:ascii="Arial" w:hAnsi="Arial"/>
                <w:b w:val="0"/>
                <w:sz w:val="13"/>
              </w:rPr>
              <w:t>Define explicit authority boundaries for agent actions</w:t>
            </w:r>
          </w:p>
        </w:tc>
        <w:tc>
          <w:tcPr>
            <w:tcW w:type="dxa" w:w="2880"/>
            <w:vAlign w:val="top"/>
          </w:tcPr>
          <w:p>
            <w:pPr>
              <w:spacing w:after="0"/>
              <w:jc w:val="left"/>
            </w:pPr>
            <w:r>
              <w:rPr>
                <w:rFonts w:ascii="Arial" w:hAnsi="Arial"/>
                <w:b w:val="0"/>
                <w:sz w:val="13"/>
              </w:rPr>
              <w:t>authority_grant_type, tool_action_permissions, boundary_violation_policy, reauthorization_trigger, drift_detection_enabled</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MRO-03</w:t>
            </w:r>
          </w:p>
        </w:tc>
        <w:tc>
          <w:tcPr>
            <w:tcW w:type="dxa" w:w="2880"/>
            <w:vAlign w:val="top"/>
          </w:tcPr>
          <w:p>
            <w:pPr>
              <w:spacing w:after="0"/>
              <w:jc w:val="left"/>
            </w:pPr>
            <w:r>
              <w:rPr>
                <w:rFonts w:ascii="Arial" w:hAnsi="Arial"/>
                <w:b w:val="0"/>
                <w:sz w:val="13"/>
              </w:rPr>
              <w:t>Agent Role is not Human Role</w:t>
            </w:r>
          </w:p>
        </w:tc>
        <w:tc>
          <w:tcPr>
            <w:tcW w:type="dxa" w:w="2880"/>
            <w:vAlign w:val="top"/>
          </w:tcPr>
          <w:p>
            <w:pPr>
              <w:spacing w:after="0"/>
              <w:jc w:val="left"/>
            </w:pPr>
            <w:r>
              <w:rPr>
                <w:rFonts w:ascii="Arial" w:hAnsi="Arial"/>
                <w:b w:val="0"/>
                <w:sz w:val="13"/>
              </w:rPr>
              <w:t>Distinguish agent responsibility surfaces from human roles</w:t>
            </w:r>
          </w:p>
        </w:tc>
        <w:tc>
          <w:tcPr>
            <w:tcW w:type="dxa" w:w="2880"/>
            <w:vAlign w:val="top"/>
          </w:tcPr>
          <w:p>
            <w:pPr>
              <w:spacing w:after="0"/>
              <w:jc w:val="left"/>
            </w:pPr>
            <w:r>
              <w:rPr>
                <w:rFonts w:ascii="Arial" w:hAnsi="Arial"/>
                <w:b w:val="0"/>
                <w:sz w:val="13"/>
              </w:rPr>
              <w:t>agent_role_name, agent_responsibility_surface, human_role_distinction, accountability_mapping, role_confusion_risk</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MRO-04</w:t>
            </w:r>
          </w:p>
        </w:tc>
        <w:tc>
          <w:tcPr>
            <w:tcW w:type="dxa" w:w="2880"/>
            <w:vAlign w:val="top"/>
          </w:tcPr>
          <w:p>
            <w:pPr>
              <w:spacing w:after="0"/>
              <w:jc w:val="left"/>
            </w:pPr>
            <w:r>
              <w:rPr>
                <w:rFonts w:ascii="Arial" w:hAnsi="Arial"/>
                <w:b w:val="0"/>
                <w:sz w:val="13"/>
              </w:rPr>
              <w:t>Accepted Outcome Compliance</w:t>
            </w:r>
          </w:p>
        </w:tc>
        <w:tc>
          <w:tcPr>
            <w:tcW w:type="dxa" w:w="2880"/>
            <w:vAlign w:val="top"/>
          </w:tcPr>
          <w:p>
            <w:pPr>
              <w:spacing w:after="0"/>
              <w:jc w:val="left"/>
            </w:pPr>
            <w:r>
              <w:rPr>
                <w:rFonts w:ascii="Arial" w:hAnsi="Arial"/>
                <w:b w:val="0"/>
                <w:sz w:val="13"/>
              </w:rPr>
              <w:t>Record explicit acceptance of agent outcomes by accountable human roles</w:t>
            </w:r>
          </w:p>
        </w:tc>
        <w:tc>
          <w:tcPr>
            <w:tcW w:type="dxa" w:w="2880"/>
            <w:vAlign w:val="top"/>
          </w:tcPr>
          <w:p>
            <w:pPr>
              <w:spacing w:after="0"/>
              <w:jc w:val="left"/>
            </w:pPr>
            <w:r>
              <w:rPr>
                <w:rFonts w:ascii="Arial" w:hAnsi="Arial"/>
                <w:b w:val="0"/>
                <w:sz w:val="13"/>
              </w:rPr>
              <w:t>outcome_description, acceptance_status, accepted_by_role, acceptance_timestamp, rejection_reason, escalation_path</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MRO-05</w:t>
            </w:r>
          </w:p>
        </w:tc>
        <w:tc>
          <w:tcPr>
            <w:tcW w:type="dxa" w:w="2880"/>
            <w:vAlign w:val="top"/>
          </w:tcPr>
          <w:p>
            <w:pPr>
              <w:spacing w:after="0"/>
              <w:jc w:val="left"/>
            </w:pPr>
            <w:r>
              <w:rPr>
                <w:rFonts w:ascii="Arial" w:hAnsi="Arial"/>
                <w:b w:val="0"/>
                <w:sz w:val="13"/>
              </w:rPr>
              <w:t>Tool-Action Liability Boundary</w:t>
            </w:r>
          </w:p>
        </w:tc>
        <w:tc>
          <w:tcPr>
            <w:tcW w:type="dxa" w:w="2880"/>
            <w:vAlign w:val="top"/>
          </w:tcPr>
          <w:p>
            <w:pPr>
              <w:spacing w:after="0"/>
              <w:jc w:val="left"/>
            </w:pPr>
            <w:r>
              <w:rPr>
                <w:rFonts w:ascii="Arial" w:hAnsi="Arial"/>
                <w:b w:val="0"/>
                <w:sz w:val="13"/>
              </w:rPr>
              <w:t>Record tool actions and liability boundaries</w:t>
            </w:r>
          </w:p>
        </w:tc>
        <w:tc>
          <w:tcPr>
            <w:tcW w:type="dxa" w:w="2880"/>
            <w:vAlign w:val="top"/>
          </w:tcPr>
          <w:p>
            <w:pPr>
              <w:spacing w:after="0"/>
              <w:jc w:val="left"/>
            </w:pPr>
            <w:r>
              <w:rPr>
                <w:rFonts w:ascii="Arial" w:hAnsi="Arial"/>
                <w:b w:val="0"/>
                <w:sz w:val="13"/>
              </w:rPr>
              <w:t>tool_name, action_type, liability_assignment, tool_provider_agreement, authorization_record, action_reversibility</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MRO-06</w:t>
            </w:r>
          </w:p>
        </w:tc>
        <w:tc>
          <w:tcPr>
            <w:tcW w:type="dxa" w:w="2880"/>
            <w:vAlign w:val="top"/>
          </w:tcPr>
          <w:p>
            <w:pPr>
              <w:spacing w:after="0"/>
              <w:jc w:val="left"/>
            </w:pPr>
            <w:r>
              <w:rPr>
                <w:rFonts w:ascii="Arial" w:hAnsi="Arial"/>
                <w:b w:val="0"/>
                <w:sz w:val="13"/>
              </w:rPr>
              <w:t>Responsibility Transfer Across Agents</w:t>
            </w:r>
          </w:p>
        </w:tc>
        <w:tc>
          <w:tcPr>
            <w:tcW w:type="dxa" w:w="2880"/>
            <w:vAlign w:val="top"/>
          </w:tcPr>
          <w:p>
            <w:pPr>
              <w:spacing w:after="0"/>
              <w:jc w:val="left"/>
            </w:pPr>
            <w:r>
              <w:rPr>
                <w:rFonts w:ascii="Arial" w:hAnsi="Arial"/>
                <w:b w:val="0"/>
                <w:sz w:val="13"/>
              </w:rPr>
              <w:t>Record responsibility transfer and constraint inheritance across agent handoffs</w:t>
            </w:r>
          </w:p>
        </w:tc>
        <w:tc>
          <w:tcPr>
            <w:tcW w:type="dxa" w:w="2880"/>
            <w:vAlign w:val="top"/>
          </w:tcPr>
          <w:p>
            <w:pPr>
              <w:spacing w:after="0"/>
              <w:jc w:val="left"/>
            </w:pPr>
            <w:r>
              <w:rPr>
                <w:rFonts w:ascii="Arial" w:hAnsi="Arial"/>
                <w:b w:val="0"/>
                <w:sz w:val="13"/>
              </w:rPr>
              <w:t>source_agent_id, target_agent_id, transfer_timestamp, constraint_inheritance, handoff_validation, responsibility_acceptance</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MRO-07</w:t>
            </w:r>
          </w:p>
        </w:tc>
        <w:tc>
          <w:tcPr>
            <w:tcW w:type="dxa" w:w="2880"/>
            <w:vAlign w:val="top"/>
          </w:tcPr>
          <w:p>
            <w:pPr>
              <w:spacing w:after="0"/>
              <w:jc w:val="left"/>
            </w:pPr>
            <w:r>
              <w:rPr>
                <w:rFonts w:ascii="Arial" w:hAnsi="Arial"/>
                <w:b w:val="0"/>
                <w:sz w:val="13"/>
              </w:rPr>
              <w:t>Authority Drift</w:t>
            </w:r>
          </w:p>
        </w:tc>
        <w:tc>
          <w:tcPr>
            <w:tcW w:type="dxa" w:w="2880"/>
            <w:vAlign w:val="top"/>
          </w:tcPr>
          <w:p>
            <w:pPr>
              <w:spacing w:after="0"/>
              <w:jc w:val="left"/>
            </w:pPr>
            <w:r>
              <w:rPr>
                <w:rFonts w:ascii="Arial" w:hAnsi="Arial"/>
                <w:b w:val="0"/>
                <w:sz w:val="13"/>
              </w:rPr>
              <w:t>Detect and record authority drift over time</w:t>
            </w:r>
          </w:p>
        </w:tc>
        <w:tc>
          <w:tcPr>
            <w:tcW w:type="dxa" w:w="2880"/>
            <w:vAlign w:val="top"/>
          </w:tcPr>
          <w:p>
            <w:pPr>
              <w:spacing w:after="0"/>
              <w:jc w:val="left"/>
            </w:pPr>
            <w:r>
              <w:rPr>
                <w:rFonts w:ascii="Arial" w:hAnsi="Arial"/>
                <w:b w:val="0"/>
                <w:sz w:val="13"/>
              </w:rPr>
              <w:t>authority_baseline, current_authority_scope, drift_detected, drift_magnitude, reauthorization_required, drift_alert_policy</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MRO-08</w:t>
            </w:r>
          </w:p>
        </w:tc>
        <w:tc>
          <w:tcPr>
            <w:tcW w:type="dxa" w:w="2880"/>
            <w:vAlign w:val="top"/>
          </w:tcPr>
          <w:p>
            <w:pPr>
              <w:spacing w:after="0"/>
              <w:jc w:val="left"/>
            </w:pPr>
            <w:r>
              <w:rPr>
                <w:rFonts w:ascii="Arial" w:hAnsi="Arial"/>
                <w:b w:val="0"/>
                <w:sz w:val="13"/>
              </w:rPr>
              <w:t>MAS Evidence Partitioning</w:t>
            </w:r>
          </w:p>
        </w:tc>
        <w:tc>
          <w:tcPr>
            <w:tcW w:type="dxa" w:w="2880"/>
            <w:vAlign w:val="top"/>
          </w:tcPr>
          <w:p>
            <w:pPr>
              <w:spacing w:after="0"/>
              <w:jc w:val="left"/>
            </w:pPr>
            <w:r>
              <w:rPr>
                <w:rFonts w:ascii="Arial" w:hAnsi="Arial"/>
                <w:b w:val="0"/>
                <w:sz w:val="13"/>
              </w:rPr>
              <w:t>Partition evidence by project, customer, jurisdiction, or data subject</w:t>
            </w:r>
          </w:p>
        </w:tc>
        <w:tc>
          <w:tcPr>
            <w:tcW w:type="dxa" w:w="2880"/>
            <w:vAlign w:val="top"/>
          </w:tcPr>
          <w:p>
            <w:pPr>
              <w:spacing w:after="0"/>
              <w:jc w:val="left"/>
            </w:pPr>
            <w:r>
              <w:rPr>
                <w:rFonts w:ascii="Arial" w:hAnsi="Arial"/>
                <w:b w:val="0"/>
                <w:sz w:val="13"/>
              </w:rPr>
              <w:t>partition_key, partition_type, evidence_export_policy, selective_disclosure_enabled, partition_boundary, cross_partition_access_policy</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MRO-09</w:t>
            </w:r>
          </w:p>
        </w:tc>
        <w:tc>
          <w:tcPr>
            <w:tcW w:type="dxa" w:w="2880"/>
            <w:vAlign w:val="top"/>
          </w:tcPr>
          <w:p>
            <w:pPr>
              <w:spacing w:after="0"/>
              <w:jc w:val="left"/>
            </w:pPr>
            <w:r>
              <w:rPr>
                <w:rFonts w:ascii="Arial" w:hAnsi="Arial"/>
                <w:b w:val="0"/>
                <w:sz w:val="13"/>
              </w:rPr>
              <w:t>Cross-Project Reuse Compliance</w:t>
            </w:r>
          </w:p>
        </w:tc>
        <w:tc>
          <w:tcPr>
            <w:tcW w:type="dxa" w:w="2880"/>
            <w:vAlign w:val="top"/>
          </w:tcPr>
          <w:p>
            <w:pPr>
              <w:spacing w:after="0"/>
              <w:jc w:val="left"/>
            </w:pPr>
            <w:r>
              <w:rPr>
                <w:rFonts w:ascii="Arial" w:hAnsi="Arial"/>
                <w:b w:val="0"/>
                <w:sz w:val="13"/>
              </w:rPr>
              <w:t>Validate reuse compliance across regulated contexts</w:t>
            </w:r>
          </w:p>
        </w:tc>
        <w:tc>
          <w:tcPr>
            <w:tcW w:type="dxa" w:w="2880"/>
            <w:vAlign w:val="top"/>
          </w:tcPr>
          <w:p>
            <w:pPr>
              <w:spacing w:after="0"/>
              <w:jc w:val="left"/>
            </w:pPr>
            <w:r>
              <w:rPr>
                <w:rFonts w:ascii="Arial" w:hAnsi="Arial"/>
                <w:b w:val="0"/>
                <w:sz w:val="13"/>
              </w:rPr>
              <w:t>source_project_id, target_project_id, reuse_type, reset_validation, reauthorization_required, context_boundary_check</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MRO-10</w:t>
            </w:r>
          </w:p>
        </w:tc>
        <w:tc>
          <w:tcPr>
            <w:tcW w:type="dxa" w:w="2880"/>
            <w:vAlign w:val="top"/>
          </w:tcPr>
          <w:p>
            <w:pPr>
              <w:spacing w:after="0"/>
              <w:jc w:val="left"/>
            </w:pPr>
            <w:r>
              <w:rPr>
                <w:rFonts w:ascii="Arial" w:hAnsi="Arial"/>
                <w:b w:val="0"/>
                <w:sz w:val="13"/>
              </w:rPr>
              <w:t>Privacy / GDPR Lifecycle Mapping</w:t>
            </w:r>
          </w:p>
        </w:tc>
        <w:tc>
          <w:tcPr>
            <w:tcW w:type="dxa" w:w="2880"/>
            <w:vAlign w:val="top"/>
          </w:tcPr>
          <w:p>
            <w:pPr>
              <w:spacing w:after="0"/>
              <w:jc w:val="left"/>
            </w:pPr>
            <w:r>
              <w:rPr>
                <w:rFonts w:ascii="Arial" w:hAnsi="Arial"/>
                <w:b w:val="0"/>
                <w:sz w:val="13"/>
              </w:rPr>
              <w:t>Map data flow, retention, and subject rights across agent lifecycle</w:t>
            </w:r>
          </w:p>
        </w:tc>
        <w:tc>
          <w:tcPr>
            <w:tcW w:type="dxa" w:w="2880"/>
            <w:vAlign w:val="top"/>
          </w:tcPr>
          <w:p>
            <w:pPr>
              <w:spacing w:after="0"/>
              <w:jc w:val="left"/>
            </w:pPr>
            <w:r>
              <w:rPr>
                <w:rFonts w:ascii="Arial" w:hAnsi="Arial"/>
                <w:b w:val="0"/>
                <w:sz w:val="13"/>
              </w:rPr>
              <w:t>data_flow_record, retention_policy, data_subject_rights_workflow, privacy_impact_assessment, gdpr_article_mapping, data_minimization_policy</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MRO-11</w:t>
            </w:r>
          </w:p>
        </w:tc>
        <w:tc>
          <w:tcPr>
            <w:tcW w:type="dxa" w:w="2880"/>
            <w:vAlign w:val="top"/>
          </w:tcPr>
          <w:p>
            <w:pPr>
              <w:spacing w:after="0"/>
              <w:jc w:val="left"/>
            </w:pPr>
            <w:r>
              <w:rPr>
                <w:rFonts w:ascii="Arial" w:hAnsi="Arial"/>
                <w:b w:val="0"/>
                <w:sz w:val="13"/>
              </w:rPr>
              <w:t>Privacy-Preserving Third-Party Validation</w:t>
            </w:r>
          </w:p>
        </w:tc>
        <w:tc>
          <w:tcPr>
            <w:tcW w:type="dxa" w:w="2880"/>
            <w:vAlign w:val="top"/>
          </w:tcPr>
          <w:p>
            <w:pPr>
              <w:spacing w:after="0"/>
              <w:jc w:val="left"/>
            </w:pPr>
            <w:r>
              <w:rPr>
                <w:rFonts w:ascii="Arial" w:hAnsi="Arial"/>
                <w:b w:val="0"/>
                <w:sz w:val="13"/>
              </w:rPr>
              <w:t>Support privacy-preserving validation without exposing sensitive data</w:t>
            </w:r>
          </w:p>
        </w:tc>
        <w:tc>
          <w:tcPr>
            <w:tcW w:type="dxa" w:w="2880"/>
            <w:vAlign w:val="top"/>
          </w:tcPr>
          <w:p>
            <w:pPr>
              <w:spacing w:after="0"/>
              <w:jc w:val="left"/>
            </w:pPr>
            <w:r>
              <w:rPr>
                <w:rFonts w:ascii="Arial" w:hAnsi="Arial"/>
                <w:b w:val="0"/>
                <w:sz w:val="13"/>
              </w:rPr>
              <w:t>validation_protocol, disclosure_profile, redaction_profile, hash_manifest, verdict_hash, validation_provider_agreement</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MRO-12</w:t>
            </w:r>
          </w:p>
        </w:tc>
        <w:tc>
          <w:tcPr>
            <w:tcW w:type="dxa" w:w="2880"/>
            <w:vAlign w:val="top"/>
          </w:tcPr>
          <w:p>
            <w:pPr>
              <w:spacing w:after="0"/>
              <w:jc w:val="left"/>
            </w:pPr>
            <w:r>
              <w:rPr>
                <w:rFonts w:ascii="Arial" w:hAnsi="Arial"/>
                <w:b w:val="0"/>
                <w:sz w:val="13"/>
              </w:rPr>
              <w:t>Evidence Minimization and Selective Disclosure</w:t>
            </w:r>
          </w:p>
        </w:tc>
        <w:tc>
          <w:tcPr>
            <w:tcW w:type="dxa" w:w="2880"/>
            <w:vAlign w:val="top"/>
          </w:tcPr>
          <w:p>
            <w:pPr>
              <w:spacing w:after="0"/>
              <w:jc w:val="left"/>
            </w:pPr>
            <w:r>
              <w:rPr>
                <w:rFonts w:ascii="Arial" w:hAnsi="Arial"/>
                <w:b w:val="0"/>
                <w:sz w:val="13"/>
              </w:rPr>
              <w:t>Implement evidence minimization and selective disclosure policies</w:t>
            </w:r>
          </w:p>
        </w:tc>
        <w:tc>
          <w:tcPr>
            <w:tcW w:type="dxa" w:w="2880"/>
            <w:vAlign w:val="top"/>
          </w:tcPr>
          <w:p>
            <w:pPr>
              <w:spacing w:after="0"/>
              <w:jc w:val="left"/>
            </w:pPr>
            <w:r>
              <w:rPr>
                <w:rFonts w:ascii="Arial" w:hAnsi="Arial"/>
                <w:b w:val="0"/>
                <w:sz w:val="13"/>
              </w:rPr>
              <w:t>retention_policy, disclosure_policy, minimization_rules, selective_disclosure_log, evidence_expiry, disclosure_justification</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MRO-13</w:t>
            </w:r>
          </w:p>
        </w:tc>
        <w:tc>
          <w:tcPr>
            <w:tcW w:type="dxa" w:w="2880"/>
            <w:vAlign w:val="top"/>
          </w:tcPr>
          <w:p>
            <w:pPr>
              <w:spacing w:after="0"/>
              <w:jc w:val="left"/>
            </w:pPr>
            <w:r>
              <w:rPr>
                <w:rFonts w:ascii="Arial" w:hAnsi="Arial"/>
                <w:b w:val="0"/>
                <w:sz w:val="13"/>
              </w:rPr>
              <w:t>Data Subject Rights vs Evidence Retention</w:t>
            </w:r>
          </w:p>
        </w:tc>
        <w:tc>
          <w:tcPr>
            <w:tcW w:type="dxa" w:w="2880"/>
            <w:vAlign w:val="top"/>
          </w:tcPr>
          <w:p>
            <w:pPr>
              <w:spacing w:after="0"/>
              <w:jc w:val="left"/>
            </w:pPr>
            <w:r>
              <w:rPr>
                <w:rFonts w:ascii="Arial" w:hAnsi="Arial"/>
                <w:b w:val="0"/>
                <w:sz w:val="13"/>
              </w:rPr>
              <w:t>Reconcile data subject rights with evidence retention requirements</w:t>
            </w:r>
          </w:p>
        </w:tc>
        <w:tc>
          <w:tcPr>
            <w:tcW w:type="dxa" w:w="2880"/>
            <w:vAlign w:val="top"/>
          </w:tcPr>
          <w:p>
            <w:pPr>
              <w:spacing w:after="0"/>
              <w:jc w:val="left"/>
            </w:pPr>
            <w:r>
              <w:rPr>
                <w:rFonts w:ascii="Arial" w:hAnsi="Arial"/>
                <w:b w:val="0"/>
                <w:sz w:val="13"/>
              </w:rPr>
              <w:t>data_subject_request_type, evidence_retention_requirement, reconciliation_policy, legal_hold_status, erasure_exception, retention_justification</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MRO-14</w:t>
            </w:r>
          </w:p>
        </w:tc>
        <w:tc>
          <w:tcPr>
            <w:tcW w:type="dxa" w:w="2880"/>
            <w:vAlign w:val="top"/>
          </w:tcPr>
          <w:p>
            <w:pPr>
              <w:spacing w:after="0"/>
              <w:jc w:val="left"/>
            </w:pPr>
            <w:r>
              <w:rPr>
                <w:rFonts w:ascii="Arial" w:hAnsi="Arial"/>
                <w:b w:val="0"/>
                <w:sz w:val="13"/>
              </w:rPr>
              <w:t>Third-Party Processor / Subprocessor Chain</w:t>
            </w:r>
          </w:p>
        </w:tc>
        <w:tc>
          <w:tcPr>
            <w:tcW w:type="dxa" w:w="2880"/>
            <w:vAlign w:val="top"/>
          </w:tcPr>
          <w:p>
            <w:pPr>
              <w:spacing w:after="0"/>
              <w:jc w:val="left"/>
            </w:pPr>
            <w:r>
              <w:rPr>
                <w:rFonts w:ascii="Arial" w:hAnsi="Arial"/>
                <w:b w:val="0"/>
                <w:sz w:val="13"/>
              </w:rPr>
              <w:t>Map processor and subprocessor chain with responsibility assignment</w:t>
            </w:r>
          </w:p>
        </w:tc>
        <w:tc>
          <w:tcPr>
            <w:tcW w:type="dxa" w:w="2880"/>
            <w:vAlign w:val="top"/>
          </w:tcPr>
          <w:p>
            <w:pPr>
              <w:spacing w:after="0"/>
              <w:jc w:val="left"/>
            </w:pPr>
            <w:r>
              <w:rPr>
                <w:rFonts w:ascii="Arial" w:hAnsi="Arial"/>
                <w:b w:val="0"/>
                <w:sz w:val="13"/>
              </w:rPr>
              <w:t>processor_name, processor_role, subprocessor_chain, data_processing_agreement, responsibility_assignment, processor_liability</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MRO-15</w:t>
            </w:r>
          </w:p>
        </w:tc>
        <w:tc>
          <w:tcPr>
            <w:tcW w:type="dxa" w:w="2880"/>
            <w:vAlign w:val="top"/>
          </w:tcPr>
          <w:p>
            <w:pPr>
              <w:spacing w:after="0"/>
              <w:jc w:val="left"/>
            </w:pPr>
            <w:r>
              <w:rPr>
                <w:rFonts w:ascii="Arial" w:hAnsi="Arial"/>
                <w:b w:val="0"/>
                <w:sz w:val="13"/>
              </w:rPr>
              <w:t>Vendor / Model / Runtime Substitution Conformance</w:t>
            </w:r>
          </w:p>
        </w:tc>
        <w:tc>
          <w:tcPr>
            <w:tcW w:type="dxa" w:w="2880"/>
            <w:vAlign w:val="top"/>
          </w:tcPr>
          <w:p>
            <w:pPr>
              <w:spacing w:after="0"/>
              <w:jc w:val="left"/>
            </w:pPr>
            <w:r>
              <w:rPr>
                <w:rFonts w:ascii="Arial" w:hAnsi="Arial"/>
                <w:b w:val="0"/>
                <w:sz w:val="13"/>
              </w:rPr>
              <w:t>Validate conformance after vendor, model, or runtime substitution</w:t>
            </w:r>
          </w:p>
        </w:tc>
        <w:tc>
          <w:tcPr>
            <w:tcW w:type="dxa" w:w="2880"/>
            <w:vAlign w:val="top"/>
          </w:tcPr>
          <w:p>
            <w:pPr>
              <w:spacing w:after="0"/>
              <w:jc w:val="left"/>
            </w:pPr>
            <w:r>
              <w:rPr>
                <w:rFonts w:ascii="Arial" w:hAnsi="Arial"/>
                <w:b w:val="0"/>
                <w:sz w:val="13"/>
              </w:rPr>
              <w:t>substitution_type, previous_vendor, new_vendor, conformance_validation, regression_testing, evidence_integrity_check</w:t>
            </w:r>
          </w:p>
        </w:tc>
        <w:tc>
          <w:tcPr>
            <w:tcW w:type="dxa" w:w="2880"/>
            <w:vAlign w:val="top"/>
          </w:tcPr>
          <w:p>
            <w:pPr>
              <w:spacing w:after="0"/>
              <w:jc w:val="left"/>
            </w:pPr>
            <w:r>
              <w:rPr>
                <w:rFonts w:ascii="Arial" w:hAnsi="Arial"/>
                <w:b w:val="0"/>
                <w:sz w:val="13"/>
              </w:rPr>
              <w:t>Illustrative only; not legal requirement; not certification requirement</w:t>
            </w:r>
          </w:p>
        </w:tc>
      </w:tr>
      <w:tr>
        <w:trPr>
          <w:cantSplit/>
        </w:trPr>
        <w:tc>
          <w:tcPr>
            <w:tcW w:type="dxa" w:w="2880"/>
            <w:vAlign w:val="top"/>
          </w:tcPr>
          <w:p>
            <w:pPr>
              <w:spacing w:after="0"/>
              <w:jc w:val="left"/>
            </w:pPr>
            <w:r>
              <w:rPr>
                <w:rFonts w:ascii="Arial" w:hAnsi="Arial"/>
                <w:b w:val="0"/>
                <w:sz w:val="13"/>
              </w:rPr>
              <w:t>MRO-16</w:t>
            </w:r>
          </w:p>
        </w:tc>
        <w:tc>
          <w:tcPr>
            <w:tcW w:type="dxa" w:w="2880"/>
            <w:vAlign w:val="top"/>
          </w:tcPr>
          <w:p>
            <w:pPr>
              <w:spacing w:after="0"/>
              <w:jc w:val="left"/>
            </w:pPr>
            <w:r>
              <w:rPr>
                <w:rFonts w:ascii="Arial" w:hAnsi="Arial"/>
                <w:b w:val="0"/>
                <w:sz w:val="13"/>
              </w:rPr>
              <w:t>Incident, Dispute, and Remediation Closure</w:t>
            </w:r>
          </w:p>
        </w:tc>
        <w:tc>
          <w:tcPr>
            <w:tcW w:type="dxa" w:w="2880"/>
            <w:vAlign w:val="top"/>
          </w:tcPr>
          <w:p>
            <w:pPr>
              <w:spacing w:after="0"/>
              <w:jc w:val="left"/>
            </w:pPr>
            <w:r>
              <w:rPr>
                <w:rFonts w:ascii="Arial" w:hAnsi="Arial"/>
                <w:b w:val="0"/>
                <w:sz w:val="13"/>
              </w:rPr>
              <w:t>Record incident, dispute, and remediation closure with responsible owner</w:t>
            </w:r>
          </w:p>
        </w:tc>
        <w:tc>
          <w:tcPr>
            <w:tcW w:type="dxa" w:w="2880"/>
            <w:vAlign w:val="top"/>
          </w:tcPr>
          <w:p>
            <w:pPr>
              <w:spacing w:after="0"/>
              <w:jc w:val="left"/>
            </w:pPr>
            <w:r>
              <w:rPr>
                <w:rFonts w:ascii="Arial" w:hAnsi="Arial"/>
                <w:b w:val="0"/>
                <w:sz w:val="13"/>
              </w:rPr>
              <w:t>incident_type, affected_outcomes, remediation_action, closure_status, responsible_owner, customer_impact_assessment</w:t>
            </w:r>
          </w:p>
        </w:tc>
        <w:tc>
          <w:tcPr>
            <w:tcW w:type="dxa" w:w="2880"/>
            <w:vAlign w:val="top"/>
          </w:tcPr>
          <w:p>
            <w:pPr>
              <w:spacing w:after="0"/>
              <w:jc w:val="left"/>
            </w:pPr>
            <w:r>
              <w:rPr>
                <w:rFonts w:ascii="Arial" w:hAnsi="Arial"/>
                <w:b w:val="0"/>
                <w:sz w:val="13"/>
              </w:rPr>
              <w:t>Illustrative only; not legal requirement; not certification requirement</w:t>
            </w:r>
          </w:p>
        </w:tc>
      </w:tr>
    </w:tbl>
    <w:p>
      <w:pPr>
        <w:sectPr>
          <w:pgSz w:w="15840" w:h="12240" w:orient="landscape"/>
          <w:pgMar w:top="792" w:right="648" w:bottom="792" w:left="648" w:header="720" w:footer="720" w:gutter="0"/>
          <w:cols w:space="720"/>
          <w:docGrid w:linePitch="360"/>
        </w:sectPr>
      </w:pPr>
    </w:p>
    <w:p/>
    <w:p/>
    <w:p>
      <w:pPr>
        <w:pStyle w:val="Heading2"/>
      </w:pPr>
      <w:r>
        <w:t>A.3 MRO Templates</w:t>
      </w:r>
    </w:p>
    <w:p/>
    <w:p>
      <w:pPr>
        <w:pStyle w:val="Heading3"/>
      </w:pPr>
      <w:r>
        <w:t>MRO-01: Human Role to MAS Responsibility Mapping</w:t>
      </w:r>
    </w:p>
    <w:p/>
    <w:p>
      <w:pPr>
        <w:spacing w:before="60" w:after="100"/>
        <w:ind w:left="259"/>
      </w:pPr>
      <w:r>
        <w:rPr>
          <w:rFonts w:ascii="Courier New" w:hAnsi="Courier New"/>
          <w:sz w:val="15"/>
        </w:rP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
      <w:pPr>
        <w:pStyle w:val="Heading3"/>
      </w:pPr>
      <w:r>
        <w:t>MRO-02: Delegated Authority Boundary</w:t>
      </w:r>
    </w:p>
    <w:p/>
    <w:p>
      <w:pPr>
        <w:spacing w:before="60" w:after="100"/>
        <w:ind w:left="259"/>
      </w:pPr>
      <w:r>
        <w:rPr>
          <w:rFonts w:ascii="Courier New" w:hAnsi="Courier New"/>
          <w:sz w:val="15"/>
        </w:rP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
      <w:pPr>
        <w:pStyle w:val="Heading3"/>
      </w:pPr>
      <w:r>
        <w:t>MRO-03: Agent Role is not Human Role</w:t>
      </w:r>
    </w:p>
    <w:p/>
    <w:p>
      <w:pPr>
        <w:spacing w:before="60" w:after="100"/>
        <w:ind w:left="259"/>
      </w:pPr>
      <w:r>
        <w:rPr>
          <w:rFonts w:ascii="Courier New" w:hAnsi="Courier New"/>
          <w:sz w:val="15"/>
        </w:rP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
      <w:pPr>
        <w:pStyle w:val="Heading3"/>
      </w:pPr>
      <w:r>
        <w:t>MRO-04: Accepted Outcome Compliance</w:t>
      </w:r>
    </w:p>
    <w:p/>
    <w:p>
      <w:pPr>
        <w:spacing w:before="60" w:after="100"/>
        <w:ind w:left="259"/>
      </w:pPr>
      <w:r>
        <w:rPr>
          <w:rFonts w:ascii="Courier New" w:hAnsi="Courier New"/>
          <w:sz w:val="15"/>
        </w:rP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
      <w:pPr>
        <w:pStyle w:val="Heading3"/>
      </w:pPr>
      <w:r>
        <w:t>MRO-05: Tool-Action Liability Boundary</w:t>
      </w:r>
    </w:p>
    <w:p/>
    <w:p>
      <w:pPr>
        <w:spacing w:before="60" w:after="100"/>
        <w:ind w:left="259"/>
      </w:pPr>
      <w:r>
        <w:rPr>
          <w:rFonts w:ascii="Courier New" w:hAnsi="Courier New"/>
          <w:sz w:val="15"/>
        </w:rP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"enterprise"</w:t>
        <w:br/>
        <w:t>tool_provider_agreement: "agreement-uuid"</w:t>
        <w:br/>
        <w:t>authorization_record: "authorization-uuid"</w:t>
        <w:br/>
        <w:t>action_reversibility: "reversible_with_audit_trail"</w:t>
      </w:r>
    </w:p>
    <w:p/>
    <w:p>
      <w:pPr>
        <w:pStyle w:val="Heading3"/>
      </w:pPr>
      <w:r>
        <w:t>MRO-06: Responsibility Transfer Across Agents</w:t>
      </w:r>
    </w:p>
    <w:p/>
    <w:p>
      <w:pPr>
        <w:spacing w:before="60" w:after="100"/>
        <w:ind w:left="259"/>
      </w:pPr>
      <w:r>
        <w:rPr>
          <w:rFonts w:ascii="Courier New" w:hAnsi="Courier New"/>
          <w:sz w:val="15"/>
        </w:rP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"validated"</w:t>
        <w:br/>
        <w:t>responsibility_acceptance: "accepted_by_agent_2"</w:t>
      </w:r>
    </w:p>
    <w:p/>
    <w:p>
      <w:pPr>
        <w:pStyle w:val="Heading3"/>
      </w:pPr>
      <w:r>
        <w:t>MRO-07: Authority Drift</w:t>
      </w:r>
    </w:p>
    <w:p/>
    <w:p>
      <w:pPr>
        <w:spacing w:before="60" w:after="100"/>
        <w:ind w:left="259"/>
      </w:pPr>
      <w:r>
        <w:rPr>
          <w:rFonts w:ascii="Courier New" w:hAnsi="Courier New"/>
          <w:sz w:val="15"/>
        </w:rP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
      <w:pPr>
        <w:pStyle w:val="Heading3"/>
      </w:pPr>
      <w:r>
        <w:t>MRO-08: MAS Evidence Partitioning</w:t>
      </w:r>
    </w:p>
    <w:p/>
    <w:p>
      <w:pPr>
        <w:spacing w:before="60" w:after="100"/>
        <w:ind w:left="259"/>
      </w:pPr>
      <w:r>
        <w:rPr>
          <w:rFonts w:ascii="Courier New" w:hAnsi="Courier New"/>
          <w:sz w:val="15"/>
        </w:rP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
      <w:pPr>
        <w:pStyle w:val="Heading3"/>
      </w:pPr>
      <w:r>
        <w:t>MRO-09: Cross-Project Reuse Compliance</w:t>
      </w:r>
    </w:p>
    <w:p/>
    <w:p>
      <w:pPr>
        <w:spacing w:before="60" w:after="100"/>
        <w:ind w:left="259"/>
      </w:pPr>
      <w:r>
        <w:rPr>
          <w:rFonts w:ascii="Courier New" w:hAnsi="Courier New"/>
          <w:sz w:val="15"/>
        </w:rP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"reuse_validated"</w:t>
        <w:br/>
        <w:t>created_at: "2026-05-10T10:00:00Z"</w:t>
        <w:br/>
        <w:t>updated_at: "2026-05-10T10:00:00Z"</w:t>
        <w:br/>
        <w:t>closure_reason: null</w:t>
        <w:br/>
        <w:br/>
        <w:t># Object-specific fields</w:t>
        <w:br/>
        <w:t>source_project_id: "project-1-uuid"</w:t>
        <w:br/>
        <w:t>target_project_id: "project-2-uuid"</w:t>
        <w:br/>
        <w:t>reuse_type: "prompt_template"</w:t>
        <w:br/>
        <w:t>reset_validation: "validated"</w:t>
        <w:br/>
        <w:t>reauthorization_required: true</w:t>
        <w:br/>
        <w:t>context_boundary_check: "passed"</w:t>
      </w:r>
    </w:p>
    <w:p/>
    <w:p>
      <w:pPr>
        <w:pStyle w:val="Heading3"/>
      </w:pPr>
      <w:r>
        <w:t>MRO-10: Privacy / GDPR Lifecycle Mapping</w:t>
      </w:r>
    </w:p>
    <w:p/>
    <w:p>
      <w:pPr>
        <w:spacing w:before="60" w:after="100"/>
        <w:ind w:left="259"/>
      </w:pPr>
      <w:r>
        <w:rPr>
          <w:rFonts w:ascii="Courier New" w:hAnsi="Courier New"/>
          <w:sz w:val="15"/>
        </w:rP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"erasure_supported"</w:t>
        <w:br/>
        <w:t>privacy_impact_assessment: "pia-uuid"</w:t>
        <w:br/>
        <w:t>gdpr_article_mapping: ["Article 6", "Article 17"]</w:t>
        <w:br/>
        <w:t>data_minimization_policy: "collect_only_necessary"</w:t>
      </w:r>
    </w:p>
    <w:p/>
    <w:p>
      <w:pPr>
        <w:pStyle w:val="Heading3"/>
      </w:pPr>
      <w:r>
        <w:t>MRO-11: Privacy-Preserving Third-Party Validation</w:t>
      </w:r>
    </w:p>
    <w:p/>
    <w:p>
      <w:pPr>
        <w:spacing w:before="60" w:after="100"/>
        <w:ind w:left="259"/>
      </w:pPr>
      <w:r>
        <w:rPr>
          <w:rFonts w:ascii="Courier New" w:hAnsi="Courier New"/>
          <w:sz w:val="15"/>
        </w:rP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
      <w:pPr>
        <w:pStyle w:val="Heading3"/>
      </w:pPr>
      <w:r>
        <w:t>MRO-12: Evidence Minimization and Selective Disclosure</w:t>
      </w:r>
    </w:p>
    <w:p/>
    <w:p>
      <w:pPr>
        <w:spacing w:before="60" w:after="100"/>
        <w:ind w:left="259"/>
      </w:pPr>
      <w:r>
        <w:rPr>
          <w:rFonts w:ascii="Courier New" w:hAnsi="Courier New"/>
          <w:sz w:val="15"/>
        </w:rP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
      <w:pPr>
        <w:pStyle w:val="Heading3"/>
      </w:pPr>
      <w:r>
        <w:t>MRO-13: Data Subject Rights vs Evidence Retention</w:t>
      </w:r>
    </w:p>
    <w:p/>
    <w:p>
      <w:pPr>
        <w:spacing w:before="60" w:after="100"/>
        <w:ind w:left="259"/>
      </w:pPr>
      <w:r>
        <w:rPr>
          <w:rFonts w:ascii="Courier New" w:hAnsi="Courier New"/>
          <w:sz w:val="15"/>
        </w:rP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
      <w:pPr>
        <w:pStyle w:val="Heading3"/>
      </w:pPr>
      <w:r>
        <w:t>MRO-14: Third-Party Processor / Subprocessor Chain</w:t>
      </w:r>
    </w:p>
    <w:p/>
    <w:p>
      <w:pPr>
        <w:spacing w:before="60" w:after="100"/>
        <w:ind w:left="259"/>
      </w:pPr>
      <w:r>
        <w:rPr>
          <w:rFonts w:ascii="Courier New" w:hAnsi="Courier New"/>
          <w:sz w:val="15"/>
        </w:rP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"processor_liable_for_subprocessors"</w:t>
        <w:br/>
        <w:t>processor_liability: "gdpr_article_28_mapping_required"</w:t>
      </w:r>
    </w:p>
    <w:p/>
    <w:p>
      <w:pPr>
        <w:pStyle w:val="Heading3"/>
      </w:pPr>
      <w:r>
        <w:t>MRO-15: Vendor / Model / Runtime Substitution Conformance</w:t>
      </w:r>
    </w:p>
    <w:p/>
    <w:p>
      <w:pPr>
        <w:spacing w:before="60" w:after="100"/>
        <w:ind w:left="259"/>
      </w:pPr>
      <w:r>
        <w:rPr>
          <w:rFonts w:ascii="Courier New" w:hAnsi="Courier New"/>
          <w:sz w:val="15"/>
        </w:rP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"conformance_validated"</w:t>
        <w:br/>
        <w:t>created_at: "2026-05-10T10:00:00Z"</w:t>
        <w:br/>
        <w:t>updated_at: "2026-05-10T10:00:00Z"</w:t>
        <w:br/>
        <w:t>closure_reason: null</w:t>
        <w:br/>
        <w:br/>
        <w:t># Object-specific fields</w:t>
        <w:br/>
        <w:t>substitution_type: "model_provider"</w:t>
        <w:br/>
        <w:t>previous_vendor: "Vendor A"</w:t>
        <w:br/>
        <w:t>new_vendor: "Vendor B"</w:t>
        <w:br/>
        <w:t>conformance_validation: "passed"</w:t>
        <w:br/>
        <w:t>regression_testing: "passed"</w:t>
        <w:br/>
        <w:t>evidence_integrity_check: "passed"</w:t>
      </w:r>
    </w:p>
    <w:p/>
    <w:p>
      <w:pPr>
        <w:pStyle w:val="Heading3"/>
      </w:pPr>
      <w:r>
        <w:t>MRO-16: Incident, Dispute, and Remediation Closure</w:t>
      </w:r>
    </w:p>
    <w:p/>
    <w:p>
      <w:pPr>
        <w:spacing w:before="60" w:after="100"/>
        <w:ind w:left="259"/>
      </w:pPr>
      <w:r>
        <w:rPr>
          <w:rFonts w:ascii="Courier New" w:hAnsi="Courier New"/>
          <w:sz w:val="15"/>
        </w:rP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
    <w:p>
      <w:r>
        <w:t>End of Appendix A</w:t>
      </w:r>
    </w:p>
    <w:p/>
    <w:p>
      <w:r>
        <w:t>Appendix A Status: FILLED (Phase 1B-8; Phase 1C follow-up reviewed) — Machine-Readable Object Templates complete; illustrative status preserved.</w:t>
      </w:r>
    </w:p>
    <w:p>
      <w:pPr>
        <w:pStyle w:val="Heading1"/>
      </w:pPr>
      <w:r>
        <w:t>Appendix B — Scorecard Template</w:t>
      </w:r>
    </w:p>
    <w:p/>
    <w:p>
      <w:r>
        <w:t>Version: v0.3.2-FRC-R3</w:t>
      </w:r>
    </w:p>
    <w:p>
      <w:r>
        <w:t>Status: Reconstructed from v0.3.1 semantic base</w:t>
      </w:r>
    </w:p>
    <w:p>
      <w:r>
        <w:t>Phase: 1B-8</w:t>
      </w:r>
    </w:p>
    <w:p/>
    <w:p/>
    <w:p>
      <w:pPr>
        <w:pStyle w:val="Heading2"/>
      </w:pPr>
      <w:r>
        <w:t>B.0 Scorecard Boundary</w:t>
      </w:r>
    </w:p>
    <w:p/>
    <w:p>
      <w:r>
        <w:t>This appendix provides reusable RCCS/ALCS scorecard templates for system evaluation and gap analysis. These templates are analytical tools, not legal compliance scores, certifications, or regulatory approvals.</w:t>
      </w:r>
    </w:p>
    <w:p/>
    <w:p>
      <w:r>
        <w:t>Boundary statement:</w:t>
      </w:r>
    </w:p>
    <w:p/>
    <w:p>
      <w:pPr>
        <w:pStyle w:val="ListBullet"/>
      </w:pPr>
      <w:r>
        <w:t>Scorecards are analytical tools only. RCCS and ALCS scores measure regulatory compliance coverage and lifecycle responsibility object maturity. They do not prove legal compliance, regulatory approval, or certification.</w:t>
      </w:r>
    </w:p>
    <w:p/>
    <w:p>
      <w:pPr>
        <w:pStyle w:val="ListBullet"/>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
      <w:pPr>
        <w:pStyle w:val="ListBullet"/>
      </w:pPr>
      <w:r>
        <w:t>Low scores do not prove non-compliance. A low RCCS or ALCS score indicates gaps in regulatory compliance coverage or lifecycle responsibility object maturity. It does not prove that the system is non-compliant, unsafe, or unsuitable for deployment.</w:t>
      </w:r>
    </w:p>
    <w:p/>
    <w:p>
      <w:pPr>
        <w:pStyle w:val="ListBullet"/>
      </w:pPr>
      <w:r>
        <w:t>Scores are context-independent. RCCS and ALCS scores measure system capability, not organizational practice. Organizations must interpret scores within their legal, regulatory, and operational context.</w:t>
      </w:r>
    </w:p>
    <w:p/>
    <w:p>
      <w:pPr>
        <w:pStyle w:val="ListBullet"/>
      </w:pPr>
      <w:r>
        <w:t>Scores require evidence. All scores must be supported by evidence. The evidence level (L1-L5) affects the score multiplier. Scores without evidence are not valid.</w:t>
      </w:r>
    </w:p>
    <w:p/>
    <w:p>
      <w:pPr>
        <w:pStyle w:val="ListBullet"/>
      </w:pPr>
      <w:r>
        <w:t>Scores are not product rankings. Scorecards compare systems by responsibility semantics, not product quality, market leadership, or procurement suitability.</w:t>
      </w:r>
    </w:p>
    <w:p/>
    <w:p/>
    <w:p>
      <w:pPr>
        <w:pStyle w:val="Heading2"/>
      </w:pPr>
      <w:r>
        <w:t>B.1 Dimension-Level Scoring Template</w:t>
      </w:r>
    </w:p>
    <w:p/>
    <w:p>
      <w:r>
        <w:t>The following template supports dimension-level scoring for RCCS and ALCS dimensions.</w:t>
      </w:r>
    </w:p>
    <w:p/>
    <w:p>
      <w:pPr>
        <w:keepNext/>
      </w:pPr>
      <w:r>
        <w:rPr>
          <w:b/>
          <w:sz w:val="17"/>
        </w:rPr>
        <w:t>Table T-B-01: RCCS/ALCS Dimension Scorecard Template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368"/>
        <w:gridCol w:w="1368"/>
        <w:gridCol w:w="1368"/>
        <w:gridCol w:w="1368"/>
        <w:gridCol w:w="1368"/>
        <w:gridCol w:w="1368"/>
        <w:gridCol w:w="1368"/>
        <w:gridCol w:w="1368"/>
      </w:tblGrid>
      <w:tr>
        <w:trPr>
          <w:tblHeader w:val="true"/>
          <w:cantSplit/>
        </w:trPr>
        <w:tc>
          <w:tcPr>
            <w:tcW w:type="dxa" w:w="1800"/>
            <w:vAlign w:val="top"/>
            <w:shd w:fill="D9EAF7"/>
            <w:textDirection w:val="lrTb"/>
          </w:tcPr>
          <w:p>
            <w:pPr>
              <w:spacing w:after="0"/>
              <w:jc w:val="left"/>
            </w:pPr>
            <w:r>
              <w:rPr>
                <w:rFonts w:ascii="Arial" w:hAnsi="Arial"/>
                <w:b/>
                <w:sz w:val="11"/>
              </w:rPr>
              <w:t>System</w:t>
            </w:r>
          </w:p>
        </w:tc>
        <w:tc>
          <w:tcPr>
            <w:tcW w:type="dxa" w:w="1800"/>
            <w:vAlign w:val="top"/>
            <w:shd w:fill="D9EAF7"/>
            <w:textDirection w:val="lrTb"/>
          </w:tcPr>
          <w:p>
            <w:pPr>
              <w:spacing w:after="0"/>
              <w:jc w:val="left"/>
            </w:pPr>
            <w:r>
              <w:rPr>
                <w:rFonts w:ascii="Arial" w:hAnsi="Arial"/>
                <w:b/>
                <w:sz w:val="11"/>
              </w:rPr>
              <w:t>Dimension</w:t>
            </w:r>
          </w:p>
        </w:tc>
        <w:tc>
          <w:tcPr>
            <w:tcW w:type="dxa" w:w="1800"/>
            <w:vAlign w:val="top"/>
            <w:shd w:fill="D9EAF7"/>
            <w:textDirection w:val="lrTb"/>
          </w:tcPr>
          <w:p>
            <w:pPr>
              <w:spacing w:after="0"/>
              <w:jc w:val="left"/>
            </w:pPr>
            <w:r>
              <w:rPr>
                <w:rFonts w:ascii="Arial" w:hAnsi="Arial"/>
                <w:b/>
                <w:sz w:val="11"/>
              </w:rPr>
              <w:t>Raw Score 0-5</w:t>
            </w:r>
          </w:p>
        </w:tc>
        <w:tc>
          <w:tcPr>
            <w:tcW w:type="dxa" w:w="1800"/>
            <w:vAlign w:val="top"/>
            <w:shd w:fill="D9EAF7"/>
            <w:textDirection w:val="lrTb"/>
          </w:tcPr>
          <w:p>
            <w:pPr>
              <w:spacing w:after="0"/>
              <w:jc w:val="left"/>
            </w:pPr>
            <w:r>
              <w:rPr>
                <w:rFonts w:ascii="Arial" w:hAnsi="Arial"/>
                <w:b/>
                <w:sz w:val="11"/>
              </w:rPr>
              <w:t>Evidence Level</w:t>
            </w:r>
          </w:p>
        </w:tc>
        <w:tc>
          <w:tcPr>
            <w:tcW w:type="dxa" w:w="1800"/>
            <w:vAlign w:val="top"/>
            <w:shd w:fill="D9EAF7"/>
            <w:textDirection w:val="lrTb"/>
          </w:tcPr>
          <w:p>
            <w:pPr>
              <w:spacing w:after="0"/>
              <w:jc w:val="left"/>
            </w:pPr>
            <w:r>
              <w:rPr>
                <w:rFonts w:ascii="Arial" w:hAnsi="Arial"/>
                <w:b/>
                <w:sz w:val="11"/>
              </w:rPr>
              <w:t>Multiplier</w:t>
            </w:r>
          </w:p>
        </w:tc>
        <w:tc>
          <w:tcPr>
            <w:tcW w:type="dxa" w:w="1800"/>
            <w:vAlign w:val="top"/>
            <w:shd w:fill="D9EAF7"/>
            <w:textDirection w:val="lrTb"/>
          </w:tcPr>
          <w:p>
            <w:pPr>
              <w:spacing w:after="0"/>
              <w:jc w:val="left"/>
            </w:pPr>
            <w:r>
              <w:rPr>
                <w:rFonts w:ascii="Arial" w:hAnsi="Arial"/>
                <w:b/>
                <w:sz w:val="11"/>
              </w:rPr>
              <w:t>Adjusted Score</w:t>
            </w:r>
          </w:p>
        </w:tc>
        <w:tc>
          <w:tcPr>
            <w:tcW w:type="dxa" w:w="1800"/>
            <w:vAlign w:val="top"/>
            <w:shd w:fill="D9EAF7"/>
            <w:textDirection w:val="lrTb"/>
          </w:tcPr>
          <w:p>
            <w:pPr>
              <w:spacing w:after="0"/>
              <w:jc w:val="left"/>
            </w:pPr>
            <w:r>
              <w:rPr>
                <w:rFonts w:ascii="Arial" w:hAnsi="Arial"/>
                <w:b/>
                <w:sz w:val="11"/>
              </w:rPr>
              <w:t>Justification</w:t>
            </w:r>
          </w:p>
        </w:tc>
        <w:tc>
          <w:tcPr>
            <w:tcW w:type="dxa" w:w="1800"/>
            <w:vAlign w:val="top"/>
            <w:shd w:fill="D9EAF7"/>
            <w:textDirection w:val="lrTb"/>
          </w:tcPr>
          <w:p>
            <w:pPr>
              <w:spacing w:after="0"/>
              <w:jc w:val="left"/>
            </w:pPr>
            <w:r>
              <w:rPr>
                <w:rFonts w:ascii="Arial" w:hAnsi="Arial"/>
                <w:b/>
                <w:sz w:val="11"/>
              </w:rPr>
              <w:t>Boundary Note</w:t>
            </w:r>
          </w:p>
        </w:tc>
      </w:tr>
      <w:tr>
        <w:trPr>
          <w:cantSplit/>
        </w:trPr>
        <w:tc>
          <w:tcPr>
            <w:tcW w:type="dxa" w:w="1800"/>
            <w:vAlign w:val="top"/>
          </w:tcPr>
          <w:p>
            <w:pPr>
              <w:spacing w:after="0"/>
              <w:jc w:val="left"/>
            </w:pPr>
            <w:r>
              <w:rPr>
                <w:rFonts w:ascii="Arial" w:hAnsi="Arial"/>
                <w:b w:val="0"/>
                <w:sz w:val="11"/>
              </w:rPr>
              <w:t>Example System</w:t>
            </w:r>
          </w:p>
        </w:tc>
        <w:tc>
          <w:tcPr>
            <w:tcW w:type="dxa" w:w="1800"/>
            <w:vAlign w:val="top"/>
          </w:tcPr>
          <w:p>
            <w:pPr>
              <w:spacing w:after="0"/>
              <w:jc w:val="left"/>
            </w:pPr>
            <w:r>
              <w:rPr>
                <w:rFonts w:ascii="Arial" w:hAnsi="Arial"/>
                <w:b w:val="0"/>
                <w:sz w:val="11"/>
              </w:rPr>
              <w:t>RCCS-04: Record-Keeping</w:t>
            </w:r>
          </w:p>
        </w:tc>
        <w:tc>
          <w:tcPr>
            <w:tcW w:type="dxa" w:w="1800"/>
            <w:vAlign w:val="top"/>
          </w:tcPr>
          <w:p>
            <w:pPr>
              <w:spacing w:after="0"/>
              <w:jc w:val="left"/>
            </w:pPr>
            <w:r>
              <w:rPr>
                <w:rFonts w:ascii="Arial" w:hAnsi="Arial"/>
                <w:b w:val="0"/>
                <w:sz w:val="11"/>
              </w:rPr>
              <w:t>4</w:t>
            </w:r>
          </w:p>
        </w:tc>
        <w:tc>
          <w:tcPr>
            <w:tcW w:type="dxa" w:w="1800"/>
            <w:vAlign w:val="top"/>
          </w:tcPr>
          <w:p>
            <w:pPr>
              <w:spacing w:after="0"/>
              <w:jc w:val="left"/>
            </w:pPr>
            <w:r>
              <w:rPr>
                <w:rFonts w:ascii="Arial" w:hAnsi="Arial"/>
                <w:b w:val="0"/>
                <w:sz w:val="11"/>
              </w:rPr>
              <w:t>L2: Product Docs</w:t>
            </w:r>
          </w:p>
        </w:tc>
        <w:tc>
          <w:tcPr>
            <w:tcW w:type="dxa" w:w="1800"/>
            <w:vAlign w:val="top"/>
          </w:tcPr>
          <w:p>
            <w:pPr>
              <w:spacing w:after="0"/>
              <w:jc w:val="left"/>
            </w:pPr>
            <w:r>
              <w:rPr>
                <w:rFonts w:ascii="Arial" w:hAnsi="Arial"/>
                <w:b w:val="0"/>
                <w:sz w:val="11"/>
              </w:rPr>
              <w:t>0.85</w:t>
            </w:r>
          </w:p>
        </w:tc>
        <w:tc>
          <w:tcPr>
            <w:tcW w:type="dxa" w:w="1800"/>
            <w:vAlign w:val="top"/>
          </w:tcPr>
          <w:p>
            <w:pPr>
              <w:spacing w:after="0"/>
              <w:jc w:val="left"/>
            </w:pPr>
            <w:r>
              <w:rPr>
                <w:rFonts w:ascii="Arial" w:hAnsi="Arial"/>
                <w:b w:val="0"/>
                <w:sz w:val="11"/>
              </w:rPr>
              <w:t>68.0</w:t>
            </w:r>
          </w:p>
        </w:tc>
        <w:tc>
          <w:tcPr>
            <w:tcW w:type="dxa" w:w="1800"/>
            <w:vAlign w:val="top"/>
          </w:tcPr>
          <w:p>
            <w:pPr>
              <w:spacing w:after="0"/>
              <w:jc w:val="left"/>
            </w:pPr>
            <w:r>
              <w:rPr>
                <w:rFonts w:ascii="Arial" w:hAnsi="Arial"/>
                <w:b w:val="0"/>
                <w:sz w:val="11"/>
              </w:rPr>
              <w:t>System provides audit trail API and log export capability documented in official product docs</w:t>
            </w:r>
          </w:p>
        </w:tc>
        <w:tc>
          <w:tcPr>
            <w:tcW w:type="dxa" w:w="1800"/>
            <w:vAlign w:val="top"/>
          </w:tcPr>
          <w:p>
            <w:pPr>
              <w:spacing w:after="0"/>
              <w:jc w:val="left"/>
            </w:pPr>
            <w:r>
              <w:rPr>
                <w:rFonts w:ascii="Arial" w:hAnsi="Arial"/>
                <w:b w:val="0"/>
                <w:sz w:val="11"/>
              </w:rPr>
              <w:t>Score measures capability, not organizational practice; does not prove legal compliance</w:t>
            </w:r>
          </w:p>
        </w:tc>
      </w:tr>
      <w:tr>
        <w:trPr>
          <w:cantSplit/>
        </w:trPr>
        <w:tc>
          <w:tcPr>
            <w:tcW w:type="dxa" w:w="1800"/>
            <w:vAlign w:val="top"/>
          </w:tcPr>
          <w:p>
            <w:pPr>
              <w:spacing w:after="0"/>
              <w:jc w:val="left"/>
            </w:pPr>
            <w:r>
              <w:rPr>
                <w:rFonts w:ascii="Arial" w:hAnsi="Arial"/>
                <w:b w:val="0"/>
                <w:sz w:val="11"/>
              </w:rPr>
              <w:t>Example System</w:t>
            </w:r>
          </w:p>
        </w:tc>
        <w:tc>
          <w:tcPr>
            <w:tcW w:type="dxa" w:w="1800"/>
            <w:vAlign w:val="top"/>
          </w:tcPr>
          <w:p>
            <w:pPr>
              <w:spacing w:after="0"/>
              <w:jc w:val="left"/>
            </w:pPr>
            <w:r>
              <w:rPr>
                <w:rFonts w:ascii="Arial" w:hAnsi="Arial"/>
                <w:b w:val="0"/>
                <w:sz w:val="11"/>
              </w:rPr>
              <w:t>ALCS-02: Delegated Authority Boundary</w:t>
            </w:r>
          </w:p>
        </w:tc>
        <w:tc>
          <w:tcPr>
            <w:tcW w:type="dxa" w:w="1800"/>
            <w:vAlign w:val="top"/>
          </w:tcPr>
          <w:p>
            <w:pPr>
              <w:spacing w:after="0"/>
              <w:jc w:val="left"/>
            </w:pPr>
            <w:r>
              <w:rPr>
                <w:rFonts w:ascii="Arial" w:hAnsi="Arial"/>
                <w:b w:val="0"/>
                <w:sz w:val="11"/>
              </w:rPr>
              <w:t>3</w:t>
            </w:r>
          </w:p>
        </w:tc>
        <w:tc>
          <w:tcPr>
            <w:tcW w:type="dxa" w:w="1800"/>
            <w:vAlign w:val="top"/>
          </w:tcPr>
          <w:p>
            <w:pPr>
              <w:spacing w:after="0"/>
              <w:jc w:val="left"/>
            </w:pPr>
            <w:r>
              <w:rPr>
                <w:rFonts w:ascii="Arial" w:hAnsi="Arial"/>
                <w:b w:val="0"/>
                <w:sz w:val="11"/>
              </w:rPr>
              <w:t>L3: Audit Report</w:t>
            </w:r>
          </w:p>
        </w:tc>
        <w:tc>
          <w:tcPr>
            <w:tcW w:type="dxa" w:w="1800"/>
            <w:vAlign w:val="top"/>
          </w:tcPr>
          <w:p>
            <w:pPr>
              <w:spacing w:after="0"/>
              <w:jc w:val="left"/>
            </w:pPr>
            <w:r>
              <w:rPr>
                <w:rFonts w:ascii="Arial" w:hAnsi="Arial"/>
                <w:b w:val="0"/>
                <w:sz w:val="11"/>
              </w:rPr>
              <w:t>0.75</w:t>
            </w:r>
          </w:p>
        </w:tc>
        <w:tc>
          <w:tcPr>
            <w:tcW w:type="dxa" w:w="1800"/>
            <w:vAlign w:val="top"/>
          </w:tcPr>
          <w:p>
            <w:pPr>
              <w:spacing w:after="0"/>
              <w:jc w:val="left"/>
            </w:pPr>
            <w:r>
              <w:rPr>
                <w:rFonts w:ascii="Arial" w:hAnsi="Arial"/>
                <w:b w:val="0"/>
                <w:sz w:val="11"/>
              </w:rPr>
              <w:t>45.0</w:t>
            </w:r>
          </w:p>
        </w:tc>
        <w:tc>
          <w:tcPr>
            <w:tcW w:type="dxa" w:w="1800"/>
            <w:vAlign w:val="top"/>
          </w:tcPr>
          <w:p>
            <w:pPr>
              <w:spacing w:after="0"/>
              <w:jc w:val="left"/>
            </w:pPr>
            <w:r>
              <w:rPr>
                <w:rFonts w:ascii="Arial" w:hAnsi="Arial"/>
                <w:b w:val="0"/>
                <w:sz w:val="11"/>
              </w:rPr>
              <w:t>System supports authority grant records and boundary violation alerts per third-party audit report</w:t>
            </w:r>
          </w:p>
        </w:tc>
        <w:tc>
          <w:tcPr>
            <w:tcW w:type="dxa" w:w="1800"/>
            <w:vAlign w:val="top"/>
          </w:tcPr>
          <w:p>
            <w:pPr>
              <w:spacing w:after="0"/>
              <w:jc w:val="left"/>
            </w:pPr>
            <w:r>
              <w:rPr>
                <w:rFonts w:ascii="Arial" w:hAnsi="Arial"/>
                <w:b w:val="0"/>
                <w:sz w:val="11"/>
              </w:rPr>
              <w:t>Score measures capability, not operational enforcement; does not prove regulatory approval</w:t>
            </w:r>
          </w:p>
        </w:tc>
      </w:tr>
      <w:tr>
        <w:trPr>
          <w:cantSplit/>
        </w:trPr>
        <w:tc>
          <w:tcPr>
            <w:tcW w:type="dxa" w:w="1800"/>
            <w:vAlign w:val="top"/>
          </w:tcPr>
          <w:p>
            <w:pPr>
              <w:spacing w:after="0"/>
              <w:jc w:val="left"/>
            </w:pPr>
            <w:r>
              <w:rPr>
                <w:rFonts w:ascii="Arial" w:hAnsi="Arial"/>
                <w:b w:val="0"/>
                <w:sz w:val="11"/>
              </w:rPr>
              <w:t>Example System</w:t>
            </w:r>
          </w:p>
        </w:tc>
        <w:tc>
          <w:tcPr>
            <w:tcW w:type="dxa" w:w="1800"/>
            <w:vAlign w:val="top"/>
          </w:tcPr>
          <w:p>
            <w:pPr>
              <w:spacing w:after="0"/>
              <w:jc w:val="left"/>
            </w:pPr>
            <w:r>
              <w:rPr>
                <w:rFonts w:ascii="Arial" w:hAnsi="Arial"/>
                <w:b w:val="0"/>
                <w:sz w:val="11"/>
              </w:rPr>
              <w:t>RCCS-06: Human Oversight</w:t>
            </w:r>
          </w:p>
        </w:tc>
        <w:tc>
          <w:tcPr>
            <w:tcW w:type="dxa" w:w="1800"/>
            <w:vAlign w:val="top"/>
          </w:tcPr>
          <w:p>
            <w:pPr>
              <w:spacing w:after="0"/>
              <w:jc w:val="left"/>
            </w:pPr>
            <w:r>
              <w:rPr>
                <w:rFonts w:ascii="Arial" w:hAnsi="Arial"/>
                <w:b w:val="0"/>
                <w:sz w:val="11"/>
              </w:rPr>
              <w:t>2</w:t>
            </w:r>
          </w:p>
        </w:tc>
        <w:tc>
          <w:tcPr>
            <w:tcW w:type="dxa" w:w="1800"/>
            <w:vAlign w:val="top"/>
          </w:tcPr>
          <w:p>
            <w:pPr>
              <w:spacing w:after="0"/>
              <w:jc w:val="left"/>
            </w:pPr>
            <w:r>
              <w:rPr>
                <w:rFonts w:ascii="Arial" w:hAnsi="Arial"/>
                <w:b w:val="0"/>
                <w:sz w:val="11"/>
              </w:rPr>
              <w:t>L4: Vendor Claim</w:t>
            </w:r>
          </w:p>
        </w:tc>
        <w:tc>
          <w:tcPr>
            <w:tcW w:type="dxa" w:w="1800"/>
            <w:vAlign w:val="top"/>
          </w:tcPr>
          <w:p>
            <w:pPr>
              <w:spacing w:after="0"/>
              <w:jc w:val="left"/>
            </w:pPr>
            <w:r>
              <w:rPr>
                <w:rFonts w:ascii="Arial" w:hAnsi="Arial"/>
                <w:b w:val="0"/>
                <w:sz w:val="11"/>
              </w:rPr>
              <w:t>0.55</w:t>
            </w:r>
          </w:p>
        </w:tc>
        <w:tc>
          <w:tcPr>
            <w:tcW w:type="dxa" w:w="1800"/>
            <w:vAlign w:val="top"/>
          </w:tcPr>
          <w:p>
            <w:pPr>
              <w:spacing w:after="0"/>
              <w:jc w:val="left"/>
            </w:pPr>
            <w:r>
              <w:rPr>
                <w:rFonts w:ascii="Arial" w:hAnsi="Arial"/>
                <w:b w:val="0"/>
                <w:sz w:val="11"/>
              </w:rPr>
              <w:t>22.0</w:t>
            </w:r>
          </w:p>
        </w:tc>
        <w:tc>
          <w:tcPr>
            <w:tcW w:type="dxa" w:w="1800"/>
            <w:vAlign w:val="top"/>
          </w:tcPr>
          <w:p>
            <w:pPr>
              <w:spacing w:after="0"/>
              <w:jc w:val="left"/>
            </w:pPr>
            <w:r>
              <w:rPr>
                <w:rFonts w:ascii="Arial" w:hAnsi="Arial"/>
                <w:b w:val="0"/>
                <w:sz w:val="11"/>
              </w:rPr>
              <w:t>Vendor claims human-in-the-loop capability but no public documentation or audit evidence</w:t>
            </w:r>
          </w:p>
        </w:tc>
        <w:tc>
          <w:tcPr>
            <w:tcW w:type="dxa" w:w="1800"/>
            <w:vAlign w:val="top"/>
          </w:tcPr>
          <w:p>
            <w:pPr>
              <w:spacing w:after="0"/>
              <w:jc w:val="left"/>
            </w:pPr>
            <w:r>
              <w:rPr>
                <w:rFonts w:ascii="Arial" w:hAnsi="Arial"/>
                <w:b w:val="0"/>
                <w:sz w:val="11"/>
              </w:rPr>
              <w:t>Score reflects vendor claim only; requires validation; does not prove human oversight is operational</w:t>
            </w:r>
          </w:p>
        </w:tc>
      </w:tr>
      <w:tr>
        <w:trPr>
          <w:cantSplit/>
        </w:trPr>
        <w:tc>
          <w:tcPr>
            <w:tcW w:type="dxa" w:w="1800"/>
            <w:vAlign w:val="top"/>
          </w:tcPr>
          <w:p>
            <w:pPr>
              <w:spacing w:after="0"/>
              <w:jc w:val="left"/>
            </w:pPr>
            <w:r>
              <w:rPr>
                <w:rFonts w:ascii="Arial" w:hAnsi="Arial"/>
                <w:b w:val="0"/>
                <w:sz w:val="11"/>
              </w:rPr>
              <w:t>Example System</w:t>
            </w:r>
          </w:p>
        </w:tc>
        <w:tc>
          <w:tcPr>
            <w:tcW w:type="dxa" w:w="1800"/>
            <w:vAlign w:val="top"/>
          </w:tcPr>
          <w:p>
            <w:pPr>
              <w:spacing w:after="0"/>
              <w:jc w:val="left"/>
            </w:pPr>
            <w:r>
              <w:rPr>
                <w:rFonts w:ascii="Arial" w:hAnsi="Arial"/>
                <w:b w:val="0"/>
                <w:sz w:val="11"/>
              </w:rPr>
              <w:t>RCCS-04: Record-Keeping</w:t>
            </w:r>
          </w:p>
        </w:tc>
        <w:tc>
          <w:tcPr>
            <w:tcW w:type="dxa" w:w="1800"/>
            <w:vAlign w:val="top"/>
          </w:tcPr>
          <w:p>
            <w:pPr>
              <w:spacing w:after="0"/>
              <w:jc w:val="left"/>
            </w:pPr>
            <w:r>
              <w:rPr>
                <w:rFonts w:ascii="Arial" w:hAnsi="Arial"/>
                <w:b w:val="0"/>
                <w:sz w:val="11"/>
              </w:rPr>
              <w:t>5</w:t>
            </w:r>
          </w:p>
        </w:tc>
        <w:tc>
          <w:tcPr>
            <w:tcW w:type="dxa" w:w="1800"/>
            <w:vAlign w:val="top"/>
          </w:tcPr>
          <w:p>
            <w:pPr>
              <w:spacing w:after="0"/>
              <w:jc w:val="left"/>
            </w:pPr>
            <w:r>
              <w:rPr>
                <w:rFonts w:ascii="Arial" w:hAnsi="Arial"/>
                <w:b w:val="0"/>
                <w:sz w:val="11"/>
              </w:rPr>
              <w:t>L1: EU AI Act Article 12</w:t>
            </w:r>
          </w:p>
        </w:tc>
        <w:tc>
          <w:tcPr>
            <w:tcW w:type="dxa" w:w="1800"/>
            <w:vAlign w:val="top"/>
          </w:tcPr>
          <w:p>
            <w:pPr>
              <w:spacing w:after="0"/>
              <w:jc w:val="left"/>
            </w:pPr>
            <w:r>
              <w:rPr>
                <w:rFonts w:ascii="Arial" w:hAnsi="Arial"/>
                <w:b w:val="0"/>
                <w:sz w:val="11"/>
              </w:rPr>
              <w:t>1.00</w:t>
            </w:r>
          </w:p>
        </w:tc>
        <w:tc>
          <w:tcPr>
            <w:tcW w:type="dxa" w:w="1800"/>
            <w:vAlign w:val="top"/>
          </w:tcPr>
          <w:p>
            <w:pPr>
              <w:spacing w:after="0"/>
              <w:jc w:val="left"/>
            </w:pPr>
            <w:r>
              <w:rPr>
                <w:rFonts w:ascii="Arial" w:hAnsi="Arial"/>
                <w:b w:val="0"/>
                <w:sz w:val="11"/>
              </w:rPr>
              <w:t>100.0</w:t>
            </w:r>
          </w:p>
        </w:tc>
        <w:tc>
          <w:tcPr>
            <w:tcW w:type="dxa" w:w="1800"/>
            <w:vAlign w:val="top"/>
          </w:tcPr>
          <w:p>
            <w:pPr>
              <w:spacing w:after="0"/>
              <w:jc w:val="left"/>
            </w:pPr>
            <w:r>
              <w:rPr>
                <w:rFonts w:ascii="Arial" w:hAnsi="Arial"/>
                <w:b w:val="0"/>
                <w:sz w:val="11"/>
              </w:rPr>
              <w:t>EU AI Act Article 12 establishes record-keeping baseline; mapping system capability to Article 12 requirements is analytical interpretation</w:t>
            </w:r>
          </w:p>
        </w:tc>
        <w:tc>
          <w:tcPr>
            <w:tcW w:type="dxa" w:w="1800"/>
            <w:vAlign w:val="top"/>
          </w:tcPr>
          <w:p>
            <w:pPr>
              <w:spacing w:after="0"/>
              <w:jc w:val="left"/>
            </w:pPr>
            <w:r>
              <w:rPr>
                <w:rFonts w:ascii="Arial" w:hAnsi="Arial"/>
                <w:b w:val="0"/>
                <w:sz w:val="11"/>
              </w:rPr>
              <w:t>Score reflects regulatory baseline; mapping to system capability is analytical; does not prove legal compliance</w:t>
            </w:r>
          </w:p>
        </w:tc>
      </w:tr>
    </w:tbl>
    <w:p>
      <w:pPr>
        <w:sectPr>
          <w:pgSz w:w="12240" w:h="15840" w:orient="landscape"/>
          <w:pgMar w:top="792" w:right="648" w:bottom="792" w:left="648" w:header="720" w:footer="720" w:gutter="0"/>
          <w:cols w:space="720"/>
          <w:docGrid w:linePitch="360"/>
        </w:sectPr>
      </w:pPr>
    </w:p>
    <w:p/>
    <w:p>
      <w:r>
        <w:t>Scoring rubric:</w:t>
      </w:r>
    </w:p>
    <w:p/>
    <w:p>
      <w:pPr>
        <w:pStyle w:val="ListBullet"/>
      </w:pPr>
      <w:r>
        <w:t>0: No capability; no evidence</w:t>
      </w:r>
    </w:p>
    <w:p>
      <w:pPr>
        <w:pStyle w:val="ListBullet"/>
      </w:pPr>
      <w:r>
        <w:t>1: Minimal capability; weak evidence</w:t>
      </w:r>
    </w:p>
    <w:p>
      <w:pPr>
        <w:pStyle w:val="ListBullet"/>
      </w:pPr>
      <w:r>
        <w:t>2: Partial capability; some evidence</w:t>
      </w:r>
    </w:p>
    <w:p>
      <w:pPr>
        <w:pStyle w:val="ListBullet"/>
      </w:pPr>
      <w:r>
        <w:t>3: Moderate capability; documented evidence</w:t>
      </w:r>
    </w:p>
    <w:p>
      <w:pPr>
        <w:pStyle w:val="ListBullet"/>
      </w:pPr>
      <w:r>
        <w:t>4: Strong capability; validated evidence</w:t>
      </w:r>
    </w:p>
    <w:p>
      <w:pPr>
        <w:pStyle w:val="ListBullet"/>
      </w:pPr>
      <w:r>
        <w:t>5: Complete capability demonstrated by implementation evidence, formal audit evidence, protocol-level evidence, or validated operational artifacts. Legal text may establish a regulatory baseline but does not by itself prove implementation.</w:t>
      </w:r>
    </w:p>
    <w:p/>
    <w:p>
      <w:r>
        <w:t>Evidence level multipliers:</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p>
      <w:pPr>
        <w:pStyle w:val="Heading2"/>
      </w:pPr>
      <w:r>
        <w:t>B.2 Evidence-Level Adjustment Template</w:t>
      </w:r>
    </w:p>
    <w:p/>
    <w:p>
      <w:r>
        <w:t>The following template supports evidence-level adjustment for dimension scores.</w:t>
      </w:r>
    </w:p>
    <w:p/>
    <w:p>
      <w:r>
        <w:t>Evidence-level adjustment policy:</w:t>
      </w:r>
    </w:p>
    <w:p/>
    <w:p>
      <w:r>
        <w:t>1. Start with raw score (0-5) based on system capability assessment</w:t>
      </w:r>
    </w:p>
    <w:p>
      <w:r>
        <w:t>2. Identify evidence level (L1-L5) based on source type</w:t>
      </w:r>
    </w:p>
    <w:p>
      <w:r>
        <w:t>3. Apply multiplier to calculate adjusted score using normalized formula: (Raw Score / 5) × 100 × Evidence Multiplier</w:t>
      </w:r>
    </w:p>
    <w:p>
      <w:r>
        <w:t>4. Document justification explaining why the raw score and evidence level were assigned</w:t>
      </w:r>
    </w:p>
    <w:p>
      <w:r>
        <w:t>5. Add boundary note clarifying what the score does and does not prove</w:t>
      </w:r>
    </w:p>
    <w:p/>
    <w:p>
      <w:r>
        <w:t>Example:</w:t>
      </w:r>
    </w:p>
    <w:p/>
    <w:p>
      <w:pPr>
        <w:spacing w:before="60" w:after="100"/>
        <w:ind w:left="259"/>
      </w:pPr>
      <w:r>
        <w:rPr>
          <w:rFonts w:ascii="Courier New" w:hAnsi="Courier New"/>
          <w:sz w:val="15"/>
        </w:rP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
    <w:p>
      <w:pPr>
        <w:pStyle w:val="Heading2"/>
      </w:pPr>
      <w:r>
        <w:t>B.3 Composite Score Template</w:t>
      </w:r>
    </w:p>
    <w:p/>
    <w:p>
      <w:r>
        <w:t>The following template supports composite score calculation combining RCCS and ALCS.</w:t>
      </w:r>
    </w:p>
    <w:p/>
    <w:p>
      <w:pPr>
        <w:keepNext/>
      </w:pPr>
      <w:r>
        <w:rPr>
          <w:b/>
          <w:sz w:val="17"/>
        </w:rPr>
        <w:t>Table T-B-02: Composite Score Worksheet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2057"/>
            <w:vAlign w:val="top"/>
            <w:shd w:fill="D9EAF7"/>
            <w:textDirection w:val="lrTb"/>
          </w:tcPr>
          <w:p>
            <w:pPr>
              <w:spacing w:after="0"/>
              <w:jc w:val="left"/>
            </w:pPr>
            <w:r>
              <w:rPr>
                <w:rFonts w:ascii="Arial" w:hAnsi="Arial"/>
                <w:b/>
                <w:sz w:val="11"/>
              </w:rPr>
              <w:t>System</w:t>
            </w:r>
          </w:p>
        </w:tc>
        <w:tc>
          <w:tcPr>
            <w:tcW w:type="dxa" w:w="2057"/>
            <w:vAlign w:val="top"/>
            <w:shd w:fill="D9EAF7"/>
            <w:textDirection w:val="lrTb"/>
          </w:tcPr>
          <w:p>
            <w:pPr>
              <w:spacing w:after="0"/>
              <w:jc w:val="left"/>
            </w:pPr>
            <w:r>
              <w:rPr>
                <w:rFonts w:ascii="Arial" w:hAnsi="Arial"/>
                <w:b/>
                <w:sz w:val="11"/>
              </w:rPr>
              <w:t>RCCS Average</w:t>
            </w:r>
          </w:p>
        </w:tc>
        <w:tc>
          <w:tcPr>
            <w:tcW w:type="dxa" w:w="2057"/>
            <w:vAlign w:val="top"/>
            <w:shd w:fill="D9EAF7"/>
            <w:textDirection w:val="lrTb"/>
          </w:tcPr>
          <w:p>
            <w:pPr>
              <w:spacing w:after="0"/>
              <w:jc w:val="left"/>
            </w:pPr>
            <w:r>
              <w:rPr>
                <w:rFonts w:ascii="Arial" w:hAnsi="Arial"/>
                <w:b/>
                <w:sz w:val="11"/>
              </w:rPr>
              <w:t>ALCS Average</w:t>
            </w:r>
          </w:p>
        </w:tc>
        <w:tc>
          <w:tcPr>
            <w:tcW w:type="dxa" w:w="2057"/>
            <w:vAlign w:val="top"/>
            <w:shd w:fill="D9EAF7"/>
            <w:textDirection w:val="lrTb"/>
          </w:tcPr>
          <w:p>
            <w:pPr>
              <w:spacing w:after="0"/>
              <w:jc w:val="left"/>
            </w:pPr>
            <w:r>
              <w:rPr>
                <w:rFonts w:ascii="Arial" w:hAnsi="Arial"/>
                <w:b/>
                <w:sz w:val="11"/>
              </w:rPr>
              <w:t>RCCS Weight</w:t>
            </w:r>
          </w:p>
        </w:tc>
        <w:tc>
          <w:tcPr>
            <w:tcW w:type="dxa" w:w="2057"/>
            <w:vAlign w:val="top"/>
            <w:shd w:fill="D9EAF7"/>
            <w:textDirection w:val="lrTb"/>
          </w:tcPr>
          <w:p>
            <w:pPr>
              <w:spacing w:after="0"/>
              <w:jc w:val="left"/>
            </w:pPr>
            <w:r>
              <w:rPr>
                <w:rFonts w:ascii="Arial" w:hAnsi="Arial"/>
                <w:b/>
                <w:sz w:val="11"/>
              </w:rPr>
              <w:t>ALCS Weight</w:t>
            </w:r>
          </w:p>
        </w:tc>
        <w:tc>
          <w:tcPr>
            <w:tcW w:type="dxa" w:w="2057"/>
            <w:vAlign w:val="top"/>
            <w:shd w:fill="D9EAF7"/>
            <w:textDirection w:val="lrTb"/>
          </w:tcPr>
          <w:p>
            <w:pPr>
              <w:spacing w:after="0"/>
              <w:jc w:val="left"/>
            </w:pPr>
            <w:r>
              <w:rPr>
                <w:rFonts w:ascii="Arial" w:hAnsi="Arial"/>
                <w:b/>
                <w:sz w:val="11"/>
              </w:rPr>
              <w:t>Composite Score</w:t>
            </w:r>
          </w:p>
        </w:tc>
        <w:tc>
          <w:tcPr>
            <w:tcW w:type="dxa" w:w="2057"/>
            <w:vAlign w:val="top"/>
            <w:shd w:fill="D9EAF7"/>
          </w:tcPr>
          <w:p>
            <w:pPr>
              <w:spacing w:after="0"/>
              <w:jc w:val="left"/>
            </w:pPr>
            <w:r>
              <w:rPr>
                <w:rFonts w:ascii="Arial" w:hAnsi="Arial"/>
                <w:b/>
                <w:sz w:val="11"/>
              </w:rPr>
              <w:t>Interpretation Boundary</w:t>
            </w:r>
          </w:p>
        </w:tc>
      </w:tr>
      <w:tr>
        <w:trPr>
          <w:cantSplit/>
        </w:trPr>
        <w:tc>
          <w:tcPr>
            <w:tcW w:type="dxa" w:w="2057"/>
            <w:vAlign w:val="top"/>
          </w:tcPr>
          <w:p>
            <w:pPr>
              <w:spacing w:after="0"/>
              <w:jc w:val="left"/>
            </w:pPr>
            <w:r>
              <w:rPr>
                <w:rFonts w:ascii="Arial" w:hAnsi="Arial"/>
                <w:b w:val="0"/>
                <w:sz w:val="11"/>
              </w:rPr>
              <w:t>Example System A</w:t>
            </w:r>
          </w:p>
        </w:tc>
        <w:tc>
          <w:tcPr>
            <w:tcW w:type="dxa" w:w="2057"/>
            <w:vAlign w:val="top"/>
          </w:tcPr>
          <w:p>
            <w:pPr>
              <w:spacing w:after="0"/>
              <w:jc w:val="left"/>
            </w:pPr>
            <w:r>
              <w:rPr>
                <w:rFonts w:ascii="Arial" w:hAnsi="Arial"/>
                <w:b w:val="0"/>
                <w:sz w:val="11"/>
              </w:rPr>
              <w:t>3.5</w:t>
            </w:r>
          </w:p>
        </w:tc>
        <w:tc>
          <w:tcPr>
            <w:tcW w:type="dxa" w:w="2057"/>
            <w:vAlign w:val="top"/>
          </w:tcPr>
          <w:p>
            <w:pPr>
              <w:spacing w:after="0"/>
              <w:jc w:val="left"/>
            </w:pPr>
            <w:r>
              <w:rPr>
                <w:rFonts w:ascii="Arial" w:hAnsi="Arial"/>
                <w:b w:val="0"/>
                <w:sz w:val="11"/>
              </w:rPr>
              <w:t>2.8</w:t>
            </w:r>
          </w:p>
        </w:tc>
        <w:tc>
          <w:tcPr>
            <w:tcW w:type="dxa" w:w="2057"/>
            <w:vAlign w:val="top"/>
          </w:tcPr>
          <w:p>
            <w:pPr>
              <w:spacing w:after="0"/>
              <w:jc w:val="left"/>
            </w:pPr>
            <w:r>
              <w:rPr>
                <w:rFonts w:ascii="Arial" w:hAnsi="Arial"/>
                <w:b w:val="0"/>
                <w:sz w:val="11"/>
              </w:rPr>
              <w:t>0.40</w:t>
            </w:r>
          </w:p>
        </w:tc>
        <w:tc>
          <w:tcPr>
            <w:tcW w:type="dxa" w:w="2057"/>
            <w:vAlign w:val="top"/>
          </w:tcPr>
          <w:p>
            <w:pPr>
              <w:spacing w:after="0"/>
              <w:jc w:val="left"/>
            </w:pPr>
            <w:r>
              <w:rPr>
                <w:rFonts w:ascii="Arial" w:hAnsi="Arial"/>
                <w:b w:val="0"/>
                <w:sz w:val="11"/>
              </w:rPr>
              <w:t>0.60</w:t>
            </w:r>
          </w:p>
        </w:tc>
        <w:tc>
          <w:tcPr>
            <w:tcW w:type="dxa" w:w="2057"/>
            <w:vAlign w:val="top"/>
          </w:tcPr>
          <w:p>
            <w:pPr>
              <w:spacing w:after="0"/>
              <w:jc w:val="left"/>
            </w:pPr>
            <w:r>
              <w:rPr>
                <w:rFonts w:ascii="Arial" w:hAnsi="Arial"/>
                <w:b w:val="0"/>
                <w:sz w:val="11"/>
              </w:rPr>
              <w:t>3.08</w:t>
            </w:r>
          </w:p>
        </w:tc>
        <w:tc>
          <w:tcPr>
            <w:tcW w:type="dxa" w:w="2057"/>
            <w:vAlign w:val="top"/>
          </w:tcPr>
          <w:p>
            <w:pPr>
              <w:spacing w:after="0"/>
              <w:jc w:val="left"/>
            </w:pPr>
            <w:r>
              <w:rPr>
                <w:rFonts w:ascii="Arial" w:hAnsi="Arial"/>
                <w:b w:val="0"/>
                <w:sz w:val="11"/>
              </w:rPr>
              <w:t>Composite score is analytical tool; does not prove legal compliance or regulatory approval</w:t>
            </w:r>
          </w:p>
        </w:tc>
      </w:tr>
      <w:tr>
        <w:trPr>
          <w:cantSplit/>
        </w:trPr>
        <w:tc>
          <w:tcPr>
            <w:tcW w:type="dxa" w:w="2057"/>
            <w:vAlign w:val="top"/>
          </w:tcPr>
          <w:p>
            <w:pPr>
              <w:spacing w:after="0"/>
              <w:jc w:val="left"/>
            </w:pPr>
            <w:r>
              <w:rPr>
                <w:rFonts w:ascii="Arial" w:hAnsi="Arial"/>
                <w:b w:val="0"/>
                <w:sz w:val="11"/>
              </w:rPr>
              <w:t>Example System B</w:t>
            </w:r>
          </w:p>
        </w:tc>
        <w:tc>
          <w:tcPr>
            <w:tcW w:type="dxa" w:w="2057"/>
            <w:vAlign w:val="top"/>
          </w:tcPr>
          <w:p>
            <w:pPr>
              <w:spacing w:after="0"/>
              <w:jc w:val="left"/>
            </w:pPr>
            <w:r>
              <w:rPr>
                <w:rFonts w:ascii="Arial" w:hAnsi="Arial"/>
                <w:b w:val="0"/>
                <w:sz w:val="11"/>
              </w:rPr>
              <w:t>2.9</w:t>
            </w:r>
          </w:p>
        </w:tc>
        <w:tc>
          <w:tcPr>
            <w:tcW w:type="dxa" w:w="2057"/>
            <w:vAlign w:val="top"/>
          </w:tcPr>
          <w:p>
            <w:pPr>
              <w:spacing w:after="0"/>
              <w:jc w:val="left"/>
            </w:pPr>
            <w:r>
              <w:rPr>
                <w:rFonts w:ascii="Arial" w:hAnsi="Arial"/>
                <w:b w:val="0"/>
                <w:sz w:val="11"/>
              </w:rPr>
              <w:t>4.2</w:t>
            </w:r>
          </w:p>
        </w:tc>
        <w:tc>
          <w:tcPr>
            <w:tcW w:type="dxa" w:w="2057"/>
            <w:vAlign w:val="top"/>
          </w:tcPr>
          <w:p>
            <w:pPr>
              <w:spacing w:after="0"/>
              <w:jc w:val="left"/>
            </w:pPr>
            <w:r>
              <w:rPr>
                <w:rFonts w:ascii="Arial" w:hAnsi="Arial"/>
                <w:b w:val="0"/>
                <w:sz w:val="11"/>
              </w:rPr>
              <w:t>0.40</w:t>
            </w:r>
          </w:p>
        </w:tc>
        <w:tc>
          <w:tcPr>
            <w:tcW w:type="dxa" w:w="2057"/>
            <w:vAlign w:val="top"/>
          </w:tcPr>
          <w:p>
            <w:pPr>
              <w:spacing w:after="0"/>
              <w:jc w:val="left"/>
            </w:pPr>
            <w:r>
              <w:rPr>
                <w:rFonts w:ascii="Arial" w:hAnsi="Arial"/>
                <w:b w:val="0"/>
                <w:sz w:val="11"/>
              </w:rPr>
              <w:t>0.60</w:t>
            </w:r>
          </w:p>
        </w:tc>
        <w:tc>
          <w:tcPr>
            <w:tcW w:type="dxa" w:w="2057"/>
            <w:vAlign w:val="top"/>
          </w:tcPr>
          <w:p>
            <w:pPr>
              <w:spacing w:after="0"/>
              <w:jc w:val="left"/>
            </w:pPr>
            <w:r>
              <w:rPr>
                <w:rFonts w:ascii="Arial" w:hAnsi="Arial"/>
                <w:b w:val="0"/>
                <w:sz w:val="11"/>
              </w:rPr>
              <w:t>3.68</w:t>
            </w:r>
          </w:p>
        </w:tc>
        <w:tc>
          <w:tcPr>
            <w:tcW w:type="dxa" w:w="2057"/>
            <w:vAlign w:val="top"/>
          </w:tcPr>
          <w:p>
            <w:pPr>
              <w:spacing w:after="0"/>
              <w:jc w:val="left"/>
            </w:pPr>
            <w:r>
              <w:rPr>
                <w:rFonts w:ascii="Arial" w:hAnsi="Arial"/>
                <w:b w:val="0"/>
                <w:sz w:val="11"/>
              </w:rPr>
              <w:t>Strong ALCS posture indicates lifecycle responsibility object maturity; does not prove operational effectiveness</w:t>
            </w:r>
          </w:p>
        </w:tc>
      </w:tr>
      <w:tr>
        <w:trPr>
          <w:cantSplit/>
        </w:trPr>
        <w:tc>
          <w:tcPr>
            <w:tcW w:type="dxa" w:w="2057"/>
            <w:vAlign w:val="top"/>
          </w:tcPr>
          <w:p>
            <w:pPr>
              <w:spacing w:after="0"/>
              <w:jc w:val="left"/>
            </w:pPr>
            <w:r>
              <w:rPr>
                <w:rFonts w:ascii="Arial" w:hAnsi="Arial"/>
                <w:b w:val="0"/>
                <w:sz w:val="11"/>
              </w:rPr>
              <w:t>Example System C</w:t>
            </w:r>
          </w:p>
        </w:tc>
        <w:tc>
          <w:tcPr>
            <w:tcW w:type="dxa" w:w="2057"/>
            <w:vAlign w:val="top"/>
          </w:tcPr>
          <w:p>
            <w:pPr>
              <w:spacing w:after="0"/>
              <w:jc w:val="left"/>
            </w:pPr>
            <w:r>
              <w:rPr>
                <w:rFonts w:ascii="Arial" w:hAnsi="Arial"/>
                <w:b w:val="0"/>
                <w:sz w:val="11"/>
              </w:rPr>
              <w:t>4.1</w:t>
            </w:r>
          </w:p>
        </w:tc>
        <w:tc>
          <w:tcPr>
            <w:tcW w:type="dxa" w:w="2057"/>
            <w:vAlign w:val="top"/>
          </w:tcPr>
          <w:p>
            <w:pPr>
              <w:spacing w:after="0"/>
              <w:jc w:val="left"/>
            </w:pPr>
            <w:r>
              <w:rPr>
                <w:rFonts w:ascii="Arial" w:hAnsi="Arial"/>
                <w:b w:val="0"/>
                <w:sz w:val="11"/>
              </w:rPr>
              <w:t>2.3</w:t>
            </w:r>
          </w:p>
        </w:tc>
        <w:tc>
          <w:tcPr>
            <w:tcW w:type="dxa" w:w="2057"/>
            <w:vAlign w:val="top"/>
          </w:tcPr>
          <w:p>
            <w:pPr>
              <w:spacing w:after="0"/>
              <w:jc w:val="left"/>
            </w:pPr>
            <w:r>
              <w:rPr>
                <w:rFonts w:ascii="Arial" w:hAnsi="Arial"/>
                <w:b w:val="0"/>
                <w:sz w:val="11"/>
              </w:rPr>
              <w:t>0.40</w:t>
            </w:r>
          </w:p>
        </w:tc>
        <w:tc>
          <w:tcPr>
            <w:tcW w:type="dxa" w:w="2057"/>
            <w:vAlign w:val="top"/>
          </w:tcPr>
          <w:p>
            <w:pPr>
              <w:spacing w:after="0"/>
              <w:jc w:val="left"/>
            </w:pPr>
            <w:r>
              <w:rPr>
                <w:rFonts w:ascii="Arial" w:hAnsi="Arial"/>
                <w:b w:val="0"/>
                <w:sz w:val="11"/>
              </w:rPr>
              <w:t>0.60</w:t>
            </w:r>
          </w:p>
        </w:tc>
        <w:tc>
          <w:tcPr>
            <w:tcW w:type="dxa" w:w="2057"/>
            <w:vAlign w:val="top"/>
          </w:tcPr>
          <w:p>
            <w:pPr>
              <w:spacing w:after="0"/>
              <w:jc w:val="left"/>
            </w:pPr>
            <w:r>
              <w:rPr>
                <w:rFonts w:ascii="Arial" w:hAnsi="Arial"/>
                <w:b w:val="0"/>
                <w:sz w:val="11"/>
              </w:rPr>
              <w:t>3.02</w:t>
            </w:r>
          </w:p>
        </w:tc>
        <w:tc>
          <w:tcPr>
            <w:tcW w:type="dxa" w:w="2057"/>
            <w:vAlign w:val="top"/>
          </w:tcPr>
          <w:p>
            <w:pPr>
              <w:spacing w:after="0"/>
              <w:jc w:val="left"/>
            </w:pPr>
            <w:r>
              <w:rPr>
                <w:rFonts w:ascii="Arial" w:hAnsi="Arial"/>
                <w:b w:val="0"/>
                <w:sz w:val="11"/>
              </w:rPr>
              <w:t>Strong RCCS posture indicates regulatory compliance coverage primitives; does not prove legal compliance</w:t>
            </w:r>
          </w:p>
        </w:tc>
      </w:tr>
    </w:tbl>
    <w:p>
      <w:pPr>
        <w:sectPr>
          <w:pgSz w:w="15840" w:h="12240" w:orient="landscape"/>
          <w:pgMar w:top="792" w:right="648" w:bottom="792" w:left="648" w:header="720" w:footer="720" w:gutter="0"/>
          <w:cols w:space="720"/>
          <w:docGrid w:linePitch="360"/>
        </w:sectPr>
      </w:pPr>
    </w:p>
    <w:p/>
    <w:p>
      <w:r>
        <w:t>Composite score formula:</w:t>
      </w:r>
    </w:p>
    <w:p/>
    <w:p>
      <w:pPr>
        <w:spacing w:before="60" w:after="100"/>
        <w:ind w:left="259"/>
      </w:pPr>
      <w:r>
        <w:rPr>
          <w:rFonts w:ascii="Courier New" w:hAnsi="Courier New"/>
          <w:sz w:val="15"/>
        </w:rPr>
        <w:t>Composite Score = (RCCS Average × RCCS Weight) + (ALCS Average × ALCS Weight)</w:t>
      </w:r>
    </w:p>
    <w:p/>
    <w:p>
      <w:r>
        <w:t>Default weights:</w:t>
      </w:r>
    </w:p>
    <w:p/>
    <w:p>
      <w:pPr>
        <w:pStyle w:val="ListBullet"/>
      </w:pPr>
      <w:r>
        <w:t>RCCS Weight: 0.40</w:t>
      </w:r>
    </w:p>
    <w:p>
      <w:pPr>
        <w:pStyle w:val="ListBullet"/>
      </w:pPr>
      <w:r>
        <w:t>ALCS Weight: 0.60</w:t>
      </w:r>
    </w:p>
    <w:p/>
    <w:p>
      <w:r>
        <w:t>Interpretation guidance:</w:t>
      </w:r>
    </w:p>
    <w:p/>
    <w:p>
      <w:pPr>
        <w:pStyle w:val="ListBullet"/>
      </w:pPr>
      <w:r>
        <w:t>Composite score 4.0-5.0: Strong regulatory compliance coverage and lifecycle responsibility object maturity; does not prove legal compliance</w:t>
      </w:r>
    </w:p>
    <w:p>
      <w:pPr>
        <w:pStyle w:val="ListBullet"/>
      </w:pPr>
      <w:r>
        <w:t>Composite score 3.0-3.9: Moderate regulatory compliance coverage and lifecycle responsibility object maturity; gaps exist</w:t>
      </w:r>
    </w:p>
    <w:p>
      <w:pPr>
        <w:pStyle w:val="ListBullet"/>
      </w:pPr>
      <w:r>
        <w:t>Composite score 2.0-2.9: Partial regulatory compliance coverage and lifecycle responsibility object maturity; significant gaps exist</w:t>
      </w:r>
    </w:p>
    <w:p>
      <w:pPr>
        <w:pStyle w:val="ListBullet"/>
      </w:pPr>
      <w:r>
        <w:t>Composite score 1.0-1.9: Weak regulatory compliance coverage and lifecycle responsibility object maturity; major gaps exist</w:t>
      </w:r>
    </w:p>
    <w:p>
      <w:pPr>
        <w:pStyle w:val="ListBullet"/>
      </w:pPr>
      <w:r>
        <w:t>Composite score 0.0-0.9: Minimal regulatory compliance coverage and lifecycle responsibility object maturity; fundamental gaps exist</w:t>
      </w:r>
    </w:p>
    <w:p/>
    <w:p/>
    <w:p>
      <w:pPr>
        <w:pStyle w:val="Heading2"/>
      </w:pPr>
      <w:r>
        <w:t>B.4 Score Delta Record Template</w:t>
      </w:r>
    </w:p>
    <w:p/>
    <w:p>
      <w:r>
        <w:t>The following template supports tracking score changes over time.</w:t>
      </w:r>
    </w:p>
    <w:p/>
    <w:p>
      <w:pPr>
        <w:keepNext/>
      </w:pPr>
      <w:r>
        <w:rPr>
          <w:b/>
          <w:sz w:val="17"/>
        </w:rPr>
        <w:t>Table T-B-03: Score Delta Record</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rPr>
          <w:tblHeader w:val="true"/>
          <w:cantSplit/>
        </w:trPr>
        <w:tc>
          <w:tcPr>
            <w:tcW w:type="dxa" w:w="2057"/>
            <w:vAlign w:val="top"/>
            <w:shd w:fill="D9EAF7"/>
            <w:textDirection w:val="lrTb"/>
          </w:tcPr>
          <w:p>
            <w:pPr>
              <w:spacing w:after="0"/>
              <w:jc w:val="left"/>
            </w:pPr>
            <w:r>
              <w:rPr>
                <w:rFonts w:ascii="Arial" w:hAnsi="Arial"/>
                <w:b/>
                <w:sz w:val="11"/>
              </w:rPr>
              <w:t>Dimension</w:t>
            </w:r>
          </w:p>
        </w:tc>
        <w:tc>
          <w:tcPr>
            <w:tcW w:type="dxa" w:w="2057"/>
            <w:vAlign w:val="top"/>
            <w:shd w:fill="D9EAF7"/>
            <w:textDirection w:val="lrTb"/>
          </w:tcPr>
          <w:p>
            <w:pPr>
              <w:spacing w:after="0"/>
              <w:jc w:val="left"/>
            </w:pPr>
            <w:r>
              <w:rPr>
                <w:rFonts w:ascii="Arial" w:hAnsi="Arial"/>
                <w:b/>
                <w:sz w:val="11"/>
              </w:rPr>
              <w:t>Previous Score</w:t>
            </w:r>
          </w:p>
        </w:tc>
        <w:tc>
          <w:tcPr>
            <w:tcW w:type="dxa" w:w="2057"/>
            <w:vAlign w:val="top"/>
            <w:shd w:fill="D9EAF7"/>
            <w:textDirection w:val="lrTb"/>
          </w:tcPr>
          <w:p>
            <w:pPr>
              <w:spacing w:after="0"/>
              <w:jc w:val="left"/>
            </w:pPr>
            <w:r>
              <w:rPr>
                <w:rFonts w:ascii="Arial" w:hAnsi="Arial"/>
                <w:b/>
                <w:sz w:val="11"/>
              </w:rPr>
              <w:t>Updated Score</w:t>
            </w:r>
          </w:p>
        </w:tc>
        <w:tc>
          <w:tcPr>
            <w:tcW w:type="dxa" w:w="2057"/>
            <w:vAlign w:val="top"/>
            <w:shd w:fill="D9EAF7"/>
            <w:textDirection w:val="lrTb"/>
          </w:tcPr>
          <w:p>
            <w:pPr>
              <w:spacing w:after="0"/>
              <w:jc w:val="left"/>
            </w:pPr>
            <w:r>
              <w:rPr>
                <w:rFonts w:ascii="Arial" w:hAnsi="Arial"/>
                <w:b/>
                <w:sz w:val="11"/>
              </w:rPr>
              <w:t>Reason for Change</w:t>
            </w:r>
          </w:p>
        </w:tc>
        <w:tc>
          <w:tcPr>
            <w:tcW w:type="dxa" w:w="2057"/>
            <w:vAlign w:val="top"/>
            <w:shd w:fill="D9EAF7"/>
            <w:textDirection w:val="lrTb"/>
          </w:tcPr>
          <w:p>
            <w:pPr>
              <w:spacing w:after="0"/>
              <w:jc w:val="left"/>
            </w:pPr>
            <w:r>
              <w:rPr>
                <w:rFonts w:ascii="Arial" w:hAnsi="Arial"/>
                <w:b/>
                <w:sz w:val="11"/>
              </w:rPr>
              <w:t>Evidence Change</w:t>
            </w:r>
          </w:p>
        </w:tc>
        <w:tc>
          <w:tcPr>
            <w:tcW w:type="dxa" w:w="2057"/>
            <w:vAlign w:val="top"/>
            <w:shd w:fill="D9EAF7"/>
            <w:textDirection w:val="lrTb"/>
          </w:tcPr>
          <w:p>
            <w:pPr>
              <w:spacing w:after="0"/>
              <w:jc w:val="left"/>
            </w:pPr>
            <w:r>
              <w:rPr>
                <w:rFonts w:ascii="Arial" w:hAnsi="Arial"/>
                <w:b/>
                <w:sz w:val="11"/>
              </w:rPr>
              <w:t>Reviewer</w:t>
            </w:r>
          </w:p>
        </w:tc>
        <w:tc>
          <w:tcPr>
            <w:tcW w:type="dxa" w:w="2057"/>
            <w:vAlign w:val="top"/>
            <w:shd w:fill="D9EAF7"/>
            <w:textDirection w:val="lrTb"/>
          </w:tcPr>
          <w:p>
            <w:pPr>
              <w:spacing w:after="0"/>
              <w:jc w:val="left"/>
            </w:pPr>
            <w:r>
              <w:rPr>
                <w:rFonts w:ascii="Arial" w:hAnsi="Arial"/>
                <w:b/>
                <w:sz w:val="11"/>
              </w:rPr>
              <w:t>Date</w:t>
            </w:r>
          </w:p>
        </w:tc>
      </w:tr>
      <w:tr>
        <w:trPr>
          <w:cantSplit/>
        </w:trPr>
        <w:tc>
          <w:tcPr>
            <w:tcW w:type="dxa" w:w="2057"/>
            <w:vAlign w:val="top"/>
          </w:tcPr>
          <w:p>
            <w:pPr>
              <w:spacing w:after="0"/>
              <w:jc w:val="left"/>
            </w:pPr>
            <w:r>
              <w:rPr>
                <w:rFonts w:ascii="Arial" w:hAnsi="Arial"/>
                <w:b w:val="0"/>
                <w:sz w:val="11"/>
              </w:rPr>
              <w:t>RCCS-04: Record-Keeping</w:t>
            </w:r>
          </w:p>
        </w:tc>
        <w:tc>
          <w:tcPr>
            <w:tcW w:type="dxa" w:w="2057"/>
            <w:vAlign w:val="top"/>
          </w:tcPr>
          <w:p>
            <w:pPr>
              <w:spacing w:after="0"/>
              <w:jc w:val="left"/>
            </w:pPr>
            <w:r>
              <w:rPr>
                <w:rFonts w:ascii="Arial" w:hAnsi="Arial"/>
                <w:b w:val="0"/>
                <w:sz w:val="11"/>
              </w:rPr>
              <w:t>3.2</w:t>
            </w:r>
          </w:p>
        </w:tc>
        <w:tc>
          <w:tcPr>
            <w:tcW w:type="dxa" w:w="2057"/>
            <w:vAlign w:val="top"/>
          </w:tcPr>
          <w:p>
            <w:pPr>
              <w:spacing w:after="0"/>
              <w:jc w:val="left"/>
            </w:pPr>
            <w:r>
              <w:rPr>
                <w:rFonts w:ascii="Arial" w:hAnsi="Arial"/>
                <w:b w:val="0"/>
                <w:sz w:val="11"/>
              </w:rPr>
              <w:t>3.6</w:t>
            </w:r>
          </w:p>
        </w:tc>
        <w:tc>
          <w:tcPr>
            <w:tcW w:type="dxa" w:w="2057"/>
            <w:vAlign w:val="top"/>
          </w:tcPr>
          <w:p>
            <w:pPr>
              <w:spacing w:after="0"/>
              <w:jc w:val="left"/>
            </w:pPr>
            <w:r>
              <w:rPr>
                <w:rFonts w:ascii="Arial" w:hAnsi="Arial"/>
                <w:b w:val="0"/>
                <w:sz w:val="11"/>
              </w:rPr>
              <w:t>System added evidence export API with selective disclosure capability</w:t>
            </w:r>
          </w:p>
        </w:tc>
        <w:tc>
          <w:tcPr>
            <w:tcW w:type="dxa" w:w="2057"/>
            <w:vAlign w:val="top"/>
          </w:tcPr>
          <w:p>
            <w:pPr>
              <w:spacing w:after="0"/>
              <w:jc w:val="left"/>
            </w:pPr>
            <w:r>
              <w:rPr>
                <w:rFonts w:ascii="Arial" w:hAnsi="Arial"/>
                <w:b w:val="0"/>
                <w:sz w:val="11"/>
              </w:rPr>
              <w:t>L2 product docs updated with new API documentation</w:t>
            </w:r>
          </w:p>
        </w:tc>
        <w:tc>
          <w:tcPr>
            <w:tcW w:type="dxa" w:w="2057"/>
            <w:vAlign w:val="top"/>
          </w:tcPr>
          <w:p>
            <w:pPr>
              <w:spacing w:after="0"/>
              <w:jc w:val="left"/>
            </w:pPr>
            <w:r>
              <w:rPr>
                <w:rFonts w:ascii="Arial" w:hAnsi="Arial"/>
                <w:b w:val="0"/>
                <w:sz w:val="11"/>
              </w:rPr>
              <w:t>Governance Team</w:t>
            </w:r>
          </w:p>
        </w:tc>
        <w:tc>
          <w:tcPr>
            <w:tcW w:type="dxa" w:w="2057"/>
            <w:vAlign w:val="top"/>
          </w:tcPr>
          <w:p>
            <w:pPr>
              <w:spacing w:after="0"/>
              <w:jc w:val="left"/>
            </w:pPr>
            <w:r>
              <w:rPr>
                <w:rFonts w:ascii="Arial" w:hAnsi="Arial"/>
                <w:b w:val="0"/>
                <w:sz w:val="11"/>
              </w:rPr>
              <w:t>2026-05-10</w:t>
            </w:r>
          </w:p>
        </w:tc>
      </w:tr>
      <w:tr>
        <w:trPr>
          <w:cantSplit/>
        </w:trPr>
        <w:tc>
          <w:tcPr>
            <w:tcW w:type="dxa" w:w="2057"/>
            <w:vAlign w:val="top"/>
          </w:tcPr>
          <w:p>
            <w:pPr>
              <w:spacing w:after="0"/>
              <w:jc w:val="left"/>
            </w:pPr>
            <w:r>
              <w:rPr>
                <w:rFonts w:ascii="Arial" w:hAnsi="Arial"/>
                <w:b w:val="0"/>
                <w:sz w:val="11"/>
              </w:rPr>
              <w:t>ALCS-02: Delegated Authority Boundary</w:t>
            </w:r>
          </w:p>
        </w:tc>
        <w:tc>
          <w:tcPr>
            <w:tcW w:type="dxa" w:w="2057"/>
            <w:vAlign w:val="top"/>
          </w:tcPr>
          <w:p>
            <w:pPr>
              <w:spacing w:after="0"/>
              <w:jc w:val="left"/>
            </w:pPr>
            <w:r>
              <w:rPr>
                <w:rFonts w:ascii="Arial" w:hAnsi="Arial"/>
                <w:b w:val="0"/>
                <w:sz w:val="11"/>
              </w:rPr>
              <w:t>2.7</w:t>
            </w:r>
          </w:p>
        </w:tc>
        <w:tc>
          <w:tcPr>
            <w:tcW w:type="dxa" w:w="2057"/>
            <w:vAlign w:val="top"/>
          </w:tcPr>
          <w:p>
            <w:pPr>
              <w:spacing w:after="0"/>
              <w:jc w:val="left"/>
            </w:pPr>
            <w:r>
              <w:rPr>
                <w:rFonts w:ascii="Arial" w:hAnsi="Arial"/>
                <w:b w:val="0"/>
                <w:sz w:val="11"/>
              </w:rPr>
              <w:t>3.5</w:t>
            </w:r>
          </w:p>
        </w:tc>
        <w:tc>
          <w:tcPr>
            <w:tcW w:type="dxa" w:w="2057"/>
            <w:vAlign w:val="top"/>
          </w:tcPr>
          <w:p>
            <w:pPr>
              <w:spacing w:after="0"/>
              <w:jc w:val="left"/>
            </w:pPr>
            <w:r>
              <w:rPr>
                <w:rFonts w:ascii="Arial" w:hAnsi="Arial"/>
                <w:b w:val="0"/>
                <w:sz w:val="11"/>
              </w:rPr>
              <w:t>System added authority drift detection and reauthorization workflow</w:t>
            </w:r>
          </w:p>
        </w:tc>
        <w:tc>
          <w:tcPr>
            <w:tcW w:type="dxa" w:w="2057"/>
            <w:vAlign w:val="top"/>
          </w:tcPr>
          <w:p>
            <w:pPr>
              <w:spacing w:after="0"/>
              <w:jc w:val="left"/>
            </w:pPr>
            <w:r>
              <w:rPr>
                <w:rFonts w:ascii="Arial" w:hAnsi="Arial"/>
                <w:b w:val="0"/>
                <w:sz w:val="11"/>
              </w:rPr>
              <w:t>L3 audit report validated new capability</w:t>
            </w:r>
          </w:p>
        </w:tc>
        <w:tc>
          <w:tcPr>
            <w:tcW w:type="dxa" w:w="2057"/>
            <w:vAlign w:val="top"/>
          </w:tcPr>
          <w:p>
            <w:pPr>
              <w:spacing w:after="0"/>
              <w:jc w:val="left"/>
            </w:pPr>
            <w:r>
              <w:rPr>
                <w:rFonts w:ascii="Arial" w:hAnsi="Arial"/>
                <w:b w:val="0"/>
                <w:sz w:val="11"/>
              </w:rPr>
              <w:t>Compliance Team</w:t>
            </w:r>
          </w:p>
        </w:tc>
        <w:tc>
          <w:tcPr>
            <w:tcW w:type="dxa" w:w="2057"/>
            <w:vAlign w:val="top"/>
          </w:tcPr>
          <w:p>
            <w:pPr>
              <w:spacing w:after="0"/>
              <w:jc w:val="left"/>
            </w:pPr>
            <w:r>
              <w:rPr>
                <w:rFonts w:ascii="Arial" w:hAnsi="Arial"/>
                <w:b w:val="0"/>
                <w:sz w:val="11"/>
              </w:rPr>
              <w:t>2026-05-10</w:t>
            </w:r>
          </w:p>
        </w:tc>
      </w:tr>
      <w:tr>
        <w:trPr>
          <w:cantSplit/>
        </w:trPr>
        <w:tc>
          <w:tcPr>
            <w:tcW w:type="dxa" w:w="2057"/>
            <w:vAlign w:val="top"/>
          </w:tcPr>
          <w:p>
            <w:pPr>
              <w:spacing w:after="0"/>
              <w:jc w:val="left"/>
            </w:pPr>
            <w:r>
              <w:rPr>
                <w:rFonts w:ascii="Arial" w:hAnsi="Arial"/>
                <w:b w:val="0"/>
                <w:sz w:val="11"/>
              </w:rPr>
              <w:t>RCCS-06: Human Oversight</w:t>
            </w:r>
          </w:p>
        </w:tc>
        <w:tc>
          <w:tcPr>
            <w:tcW w:type="dxa" w:w="2057"/>
            <w:vAlign w:val="top"/>
          </w:tcPr>
          <w:p>
            <w:pPr>
              <w:spacing w:after="0"/>
              <w:jc w:val="left"/>
            </w:pPr>
            <w:r>
              <w:rPr>
                <w:rFonts w:ascii="Arial" w:hAnsi="Arial"/>
                <w:b w:val="0"/>
                <w:sz w:val="11"/>
              </w:rPr>
              <w:t>1.2</w:t>
            </w:r>
          </w:p>
        </w:tc>
        <w:tc>
          <w:tcPr>
            <w:tcW w:type="dxa" w:w="2057"/>
            <w:vAlign w:val="top"/>
          </w:tcPr>
          <w:p>
            <w:pPr>
              <w:spacing w:after="0"/>
              <w:jc w:val="left"/>
            </w:pPr>
            <w:r>
              <w:rPr>
                <w:rFonts w:ascii="Arial" w:hAnsi="Arial"/>
                <w:b w:val="0"/>
                <w:sz w:val="11"/>
              </w:rPr>
              <w:t>2.4</w:t>
            </w:r>
          </w:p>
        </w:tc>
        <w:tc>
          <w:tcPr>
            <w:tcW w:type="dxa" w:w="2057"/>
            <w:vAlign w:val="top"/>
          </w:tcPr>
          <w:p>
            <w:pPr>
              <w:spacing w:after="0"/>
              <w:jc w:val="left"/>
            </w:pPr>
            <w:r>
              <w:rPr>
                <w:rFonts w:ascii="Arial" w:hAnsi="Arial"/>
                <w:b w:val="0"/>
                <w:sz w:val="11"/>
              </w:rPr>
              <w:t>Vendor published official documentation for human-in-the-loop capability</w:t>
            </w:r>
          </w:p>
        </w:tc>
        <w:tc>
          <w:tcPr>
            <w:tcW w:type="dxa" w:w="2057"/>
            <w:vAlign w:val="top"/>
          </w:tcPr>
          <w:p>
            <w:pPr>
              <w:spacing w:after="0"/>
              <w:jc w:val="left"/>
            </w:pPr>
            <w:r>
              <w:rPr>
                <w:rFonts w:ascii="Arial" w:hAnsi="Arial"/>
                <w:b w:val="0"/>
                <w:sz w:val="11"/>
              </w:rPr>
              <w:t>Evidence level upgraded from L4 (vendor claim) to L2 (product docs)</w:t>
            </w:r>
          </w:p>
        </w:tc>
        <w:tc>
          <w:tcPr>
            <w:tcW w:type="dxa" w:w="2057"/>
            <w:vAlign w:val="top"/>
          </w:tcPr>
          <w:p>
            <w:pPr>
              <w:spacing w:after="0"/>
              <w:jc w:val="left"/>
            </w:pPr>
            <w:r>
              <w:rPr>
                <w:rFonts w:ascii="Arial" w:hAnsi="Arial"/>
                <w:b w:val="0"/>
                <w:sz w:val="11"/>
              </w:rPr>
              <w:t>Governance Team</w:t>
            </w:r>
          </w:p>
        </w:tc>
        <w:tc>
          <w:tcPr>
            <w:tcW w:type="dxa" w:w="2057"/>
            <w:vAlign w:val="top"/>
          </w:tcPr>
          <w:p>
            <w:pPr>
              <w:spacing w:after="0"/>
              <w:jc w:val="left"/>
            </w:pPr>
            <w:r>
              <w:rPr>
                <w:rFonts w:ascii="Arial" w:hAnsi="Arial"/>
                <w:b w:val="0"/>
                <w:sz w:val="11"/>
              </w:rPr>
              <w:t>2026-05-10</w:t>
            </w:r>
          </w:p>
        </w:tc>
      </w:tr>
    </w:tbl>
    <w:p>
      <w:pPr>
        <w:sectPr>
          <w:pgSz w:w="12240" w:h="15840" w:orient="landscape"/>
          <w:pgMar w:top="792" w:right="648" w:bottom="792" w:left="648" w:header="720" w:footer="720" w:gutter="0"/>
          <w:cols w:space="720"/>
          <w:docGrid w:linePitch="360"/>
        </w:sectPr>
      </w:pPr>
    </w:p>
    <w:p/>
    <w:p>
      <w:r>
        <w:t>Score delta policy:</w:t>
      </w:r>
    </w:p>
    <w:p/>
    <w:p>
      <w:pPr>
        <w:pStyle w:val="ListBullet"/>
      </w:pPr>
      <w:r>
        <w:t>Track all score changes with reason for change, evidence change, reviewer, and date</w:t>
      </w:r>
    </w:p>
    <w:p>
      <w:pPr>
        <w:pStyle w:val="ListBullet"/>
      </w:pPr>
      <w:r>
        <w:t>Require reviewer approval for all score changes</w:t>
      </w:r>
    </w:p>
    <w:p>
      <w:pPr>
        <w:pStyle w:val="ListBullet"/>
      </w:pPr>
      <w:r>
        <w:t>Document evidence change explaining why the score changed (new capability, new evidence, evidence level upgrade, etc.)</w:t>
      </w:r>
    </w:p>
    <w:p>
      <w:pPr>
        <w:pStyle w:val="ListBullet"/>
      </w:pPr>
      <w:r>
        <w:t>Preserve score history to support audit trail and continuous improvement</w:t>
      </w:r>
    </w:p>
    <w:p/>
    <w:p/>
    <w:p>
      <w:pPr>
        <w:pStyle w:val="Heading2"/>
      </w:pPr>
      <w:r>
        <w:t>B.5 Negative Control Template</w:t>
      </w:r>
    </w:p>
    <w:p/>
    <w:p>
      <w:r>
        <w:t>The following template supports negative control to prevent overclaim.</w:t>
      </w:r>
    </w:p>
    <w:p/>
    <w:p>
      <w:pPr>
        <w:keepNext/>
      </w:pPr>
      <w:r>
        <w:rPr>
          <w:b/>
          <w:sz w:val="17"/>
        </w:rPr>
        <w:t>Table T-B-04: Negative Control Checklist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3"/>
              </w:rPr>
              <w:t>Claim</w:t>
            </w:r>
          </w:p>
        </w:tc>
        <w:tc>
          <w:tcPr>
            <w:tcW w:type="dxa" w:w="2880"/>
            <w:vAlign w:val="top"/>
            <w:shd w:fill="D9EAF7"/>
          </w:tcPr>
          <w:p>
            <w:pPr>
              <w:spacing w:after="0"/>
              <w:jc w:val="left"/>
            </w:pPr>
            <w:r>
              <w:rPr>
                <w:rFonts w:ascii="Arial" w:hAnsi="Arial"/>
                <w:b/>
                <w:sz w:val="13"/>
              </w:rPr>
              <w:t>Adjacent Capability</w:t>
            </w:r>
          </w:p>
        </w:tc>
        <w:tc>
          <w:tcPr>
            <w:tcW w:type="dxa" w:w="2880"/>
            <w:vAlign w:val="top"/>
            <w:shd w:fill="D9EAF7"/>
          </w:tcPr>
          <w:p>
            <w:pPr>
              <w:spacing w:after="0"/>
              <w:jc w:val="left"/>
            </w:pPr>
            <w:r>
              <w:rPr>
                <w:rFonts w:ascii="Arial" w:hAnsi="Arial"/>
                <w:b/>
                <w:sz w:val="13"/>
              </w:rPr>
              <w:t>Why It Does Not Count</w:t>
            </w:r>
          </w:p>
        </w:tc>
        <w:tc>
          <w:tcPr>
            <w:tcW w:type="dxa" w:w="2880"/>
            <w:vAlign w:val="top"/>
            <w:shd w:fill="D9EAF7"/>
          </w:tcPr>
          <w:p>
            <w:pPr>
              <w:spacing w:after="0"/>
              <w:jc w:val="left"/>
            </w:pPr>
            <w:r>
              <w:rPr>
                <w:rFonts w:ascii="Arial" w:hAnsi="Arial"/>
                <w:b/>
                <w:sz w:val="13"/>
              </w:rPr>
              <w:t>Required Evidence</w:t>
            </w:r>
          </w:p>
        </w:tc>
        <w:tc>
          <w:tcPr>
            <w:tcW w:type="dxa" w:w="2880"/>
            <w:vAlign w:val="top"/>
            <w:shd w:fill="D9EAF7"/>
          </w:tcPr>
          <w:p>
            <w:pPr>
              <w:spacing w:after="0"/>
              <w:jc w:val="left"/>
            </w:pPr>
            <w:r>
              <w:rPr>
                <w:rFonts w:ascii="Arial" w:hAnsi="Arial"/>
                <w:b/>
                <w:sz w:val="13"/>
              </w:rPr>
              <w:t>Reviewer Note</w:t>
            </w:r>
          </w:p>
        </w:tc>
      </w:tr>
      <w:tr>
        <w:trPr>
          <w:cantSplit/>
        </w:trPr>
        <w:tc>
          <w:tcPr>
            <w:tcW w:type="dxa" w:w="2880"/>
            <w:vAlign w:val="top"/>
          </w:tcPr>
          <w:p>
            <w:pPr>
              <w:spacing w:after="0"/>
              <w:jc w:val="left"/>
            </w:pPr>
            <w:r>
              <w:rPr>
                <w:rFonts w:ascii="Arial" w:hAnsi="Arial"/>
                <w:b w:val="0"/>
                <w:sz w:val="13"/>
              </w:rPr>
              <w:t>"System provides human oversight"</w:t>
            </w:r>
          </w:p>
        </w:tc>
        <w:tc>
          <w:tcPr>
            <w:tcW w:type="dxa" w:w="2880"/>
            <w:vAlign w:val="top"/>
          </w:tcPr>
          <w:p>
            <w:pPr>
              <w:spacing w:after="0"/>
              <w:jc w:val="left"/>
            </w:pPr>
            <w:r>
              <w:rPr>
                <w:rFonts w:ascii="Arial" w:hAnsi="Arial"/>
                <w:b w:val="0"/>
                <w:sz w:val="13"/>
              </w:rPr>
              <w:t>System has approval button in UI</w:t>
            </w:r>
          </w:p>
        </w:tc>
        <w:tc>
          <w:tcPr>
            <w:tcW w:type="dxa" w:w="2880"/>
            <w:vAlign w:val="top"/>
          </w:tcPr>
          <w:p>
            <w:pPr>
              <w:spacing w:after="0"/>
              <w:jc w:val="left"/>
            </w:pPr>
            <w:r>
              <w:rPr>
                <w:rFonts w:ascii="Arial" w:hAnsi="Arial"/>
                <w:b w:val="0"/>
                <w:sz w:val="13"/>
              </w:rPr>
              <w:t>Approval button ≠ human-role-to-MAS responsibility mapping; no role assignment records; no acceptance records; no escalation workflow</w:t>
            </w:r>
          </w:p>
        </w:tc>
        <w:tc>
          <w:tcPr>
            <w:tcW w:type="dxa" w:w="2880"/>
            <w:vAlign w:val="top"/>
          </w:tcPr>
          <w:p>
            <w:pPr>
              <w:spacing w:after="0"/>
              <w:jc w:val="left"/>
            </w:pPr>
            <w:r>
              <w:rPr>
                <w:rFonts w:ascii="Arial" w:hAnsi="Arial"/>
                <w:b w:val="0"/>
                <w:sz w:val="13"/>
              </w:rPr>
              <w:t>Human-role-to-MAS responsibility mapping (MRO-01); acceptance records (MRO-04); escalation workflow</w:t>
            </w:r>
          </w:p>
        </w:tc>
        <w:tc>
          <w:tcPr>
            <w:tcW w:type="dxa" w:w="2880"/>
            <w:vAlign w:val="top"/>
          </w:tcPr>
          <w:p>
            <w:pPr>
              <w:spacing w:after="0"/>
              <w:jc w:val="left"/>
            </w:pPr>
            <w:r>
              <w:rPr>
                <w:rFonts w:ascii="Arial" w:hAnsi="Arial"/>
                <w:b w:val="0"/>
                <w:sz w:val="13"/>
              </w:rPr>
              <w:t>Approval button is UI feature, not lifecycle governance object</w:t>
            </w:r>
          </w:p>
        </w:tc>
      </w:tr>
      <w:tr>
        <w:trPr>
          <w:cantSplit/>
        </w:trPr>
        <w:tc>
          <w:tcPr>
            <w:tcW w:type="dxa" w:w="2880"/>
            <w:vAlign w:val="top"/>
          </w:tcPr>
          <w:p>
            <w:pPr>
              <w:spacing w:after="0"/>
              <w:jc w:val="left"/>
            </w:pPr>
            <w:r>
              <w:rPr>
                <w:rFonts w:ascii="Arial" w:hAnsi="Arial"/>
                <w:b w:val="0"/>
                <w:sz w:val="13"/>
              </w:rPr>
              <w:t>"System provides evidence chain"</w:t>
            </w:r>
          </w:p>
        </w:tc>
        <w:tc>
          <w:tcPr>
            <w:tcW w:type="dxa" w:w="2880"/>
            <w:vAlign w:val="top"/>
          </w:tcPr>
          <w:p>
            <w:pPr>
              <w:spacing w:after="0"/>
              <w:jc w:val="left"/>
            </w:pPr>
            <w:r>
              <w:rPr>
                <w:rFonts w:ascii="Arial" w:hAnsi="Arial"/>
                <w:b w:val="0"/>
                <w:sz w:val="13"/>
              </w:rPr>
              <w:t>System has logs</w:t>
            </w:r>
          </w:p>
        </w:tc>
        <w:tc>
          <w:tcPr>
            <w:tcW w:type="dxa" w:w="2880"/>
            <w:vAlign w:val="top"/>
          </w:tcPr>
          <w:p>
            <w:pPr>
              <w:spacing w:after="0"/>
              <w:jc w:val="left"/>
            </w:pPr>
            <w:r>
              <w:rPr>
                <w:rFonts w:ascii="Arial" w:hAnsi="Arial"/>
                <w:b w:val="0"/>
                <w:sz w:val="13"/>
              </w:rPr>
              <w:t>Logs ≠ partitioned evidence chain; no evidence export capability; no selective disclosure; no evidence integrity validation</w:t>
            </w:r>
          </w:p>
        </w:tc>
        <w:tc>
          <w:tcPr>
            <w:tcW w:type="dxa" w:w="2880"/>
            <w:vAlign w:val="top"/>
          </w:tcPr>
          <w:p>
            <w:pPr>
              <w:spacing w:after="0"/>
              <w:jc w:val="left"/>
            </w:pPr>
            <w:r>
              <w:rPr>
                <w:rFonts w:ascii="Arial" w:hAnsi="Arial"/>
                <w:b w:val="0"/>
                <w:sz w:val="13"/>
              </w:rPr>
              <w:t>MAS evidence partitioning (MRO-08); evidence export capability; selective disclosure; evidence integrity validation</w:t>
            </w:r>
          </w:p>
        </w:tc>
        <w:tc>
          <w:tcPr>
            <w:tcW w:type="dxa" w:w="2880"/>
            <w:vAlign w:val="top"/>
          </w:tcPr>
          <w:p>
            <w:pPr>
              <w:spacing w:after="0"/>
              <w:jc w:val="left"/>
            </w:pPr>
            <w:r>
              <w:rPr>
                <w:rFonts w:ascii="Arial" w:hAnsi="Arial"/>
                <w:b w:val="0"/>
                <w:sz w:val="13"/>
              </w:rPr>
              <w:t>Logs are execution records, not lifecycle responsibility evidence</w:t>
            </w:r>
          </w:p>
        </w:tc>
      </w:tr>
      <w:tr>
        <w:trPr>
          <w:cantSplit/>
        </w:trPr>
        <w:tc>
          <w:tcPr>
            <w:tcW w:type="dxa" w:w="2880"/>
            <w:vAlign w:val="top"/>
          </w:tcPr>
          <w:p>
            <w:pPr>
              <w:spacing w:after="0"/>
              <w:jc w:val="left"/>
            </w:pPr>
            <w:r>
              <w:rPr>
                <w:rFonts w:ascii="Arial" w:hAnsi="Arial"/>
                <w:b w:val="0"/>
                <w:sz w:val="13"/>
              </w:rPr>
              <w:t>"System provides authority boundary"</w:t>
            </w:r>
          </w:p>
        </w:tc>
        <w:tc>
          <w:tcPr>
            <w:tcW w:type="dxa" w:w="2880"/>
            <w:vAlign w:val="top"/>
          </w:tcPr>
          <w:p>
            <w:pPr>
              <w:spacing w:after="0"/>
              <w:jc w:val="left"/>
            </w:pPr>
            <w:r>
              <w:rPr>
                <w:rFonts w:ascii="Arial" w:hAnsi="Arial"/>
                <w:b w:val="0"/>
                <w:sz w:val="13"/>
              </w:rPr>
              <w:t>System has access control</w:t>
            </w:r>
          </w:p>
        </w:tc>
        <w:tc>
          <w:tcPr>
            <w:tcW w:type="dxa" w:w="2880"/>
            <w:vAlign w:val="top"/>
          </w:tcPr>
          <w:p>
            <w:pPr>
              <w:spacing w:after="0"/>
              <w:jc w:val="left"/>
            </w:pPr>
            <w:r>
              <w:rPr>
                <w:rFonts w:ascii="Arial" w:hAnsi="Arial"/>
                <w:b w:val="0"/>
                <w:sz w:val="13"/>
              </w:rPr>
              <w:t>Access control ≠ delegated authority boundary; no authority grant records; no boundary violation alerts; no drift detection</w:t>
            </w:r>
          </w:p>
        </w:tc>
        <w:tc>
          <w:tcPr>
            <w:tcW w:type="dxa" w:w="2880"/>
            <w:vAlign w:val="top"/>
          </w:tcPr>
          <w:p>
            <w:pPr>
              <w:spacing w:after="0"/>
              <w:jc w:val="left"/>
            </w:pPr>
            <w:r>
              <w:rPr>
                <w:rFonts w:ascii="Arial" w:hAnsi="Arial"/>
                <w:b w:val="0"/>
                <w:sz w:val="13"/>
              </w:rPr>
              <w:t>Delegated authority boundary (MRO-02); authority grant records; boundary violation alerts; drift detection</w:t>
            </w:r>
          </w:p>
        </w:tc>
        <w:tc>
          <w:tcPr>
            <w:tcW w:type="dxa" w:w="2880"/>
            <w:vAlign w:val="top"/>
          </w:tcPr>
          <w:p>
            <w:pPr>
              <w:spacing w:after="0"/>
              <w:jc w:val="left"/>
            </w:pPr>
            <w:r>
              <w:rPr>
                <w:rFonts w:ascii="Arial" w:hAnsi="Arial"/>
                <w:b w:val="0"/>
                <w:sz w:val="13"/>
              </w:rPr>
              <w:t>Access control is security feature, not lifecycle governance object</w:t>
            </w:r>
          </w:p>
        </w:tc>
      </w:tr>
      <w:tr>
        <w:trPr>
          <w:cantSplit/>
        </w:trPr>
        <w:tc>
          <w:tcPr>
            <w:tcW w:type="dxa" w:w="2880"/>
            <w:vAlign w:val="top"/>
          </w:tcPr>
          <w:p>
            <w:pPr>
              <w:spacing w:after="0"/>
              <w:jc w:val="left"/>
            </w:pPr>
            <w:r>
              <w:rPr>
                <w:rFonts w:ascii="Arial" w:hAnsi="Arial"/>
                <w:b w:val="0"/>
                <w:sz w:val="13"/>
              </w:rPr>
              <w:t>"System provides accepted outcome compliance"</w:t>
            </w:r>
          </w:p>
        </w:tc>
        <w:tc>
          <w:tcPr>
            <w:tcW w:type="dxa" w:w="2880"/>
            <w:vAlign w:val="top"/>
          </w:tcPr>
          <w:p>
            <w:pPr>
              <w:spacing w:after="0"/>
              <w:jc w:val="left"/>
            </w:pPr>
            <w:r>
              <w:rPr>
                <w:rFonts w:ascii="Arial" w:hAnsi="Arial"/>
                <w:b w:val="0"/>
                <w:sz w:val="13"/>
              </w:rPr>
              <w:t>Orchestrator marks task complete</w:t>
            </w:r>
          </w:p>
        </w:tc>
        <w:tc>
          <w:tcPr>
            <w:tcW w:type="dxa" w:w="2880"/>
            <w:vAlign w:val="top"/>
          </w:tcPr>
          <w:p>
            <w:pPr>
              <w:spacing w:after="0"/>
              <w:jc w:val="left"/>
            </w:pPr>
            <w:r>
              <w:rPr>
                <w:rFonts w:ascii="Arial" w:hAnsi="Arial"/>
                <w:b w:val="0"/>
                <w:sz w:val="13"/>
              </w:rPr>
              <w:t>Task completion ≠ accepted outcome; no accountable human role; no acceptance records; no review workflow</w:t>
            </w:r>
          </w:p>
        </w:tc>
        <w:tc>
          <w:tcPr>
            <w:tcW w:type="dxa" w:w="2880"/>
            <w:vAlign w:val="top"/>
          </w:tcPr>
          <w:p>
            <w:pPr>
              <w:spacing w:after="0"/>
              <w:jc w:val="left"/>
            </w:pPr>
            <w:r>
              <w:rPr>
                <w:rFonts w:ascii="Arial" w:hAnsi="Arial"/>
                <w:b w:val="0"/>
                <w:sz w:val="13"/>
              </w:rPr>
              <w:t>Accepted outcome compliance (MRO-04); human-role-to-MAS responsibility mapping (MRO-01); acceptance records; review workflow</w:t>
            </w:r>
          </w:p>
        </w:tc>
        <w:tc>
          <w:tcPr>
            <w:tcW w:type="dxa" w:w="2880"/>
            <w:vAlign w:val="top"/>
          </w:tcPr>
          <w:p>
            <w:pPr>
              <w:spacing w:after="0"/>
              <w:jc w:val="left"/>
            </w:pPr>
            <w:r>
              <w:rPr>
                <w:rFonts w:ascii="Arial" w:hAnsi="Arial"/>
                <w:b w:val="0"/>
                <w:sz w:val="13"/>
              </w:rPr>
              <w:t>Execution completion ≠ accepted outcome</w:t>
            </w:r>
          </w:p>
        </w:tc>
      </w:tr>
      <w:tr>
        <w:trPr>
          <w:cantSplit/>
        </w:trPr>
        <w:tc>
          <w:tcPr>
            <w:tcW w:type="dxa" w:w="2880"/>
            <w:vAlign w:val="top"/>
          </w:tcPr>
          <w:p>
            <w:pPr>
              <w:spacing w:after="0"/>
              <w:jc w:val="left"/>
            </w:pPr>
            <w:r>
              <w:rPr>
                <w:rFonts w:ascii="Arial" w:hAnsi="Arial"/>
                <w:b w:val="0"/>
                <w:sz w:val="13"/>
              </w:rPr>
              <w:t>"System provides privacy-preserving validation"</w:t>
            </w:r>
          </w:p>
        </w:tc>
        <w:tc>
          <w:tcPr>
            <w:tcW w:type="dxa" w:w="2880"/>
            <w:vAlign w:val="top"/>
          </w:tcPr>
          <w:p>
            <w:pPr>
              <w:spacing w:after="0"/>
              <w:jc w:val="left"/>
            </w:pPr>
            <w:r>
              <w:rPr>
                <w:rFonts w:ascii="Arial" w:hAnsi="Arial"/>
                <w:b w:val="0"/>
                <w:sz w:val="13"/>
              </w:rPr>
              <w:t>System has data export</w:t>
            </w:r>
          </w:p>
        </w:tc>
        <w:tc>
          <w:tcPr>
            <w:tcW w:type="dxa" w:w="2880"/>
            <w:vAlign w:val="top"/>
          </w:tcPr>
          <w:p>
            <w:pPr>
              <w:spacing w:after="0"/>
              <w:jc w:val="left"/>
            </w:pPr>
            <w:r>
              <w:rPr>
                <w:rFonts w:ascii="Arial" w:hAnsi="Arial"/>
                <w:b w:val="0"/>
                <w:sz w:val="13"/>
              </w:rPr>
              <w:t>Data export ≠ privacy-preserving validation; no disclosure profile; no redaction profile; no hash manifests; no verdict hashes</w:t>
            </w:r>
          </w:p>
        </w:tc>
        <w:tc>
          <w:tcPr>
            <w:tcW w:type="dxa" w:w="2880"/>
            <w:vAlign w:val="top"/>
          </w:tcPr>
          <w:p>
            <w:pPr>
              <w:spacing w:after="0"/>
              <w:jc w:val="left"/>
            </w:pPr>
            <w:r>
              <w:rPr>
                <w:rFonts w:ascii="Arial" w:hAnsi="Arial"/>
                <w:b w:val="0"/>
                <w:sz w:val="13"/>
              </w:rPr>
              <w:t>Privacy-preserving third-party validation (MRO-11); disclosure profile; redaction profile; hash manifests; verdict hashes</w:t>
            </w:r>
          </w:p>
        </w:tc>
        <w:tc>
          <w:tcPr>
            <w:tcW w:type="dxa" w:w="2880"/>
            <w:vAlign w:val="top"/>
          </w:tcPr>
          <w:p>
            <w:pPr>
              <w:spacing w:after="0"/>
              <w:jc w:val="left"/>
            </w:pPr>
            <w:r>
              <w:rPr>
                <w:rFonts w:ascii="Arial" w:hAnsi="Arial"/>
                <w:b w:val="0"/>
                <w:sz w:val="13"/>
              </w:rPr>
              <w:t>Data export is data management feature, not privacy-preserving validation protocol</w:t>
            </w:r>
          </w:p>
        </w:tc>
      </w:tr>
    </w:tbl>
    <w:p>
      <w:pPr>
        <w:sectPr>
          <w:pgSz w:w="15840" w:h="12240" w:orient="landscape"/>
          <w:pgMar w:top="792" w:right="648" w:bottom="792" w:left="648" w:header="720" w:footer="720" w:gutter="0"/>
          <w:cols w:space="720"/>
          <w:docGrid w:linePitch="360"/>
        </w:sectPr>
      </w:pPr>
    </w:p>
    <w:p/>
    <w:p>
      <w:r>
        <w:t>Negative control policy:</w:t>
      </w:r>
    </w:p>
    <w:p/>
    <w:p>
      <w:pPr>
        <w:pStyle w:val="ListBullet"/>
      </w:pPr>
      <w:r>
        <w:t>Distinguish adjacent capabilities from lifecycle responsibility objects. Many systems have features that are adjacent to lifecycle governance but do not constitute lifecycle responsibility objects.</w:t>
      </w:r>
    </w:p>
    <w:p>
      <w:pPr>
        <w:pStyle w:val="ListBullet"/>
      </w:pPr>
      <w:r>
        <w:t>Require explicit evidence for lifecycle responsibility objects. Approval buttons, logs, access control, task completion, and data export are not lifecycle responsibility objects unless they include the required fields and workflows.</w:t>
      </w:r>
    </w:p>
    <w:p>
      <w:pPr>
        <w:pStyle w:val="ListBullet"/>
      </w:pPr>
      <w:r>
        <w:t>Prevent overclaim. Negative control prevents scoring systems for adjacent capabilities that do not meet lifecycle responsibility object requirements.</w:t>
      </w:r>
    </w:p>
    <w:p>
      <w:pPr>
        <w:pStyle w:val="ListBullet"/>
      </w:pPr>
      <w:r>
        <w:t>Document why adjacent capabilities do not count. Negative control checklist explains why specific capabilities do not count toward RCCS/ALCS scores.</w:t>
      </w:r>
    </w:p>
    <w:p/>
    <w:p/>
    <w:p>
      <w:r>
        <w:t>End of Appendix B</w:t>
      </w:r>
    </w:p>
    <w:p/>
    <w:p>
      <w:r>
        <w:t>Appendix B Status: FILLED (Phase 1B-8; Phase 1C follow-up reviewed) — Scorecard Template complete; canonical evidence multipliers and non-legal-score boundaries preserved.</w:t>
      </w:r>
    </w:p>
    <w:p>
      <w:pPr>
        <w:pStyle w:val="Heading1"/>
      </w:pPr>
      <w:r>
        <w:t>Appendix C — References and Source Notes</w:t>
      </w:r>
    </w:p>
    <w:p/>
    <w:p>
      <w:r>
        <w:t>Version: v0.3.2-FRC-R3</w:t>
      </w:r>
    </w:p>
    <w:p>
      <w:r>
        <w:t>Status: Filled — Phase 1C claim-level source binding applied</w:t>
      </w:r>
    </w:p>
    <w:p>
      <w:r>
        <w:t>Phase: 1B-8 / 1C Follow-up</w:t>
      </w:r>
    </w:p>
    <w:p/>
    <w:p/>
    <w:p>
      <w:pPr>
        <w:pStyle w:val="Heading2"/>
      </w:pPr>
      <w:r>
        <w:t>C.0 Source Boundary</w:t>
      </w:r>
    </w:p>
    <w:p/>
    <w:p>
      <w:r>
        <w:t>This appendix provides a source register and citation guidance for the Global AI Compliance White Paper 2026. Phase 1C follow-up located official source entry points and created a claim evidence register for high-risk L2 product/protocol claims. This appendix does not claim final publication-candidate citation rendering or page-level source pinning is complete.</w:t>
      </w:r>
    </w:p>
    <w:p/>
    <w:p>
      <w:r>
        <w:t>Boundary statement:</w:t>
      </w:r>
    </w:p>
    <w:p/>
    <w:p>
      <w:pPr>
        <w:pStyle w:val="ListBullet"/>
      </w:pPr>
      <w:r>
        <w:t>This appendix is a source register and claim-binding pointer, not a final bibliography. The source register lists sources used in the white paper and their current validation status. Phase 1C follow-up completed source-entry and claim-disposition review; final page-level citation pinning remains before publication.</w:t>
      </w:r>
    </w:p>
    <w:p/>
    <w:p>
      <w:pPr>
        <w:pStyle w:val="ListBullet"/>
      </w:pPr>
      <w:r>
        <w:t>Citation placeholders require final page-level pinning. Many L2 product documentation sources are referenced via source IDs (e.g., [IBM-WATSONX-GOVERNANCE-DOCS], [MPLP-DOCS]). Phase 1C follow-up located official entry points; final publication should pin exact page URLs and publication/access details where needed.</w:t>
      </w:r>
    </w:p>
    <w:p/>
    <w:p>
      <w:pPr>
        <w:pStyle w:val="ListBullet"/>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
      <w:pPr>
        <w:pStyle w:val="ListBullet"/>
      </w:pPr>
      <w:r>
        <w:t>Source validation is not legal compliance proof. Validated sources support the white paper's analytical framework. They do not prove legal compliance, regulatory approval, or certification.</w:t>
      </w:r>
    </w:p>
    <w:p/>
    <w:p/>
    <w:p>
      <w:pPr>
        <w:pStyle w:val="Heading2"/>
      </w:pPr>
      <w:r>
        <w:t>C.1 Evidence Level Policy</w:t>
      </w:r>
    </w:p>
    <w:p/>
    <w:p>
      <w:r>
        <w:t>The following table defines evidence levels and their permitted use.</w:t>
      </w:r>
    </w:p>
    <w:p/>
    <w:p>
      <w:pPr>
        <w:keepNext/>
      </w:pPr>
      <w:r>
        <w:rPr>
          <w:b/>
          <w:sz w:val="17"/>
        </w:rPr>
        <w:t>Table T-C-01: Evidence Level Policy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3"/>
              </w:rPr>
              <w:t>Level</w:t>
            </w:r>
          </w:p>
        </w:tc>
        <w:tc>
          <w:tcPr>
            <w:tcW w:type="dxa" w:w="2880"/>
            <w:vAlign w:val="top"/>
            <w:shd w:fill="D9EAF7"/>
          </w:tcPr>
          <w:p>
            <w:pPr>
              <w:spacing w:after="0"/>
              <w:jc w:val="left"/>
            </w:pPr>
            <w:r>
              <w:rPr>
                <w:rFonts w:ascii="Arial" w:hAnsi="Arial"/>
                <w:b/>
                <w:sz w:val="13"/>
              </w:rPr>
              <w:t>Source Type</w:t>
            </w:r>
          </w:p>
        </w:tc>
        <w:tc>
          <w:tcPr>
            <w:tcW w:type="dxa" w:w="2880"/>
            <w:vAlign w:val="top"/>
            <w:shd w:fill="D9EAF7"/>
          </w:tcPr>
          <w:p>
            <w:pPr>
              <w:spacing w:after="0"/>
              <w:jc w:val="left"/>
            </w:pPr>
            <w:r>
              <w:rPr>
                <w:rFonts w:ascii="Arial" w:hAnsi="Arial"/>
                <w:b/>
                <w:sz w:val="13"/>
              </w:rPr>
              <w:t>Permitted Use</w:t>
            </w:r>
          </w:p>
        </w:tc>
        <w:tc>
          <w:tcPr>
            <w:tcW w:type="dxa" w:w="2880"/>
            <w:vAlign w:val="top"/>
            <w:shd w:fill="D9EAF7"/>
          </w:tcPr>
          <w:p>
            <w:pPr>
              <w:spacing w:after="0"/>
              <w:jc w:val="left"/>
            </w:pPr>
            <w:r>
              <w:rPr>
                <w:rFonts w:ascii="Arial" w:hAnsi="Arial"/>
                <w:b/>
                <w:sz w:val="13"/>
              </w:rPr>
              <w:t>Confidence</w:t>
            </w:r>
          </w:p>
        </w:tc>
        <w:tc>
          <w:tcPr>
            <w:tcW w:type="dxa" w:w="2880"/>
            <w:vAlign w:val="top"/>
            <w:shd w:fill="D9EAF7"/>
          </w:tcPr>
          <w:p>
            <w:pPr>
              <w:spacing w:after="0"/>
              <w:jc w:val="left"/>
            </w:pPr>
            <w:r>
              <w:rPr>
                <w:rFonts w:ascii="Arial" w:hAnsi="Arial"/>
                <w:b/>
                <w:sz w:val="13"/>
              </w:rPr>
              <w:t>Limitation</w:t>
            </w:r>
          </w:p>
        </w:tc>
      </w:tr>
      <w:tr>
        <w:trPr>
          <w:cantSplit/>
        </w:trPr>
        <w:tc>
          <w:tcPr>
            <w:tcW w:type="dxa" w:w="2880"/>
            <w:vAlign w:val="top"/>
          </w:tcPr>
          <w:p>
            <w:pPr>
              <w:spacing w:after="0"/>
              <w:jc w:val="left"/>
            </w:pPr>
            <w:r>
              <w:rPr>
                <w:rFonts w:ascii="Arial" w:hAnsi="Arial"/>
                <w:b w:val="0"/>
                <w:sz w:val="13"/>
              </w:rPr>
              <w:t>L1</w:t>
            </w:r>
          </w:p>
        </w:tc>
        <w:tc>
          <w:tcPr>
            <w:tcW w:type="dxa" w:w="2880"/>
            <w:vAlign w:val="top"/>
          </w:tcPr>
          <w:p>
            <w:pPr>
              <w:spacing w:after="0"/>
              <w:jc w:val="left"/>
            </w:pPr>
            <w:r>
              <w:rPr>
                <w:rFonts w:ascii="Arial" w:hAnsi="Arial"/>
                <w:b w:val="0"/>
                <w:sz w:val="13"/>
              </w:rPr>
              <w:t>Binding legal text (EU AI Act, GDPR, Colorado AI Act, etc.)</w:t>
            </w:r>
          </w:p>
        </w:tc>
        <w:tc>
          <w:tcPr>
            <w:tcW w:type="dxa" w:w="2880"/>
            <w:vAlign w:val="top"/>
          </w:tcPr>
          <w:p>
            <w:pPr>
              <w:spacing w:after="0"/>
              <w:jc w:val="left"/>
            </w:pPr>
            <w:r>
              <w:rPr>
                <w:rFonts w:ascii="Arial" w:hAnsi="Arial"/>
                <w:b w:val="0"/>
                <w:sz w:val="13"/>
              </w:rPr>
              <w:t>Regulatory baseline; legal obligation statements</w:t>
            </w:r>
          </w:p>
        </w:tc>
        <w:tc>
          <w:tcPr>
            <w:tcW w:type="dxa" w:w="2880"/>
            <w:vAlign w:val="top"/>
          </w:tcPr>
          <w:p>
            <w:pPr>
              <w:spacing w:after="0"/>
              <w:jc w:val="left"/>
            </w:pPr>
            <w:r>
              <w:rPr>
                <w:rFonts w:ascii="Arial" w:hAnsi="Arial"/>
                <w:b w:val="0"/>
                <w:sz w:val="13"/>
              </w:rPr>
              <w:t>Highest</w:t>
            </w:r>
          </w:p>
        </w:tc>
        <w:tc>
          <w:tcPr>
            <w:tcW w:type="dxa" w:w="2880"/>
            <w:vAlign w:val="top"/>
          </w:tcPr>
          <w:p>
            <w:pPr>
              <w:spacing w:after="0"/>
              <w:jc w:val="left"/>
            </w:pPr>
            <w:r>
              <w:rPr>
                <w:rFonts w:ascii="Arial" w:hAnsi="Arial"/>
                <w:b w:val="0"/>
                <w:sz w:val="13"/>
              </w:rPr>
              <w:t>Legal text requires legal interpretation; does not prove organizational compliance</w:t>
            </w:r>
          </w:p>
        </w:tc>
      </w:tr>
      <w:tr>
        <w:trPr>
          <w:cantSplit/>
        </w:trPr>
        <w:tc>
          <w:tcPr>
            <w:tcW w:type="dxa" w:w="2880"/>
            <w:vAlign w:val="top"/>
          </w:tcPr>
          <w:p>
            <w:pPr>
              <w:spacing w:after="0"/>
              <w:jc w:val="left"/>
            </w:pPr>
            <w:r>
              <w:rPr>
                <w:rFonts w:ascii="Arial" w:hAnsi="Arial"/>
                <w:b w:val="0"/>
                <w:sz w:val="13"/>
              </w:rPr>
              <w:t>L1</w:t>
            </w:r>
          </w:p>
        </w:tc>
        <w:tc>
          <w:tcPr>
            <w:tcW w:type="dxa" w:w="2880"/>
            <w:vAlign w:val="top"/>
          </w:tcPr>
          <w:p>
            <w:pPr>
              <w:spacing w:after="0"/>
              <w:jc w:val="left"/>
            </w:pPr>
            <w:r>
              <w:rPr>
                <w:rFonts w:ascii="Arial" w:hAnsi="Arial"/>
                <w:b w:val="0"/>
                <w:sz w:val="13"/>
              </w:rPr>
              <w:t>Formal standards (NIST AI RMF, ISO/IEC 42001, Singapore IMDA, W3C PROV, W3C VC)</w:t>
            </w:r>
          </w:p>
        </w:tc>
        <w:tc>
          <w:tcPr>
            <w:tcW w:type="dxa" w:w="2880"/>
            <w:vAlign w:val="top"/>
          </w:tcPr>
          <w:p>
            <w:pPr>
              <w:spacing w:after="0"/>
              <w:jc w:val="left"/>
            </w:pPr>
            <w:r>
              <w:rPr>
                <w:rFonts w:ascii="Arial" w:hAnsi="Arial"/>
                <w:b w:val="0"/>
                <w:sz w:val="13"/>
              </w:rPr>
              <w:t>Framework baseline; standard requirements</w:t>
            </w:r>
          </w:p>
        </w:tc>
        <w:tc>
          <w:tcPr>
            <w:tcW w:type="dxa" w:w="2880"/>
            <w:vAlign w:val="top"/>
          </w:tcPr>
          <w:p>
            <w:pPr>
              <w:spacing w:after="0"/>
              <w:jc w:val="left"/>
            </w:pPr>
            <w:r>
              <w:rPr>
                <w:rFonts w:ascii="Arial" w:hAnsi="Arial"/>
                <w:b w:val="0"/>
                <w:sz w:val="13"/>
              </w:rPr>
              <w:t>Highest</w:t>
            </w:r>
          </w:p>
        </w:tc>
        <w:tc>
          <w:tcPr>
            <w:tcW w:type="dxa" w:w="2880"/>
            <w:vAlign w:val="top"/>
          </w:tcPr>
          <w:p>
            <w:pPr>
              <w:spacing w:after="0"/>
              <w:jc w:val="left"/>
            </w:pPr>
            <w:r>
              <w:rPr>
                <w:rFonts w:ascii="Arial" w:hAnsi="Arial"/>
                <w:b w:val="0"/>
                <w:sz w:val="13"/>
              </w:rPr>
              <w:t>Standards are voluntary unless mandated by regulation; adoption does not prove compliance</w:t>
            </w:r>
          </w:p>
        </w:tc>
      </w:tr>
      <w:tr>
        <w:trPr>
          <w:cantSplit/>
        </w:trPr>
        <w:tc>
          <w:tcPr>
            <w:tcW w:type="dxa" w:w="2880"/>
            <w:vAlign w:val="top"/>
          </w:tcPr>
          <w:p>
            <w:pPr>
              <w:spacing w:after="0"/>
              <w:jc w:val="left"/>
            </w:pPr>
            <w:r>
              <w:rPr>
                <w:rFonts w:ascii="Arial" w:hAnsi="Arial"/>
                <w:b w:val="0"/>
                <w:sz w:val="13"/>
              </w:rPr>
              <w:t>L2</w:t>
            </w:r>
          </w:p>
        </w:tc>
        <w:tc>
          <w:tcPr>
            <w:tcW w:type="dxa" w:w="2880"/>
            <w:vAlign w:val="top"/>
          </w:tcPr>
          <w:p>
            <w:pPr>
              <w:spacing w:after="0"/>
              <w:jc w:val="left"/>
            </w:pPr>
            <w:r>
              <w:rPr>
                <w:rFonts w:ascii="Arial" w:hAnsi="Arial"/>
                <w:b w:val="0"/>
                <w:sz w:val="13"/>
              </w:rPr>
              <w:t>Official product documentation (vendor docs, protocol specs, GitHub repos)</w:t>
            </w:r>
          </w:p>
        </w:tc>
        <w:tc>
          <w:tcPr>
            <w:tcW w:type="dxa" w:w="2880"/>
            <w:vAlign w:val="top"/>
          </w:tcPr>
          <w:p>
            <w:pPr>
              <w:spacing w:after="0"/>
              <w:jc w:val="left"/>
            </w:pPr>
            <w:r>
              <w:rPr>
                <w:rFonts w:ascii="Arial" w:hAnsi="Arial"/>
                <w:b w:val="0"/>
                <w:sz w:val="13"/>
              </w:rPr>
              <w:t>System capability claims; feature descriptions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Product docs describe capability, not operational effectiveness; require validation; may change without notice</w:t>
            </w:r>
          </w:p>
        </w:tc>
      </w:tr>
      <w:tr>
        <w:trPr>
          <w:cantSplit/>
        </w:trPr>
        <w:tc>
          <w:tcPr>
            <w:tcW w:type="dxa" w:w="2880"/>
            <w:vAlign w:val="top"/>
          </w:tcPr>
          <w:p>
            <w:pPr>
              <w:spacing w:after="0"/>
              <w:jc w:val="left"/>
            </w:pPr>
            <w:r>
              <w:rPr>
                <w:rFonts w:ascii="Arial" w:hAnsi="Arial"/>
                <w:b w:val="0"/>
                <w:sz w:val="13"/>
              </w:rPr>
              <w:t>L3</w:t>
            </w:r>
          </w:p>
        </w:tc>
        <w:tc>
          <w:tcPr>
            <w:tcW w:type="dxa" w:w="2880"/>
            <w:vAlign w:val="top"/>
          </w:tcPr>
          <w:p>
            <w:pPr>
              <w:spacing w:after="0"/>
              <w:jc w:val="left"/>
            </w:pPr>
            <w:r>
              <w:rPr>
                <w:rFonts w:ascii="Arial" w:hAnsi="Arial"/>
                <w:b w:val="0"/>
                <w:sz w:val="13"/>
              </w:rPr>
              <w:t>Third-party audit reports, academic papers, industry reports</w:t>
            </w:r>
          </w:p>
        </w:tc>
        <w:tc>
          <w:tcPr>
            <w:tcW w:type="dxa" w:w="2880"/>
            <w:vAlign w:val="top"/>
          </w:tcPr>
          <w:p>
            <w:pPr>
              <w:spacing w:after="0"/>
              <w:jc w:val="left"/>
            </w:pPr>
            <w:r>
              <w:rPr>
                <w:rFonts w:ascii="Arial" w:hAnsi="Arial"/>
                <w:b w:val="0"/>
                <w:sz w:val="13"/>
              </w:rPr>
              <w:t>Supplemental confidence; independent assessment</w:t>
            </w:r>
          </w:p>
        </w:tc>
        <w:tc>
          <w:tcPr>
            <w:tcW w:type="dxa" w:w="2880"/>
            <w:vAlign w:val="top"/>
          </w:tcPr>
          <w:p>
            <w:pPr>
              <w:spacing w:after="0"/>
              <w:jc w:val="left"/>
            </w:pPr>
            <w:r>
              <w:rPr>
                <w:rFonts w:ascii="Arial" w:hAnsi="Arial"/>
                <w:b w:val="0"/>
                <w:sz w:val="13"/>
              </w:rPr>
              <w:t>Medium</w:t>
            </w:r>
          </w:p>
        </w:tc>
        <w:tc>
          <w:tcPr>
            <w:tcW w:type="dxa" w:w="2880"/>
            <w:vAlign w:val="top"/>
          </w:tcPr>
          <w:p>
            <w:pPr>
              <w:spacing w:after="0"/>
              <w:jc w:val="left"/>
            </w:pPr>
            <w:r>
              <w:rPr>
                <w:rFonts w:ascii="Arial" w:hAnsi="Arial"/>
                <w:b w:val="0"/>
                <w:sz w:val="13"/>
              </w:rPr>
              <w:t>Audit reports are point-in-time assessments; academic papers may not reflect current state; industry reports may have bias</w:t>
            </w:r>
          </w:p>
        </w:tc>
      </w:tr>
      <w:tr>
        <w:trPr>
          <w:cantSplit/>
        </w:trPr>
        <w:tc>
          <w:tcPr>
            <w:tcW w:type="dxa" w:w="2880"/>
            <w:vAlign w:val="top"/>
          </w:tcPr>
          <w:p>
            <w:pPr>
              <w:spacing w:after="0"/>
              <w:jc w:val="left"/>
            </w:pPr>
            <w:r>
              <w:rPr>
                <w:rFonts w:ascii="Arial" w:hAnsi="Arial"/>
                <w:b w:val="0"/>
                <w:sz w:val="13"/>
              </w:rPr>
              <w:t>L4</w:t>
            </w:r>
          </w:p>
        </w:tc>
        <w:tc>
          <w:tcPr>
            <w:tcW w:type="dxa" w:w="2880"/>
            <w:vAlign w:val="top"/>
          </w:tcPr>
          <w:p>
            <w:pPr>
              <w:spacing w:after="0"/>
              <w:jc w:val="left"/>
            </w:pPr>
            <w:r>
              <w:rPr>
                <w:rFonts w:ascii="Arial" w:hAnsi="Arial"/>
                <w:b w:val="0"/>
                <w:sz w:val="13"/>
              </w:rPr>
              <w:t>Vendor claims, marketing materials, blog posts</w:t>
            </w:r>
          </w:p>
        </w:tc>
        <w:tc>
          <w:tcPr>
            <w:tcW w:type="dxa" w:w="2880"/>
            <w:vAlign w:val="top"/>
          </w:tcPr>
          <w:p>
            <w:pPr>
              <w:spacing w:after="0"/>
              <w:jc w:val="left"/>
            </w:pPr>
            <w:r>
              <w:rPr>
                <w:rFonts w:ascii="Arial" w:hAnsi="Arial"/>
                <w:b w:val="0"/>
                <w:sz w:val="13"/>
              </w:rPr>
              <w:t>Positioning only; not capability claims</w:t>
            </w:r>
          </w:p>
        </w:tc>
        <w:tc>
          <w:tcPr>
            <w:tcW w:type="dxa" w:w="2880"/>
            <w:vAlign w:val="top"/>
          </w:tcPr>
          <w:p>
            <w:pPr>
              <w:spacing w:after="0"/>
              <w:jc w:val="left"/>
            </w:pPr>
            <w:r>
              <w:rPr>
                <w:rFonts w:ascii="Arial" w:hAnsi="Arial"/>
                <w:b w:val="0"/>
                <w:sz w:val="13"/>
              </w:rPr>
              <w:t>Low</w:t>
            </w:r>
          </w:p>
        </w:tc>
        <w:tc>
          <w:tcPr>
            <w:tcW w:type="dxa" w:w="2880"/>
            <w:vAlign w:val="top"/>
          </w:tcPr>
          <w:p>
            <w:pPr>
              <w:spacing w:after="0"/>
              <w:jc w:val="left"/>
            </w:pPr>
            <w:r>
              <w:rPr>
                <w:rFonts w:ascii="Arial" w:hAnsi="Arial"/>
                <w:b w:val="0"/>
                <w:sz w:val="13"/>
              </w:rPr>
              <w:t>Vendor claims require validation; marketing materials may overstate capability; blog posts are not authoritative</w:t>
            </w:r>
          </w:p>
        </w:tc>
      </w:tr>
      <w:tr>
        <w:trPr>
          <w:cantSplit/>
        </w:trPr>
        <w:tc>
          <w:tcPr>
            <w:tcW w:type="dxa" w:w="2880"/>
            <w:vAlign w:val="top"/>
          </w:tcPr>
          <w:p>
            <w:pPr>
              <w:spacing w:after="0"/>
              <w:jc w:val="left"/>
            </w:pPr>
            <w:r>
              <w:rPr>
                <w:rFonts w:ascii="Arial" w:hAnsi="Arial"/>
                <w:b w:val="0"/>
                <w:sz w:val="13"/>
              </w:rPr>
              <w:t>L5</w:t>
            </w:r>
          </w:p>
        </w:tc>
        <w:tc>
          <w:tcPr>
            <w:tcW w:type="dxa" w:w="2880"/>
            <w:vAlign w:val="top"/>
          </w:tcPr>
          <w:p>
            <w:pPr>
              <w:spacing w:after="0"/>
              <w:jc w:val="left"/>
            </w:pPr>
            <w:r>
              <w:rPr>
                <w:rFonts w:ascii="Arial" w:hAnsi="Arial"/>
                <w:b w:val="0"/>
                <w:sz w:val="13"/>
              </w:rPr>
              <w:t>Author inference, analytical framework, logical derivation</w:t>
            </w:r>
          </w:p>
        </w:tc>
        <w:tc>
          <w:tcPr>
            <w:tcW w:type="dxa" w:w="2880"/>
            <w:vAlign w:val="top"/>
          </w:tcPr>
          <w:p>
            <w:pPr>
              <w:spacing w:after="0"/>
              <w:jc w:val="left"/>
            </w:pPr>
            <w:r>
              <w:rPr>
                <w:rFonts w:ascii="Arial" w:hAnsi="Arial"/>
                <w:b w:val="0"/>
                <w:sz w:val="13"/>
              </w:rPr>
              <w:t>Framework design; gap analysis; analytical tools</w:t>
            </w:r>
          </w:p>
        </w:tc>
        <w:tc>
          <w:tcPr>
            <w:tcW w:type="dxa" w:w="2880"/>
            <w:vAlign w:val="top"/>
          </w:tcPr>
          <w:p>
            <w:pPr>
              <w:spacing w:after="0"/>
              <w:jc w:val="left"/>
            </w:pPr>
            <w:r>
              <w:rPr>
                <w:rFonts w:ascii="Arial" w:hAnsi="Arial"/>
                <w:b w:val="0"/>
                <w:sz w:val="13"/>
              </w:rPr>
              <w:t>Lowest</w:t>
            </w:r>
          </w:p>
        </w:tc>
        <w:tc>
          <w:tcPr>
            <w:tcW w:type="dxa" w:w="2880"/>
            <w:vAlign w:val="top"/>
          </w:tcPr>
          <w:p>
            <w:pPr>
              <w:spacing w:after="0"/>
              <w:jc w:val="left"/>
            </w:pPr>
            <w:r>
              <w:rPr>
                <w:rFonts w:ascii="Arial" w:hAnsi="Arial"/>
                <w:b w:val="0"/>
                <w:sz w:val="13"/>
              </w:rPr>
              <w:t>Author inference must be marked clearly; does not replace evidence; requires organizational interpretation</w:t>
            </w:r>
          </w:p>
        </w:tc>
      </w:tr>
    </w:tbl>
    <w:p>
      <w:pPr>
        <w:sectPr>
          <w:pgSz w:w="12240" w:h="15840" w:orient="landscape"/>
          <w:pgMar w:top="792" w:right="648" w:bottom="792" w:left="648" w:header="720" w:footer="720" w:gutter="0"/>
          <w:cols w:space="720"/>
          <w:docGrid w:linePitch="360"/>
        </w:sectPr>
      </w:pPr>
    </w:p>
    <w:p/>
    <w:p>
      <w:r>
        <w:t>Evidence level multipliers for RCCS/ALCS scoring:</w:t>
      </w:r>
    </w:p>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p>
      <w:pPr>
        <w:pStyle w:val="Heading2"/>
      </w:pPr>
      <w:r>
        <w:t>C.2 Required Source Groups</w:t>
      </w:r>
    </w:p>
    <w:p/>
    <w:p>
      <w:r>
        <w:t>The white paper uses five source groups: L1 Binding Legal/Regulatory Sources, L1 Formal Standards, L2 Official Product Documentation, L3 Third-Party Reports, and L5 Author Inference.</w:t>
      </w:r>
    </w:p>
    <w:p/>
    <w:p>
      <w:pPr>
        <w:pStyle w:val="Heading3"/>
      </w:pPr>
      <w:r>
        <w:t>L1: Binding Legal/Regulatory Sources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3"/>
              </w:rPr>
              <w:t>Source ID</w:t>
            </w:r>
          </w:p>
        </w:tc>
        <w:tc>
          <w:tcPr>
            <w:tcW w:type="dxa" w:w="2880"/>
            <w:vAlign w:val="top"/>
            <w:shd w:fill="D9EAF7"/>
          </w:tcPr>
          <w:p>
            <w:pPr>
              <w:spacing w:after="0"/>
              <w:jc w:val="left"/>
            </w:pPr>
            <w:r>
              <w:rPr>
                <w:rFonts w:ascii="Arial" w:hAnsi="Arial"/>
                <w:b/>
                <w:sz w:val="13"/>
              </w:rPr>
              <w:t>Source Name</w:t>
            </w:r>
          </w:p>
        </w:tc>
        <w:tc>
          <w:tcPr>
            <w:tcW w:type="dxa" w:w="2880"/>
            <w:vAlign w:val="top"/>
            <w:shd w:fill="D9EAF7"/>
          </w:tcPr>
          <w:p>
            <w:pPr>
              <w:spacing w:after="0"/>
              <w:jc w:val="left"/>
            </w:pPr>
            <w:r>
              <w:rPr>
                <w:rFonts w:ascii="Arial" w:hAnsi="Arial"/>
                <w:b/>
                <w:sz w:val="13"/>
              </w:rPr>
              <w:t>Type</w:t>
            </w:r>
          </w:p>
        </w:tc>
        <w:tc>
          <w:tcPr>
            <w:tcW w:type="dxa" w:w="2880"/>
            <w:vAlign w:val="top"/>
            <w:shd w:fill="D9EAF7"/>
          </w:tcPr>
          <w:p>
            <w:pPr>
              <w:spacing w:after="0"/>
              <w:jc w:val="left"/>
            </w:pPr>
            <w:r>
              <w:rPr>
                <w:rFonts w:ascii="Arial" w:hAnsi="Arial"/>
                <w:b/>
                <w:sz w:val="13"/>
              </w:rPr>
              <w:t>Used In</w:t>
            </w:r>
          </w:p>
        </w:tc>
        <w:tc>
          <w:tcPr>
            <w:tcW w:type="dxa" w:w="2880"/>
            <w:vAlign w:val="top"/>
            <w:shd w:fill="D9EAF7"/>
          </w:tcPr>
          <w:p>
            <w:pPr>
              <w:spacing w:after="0"/>
              <w:jc w:val="left"/>
            </w:pPr>
            <w:r>
              <w:rPr>
                <w:rFonts w:ascii="Arial" w:hAnsi="Arial"/>
                <w:b/>
                <w:sz w:val="13"/>
              </w:rPr>
              <w:t>Current Status</w:t>
            </w:r>
          </w:p>
        </w:tc>
      </w:tr>
      <w:tr>
        <w:trPr>
          <w:cantSplit/>
        </w:trPr>
        <w:tc>
          <w:tcPr>
            <w:tcW w:type="dxa" w:w="2880"/>
            <w:vAlign w:val="top"/>
          </w:tcPr>
          <w:p>
            <w:pPr>
              <w:spacing w:after="0"/>
              <w:jc w:val="left"/>
            </w:pPr>
            <w:r>
              <w:rPr>
                <w:rFonts w:ascii="Arial" w:hAnsi="Arial"/>
                <w:b w:val="0"/>
                <w:sz w:val="13"/>
              </w:rPr>
              <w:t>EU-AI-ACT</w:t>
            </w:r>
          </w:p>
        </w:tc>
        <w:tc>
          <w:tcPr>
            <w:tcW w:type="dxa" w:w="2880"/>
            <w:vAlign w:val="top"/>
          </w:tcPr>
          <w:p>
            <w:pPr>
              <w:spacing w:after="0"/>
              <w:jc w:val="left"/>
            </w:pPr>
            <w:r>
              <w:rPr>
                <w:rFonts w:ascii="Arial" w:hAnsi="Arial"/>
                <w:b w:val="0"/>
                <w:sz w:val="13"/>
              </w:rPr>
              <w:t>EU AI Act (Regulation (EU) 2024/1689) Articles 9, 10, 11, 12, 13, 14, 15, 72</w:t>
            </w:r>
          </w:p>
        </w:tc>
        <w:tc>
          <w:tcPr>
            <w:tcW w:type="dxa" w:w="2880"/>
            <w:vAlign w:val="top"/>
          </w:tcPr>
          <w:p>
            <w:pPr>
              <w:spacing w:after="0"/>
              <w:jc w:val="left"/>
            </w:pPr>
            <w:r>
              <w:rPr>
                <w:rFonts w:ascii="Arial" w:hAnsi="Arial"/>
                <w:b w:val="0"/>
                <w:sz w:val="13"/>
              </w:rPr>
              <w:t>Legal text</w:t>
            </w:r>
          </w:p>
        </w:tc>
        <w:tc>
          <w:tcPr>
            <w:tcW w:type="dxa" w:w="2880"/>
            <w:vAlign w:val="top"/>
          </w:tcPr>
          <w:p>
            <w:pPr>
              <w:spacing w:after="0"/>
              <w:jc w:val="left"/>
            </w:pPr>
            <w:r>
              <w:rPr>
                <w:rFonts w:ascii="Arial" w:hAnsi="Arial"/>
                <w:b w:val="0"/>
                <w:sz w:val="13"/>
              </w:rPr>
              <w:t>Chapter 4</w:t>
            </w:r>
          </w:p>
        </w:tc>
        <w:tc>
          <w:tcPr>
            <w:tcW w:type="dxa" w:w="2880"/>
            <w:vAlign w:val="top"/>
          </w:tcPr>
          <w:p>
            <w:pPr>
              <w:spacing w:after="0"/>
              <w:jc w:val="left"/>
            </w:pPr>
            <w:r>
              <w:rPr>
                <w:rFonts w:ascii="Arial" w:hAnsi="Arial"/>
                <w:b w:val="0"/>
                <w:sz w:val="13"/>
              </w:rPr>
              <w:t>✓ Referenced</w:t>
            </w:r>
          </w:p>
        </w:tc>
      </w:tr>
      <w:tr>
        <w:trPr>
          <w:cantSplit/>
        </w:trPr>
        <w:tc>
          <w:tcPr>
            <w:tcW w:type="dxa" w:w="2880"/>
            <w:vAlign w:val="top"/>
          </w:tcPr>
          <w:p>
            <w:pPr>
              <w:spacing w:after="0"/>
              <w:jc w:val="left"/>
            </w:pPr>
            <w:r>
              <w:rPr>
                <w:rFonts w:ascii="Arial" w:hAnsi="Arial"/>
                <w:b w:val="0"/>
                <w:sz w:val="13"/>
              </w:rPr>
              <w:t>GDPR</w:t>
            </w:r>
          </w:p>
        </w:tc>
        <w:tc>
          <w:tcPr>
            <w:tcW w:type="dxa" w:w="2880"/>
            <w:vAlign w:val="top"/>
          </w:tcPr>
          <w:p>
            <w:pPr>
              <w:spacing w:after="0"/>
              <w:jc w:val="left"/>
            </w:pPr>
            <w:r>
              <w:rPr>
                <w:rFonts w:ascii="Arial" w:hAnsi="Arial"/>
                <w:b w:val="0"/>
                <w:sz w:val="13"/>
              </w:rPr>
              <w:t>GDPR (Regulation (EU) 2016/679) Article 5, Article 17, Article 28</w:t>
            </w:r>
          </w:p>
        </w:tc>
        <w:tc>
          <w:tcPr>
            <w:tcW w:type="dxa" w:w="2880"/>
            <w:vAlign w:val="top"/>
          </w:tcPr>
          <w:p>
            <w:pPr>
              <w:spacing w:after="0"/>
              <w:jc w:val="left"/>
            </w:pPr>
            <w:r>
              <w:rPr>
                <w:rFonts w:ascii="Arial" w:hAnsi="Arial"/>
                <w:b w:val="0"/>
                <w:sz w:val="13"/>
              </w:rPr>
              <w:t>Legal text</w:t>
            </w:r>
          </w:p>
        </w:tc>
        <w:tc>
          <w:tcPr>
            <w:tcW w:type="dxa" w:w="2880"/>
            <w:vAlign w:val="top"/>
          </w:tcPr>
          <w:p>
            <w:pPr>
              <w:spacing w:after="0"/>
              <w:jc w:val="left"/>
            </w:pPr>
            <w:r>
              <w:rPr>
                <w:rFonts w:ascii="Arial" w:hAnsi="Arial"/>
                <w:b w:val="0"/>
                <w:sz w:val="13"/>
              </w:rPr>
              <w:t>Chapter 4</w:t>
            </w:r>
          </w:p>
        </w:tc>
        <w:tc>
          <w:tcPr>
            <w:tcW w:type="dxa" w:w="2880"/>
            <w:vAlign w:val="top"/>
          </w:tcPr>
          <w:p>
            <w:pPr>
              <w:spacing w:after="0"/>
              <w:jc w:val="left"/>
            </w:pPr>
            <w:r>
              <w:rPr>
                <w:rFonts w:ascii="Arial" w:hAnsi="Arial"/>
                <w:b w:val="0"/>
                <w:sz w:val="13"/>
              </w:rPr>
              <w:t>✓ Referenced</w:t>
            </w:r>
          </w:p>
        </w:tc>
      </w:tr>
      <w:tr>
        <w:trPr>
          <w:cantSplit/>
        </w:trPr>
        <w:tc>
          <w:tcPr>
            <w:tcW w:type="dxa" w:w="2880"/>
            <w:vAlign w:val="top"/>
          </w:tcPr>
          <w:p>
            <w:pPr>
              <w:spacing w:after="0"/>
              <w:jc w:val="left"/>
            </w:pPr>
            <w:r>
              <w:rPr>
                <w:rFonts w:ascii="Arial" w:hAnsi="Arial"/>
                <w:b w:val="0"/>
                <w:sz w:val="13"/>
              </w:rPr>
              <w:t>COLORADO-AI-ACT</w:t>
            </w:r>
          </w:p>
        </w:tc>
        <w:tc>
          <w:tcPr>
            <w:tcW w:type="dxa" w:w="2880"/>
            <w:vAlign w:val="top"/>
          </w:tcPr>
          <w:p>
            <w:pPr>
              <w:spacing w:after="0"/>
              <w:jc w:val="left"/>
            </w:pPr>
            <w:r>
              <w:rPr>
                <w:rFonts w:ascii="Arial" w:hAnsi="Arial"/>
                <w:b w:val="0"/>
                <w:sz w:val="13"/>
              </w:rPr>
              <w:t>Colorado AI Act (SB25B-004)</w:t>
            </w:r>
          </w:p>
        </w:tc>
        <w:tc>
          <w:tcPr>
            <w:tcW w:type="dxa" w:w="2880"/>
            <w:vAlign w:val="top"/>
          </w:tcPr>
          <w:p>
            <w:pPr>
              <w:spacing w:after="0"/>
              <w:jc w:val="left"/>
            </w:pPr>
            <w:r>
              <w:rPr>
                <w:rFonts w:ascii="Arial" w:hAnsi="Arial"/>
                <w:b w:val="0"/>
                <w:sz w:val="13"/>
              </w:rPr>
              <w:t>Legal text</w:t>
            </w:r>
          </w:p>
        </w:tc>
        <w:tc>
          <w:tcPr>
            <w:tcW w:type="dxa" w:w="2880"/>
            <w:vAlign w:val="top"/>
          </w:tcPr>
          <w:p>
            <w:pPr>
              <w:spacing w:after="0"/>
              <w:jc w:val="left"/>
            </w:pPr>
            <w:r>
              <w:rPr>
                <w:rFonts w:ascii="Arial" w:hAnsi="Arial"/>
                <w:b w:val="0"/>
                <w:sz w:val="13"/>
              </w:rPr>
              <w:t>Chapter 4</w:t>
            </w:r>
          </w:p>
        </w:tc>
        <w:tc>
          <w:tcPr>
            <w:tcW w:type="dxa" w:w="2880"/>
            <w:vAlign w:val="top"/>
          </w:tcPr>
          <w:p>
            <w:pPr>
              <w:spacing w:after="0"/>
              <w:jc w:val="left"/>
            </w:pPr>
            <w:r>
              <w:rPr>
                <w:rFonts w:ascii="Arial" w:hAnsi="Arial"/>
                <w:b w:val="0"/>
                <w:sz w:val="13"/>
              </w:rPr>
              <w:t>✓ Referenced</w:t>
            </w:r>
          </w:p>
        </w:tc>
      </w:tr>
    </w:tbl>
    <w:p>
      <w:pPr>
        <w:sectPr>
          <w:pgSz w:w="15840" w:h="12240" w:orient="landscape"/>
          <w:pgMar w:top="792" w:right="648" w:bottom="792" w:left="648" w:header="720" w:footer="720" w:gutter="0"/>
          <w:cols w:space="720"/>
          <w:docGrid w:linePitch="360"/>
        </w:sectPr>
      </w:pPr>
    </w:p>
    <w:p/>
    <w:p>
      <w:pPr>
        <w:pStyle w:val="Heading3"/>
      </w:pPr>
      <w:r>
        <w:t>L1: Formal Standards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3"/>
              </w:rPr>
              <w:t>Source ID</w:t>
            </w:r>
          </w:p>
        </w:tc>
        <w:tc>
          <w:tcPr>
            <w:tcW w:type="dxa" w:w="2880"/>
            <w:vAlign w:val="top"/>
            <w:shd w:fill="D9EAF7"/>
          </w:tcPr>
          <w:p>
            <w:pPr>
              <w:spacing w:after="0"/>
              <w:jc w:val="left"/>
            </w:pPr>
            <w:r>
              <w:rPr>
                <w:rFonts w:ascii="Arial" w:hAnsi="Arial"/>
                <w:b/>
                <w:sz w:val="13"/>
              </w:rPr>
              <w:t>Source Name</w:t>
            </w:r>
          </w:p>
        </w:tc>
        <w:tc>
          <w:tcPr>
            <w:tcW w:type="dxa" w:w="2880"/>
            <w:vAlign w:val="top"/>
            <w:shd w:fill="D9EAF7"/>
          </w:tcPr>
          <w:p>
            <w:pPr>
              <w:spacing w:after="0"/>
              <w:jc w:val="left"/>
            </w:pPr>
            <w:r>
              <w:rPr>
                <w:rFonts w:ascii="Arial" w:hAnsi="Arial"/>
                <w:b/>
                <w:sz w:val="13"/>
              </w:rPr>
              <w:t>Type</w:t>
            </w:r>
          </w:p>
        </w:tc>
        <w:tc>
          <w:tcPr>
            <w:tcW w:type="dxa" w:w="2880"/>
            <w:vAlign w:val="top"/>
            <w:shd w:fill="D9EAF7"/>
          </w:tcPr>
          <w:p>
            <w:pPr>
              <w:spacing w:after="0"/>
              <w:jc w:val="left"/>
            </w:pPr>
            <w:r>
              <w:rPr>
                <w:rFonts w:ascii="Arial" w:hAnsi="Arial"/>
                <w:b/>
                <w:sz w:val="13"/>
              </w:rPr>
              <w:t>Used In</w:t>
            </w:r>
          </w:p>
        </w:tc>
        <w:tc>
          <w:tcPr>
            <w:tcW w:type="dxa" w:w="2880"/>
            <w:vAlign w:val="top"/>
            <w:shd w:fill="D9EAF7"/>
          </w:tcPr>
          <w:p>
            <w:pPr>
              <w:spacing w:after="0"/>
              <w:jc w:val="left"/>
            </w:pPr>
            <w:r>
              <w:rPr>
                <w:rFonts w:ascii="Arial" w:hAnsi="Arial"/>
                <w:b/>
                <w:sz w:val="13"/>
              </w:rPr>
              <w:t>Current Status</w:t>
            </w:r>
          </w:p>
        </w:tc>
      </w:tr>
      <w:tr>
        <w:trPr>
          <w:cantSplit/>
        </w:trPr>
        <w:tc>
          <w:tcPr>
            <w:tcW w:type="dxa" w:w="2880"/>
            <w:vAlign w:val="top"/>
          </w:tcPr>
          <w:p>
            <w:pPr>
              <w:spacing w:after="0"/>
              <w:jc w:val="left"/>
            </w:pPr>
            <w:r>
              <w:rPr>
                <w:rFonts w:ascii="Arial" w:hAnsi="Arial"/>
                <w:b w:val="0"/>
                <w:sz w:val="13"/>
              </w:rPr>
              <w:t>NIST-AI-RMF</w:t>
            </w:r>
          </w:p>
        </w:tc>
        <w:tc>
          <w:tcPr>
            <w:tcW w:type="dxa" w:w="2880"/>
            <w:vAlign w:val="top"/>
          </w:tcPr>
          <w:p>
            <w:pPr>
              <w:spacing w:after="0"/>
              <w:jc w:val="left"/>
            </w:pPr>
            <w:r>
              <w:rPr>
                <w:rFonts w:ascii="Arial" w:hAnsi="Arial"/>
                <w:b w:val="0"/>
                <w:sz w:val="13"/>
              </w:rPr>
              <w:t>NIST AI Risk Management Framework 1.0</w:t>
            </w:r>
          </w:p>
        </w:tc>
        <w:tc>
          <w:tcPr>
            <w:tcW w:type="dxa" w:w="2880"/>
            <w:vAlign w:val="top"/>
          </w:tcPr>
          <w:p>
            <w:pPr>
              <w:spacing w:after="0"/>
              <w:jc w:val="left"/>
            </w:pPr>
            <w:r>
              <w:rPr>
                <w:rFonts w:ascii="Arial" w:hAnsi="Arial"/>
                <w:b w:val="0"/>
                <w:sz w:val="13"/>
              </w:rPr>
              <w:t>Standard</w:t>
            </w:r>
          </w:p>
        </w:tc>
        <w:tc>
          <w:tcPr>
            <w:tcW w:type="dxa" w:w="2880"/>
            <w:vAlign w:val="top"/>
          </w:tcPr>
          <w:p>
            <w:pPr>
              <w:spacing w:after="0"/>
              <w:jc w:val="left"/>
            </w:pPr>
            <w:r>
              <w:rPr>
                <w:rFonts w:ascii="Arial" w:hAnsi="Arial"/>
                <w:b w:val="0"/>
                <w:sz w:val="13"/>
              </w:rPr>
              <w:t>Chapter 4</w:t>
            </w:r>
          </w:p>
        </w:tc>
        <w:tc>
          <w:tcPr>
            <w:tcW w:type="dxa" w:w="2880"/>
            <w:vAlign w:val="top"/>
          </w:tcPr>
          <w:p>
            <w:pPr>
              <w:spacing w:after="0"/>
              <w:jc w:val="left"/>
            </w:pPr>
            <w:r>
              <w:rPr>
                <w:rFonts w:ascii="Arial" w:hAnsi="Arial"/>
                <w:b w:val="0"/>
                <w:sz w:val="13"/>
              </w:rPr>
              <w:t>✓ Referenced</w:t>
            </w:r>
          </w:p>
        </w:tc>
      </w:tr>
      <w:tr>
        <w:trPr>
          <w:cantSplit/>
        </w:trPr>
        <w:tc>
          <w:tcPr>
            <w:tcW w:type="dxa" w:w="2880"/>
            <w:vAlign w:val="top"/>
          </w:tcPr>
          <w:p>
            <w:pPr>
              <w:spacing w:after="0"/>
              <w:jc w:val="left"/>
            </w:pPr>
            <w:r>
              <w:rPr>
                <w:rFonts w:ascii="Arial" w:hAnsi="Arial"/>
                <w:b w:val="0"/>
                <w:sz w:val="13"/>
              </w:rPr>
              <w:t>ISO-42001</w:t>
            </w:r>
          </w:p>
        </w:tc>
        <w:tc>
          <w:tcPr>
            <w:tcW w:type="dxa" w:w="2880"/>
            <w:vAlign w:val="top"/>
          </w:tcPr>
          <w:p>
            <w:pPr>
              <w:spacing w:after="0"/>
              <w:jc w:val="left"/>
            </w:pPr>
            <w:r>
              <w:rPr>
                <w:rFonts w:ascii="Arial" w:hAnsi="Arial"/>
                <w:b w:val="0"/>
                <w:sz w:val="13"/>
              </w:rPr>
              <w:t>ISO/IEC 42001:2023 AI Management System</w:t>
            </w:r>
          </w:p>
        </w:tc>
        <w:tc>
          <w:tcPr>
            <w:tcW w:type="dxa" w:w="2880"/>
            <w:vAlign w:val="top"/>
          </w:tcPr>
          <w:p>
            <w:pPr>
              <w:spacing w:after="0"/>
              <w:jc w:val="left"/>
            </w:pPr>
            <w:r>
              <w:rPr>
                <w:rFonts w:ascii="Arial" w:hAnsi="Arial"/>
                <w:b w:val="0"/>
                <w:sz w:val="13"/>
              </w:rPr>
              <w:t>Standard</w:t>
            </w:r>
          </w:p>
        </w:tc>
        <w:tc>
          <w:tcPr>
            <w:tcW w:type="dxa" w:w="2880"/>
            <w:vAlign w:val="top"/>
          </w:tcPr>
          <w:p>
            <w:pPr>
              <w:spacing w:after="0"/>
              <w:jc w:val="left"/>
            </w:pPr>
            <w:r>
              <w:rPr>
                <w:rFonts w:ascii="Arial" w:hAnsi="Arial"/>
                <w:b w:val="0"/>
                <w:sz w:val="13"/>
              </w:rPr>
              <w:t>Chapter 4</w:t>
            </w:r>
          </w:p>
        </w:tc>
        <w:tc>
          <w:tcPr>
            <w:tcW w:type="dxa" w:w="2880"/>
            <w:vAlign w:val="top"/>
          </w:tcPr>
          <w:p>
            <w:pPr>
              <w:spacing w:after="0"/>
              <w:jc w:val="left"/>
            </w:pPr>
            <w:r>
              <w:rPr>
                <w:rFonts w:ascii="Arial" w:hAnsi="Arial"/>
                <w:b w:val="0"/>
                <w:sz w:val="13"/>
              </w:rPr>
              <w:t>✓ Referenced</w:t>
            </w:r>
          </w:p>
        </w:tc>
      </w:tr>
      <w:tr>
        <w:trPr>
          <w:cantSplit/>
        </w:trPr>
        <w:tc>
          <w:tcPr>
            <w:tcW w:type="dxa" w:w="2880"/>
            <w:vAlign w:val="top"/>
          </w:tcPr>
          <w:p>
            <w:pPr>
              <w:spacing w:after="0"/>
              <w:jc w:val="left"/>
            </w:pPr>
            <w:r>
              <w:rPr>
                <w:rFonts w:ascii="Arial" w:hAnsi="Arial"/>
                <w:b w:val="0"/>
                <w:sz w:val="13"/>
              </w:rPr>
              <w:t>SINGAPORE-IMDA</w:t>
            </w:r>
          </w:p>
        </w:tc>
        <w:tc>
          <w:tcPr>
            <w:tcW w:type="dxa" w:w="2880"/>
            <w:vAlign w:val="top"/>
          </w:tcPr>
          <w:p>
            <w:pPr>
              <w:spacing w:after="0"/>
              <w:jc w:val="left"/>
            </w:pPr>
            <w:r>
              <w:rPr>
                <w:rFonts w:ascii="Arial" w:hAnsi="Arial"/>
                <w:b w:val="0"/>
                <w:sz w:val="13"/>
              </w:rPr>
              <w:t>Singapore IMDA Model AI Governance Framework for Agentic AI</w:t>
            </w:r>
          </w:p>
        </w:tc>
        <w:tc>
          <w:tcPr>
            <w:tcW w:type="dxa" w:w="2880"/>
            <w:vAlign w:val="top"/>
          </w:tcPr>
          <w:p>
            <w:pPr>
              <w:spacing w:after="0"/>
              <w:jc w:val="left"/>
            </w:pPr>
            <w:r>
              <w:rPr>
                <w:rFonts w:ascii="Arial" w:hAnsi="Arial"/>
                <w:b w:val="0"/>
                <w:sz w:val="13"/>
              </w:rPr>
              <w:t>Standard</w:t>
            </w:r>
          </w:p>
        </w:tc>
        <w:tc>
          <w:tcPr>
            <w:tcW w:type="dxa" w:w="2880"/>
            <w:vAlign w:val="top"/>
          </w:tcPr>
          <w:p>
            <w:pPr>
              <w:spacing w:after="0"/>
              <w:jc w:val="left"/>
            </w:pPr>
            <w:r>
              <w:rPr>
                <w:rFonts w:ascii="Arial" w:hAnsi="Arial"/>
                <w:b w:val="0"/>
                <w:sz w:val="13"/>
              </w:rPr>
              <w:t>Chapter 4</w:t>
            </w:r>
          </w:p>
        </w:tc>
        <w:tc>
          <w:tcPr>
            <w:tcW w:type="dxa" w:w="2880"/>
            <w:vAlign w:val="top"/>
          </w:tcPr>
          <w:p>
            <w:pPr>
              <w:spacing w:after="0"/>
              <w:jc w:val="left"/>
            </w:pPr>
            <w:r>
              <w:rPr>
                <w:rFonts w:ascii="Arial" w:hAnsi="Arial"/>
                <w:b w:val="0"/>
                <w:sz w:val="13"/>
              </w:rPr>
              <w:t>✓ Referenced</w:t>
            </w:r>
          </w:p>
        </w:tc>
      </w:tr>
      <w:tr>
        <w:trPr>
          <w:cantSplit/>
        </w:trPr>
        <w:tc>
          <w:tcPr>
            <w:tcW w:type="dxa" w:w="2880"/>
            <w:vAlign w:val="top"/>
          </w:tcPr>
          <w:p>
            <w:pPr>
              <w:spacing w:after="0"/>
              <w:jc w:val="left"/>
            </w:pPr>
            <w:r>
              <w:rPr>
                <w:rFonts w:ascii="Arial" w:hAnsi="Arial"/>
                <w:b w:val="0"/>
                <w:sz w:val="13"/>
              </w:rPr>
              <w:t>W3C-PROV</w:t>
            </w:r>
          </w:p>
        </w:tc>
        <w:tc>
          <w:tcPr>
            <w:tcW w:type="dxa" w:w="2880"/>
            <w:vAlign w:val="top"/>
          </w:tcPr>
          <w:p>
            <w:pPr>
              <w:spacing w:after="0"/>
              <w:jc w:val="left"/>
            </w:pPr>
            <w:r>
              <w:rPr>
                <w:rFonts w:ascii="Arial" w:hAnsi="Arial"/>
                <w:b w:val="0"/>
                <w:sz w:val="13"/>
              </w:rPr>
              <w:t>W3C PROV-DM: The PROV Data Model</w:t>
            </w:r>
          </w:p>
        </w:tc>
        <w:tc>
          <w:tcPr>
            <w:tcW w:type="dxa" w:w="2880"/>
            <w:vAlign w:val="top"/>
          </w:tcPr>
          <w:p>
            <w:pPr>
              <w:spacing w:after="0"/>
              <w:jc w:val="left"/>
            </w:pPr>
            <w:r>
              <w:rPr>
                <w:rFonts w:ascii="Arial" w:hAnsi="Arial"/>
                <w:b w:val="0"/>
                <w:sz w:val="13"/>
              </w:rPr>
              <w:t>Protocol spec</w:t>
            </w:r>
          </w:p>
        </w:tc>
        <w:tc>
          <w:tcPr>
            <w:tcW w:type="dxa" w:w="2880"/>
            <w:vAlign w:val="top"/>
          </w:tcPr>
          <w:p>
            <w:pPr>
              <w:spacing w:after="0"/>
              <w:jc w:val="left"/>
            </w:pPr>
            <w:r>
              <w:rPr>
                <w:rFonts w:ascii="Arial" w:hAnsi="Arial"/>
                <w:b w:val="0"/>
                <w:sz w:val="13"/>
              </w:rPr>
              <w:t>Chapter 4</w:t>
            </w:r>
          </w:p>
        </w:tc>
        <w:tc>
          <w:tcPr>
            <w:tcW w:type="dxa" w:w="2880"/>
            <w:vAlign w:val="top"/>
          </w:tcPr>
          <w:p>
            <w:pPr>
              <w:spacing w:after="0"/>
              <w:jc w:val="left"/>
            </w:pPr>
            <w:r>
              <w:rPr>
                <w:rFonts w:ascii="Arial" w:hAnsi="Arial"/>
                <w:b w:val="0"/>
                <w:sz w:val="13"/>
              </w:rPr>
              <w:t>✓ Referenced</w:t>
            </w:r>
          </w:p>
        </w:tc>
      </w:tr>
      <w:tr>
        <w:trPr>
          <w:cantSplit/>
        </w:trPr>
        <w:tc>
          <w:tcPr>
            <w:tcW w:type="dxa" w:w="2880"/>
            <w:vAlign w:val="top"/>
          </w:tcPr>
          <w:p>
            <w:pPr>
              <w:spacing w:after="0"/>
              <w:jc w:val="left"/>
            </w:pPr>
            <w:r>
              <w:rPr>
                <w:rFonts w:ascii="Arial" w:hAnsi="Arial"/>
                <w:b w:val="0"/>
                <w:sz w:val="13"/>
              </w:rPr>
              <w:t>W3C-VC</w:t>
            </w:r>
          </w:p>
        </w:tc>
        <w:tc>
          <w:tcPr>
            <w:tcW w:type="dxa" w:w="2880"/>
            <w:vAlign w:val="top"/>
          </w:tcPr>
          <w:p>
            <w:pPr>
              <w:spacing w:after="0"/>
              <w:jc w:val="left"/>
            </w:pPr>
            <w:r>
              <w:rPr>
                <w:rFonts w:ascii="Arial" w:hAnsi="Arial"/>
                <w:b w:val="0"/>
                <w:sz w:val="13"/>
              </w:rPr>
              <w:t>W3C Verifiable Credentials Data Model</w:t>
            </w:r>
          </w:p>
        </w:tc>
        <w:tc>
          <w:tcPr>
            <w:tcW w:type="dxa" w:w="2880"/>
            <w:vAlign w:val="top"/>
          </w:tcPr>
          <w:p>
            <w:pPr>
              <w:spacing w:after="0"/>
              <w:jc w:val="left"/>
            </w:pPr>
            <w:r>
              <w:rPr>
                <w:rFonts w:ascii="Arial" w:hAnsi="Arial"/>
                <w:b w:val="0"/>
                <w:sz w:val="13"/>
              </w:rPr>
              <w:t>Protocol spec</w:t>
            </w:r>
          </w:p>
        </w:tc>
        <w:tc>
          <w:tcPr>
            <w:tcW w:type="dxa" w:w="2880"/>
            <w:vAlign w:val="top"/>
          </w:tcPr>
          <w:p>
            <w:pPr>
              <w:spacing w:after="0"/>
              <w:jc w:val="left"/>
            </w:pPr>
            <w:r>
              <w:rPr>
                <w:rFonts w:ascii="Arial" w:hAnsi="Arial"/>
                <w:b w:val="0"/>
                <w:sz w:val="13"/>
              </w:rPr>
              <w:t>Chapter 4</w:t>
            </w:r>
          </w:p>
        </w:tc>
        <w:tc>
          <w:tcPr>
            <w:tcW w:type="dxa" w:w="2880"/>
            <w:vAlign w:val="top"/>
          </w:tcPr>
          <w:p>
            <w:pPr>
              <w:spacing w:after="0"/>
              <w:jc w:val="left"/>
            </w:pPr>
            <w:r>
              <w:rPr>
                <w:rFonts w:ascii="Arial" w:hAnsi="Arial"/>
                <w:b w:val="0"/>
                <w:sz w:val="13"/>
              </w:rPr>
              <w:t>✓ Referenced</w:t>
            </w:r>
          </w:p>
        </w:tc>
      </w:tr>
    </w:tbl>
    <w:p>
      <w:pPr>
        <w:sectPr>
          <w:pgSz w:w="12240" w:h="15840" w:orient="landscape"/>
          <w:pgMar w:top="792" w:right="648" w:bottom="792" w:left="648" w:header="720" w:footer="720" w:gutter="0"/>
          <w:cols w:space="720"/>
          <w:docGrid w:linePitch="360"/>
        </w:sectPr>
      </w:pPr>
    </w:p>
    <w:p/>
    <w:p>
      <w:pPr>
        <w:pStyle w:val="Heading3"/>
      </w:pPr>
      <w:r>
        <w:t>L2: Official Product Documentation (Phase 1C Claim-Level Reviewed)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3"/>
              </w:rPr>
              <w:t>Source ID</w:t>
            </w:r>
          </w:p>
        </w:tc>
        <w:tc>
          <w:tcPr>
            <w:tcW w:type="dxa" w:w="2880"/>
            <w:vAlign w:val="top"/>
            <w:shd w:fill="D9EAF7"/>
          </w:tcPr>
          <w:p>
            <w:pPr>
              <w:spacing w:after="0"/>
              <w:jc w:val="left"/>
            </w:pPr>
            <w:r>
              <w:rPr>
                <w:rFonts w:ascii="Arial" w:hAnsi="Arial"/>
                <w:b/>
                <w:sz w:val="13"/>
              </w:rPr>
              <w:t>Source Name</w:t>
            </w:r>
          </w:p>
        </w:tc>
        <w:tc>
          <w:tcPr>
            <w:tcW w:type="dxa" w:w="2880"/>
            <w:vAlign w:val="top"/>
            <w:shd w:fill="D9EAF7"/>
          </w:tcPr>
          <w:p>
            <w:pPr>
              <w:spacing w:after="0"/>
              <w:jc w:val="left"/>
            </w:pPr>
            <w:r>
              <w:rPr>
                <w:rFonts w:ascii="Arial" w:hAnsi="Arial"/>
                <w:b/>
                <w:sz w:val="13"/>
              </w:rPr>
              <w:t>Type</w:t>
            </w:r>
          </w:p>
        </w:tc>
        <w:tc>
          <w:tcPr>
            <w:tcW w:type="dxa" w:w="2880"/>
            <w:vAlign w:val="top"/>
            <w:shd w:fill="D9EAF7"/>
          </w:tcPr>
          <w:p>
            <w:pPr>
              <w:spacing w:after="0"/>
              <w:jc w:val="left"/>
            </w:pPr>
            <w:r>
              <w:rPr>
                <w:rFonts w:ascii="Arial" w:hAnsi="Arial"/>
                <w:b/>
                <w:sz w:val="13"/>
              </w:rPr>
              <w:t>Used In</w:t>
            </w:r>
          </w:p>
        </w:tc>
        <w:tc>
          <w:tcPr>
            <w:tcW w:type="dxa" w:w="2880"/>
            <w:vAlign w:val="top"/>
            <w:shd w:fill="D9EAF7"/>
          </w:tcPr>
          <w:p>
            <w:pPr>
              <w:spacing w:after="0"/>
              <w:jc w:val="left"/>
            </w:pPr>
            <w:r>
              <w:rPr>
                <w:rFonts w:ascii="Arial" w:hAnsi="Arial"/>
                <w:b/>
                <w:sz w:val="13"/>
              </w:rPr>
              <w:t>Current Status</w:t>
            </w:r>
          </w:p>
        </w:tc>
      </w:tr>
      <w:tr>
        <w:trPr>
          <w:cantSplit/>
        </w:trPr>
        <w:tc>
          <w:tcPr>
            <w:tcW w:type="dxa" w:w="2880"/>
            <w:vAlign w:val="top"/>
          </w:tcPr>
          <w:p>
            <w:pPr>
              <w:spacing w:after="0"/>
              <w:jc w:val="left"/>
            </w:pPr>
            <w:r>
              <w:rPr>
                <w:rFonts w:ascii="Arial" w:hAnsi="Arial"/>
                <w:b w:val="0"/>
                <w:sz w:val="13"/>
              </w:rPr>
              <w:t>IBM-WATSONX-GOVERNANCE-DOCS</w:t>
            </w:r>
          </w:p>
        </w:tc>
        <w:tc>
          <w:tcPr>
            <w:tcW w:type="dxa" w:w="2880"/>
            <w:vAlign w:val="top"/>
          </w:tcPr>
          <w:p>
            <w:pPr>
              <w:spacing w:after="0"/>
              <w:jc w:val="left"/>
            </w:pPr>
            <w:r>
              <w:rPr>
                <w:rFonts w:ascii="Arial" w:hAnsi="Arial"/>
                <w:b w:val="0"/>
                <w:sz w:val="13"/>
              </w:rPr>
              <w:t>IBM watsonx.governance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ALCS object mappings remain L5 unless exact docs support them</w:t>
            </w:r>
          </w:p>
        </w:tc>
      </w:tr>
      <w:tr>
        <w:trPr>
          <w:cantSplit/>
        </w:trPr>
        <w:tc>
          <w:tcPr>
            <w:tcW w:type="dxa" w:w="2880"/>
            <w:vAlign w:val="top"/>
          </w:tcPr>
          <w:p>
            <w:pPr>
              <w:spacing w:after="0"/>
              <w:jc w:val="left"/>
            </w:pPr>
            <w:r>
              <w:rPr>
                <w:rFonts w:ascii="Arial" w:hAnsi="Arial"/>
                <w:b w:val="0"/>
                <w:sz w:val="13"/>
              </w:rPr>
              <w:t>MICROSOFT-AZURE-AI-FOUNDRY-DOCS</w:t>
            </w:r>
          </w:p>
        </w:tc>
        <w:tc>
          <w:tcPr>
            <w:tcW w:type="dxa" w:w="2880"/>
            <w:vAlign w:val="top"/>
          </w:tcPr>
          <w:p>
            <w:pPr>
              <w:spacing w:after="0"/>
              <w:jc w:val="left"/>
            </w:pPr>
            <w:r>
              <w:rPr>
                <w:rFonts w:ascii="Arial" w:hAnsi="Arial"/>
                <w:b w:val="0"/>
                <w:sz w:val="13"/>
              </w:rPr>
              <w:t>Microsoft Azure AI Foundry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ALCS object mappings remain L5 unless exact docs support them</w:t>
            </w:r>
          </w:p>
        </w:tc>
      </w:tr>
      <w:tr>
        <w:trPr>
          <w:cantSplit/>
        </w:trPr>
        <w:tc>
          <w:tcPr>
            <w:tcW w:type="dxa" w:w="2880"/>
            <w:vAlign w:val="top"/>
          </w:tcPr>
          <w:p>
            <w:pPr>
              <w:spacing w:after="0"/>
              <w:jc w:val="left"/>
            </w:pPr>
            <w:r>
              <w:rPr>
                <w:rFonts w:ascii="Arial" w:hAnsi="Arial"/>
                <w:b w:val="0"/>
                <w:sz w:val="13"/>
              </w:rPr>
              <w:t>MICROSOFT-RESPONSIBLE-AI-DOCS</w:t>
            </w:r>
          </w:p>
        </w:tc>
        <w:tc>
          <w:tcPr>
            <w:tcW w:type="dxa" w:w="2880"/>
            <w:vAlign w:val="top"/>
          </w:tcPr>
          <w:p>
            <w:pPr>
              <w:spacing w:after="0"/>
              <w:jc w:val="left"/>
            </w:pPr>
            <w:r>
              <w:rPr>
                <w:rFonts w:ascii="Arial" w:hAnsi="Arial"/>
                <w:b w:val="0"/>
                <w:sz w:val="13"/>
              </w:rPr>
              <w:t>Microsoft Responsible AI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point/source family located; exact responsible-AI page pinning remains</w:t>
            </w:r>
          </w:p>
        </w:tc>
      </w:tr>
      <w:tr>
        <w:trPr>
          <w:cantSplit/>
        </w:trPr>
        <w:tc>
          <w:tcPr>
            <w:tcW w:type="dxa" w:w="2880"/>
            <w:vAlign w:val="top"/>
          </w:tcPr>
          <w:p>
            <w:pPr>
              <w:spacing w:after="0"/>
              <w:jc w:val="left"/>
            </w:pPr>
            <w:r>
              <w:rPr>
                <w:rFonts w:ascii="Arial" w:hAnsi="Arial"/>
                <w:b w:val="0"/>
                <w:sz w:val="13"/>
              </w:rPr>
              <w:t>AWS-BEDROCK-DOCS</w:t>
            </w:r>
          </w:p>
        </w:tc>
        <w:tc>
          <w:tcPr>
            <w:tcW w:type="dxa" w:w="2880"/>
            <w:vAlign w:val="top"/>
          </w:tcPr>
          <w:p>
            <w:pPr>
              <w:spacing w:after="0"/>
              <w:jc w:val="left"/>
            </w:pPr>
            <w:r>
              <w:rPr>
                <w:rFonts w:ascii="Arial" w:hAnsi="Arial"/>
                <w:b w:val="0"/>
                <w:sz w:val="13"/>
              </w:rPr>
              <w:t>AWS Bedrock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lifecycle-object mappings remain L5 unless exact docs support them</w:t>
            </w:r>
          </w:p>
        </w:tc>
      </w:tr>
      <w:tr>
        <w:trPr>
          <w:cantSplit/>
        </w:trPr>
        <w:tc>
          <w:tcPr>
            <w:tcW w:type="dxa" w:w="2880"/>
            <w:vAlign w:val="top"/>
          </w:tcPr>
          <w:p>
            <w:pPr>
              <w:spacing w:after="0"/>
              <w:jc w:val="left"/>
            </w:pPr>
            <w:r>
              <w:rPr>
                <w:rFonts w:ascii="Arial" w:hAnsi="Arial"/>
                <w:b w:val="0"/>
                <w:sz w:val="13"/>
              </w:rPr>
              <w:t>AWS-BEDROCK-GUARDRAILS-DOCS</w:t>
            </w:r>
          </w:p>
        </w:tc>
        <w:tc>
          <w:tcPr>
            <w:tcW w:type="dxa" w:w="2880"/>
            <w:vAlign w:val="top"/>
          </w:tcPr>
          <w:p>
            <w:pPr>
              <w:spacing w:after="0"/>
              <w:jc w:val="left"/>
            </w:pPr>
            <w:r>
              <w:rPr>
                <w:rFonts w:ascii="Arial" w:hAnsi="Arial"/>
                <w:b w:val="0"/>
                <w:sz w:val="13"/>
              </w:rPr>
              <w:t>AWS Bedrock Guardrails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guardrails are not delegated-authority proof</w:t>
            </w:r>
          </w:p>
        </w:tc>
      </w:tr>
      <w:tr>
        <w:trPr>
          <w:cantSplit/>
        </w:trPr>
        <w:tc>
          <w:tcPr>
            <w:tcW w:type="dxa" w:w="2880"/>
            <w:vAlign w:val="top"/>
          </w:tcPr>
          <w:p>
            <w:pPr>
              <w:spacing w:after="0"/>
              <w:jc w:val="left"/>
            </w:pPr>
            <w:r>
              <w:rPr>
                <w:rFonts w:ascii="Arial" w:hAnsi="Arial"/>
                <w:b w:val="0"/>
                <w:sz w:val="13"/>
              </w:rPr>
              <w:t>AWS-AGENTCORE-DOCS</w:t>
            </w:r>
          </w:p>
        </w:tc>
        <w:tc>
          <w:tcPr>
            <w:tcW w:type="dxa" w:w="2880"/>
            <w:vAlign w:val="top"/>
          </w:tcPr>
          <w:p>
            <w:pPr>
              <w:spacing w:after="0"/>
              <w:jc w:val="left"/>
            </w:pPr>
            <w:r>
              <w:rPr>
                <w:rFonts w:ascii="Arial" w:hAnsi="Arial"/>
                <w:b w:val="0"/>
                <w:sz w:val="13"/>
              </w:rPr>
              <w:t>AWS AgentCore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ALCS object mappings remain analytical</w:t>
            </w:r>
          </w:p>
        </w:tc>
      </w:tr>
      <w:tr>
        <w:trPr>
          <w:cantSplit/>
        </w:trPr>
        <w:tc>
          <w:tcPr>
            <w:tcW w:type="dxa" w:w="2880"/>
            <w:vAlign w:val="top"/>
          </w:tcPr>
          <w:p>
            <w:pPr>
              <w:spacing w:after="0"/>
              <w:jc w:val="left"/>
            </w:pPr>
            <w:r>
              <w:rPr>
                <w:rFonts w:ascii="Arial" w:hAnsi="Arial"/>
                <w:b w:val="0"/>
                <w:sz w:val="13"/>
              </w:rPr>
              <w:t>GOOGLE-VERTEX-AI-DOCS</w:t>
            </w:r>
          </w:p>
        </w:tc>
        <w:tc>
          <w:tcPr>
            <w:tcW w:type="dxa" w:w="2880"/>
            <w:vAlign w:val="top"/>
          </w:tcPr>
          <w:p>
            <w:pPr>
              <w:spacing w:after="0"/>
              <w:jc w:val="left"/>
            </w:pPr>
            <w:r>
              <w:rPr>
                <w:rFonts w:ascii="Arial" w:hAnsi="Arial"/>
                <w:b w:val="0"/>
                <w:sz w:val="13"/>
              </w:rPr>
              <w:t>Google Vertex AI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lifecycle-object mappings remain L5 unless exact docs support them</w:t>
            </w:r>
          </w:p>
        </w:tc>
      </w:tr>
      <w:tr>
        <w:trPr>
          <w:cantSplit/>
        </w:trPr>
        <w:tc>
          <w:tcPr>
            <w:tcW w:type="dxa" w:w="2880"/>
            <w:vAlign w:val="top"/>
          </w:tcPr>
          <w:p>
            <w:pPr>
              <w:spacing w:after="0"/>
              <w:jc w:val="left"/>
            </w:pPr>
            <w:r>
              <w:rPr>
                <w:rFonts w:ascii="Arial" w:hAnsi="Arial"/>
                <w:b w:val="0"/>
                <w:sz w:val="13"/>
              </w:rPr>
              <w:t>GOOGLE-ADK-DOCS</w:t>
            </w:r>
          </w:p>
        </w:tc>
        <w:tc>
          <w:tcPr>
            <w:tcW w:type="dxa" w:w="2880"/>
            <w:vAlign w:val="top"/>
          </w:tcPr>
          <w:p>
            <w:pPr>
              <w:spacing w:after="0"/>
              <w:jc w:val="left"/>
            </w:pPr>
            <w:r>
              <w:rPr>
                <w:rFonts w:ascii="Arial" w:hAnsi="Arial"/>
                <w:b w:val="0"/>
                <w:sz w:val="13"/>
              </w:rPr>
              <w:t>Google Agent Development Kit (ADK)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ADK primitives are not governance objects by default</w:t>
            </w:r>
          </w:p>
        </w:tc>
      </w:tr>
      <w:tr>
        <w:trPr>
          <w:cantSplit/>
        </w:trPr>
        <w:tc>
          <w:tcPr>
            <w:tcW w:type="dxa" w:w="2880"/>
            <w:vAlign w:val="top"/>
          </w:tcPr>
          <w:p>
            <w:pPr>
              <w:spacing w:after="0"/>
              <w:jc w:val="left"/>
            </w:pPr>
            <w:r>
              <w:rPr>
                <w:rFonts w:ascii="Arial" w:hAnsi="Arial"/>
                <w:b w:val="0"/>
                <w:sz w:val="13"/>
              </w:rPr>
              <w:t>GOOGLE-MODEL-ARMOR-DOCS</w:t>
            </w:r>
          </w:p>
        </w:tc>
        <w:tc>
          <w:tcPr>
            <w:tcW w:type="dxa" w:w="2880"/>
            <w:vAlign w:val="top"/>
          </w:tcPr>
          <w:p>
            <w:pPr>
              <w:spacing w:after="0"/>
              <w:jc w:val="left"/>
            </w:pPr>
            <w:r>
              <w:rPr>
                <w:rFonts w:ascii="Arial" w:hAnsi="Arial"/>
                <w:b w:val="0"/>
                <w:sz w:val="13"/>
              </w:rPr>
              <w:t>Google Model Armor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safety inspection is not lifecycle responsibility proof</w:t>
            </w:r>
          </w:p>
        </w:tc>
      </w:tr>
      <w:tr>
        <w:trPr>
          <w:cantSplit/>
        </w:trPr>
        <w:tc>
          <w:tcPr>
            <w:tcW w:type="dxa" w:w="2880"/>
            <w:vAlign w:val="top"/>
          </w:tcPr>
          <w:p>
            <w:pPr>
              <w:spacing w:after="0"/>
              <w:jc w:val="left"/>
            </w:pPr>
            <w:r>
              <w:rPr>
                <w:rFonts w:ascii="Arial" w:hAnsi="Arial"/>
                <w:b w:val="0"/>
                <w:sz w:val="13"/>
              </w:rPr>
              <w:t>LANGGRAPH-DOCS</w:t>
            </w:r>
          </w:p>
        </w:tc>
        <w:tc>
          <w:tcPr>
            <w:tcW w:type="dxa" w:w="2880"/>
            <w:vAlign w:val="top"/>
          </w:tcPr>
          <w:p>
            <w:pPr>
              <w:spacing w:after="0"/>
              <w:jc w:val="left"/>
            </w:pPr>
            <w:r>
              <w:rPr>
                <w:rFonts w:ascii="Arial" w:hAnsi="Arial"/>
                <w:b w:val="0"/>
                <w:sz w:val="13"/>
              </w:rPr>
              <w:t>LangGraph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orchestration mappings remain analytical</w:t>
            </w:r>
          </w:p>
        </w:tc>
      </w:tr>
      <w:tr>
        <w:trPr>
          <w:cantSplit/>
        </w:trPr>
        <w:tc>
          <w:tcPr>
            <w:tcW w:type="dxa" w:w="2880"/>
            <w:vAlign w:val="top"/>
          </w:tcPr>
          <w:p>
            <w:pPr>
              <w:spacing w:after="0"/>
              <w:jc w:val="left"/>
            </w:pPr>
            <w:r>
              <w:rPr>
                <w:rFonts w:ascii="Arial" w:hAnsi="Arial"/>
                <w:b w:val="0"/>
                <w:sz w:val="13"/>
              </w:rPr>
              <w:t>LANGSMITH-DOCS</w:t>
            </w:r>
          </w:p>
        </w:tc>
        <w:tc>
          <w:tcPr>
            <w:tcW w:type="dxa" w:w="2880"/>
            <w:vAlign w:val="top"/>
          </w:tcPr>
          <w:p>
            <w:pPr>
              <w:spacing w:after="0"/>
              <w:jc w:val="left"/>
            </w:pPr>
            <w:r>
              <w:rPr>
                <w:rFonts w:ascii="Arial" w:hAnsi="Arial"/>
                <w:b w:val="0"/>
                <w:sz w:val="13"/>
              </w:rPr>
              <w:t>LangSmith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observability mappings remain analytical</w:t>
            </w:r>
          </w:p>
        </w:tc>
      </w:tr>
      <w:tr>
        <w:trPr>
          <w:cantSplit/>
        </w:trPr>
        <w:tc>
          <w:tcPr>
            <w:tcW w:type="dxa" w:w="2880"/>
            <w:vAlign w:val="top"/>
          </w:tcPr>
          <w:p>
            <w:pPr>
              <w:spacing w:after="0"/>
              <w:jc w:val="left"/>
            </w:pPr>
            <w:r>
              <w:rPr>
                <w:rFonts w:ascii="Arial" w:hAnsi="Arial"/>
                <w:b w:val="0"/>
                <w:sz w:val="13"/>
              </w:rPr>
              <w:t>OPENAI-AGENTS-SDK-DOCS</w:t>
            </w:r>
          </w:p>
        </w:tc>
        <w:tc>
          <w:tcPr>
            <w:tcW w:type="dxa" w:w="2880"/>
            <w:vAlign w:val="top"/>
          </w:tcPr>
          <w:p>
            <w:pPr>
              <w:spacing w:after="0"/>
              <w:jc w:val="left"/>
            </w:pPr>
            <w:r>
              <w:rPr>
                <w:rFonts w:ascii="Arial" w:hAnsi="Arial"/>
                <w:b w:val="0"/>
                <w:sz w:val="13"/>
              </w:rPr>
              <w:t>OpenAI Agents SDK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SDK entry point located; OpenAI platform guide returned HTTP 403 by curl and needs final access/rendering check</w:t>
            </w:r>
          </w:p>
        </w:tc>
      </w:tr>
      <w:tr>
        <w:trPr>
          <w:cantSplit/>
        </w:trPr>
        <w:tc>
          <w:tcPr>
            <w:tcW w:type="dxa" w:w="2880"/>
            <w:vAlign w:val="top"/>
          </w:tcPr>
          <w:p>
            <w:pPr>
              <w:spacing w:after="0"/>
              <w:jc w:val="left"/>
            </w:pPr>
            <w:r>
              <w:rPr>
                <w:rFonts w:ascii="Arial" w:hAnsi="Arial"/>
                <w:b w:val="0"/>
                <w:sz w:val="13"/>
              </w:rPr>
              <w:t>OPENAI-TOOLS-DOCS</w:t>
            </w:r>
          </w:p>
        </w:tc>
        <w:tc>
          <w:tcPr>
            <w:tcW w:type="dxa" w:w="2880"/>
            <w:vAlign w:val="top"/>
          </w:tcPr>
          <w:p>
            <w:pPr>
              <w:spacing w:after="0"/>
              <w:jc w:val="left"/>
            </w:pPr>
            <w:r>
              <w:rPr>
                <w:rFonts w:ascii="Arial" w:hAnsi="Arial"/>
                <w:b w:val="0"/>
                <w:sz w:val="13"/>
              </w:rPr>
              <w:t>OpenAI Tools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Official source family located; exact tools page pinning remains</w:t>
            </w:r>
          </w:p>
        </w:tc>
      </w:tr>
      <w:tr>
        <w:trPr>
          <w:cantSplit/>
        </w:trPr>
        <w:tc>
          <w:tcPr>
            <w:tcW w:type="dxa" w:w="2880"/>
            <w:vAlign w:val="top"/>
          </w:tcPr>
          <w:p>
            <w:pPr>
              <w:spacing w:after="0"/>
              <w:jc w:val="left"/>
            </w:pPr>
            <w:r>
              <w:rPr>
                <w:rFonts w:ascii="Arial" w:hAnsi="Arial"/>
                <w:b w:val="0"/>
                <w:sz w:val="13"/>
              </w:rPr>
              <w:t>CREWAI-DOCS</w:t>
            </w:r>
          </w:p>
        </w:tc>
        <w:tc>
          <w:tcPr>
            <w:tcW w:type="dxa" w:w="2880"/>
            <w:vAlign w:val="top"/>
          </w:tcPr>
          <w:p>
            <w:pPr>
              <w:spacing w:after="0"/>
              <w:jc w:val="left"/>
            </w:pPr>
            <w:r>
              <w:rPr>
                <w:rFonts w:ascii="Arial" w:hAnsi="Arial"/>
                <w:b w:val="0"/>
                <w:sz w:val="13"/>
              </w:rPr>
              <w:t>CrewAI Official Documentation</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Entry point located; agent role labels are not human accountability roles</w:t>
            </w:r>
          </w:p>
        </w:tc>
      </w:tr>
      <w:tr>
        <w:trPr>
          <w:cantSplit/>
        </w:trPr>
        <w:tc>
          <w:tcPr>
            <w:tcW w:type="dxa" w:w="2880"/>
            <w:vAlign w:val="top"/>
          </w:tcPr>
          <w:p>
            <w:pPr>
              <w:spacing w:after="0"/>
              <w:jc w:val="left"/>
            </w:pPr>
            <w:r>
              <w:rPr>
                <w:rFonts w:ascii="Arial" w:hAnsi="Arial"/>
                <w:b w:val="0"/>
                <w:sz w:val="13"/>
              </w:rPr>
              <w:t>CREWAI-GITHUB</w:t>
            </w:r>
          </w:p>
        </w:tc>
        <w:tc>
          <w:tcPr>
            <w:tcW w:type="dxa" w:w="2880"/>
            <w:vAlign w:val="top"/>
          </w:tcPr>
          <w:p>
            <w:pPr>
              <w:spacing w:after="0"/>
              <w:jc w:val="left"/>
            </w:pPr>
            <w:r>
              <w:rPr>
                <w:rFonts w:ascii="Arial" w:hAnsi="Arial"/>
                <w:b w:val="0"/>
                <w:sz w:val="13"/>
              </w:rPr>
              <w:t>CrewAI GitHub Repository</w:t>
            </w:r>
          </w:p>
        </w:tc>
        <w:tc>
          <w:tcPr>
            <w:tcW w:type="dxa" w:w="2880"/>
            <w:vAlign w:val="top"/>
          </w:tcPr>
          <w:p>
            <w:pPr>
              <w:spacing w:after="0"/>
              <w:jc w:val="left"/>
            </w:pPr>
            <w:r>
              <w:rPr>
                <w:rFonts w:ascii="Arial" w:hAnsi="Arial"/>
                <w:b w:val="0"/>
                <w:sz w:val="13"/>
              </w:rPr>
              <w:t>Product docs</w:t>
            </w:r>
          </w:p>
        </w:tc>
        <w:tc>
          <w:tcPr>
            <w:tcW w:type="dxa" w:w="2880"/>
            <w:vAlign w:val="top"/>
          </w:tcPr>
          <w:p>
            <w:pPr>
              <w:spacing w:after="0"/>
              <w:jc w:val="left"/>
            </w:pPr>
            <w:r>
              <w:rPr>
                <w:rFonts w:ascii="Arial" w:hAnsi="Arial"/>
                <w:b w:val="0"/>
                <w:sz w:val="13"/>
              </w:rPr>
              <w:t>Chapter 12</w:t>
            </w:r>
          </w:p>
        </w:tc>
        <w:tc>
          <w:tcPr>
            <w:tcW w:type="dxa" w:w="2880"/>
            <w:vAlign w:val="top"/>
          </w:tcPr>
          <w:p>
            <w:pPr>
              <w:spacing w:after="0"/>
              <w:jc w:val="left"/>
            </w:pPr>
            <w:r>
              <w:rPr>
                <w:rFonts w:ascii="Arial" w:hAnsi="Arial"/>
                <w:b w:val="0"/>
                <w:sz w:val="13"/>
              </w:rPr>
              <w:t>✓ Repository entry point located; exact code/API claims require page-level pinning</w:t>
            </w:r>
          </w:p>
        </w:tc>
      </w:tr>
      <w:tr>
        <w:trPr>
          <w:cantSplit/>
        </w:trPr>
        <w:tc>
          <w:tcPr>
            <w:tcW w:type="dxa" w:w="2880"/>
            <w:vAlign w:val="top"/>
          </w:tcPr>
          <w:p>
            <w:pPr>
              <w:spacing w:after="0"/>
              <w:jc w:val="left"/>
            </w:pPr>
            <w:r>
              <w:rPr>
                <w:rFonts w:ascii="Arial" w:hAnsi="Arial"/>
                <w:b w:val="0"/>
                <w:sz w:val="13"/>
              </w:rPr>
              <w:t>MPLP-DOCS</w:t>
            </w:r>
          </w:p>
        </w:tc>
        <w:tc>
          <w:tcPr>
            <w:tcW w:type="dxa" w:w="2880"/>
            <w:vAlign w:val="top"/>
          </w:tcPr>
          <w:p>
            <w:pPr>
              <w:spacing w:after="0"/>
              <w:jc w:val="left"/>
            </w:pPr>
            <w:r>
              <w:rPr>
                <w:rFonts w:ascii="Arial" w:hAnsi="Arial"/>
                <w:b w:val="0"/>
                <w:sz w:val="13"/>
              </w:rPr>
              <w:t>MPLP (Multi-Agent Lifecycle Protocol) Official Documentation</w:t>
            </w:r>
          </w:p>
        </w:tc>
        <w:tc>
          <w:tcPr>
            <w:tcW w:type="dxa" w:w="2880"/>
            <w:vAlign w:val="top"/>
          </w:tcPr>
          <w:p>
            <w:pPr>
              <w:spacing w:after="0"/>
              <w:jc w:val="left"/>
            </w:pPr>
            <w:r>
              <w:rPr>
                <w:rFonts w:ascii="Arial" w:hAnsi="Arial"/>
                <w:b w:val="0"/>
                <w:sz w:val="13"/>
              </w:rPr>
              <w:t>Protocol docs</w:t>
            </w:r>
          </w:p>
        </w:tc>
        <w:tc>
          <w:tcPr>
            <w:tcW w:type="dxa" w:w="2880"/>
            <w:vAlign w:val="top"/>
          </w:tcPr>
          <w:p>
            <w:pPr>
              <w:spacing w:after="0"/>
              <w:jc w:val="left"/>
            </w:pPr>
            <w:r>
              <w:rPr>
                <w:rFonts w:ascii="Arial" w:hAnsi="Arial"/>
                <w:b w:val="0"/>
                <w:sz w:val="13"/>
              </w:rPr>
              <w:t>Chapters 12, 13</w:t>
            </w:r>
          </w:p>
        </w:tc>
        <w:tc>
          <w:tcPr>
            <w:tcW w:type="dxa" w:w="2880"/>
            <w:vAlign w:val="top"/>
          </w:tcPr>
          <w:p>
            <w:pPr>
              <w:spacing w:after="0"/>
              <w:jc w:val="left"/>
            </w:pPr>
            <w:r>
              <w:rPr>
                <w:rFonts w:ascii="Arial" w:hAnsi="Arial"/>
                <w:b w:val="0"/>
                <w:sz w:val="13"/>
              </w:rPr>
              <w:t>✓ Entry point located; protocol mapping remains L2 + L5 analytical interpretation</w:t>
            </w:r>
          </w:p>
        </w:tc>
      </w:tr>
      <w:tr>
        <w:trPr>
          <w:cantSplit/>
        </w:trPr>
        <w:tc>
          <w:tcPr>
            <w:tcW w:type="dxa" w:w="2880"/>
            <w:vAlign w:val="top"/>
          </w:tcPr>
          <w:p>
            <w:pPr>
              <w:spacing w:after="0"/>
              <w:jc w:val="left"/>
            </w:pPr>
            <w:r>
              <w:rPr>
                <w:rFonts w:ascii="Arial" w:hAnsi="Arial"/>
                <w:b w:val="0"/>
                <w:sz w:val="13"/>
              </w:rPr>
              <w:t>MPLP-SPEC</w:t>
            </w:r>
          </w:p>
        </w:tc>
        <w:tc>
          <w:tcPr>
            <w:tcW w:type="dxa" w:w="2880"/>
            <w:vAlign w:val="top"/>
          </w:tcPr>
          <w:p>
            <w:pPr>
              <w:spacing w:after="0"/>
              <w:jc w:val="left"/>
            </w:pPr>
            <w:r>
              <w:rPr>
                <w:rFonts w:ascii="Arial" w:hAnsi="Arial"/>
                <w:b w:val="0"/>
                <w:sz w:val="13"/>
              </w:rPr>
              <w:t>MPLP Protocol Specification</w:t>
            </w:r>
          </w:p>
        </w:tc>
        <w:tc>
          <w:tcPr>
            <w:tcW w:type="dxa" w:w="2880"/>
            <w:vAlign w:val="top"/>
          </w:tcPr>
          <w:p>
            <w:pPr>
              <w:spacing w:after="0"/>
              <w:jc w:val="left"/>
            </w:pPr>
            <w:r>
              <w:rPr>
                <w:rFonts w:ascii="Arial" w:hAnsi="Arial"/>
                <w:b w:val="0"/>
                <w:sz w:val="13"/>
              </w:rPr>
              <w:t>Protocol docs</w:t>
            </w:r>
          </w:p>
        </w:tc>
        <w:tc>
          <w:tcPr>
            <w:tcW w:type="dxa" w:w="2880"/>
            <w:vAlign w:val="top"/>
          </w:tcPr>
          <w:p>
            <w:pPr>
              <w:spacing w:after="0"/>
              <w:jc w:val="left"/>
            </w:pPr>
            <w:r>
              <w:rPr>
                <w:rFonts w:ascii="Arial" w:hAnsi="Arial"/>
                <w:b w:val="0"/>
                <w:sz w:val="13"/>
              </w:rPr>
              <w:t>Chapter 13</w:t>
            </w:r>
          </w:p>
        </w:tc>
        <w:tc>
          <w:tcPr>
            <w:tcW w:type="dxa" w:w="2880"/>
            <w:vAlign w:val="top"/>
          </w:tcPr>
          <w:p>
            <w:pPr>
              <w:spacing w:after="0"/>
              <w:jc w:val="left"/>
            </w:pPr>
            <w:r>
              <w:rPr>
                <w:rFonts w:ascii="Arial" w:hAnsi="Arial"/>
                <w:b w:val="0"/>
                <w:sz w:val="13"/>
              </w:rPr>
              <w:t>✓ Bound through MPLP docs entry point; version/citation rendering remains</w:t>
            </w:r>
          </w:p>
        </w:tc>
      </w:tr>
      <w:tr>
        <w:trPr>
          <w:cantSplit/>
        </w:trPr>
        <w:tc>
          <w:tcPr>
            <w:tcW w:type="dxa" w:w="2880"/>
            <w:vAlign w:val="top"/>
          </w:tcPr>
          <w:p>
            <w:pPr>
              <w:spacing w:after="0"/>
              <w:jc w:val="left"/>
            </w:pPr>
            <w:r>
              <w:rPr>
                <w:rFonts w:ascii="Arial" w:hAnsi="Arial"/>
                <w:b w:val="0"/>
                <w:sz w:val="13"/>
              </w:rPr>
              <w:t>VALIDATION-LAB-METHODOLOGY</w:t>
            </w:r>
          </w:p>
        </w:tc>
        <w:tc>
          <w:tcPr>
            <w:tcW w:type="dxa" w:w="2880"/>
            <w:vAlign w:val="top"/>
          </w:tcPr>
          <w:p>
            <w:pPr>
              <w:spacing w:after="0"/>
              <w:jc w:val="left"/>
            </w:pPr>
            <w:r>
              <w:rPr>
                <w:rFonts w:ascii="Arial" w:hAnsi="Arial"/>
                <w:b w:val="0"/>
                <w:sz w:val="13"/>
              </w:rPr>
              <w:t>Validation Lab Evidence-Based Validation Methodology</w:t>
            </w:r>
          </w:p>
        </w:tc>
        <w:tc>
          <w:tcPr>
            <w:tcW w:type="dxa" w:w="2880"/>
            <w:vAlign w:val="top"/>
          </w:tcPr>
          <w:p>
            <w:pPr>
              <w:spacing w:after="0"/>
              <w:jc w:val="left"/>
            </w:pPr>
            <w:r>
              <w:rPr>
                <w:rFonts w:ascii="Arial" w:hAnsi="Arial"/>
                <w:b w:val="0"/>
                <w:sz w:val="13"/>
              </w:rPr>
              <w:t>Protocol docs</w:t>
            </w:r>
          </w:p>
        </w:tc>
        <w:tc>
          <w:tcPr>
            <w:tcW w:type="dxa" w:w="2880"/>
            <w:vAlign w:val="top"/>
          </w:tcPr>
          <w:p>
            <w:pPr>
              <w:spacing w:after="0"/>
              <w:jc w:val="left"/>
            </w:pPr>
            <w:r>
              <w:rPr>
                <w:rFonts w:ascii="Arial" w:hAnsi="Arial"/>
                <w:b w:val="0"/>
                <w:sz w:val="13"/>
              </w:rPr>
              <w:t>Chapter 14</w:t>
            </w:r>
          </w:p>
        </w:tc>
        <w:tc>
          <w:tcPr>
            <w:tcW w:type="dxa" w:w="2880"/>
            <w:vAlign w:val="top"/>
          </w:tcPr>
          <w:p>
            <w:pPr>
              <w:spacing w:after="0"/>
              <w:jc w:val="left"/>
            </w:pPr>
            <w:r>
              <w:rPr>
                <w:rFonts w:ascii="Arial" w:hAnsi="Arial"/>
                <w:b w:val="0"/>
                <w:sz w:val="13"/>
              </w:rPr>
              <w:t>◐ Public entry point located; methodology-specific support remains boundary-limited</w:t>
            </w:r>
          </w:p>
        </w:tc>
      </w:tr>
    </w:tbl>
    <w:p>
      <w:pPr>
        <w:sectPr>
          <w:pgSz w:w="15840" w:h="12240" w:orient="landscape"/>
          <w:pgMar w:top="792" w:right="648" w:bottom="792" w:left="648" w:header="720" w:footer="720" w:gutter="0"/>
          <w:cols w:space="720"/>
          <w:docGrid w:linePitch="360"/>
        </w:sectPr>
      </w:pPr>
    </w:p>
    <w:p/>
    <w:p>
      <w:pPr>
        <w:pStyle w:val="Heading3"/>
      </w:pPr>
      <w:r>
        <w:t>L5: Author Inference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3"/>
              </w:rPr>
              <w:t>Source ID</w:t>
            </w:r>
          </w:p>
        </w:tc>
        <w:tc>
          <w:tcPr>
            <w:tcW w:type="dxa" w:w="2880"/>
            <w:vAlign w:val="top"/>
            <w:shd w:fill="D9EAF7"/>
          </w:tcPr>
          <w:p>
            <w:pPr>
              <w:spacing w:after="0"/>
              <w:jc w:val="left"/>
            </w:pPr>
            <w:r>
              <w:rPr>
                <w:rFonts w:ascii="Arial" w:hAnsi="Arial"/>
                <w:b/>
                <w:sz w:val="13"/>
              </w:rPr>
              <w:t>Source Name</w:t>
            </w:r>
          </w:p>
        </w:tc>
        <w:tc>
          <w:tcPr>
            <w:tcW w:type="dxa" w:w="2880"/>
            <w:vAlign w:val="top"/>
            <w:shd w:fill="D9EAF7"/>
          </w:tcPr>
          <w:p>
            <w:pPr>
              <w:spacing w:after="0"/>
              <w:jc w:val="left"/>
            </w:pPr>
            <w:r>
              <w:rPr>
                <w:rFonts w:ascii="Arial" w:hAnsi="Arial"/>
                <w:b/>
                <w:sz w:val="13"/>
              </w:rPr>
              <w:t>Type</w:t>
            </w:r>
          </w:p>
        </w:tc>
        <w:tc>
          <w:tcPr>
            <w:tcW w:type="dxa" w:w="2880"/>
            <w:vAlign w:val="top"/>
            <w:shd w:fill="D9EAF7"/>
          </w:tcPr>
          <w:p>
            <w:pPr>
              <w:spacing w:after="0"/>
              <w:jc w:val="left"/>
            </w:pPr>
            <w:r>
              <w:rPr>
                <w:rFonts w:ascii="Arial" w:hAnsi="Arial"/>
                <w:b/>
                <w:sz w:val="13"/>
              </w:rPr>
              <w:t>Used In</w:t>
            </w:r>
          </w:p>
        </w:tc>
        <w:tc>
          <w:tcPr>
            <w:tcW w:type="dxa" w:w="2880"/>
            <w:vAlign w:val="top"/>
            <w:shd w:fill="D9EAF7"/>
          </w:tcPr>
          <w:p>
            <w:pPr>
              <w:spacing w:after="0"/>
              <w:jc w:val="left"/>
            </w:pPr>
            <w:r>
              <w:rPr>
                <w:rFonts w:ascii="Arial" w:hAnsi="Arial"/>
                <w:b/>
                <w:sz w:val="13"/>
              </w:rPr>
              <w:t>Current Status</w:t>
            </w:r>
          </w:p>
        </w:tc>
      </w:tr>
      <w:tr>
        <w:trPr>
          <w:cantSplit/>
        </w:trPr>
        <w:tc>
          <w:tcPr>
            <w:tcW w:type="dxa" w:w="2880"/>
            <w:vAlign w:val="top"/>
          </w:tcPr>
          <w:p>
            <w:pPr>
              <w:spacing w:after="0"/>
              <w:jc w:val="left"/>
            </w:pPr>
            <w:r>
              <w:rPr>
                <w:rFonts w:ascii="Arial" w:hAnsi="Arial"/>
                <w:b w:val="0"/>
                <w:sz w:val="13"/>
              </w:rPr>
              <w:t>AUTHOR-INFERENCE-MRO</w:t>
            </w:r>
          </w:p>
        </w:tc>
        <w:tc>
          <w:tcPr>
            <w:tcW w:type="dxa" w:w="2880"/>
            <w:vAlign w:val="top"/>
          </w:tcPr>
          <w:p>
            <w:pPr>
              <w:spacing w:after="0"/>
              <w:jc w:val="left"/>
            </w:pPr>
            <w:r>
              <w:rPr>
                <w:rFonts w:ascii="Arial" w:hAnsi="Arial"/>
                <w:b w:val="0"/>
                <w:sz w:val="13"/>
              </w:rPr>
              <w:t>Sixteen Missing Regulatory Objects (Author Inference)</w:t>
            </w:r>
          </w:p>
        </w:tc>
        <w:tc>
          <w:tcPr>
            <w:tcW w:type="dxa" w:w="2880"/>
            <w:vAlign w:val="top"/>
          </w:tcPr>
          <w:p>
            <w:pPr>
              <w:spacing w:after="0"/>
              <w:jc w:val="left"/>
            </w:pPr>
            <w:r>
              <w:rPr>
                <w:rFonts w:ascii="Arial" w:hAnsi="Arial"/>
                <w:b w:val="0"/>
                <w:sz w:val="13"/>
              </w:rPr>
              <w:t>Analytical framework</w:t>
            </w:r>
          </w:p>
        </w:tc>
        <w:tc>
          <w:tcPr>
            <w:tcW w:type="dxa" w:w="2880"/>
            <w:vAlign w:val="top"/>
          </w:tcPr>
          <w:p>
            <w:pPr>
              <w:spacing w:after="0"/>
              <w:jc w:val="left"/>
            </w:pPr>
            <w:r>
              <w:rPr>
                <w:rFonts w:ascii="Arial" w:hAnsi="Arial"/>
                <w:b w:val="0"/>
                <w:sz w:val="13"/>
              </w:rPr>
              <w:t>Chapter 6</w:t>
            </w:r>
          </w:p>
        </w:tc>
        <w:tc>
          <w:tcPr>
            <w:tcW w:type="dxa" w:w="2880"/>
            <w:vAlign w:val="top"/>
          </w:tcPr>
          <w:p>
            <w:pPr>
              <w:spacing w:after="0"/>
              <w:jc w:val="left"/>
            </w:pPr>
            <w:r>
              <w:rPr>
                <w:rFonts w:ascii="Arial" w:hAnsi="Arial"/>
                <w:b w:val="0"/>
                <w:sz w:val="13"/>
              </w:rPr>
              <w:t>✓ Marked as L5</w:t>
            </w:r>
          </w:p>
        </w:tc>
      </w:tr>
      <w:tr>
        <w:trPr>
          <w:cantSplit/>
        </w:trPr>
        <w:tc>
          <w:tcPr>
            <w:tcW w:type="dxa" w:w="2880"/>
            <w:vAlign w:val="top"/>
          </w:tcPr>
          <w:p>
            <w:pPr>
              <w:spacing w:after="0"/>
              <w:jc w:val="left"/>
            </w:pPr>
            <w:r>
              <w:rPr>
                <w:rFonts w:ascii="Arial" w:hAnsi="Arial"/>
                <w:b w:val="0"/>
                <w:sz w:val="13"/>
              </w:rPr>
              <w:t>AUTHOR-INFERENCE-RCCS</w:t>
            </w:r>
          </w:p>
        </w:tc>
        <w:tc>
          <w:tcPr>
            <w:tcW w:type="dxa" w:w="2880"/>
            <w:vAlign w:val="top"/>
          </w:tcPr>
          <w:p>
            <w:pPr>
              <w:spacing w:after="0"/>
              <w:jc w:val="left"/>
            </w:pPr>
            <w:r>
              <w:rPr>
                <w:rFonts w:ascii="Arial" w:hAnsi="Arial"/>
                <w:b w:val="0"/>
                <w:sz w:val="13"/>
              </w:rPr>
              <w:t>RCCS Analytical Framework (Author Inference)</w:t>
            </w:r>
          </w:p>
        </w:tc>
        <w:tc>
          <w:tcPr>
            <w:tcW w:type="dxa" w:w="2880"/>
            <w:vAlign w:val="top"/>
          </w:tcPr>
          <w:p>
            <w:pPr>
              <w:spacing w:after="0"/>
              <w:jc w:val="left"/>
            </w:pPr>
            <w:r>
              <w:rPr>
                <w:rFonts w:ascii="Arial" w:hAnsi="Arial"/>
                <w:b w:val="0"/>
                <w:sz w:val="13"/>
              </w:rPr>
              <w:t>Analytical framework</w:t>
            </w:r>
          </w:p>
        </w:tc>
        <w:tc>
          <w:tcPr>
            <w:tcW w:type="dxa" w:w="2880"/>
            <w:vAlign w:val="top"/>
          </w:tcPr>
          <w:p>
            <w:pPr>
              <w:spacing w:after="0"/>
              <w:jc w:val="left"/>
            </w:pPr>
            <w:r>
              <w:rPr>
                <w:rFonts w:ascii="Arial" w:hAnsi="Arial"/>
                <w:b w:val="0"/>
                <w:sz w:val="13"/>
              </w:rPr>
              <w:t>Chapter 7</w:t>
            </w:r>
          </w:p>
        </w:tc>
        <w:tc>
          <w:tcPr>
            <w:tcW w:type="dxa" w:w="2880"/>
            <w:vAlign w:val="top"/>
          </w:tcPr>
          <w:p>
            <w:pPr>
              <w:spacing w:after="0"/>
              <w:jc w:val="left"/>
            </w:pPr>
            <w:r>
              <w:rPr>
                <w:rFonts w:ascii="Arial" w:hAnsi="Arial"/>
                <w:b w:val="0"/>
                <w:sz w:val="13"/>
              </w:rPr>
              <w:t>✓ Marked as L5</w:t>
            </w:r>
          </w:p>
        </w:tc>
      </w:tr>
      <w:tr>
        <w:trPr>
          <w:cantSplit/>
        </w:trPr>
        <w:tc>
          <w:tcPr>
            <w:tcW w:type="dxa" w:w="2880"/>
            <w:vAlign w:val="top"/>
          </w:tcPr>
          <w:p>
            <w:pPr>
              <w:spacing w:after="0"/>
              <w:jc w:val="left"/>
            </w:pPr>
            <w:r>
              <w:rPr>
                <w:rFonts w:ascii="Arial" w:hAnsi="Arial"/>
                <w:b w:val="0"/>
                <w:sz w:val="13"/>
              </w:rPr>
              <w:t>AUTHOR-INFERENCE-ALCS</w:t>
            </w:r>
          </w:p>
        </w:tc>
        <w:tc>
          <w:tcPr>
            <w:tcW w:type="dxa" w:w="2880"/>
            <w:vAlign w:val="top"/>
          </w:tcPr>
          <w:p>
            <w:pPr>
              <w:spacing w:after="0"/>
              <w:jc w:val="left"/>
            </w:pPr>
            <w:r>
              <w:rPr>
                <w:rFonts w:ascii="Arial" w:hAnsi="Arial"/>
                <w:b w:val="0"/>
                <w:sz w:val="13"/>
              </w:rPr>
              <w:t>ALCS Analytical Framework (Author Inference)</w:t>
            </w:r>
          </w:p>
        </w:tc>
        <w:tc>
          <w:tcPr>
            <w:tcW w:type="dxa" w:w="2880"/>
            <w:vAlign w:val="top"/>
          </w:tcPr>
          <w:p>
            <w:pPr>
              <w:spacing w:after="0"/>
              <w:jc w:val="left"/>
            </w:pPr>
            <w:r>
              <w:rPr>
                <w:rFonts w:ascii="Arial" w:hAnsi="Arial"/>
                <w:b w:val="0"/>
                <w:sz w:val="13"/>
              </w:rPr>
              <w:t>Analytical framework</w:t>
            </w:r>
          </w:p>
        </w:tc>
        <w:tc>
          <w:tcPr>
            <w:tcW w:type="dxa" w:w="2880"/>
            <w:vAlign w:val="top"/>
          </w:tcPr>
          <w:p>
            <w:pPr>
              <w:spacing w:after="0"/>
              <w:jc w:val="left"/>
            </w:pPr>
            <w:r>
              <w:rPr>
                <w:rFonts w:ascii="Arial" w:hAnsi="Arial"/>
                <w:b w:val="0"/>
                <w:sz w:val="13"/>
              </w:rPr>
              <w:t>Chapter 8</w:t>
            </w:r>
          </w:p>
        </w:tc>
        <w:tc>
          <w:tcPr>
            <w:tcW w:type="dxa" w:w="2880"/>
            <w:vAlign w:val="top"/>
          </w:tcPr>
          <w:p>
            <w:pPr>
              <w:spacing w:after="0"/>
              <w:jc w:val="left"/>
            </w:pPr>
            <w:r>
              <w:rPr>
                <w:rFonts w:ascii="Arial" w:hAnsi="Arial"/>
                <w:b w:val="0"/>
                <w:sz w:val="13"/>
              </w:rPr>
              <w:t>✓ Marked as L5</w:t>
            </w:r>
          </w:p>
        </w:tc>
      </w:tr>
      <w:tr>
        <w:trPr>
          <w:cantSplit/>
        </w:trPr>
        <w:tc>
          <w:tcPr>
            <w:tcW w:type="dxa" w:w="2880"/>
            <w:vAlign w:val="top"/>
          </w:tcPr>
          <w:p>
            <w:pPr>
              <w:spacing w:after="0"/>
              <w:jc w:val="left"/>
            </w:pPr>
            <w:r>
              <w:rPr>
                <w:rFonts w:ascii="Arial" w:hAnsi="Arial"/>
                <w:b w:val="0"/>
                <w:sz w:val="13"/>
              </w:rPr>
              <w:t>AUTHOR-INFERENCE-COMPOSITE</w:t>
            </w:r>
          </w:p>
        </w:tc>
        <w:tc>
          <w:tcPr>
            <w:tcW w:type="dxa" w:w="2880"/>
            <w:vAlign w:val="top"/>
          </w:tcPr>
          <w:p>
            <w:pPr>
              <w:spacing w:after="0"/>
              <w:jc w:val="left"/>
            </w:pPr>
            <w:r>
              <w:rPr>
                <w:rFonts w:ascii="Arial" w:hAnsi="Arial"/>
                <w:b w:val="0"/>
                <w:sz w:val="13"/>
              </w:rPr>
              <w:t>Composite Scoring Method (Author Inference)</w:t>
            </w:r>
          </w:p>
        </w:tc>
        <w:tc>
          <w:tcPr>
            <w:tcW w:type="dxa" w:w="2880"/>
            <w:vAlign w:val="top"/>
          </w:tcPr>
          <w:p>
            <w:pPr>
              <w:spacing w:after="0"/>
              <w:jc w:val="left"/>
            </w:pPr>
            <w:r>
              <w:rPr>
                <w:rFonts w:ascii="Arial" w:hAnsi="Arial"/>
                <w:b w:val="0"/>
                <w:sz w:val="13"/>
              </w:rPr>
              <w:t>Analytical framework</w:t>
            </w:r>
          </w:p>
        </w:tc>
        <w:tc>
          <w:tcPr>
            <w:tcW w:type="dxa" w:w="2880"/>
            <w:vAlign w:val="top"/>
          </w:tcPr>
          <w:p>
            <w:pPr>
              <w:spacing w:after="0"/>
              <w:jc w:val="left"/>
            </w:pPr>
            <w:r>
              <w:rPr>
                <w:rFonts w:ascii="Arial" w:hAnsi="Arial"/>
                <w:b w:val="0"/>
                <w:sz w:val="13"/>
              </w:rPr>
              <w:t>Chapter 9</w:t>
            </w:r>
          </w:p>
        </w:tc>
        <w:tc>
          <w:tcPr>
            <w:tcW w:type="dxa" w:w="2880"/>
            <w:vAlign w:val="top"/>
          </w:tcPr>
          <w:p>
            <w:pPr>
              <w:spacing w:after="0"/>
              <w:jc w:val="left"/>
            </w:pPr>
            <w:r>
              <w:rPr>
                <w:rFonts w:ascii="Arial" w:hAnsi="Arial"/>
                <w:b w:val="0"/>
                <w:sz w:val="13"/>
              </w:rPr>
              <w:t>✓ Marked as L5</w:t>
            </w:r>
          </w:p>
        </w:tc>
      </w:tr>
      <w:tr>
        <w:trPr>
          <w:cantSplit/>
        </w:trPr>
        <w:tc>
          <w:tcPr>
            <w:tcW w:type="dxa" w:w="2880"/>
            <w:vAlign w:val="top"/>
          </w:tcPr>
          <w:p>
            <w:pPr>
              <w:spacing w:after="0"/>
              <w:jc w:val="left"/>
            </w:pPr>
            <w:r>
              <w:rPr>
                <w:rFonts w:ascii="Arial" w:hAnsi="Arial"/>
                <w:b w:val="0"/>
                <w:sz w:val="13"/>
              </w:rPr>
              <w:t>AUTHOR-INFERENCE-SYSTEM-MAPPING</w:t>
            </w:r>
          </w:p>
        </w:tc>
        <w:tc>
          <w:tcPr>
            <w:tcW w:type="dxa" w:w="2880"/>
            <w:vAlign w:val="top"/>
          </w:tcPr>
          <w:p>
            <w:pPr>
              <w:spacing w:after="0"/>
              <w:jc w:val="left"/>
            </w:pPr>
            <w:r>
              <w:rPr>
                <w:rFonts w:ascii="Arial" w:hAnsi="Arial"/>
                <w:b w:val="0"/>
                <w:sz w:val="13"/>
              </w:rPr>
              <w:t>System Mapping Methodology (Author Inference)</w:t>
            </w:r>
          </w:p>
        </w:tc>
        <w:tc>
          <w:tcPr>
            <w:tcW w:type="dxa" w:w="2880"/>
            <w:vAlign w:val="top"/>
          </w:tcPr>
          <w:p>
            <w:pPr>
              <w:spacing w:after="0"/>
              <w:jc w:val="left"/>
            </w:pPr>
            <w:r>
              <w:rPr>
                <w:rFonts w:ascii="Arial" w:hAnsi="Arial"/>
                <w:b w:val="0"/>
                <w:sz w:val="13"/>
              </w:rPr>
              <w:t>Analytical framework</w:t>
            </w:r>
          </w:p>
        </w:tc>
        <w:tc>
          <w:tcPr>
            <w:tcW w:type="dxa" w:w="2880"/>
            <w:vAlign w:val="top"/>
          </w:tcPr>
          <w:p>
            <w:pPr>
              <w:spacing w:after="0"/>
              <w:jc w:val="left"/>
            </w:pPr>
            <w:r>
              <w:rPr>
                <w:rFonts w:ascii="Arial" w:hAnsi="Arial"/>
                <w:b w:val="0"/>
                <w:sz w:val="13"/>
              </w:rPr>
              <w:t>Chapters 11, 12</w:t>
            </w:r>
          </w:p>
        </w:tc>
        <w:tc>
          <w:tcPr>
            <w:tcW w:type="dxa" w:w="2880"/>
            <w:vAlign w:val="top"/>
          </w:tcPr>
          <w:p>
            <w:pPr>
              <w:spacing w:after="0"/>
              <w:jc w:val="left"/>
            </w:pPr>
            <w:r>
              <w:rPr>
                <w:rFonts w:ascii="Arial" w:hAnsi="Arial"/>
                <w:b w:val="0"/>
                <w:sz w:val="13"/>
              </w:rPr>
              <w:t>✓ Marked as L5</w:t>
            </w:r>
          </w:p>
        </w:tc>
      </w:tr>
      <w:tr>
        <w:trPr>
          <w:cantSplit/>
        </w:trPr>
        <w:tc>
          <w:tcPr>
            <w:tcW w:type="dxa" w:w="2880"/>
            <w:vAlign w:val="top"/>
          </w:tcPr>
          <w:p>
            <w:pPr>
              <w:spacing w:after="0"/>
              <w:jc w:val="left"/>
            </w:pPr>
            <w:r>
              <w:rPr>
                <w:rFonts w:ascii="Arial" w:hAnsi="Arial"/>
                <w:b w:val="0"/>
                <w:sz w:val="13"/>
              </w:rPr>
              <w:t>AUTHOR-INFERENCE-FAILURE-SCENARIOS</w:t>
            </w:r>
          </w:p>
        </w:tc>
        <w:tc>
          <w:tcPr>
            <w:tcW w:type="dxa" w:w="2880"/>
            <w:vAlign w:val="top"/>
          </w:tcPr>
          <w:p>
            <w:pPr>
              <w:spacing w:after="0"/>
              <w:jc w:val="left"/>
            </w:pPr>
            <w:r>
              <w:rPr>
                <w:rFonts w:ascii="Arial" w:hAnsi="Arial"/>
                <w:b w:val="0"/>
                <w:sz w:val="13"/>
              </w:rPr>
              <w:t>Enterprise Failure Scenarios (Author Inference)</w:t>
            </w:r>
          </w:p>
        </w:tc>
        <w:tc>
          <w:tcPr>
            <w:tcW w:type="dxa" w:w="2880"/>
            <w:vAlign w:val="top"/>
          </w:tcPr>
          <w:p>
            <w:pPr>
              <w:spacing w:after="0"/>
              <w:jc w:val="left"/>
            </w:pPr>
            <w:r>
              <w:rPr>
                <w:rFonts w:ascii="Arial" w:hAnsi="Arial"/>
                <w:b w:val="0"/>
                <w:sz w:val="13"/>
              </w:rPr>
              <w:t>Analytical framework</w:t>
            </w:r>
          </w:p>
        </w:tc>
        <w:tc>
          <w:tcPr>
            <w:tcW w:type="dxa" w:w="2880"/>
            <w:vAlign w:val="top"/>
          </w:tcPr>
          <w:p>
            <w:pPr>
              <w:spacing w:after="0"/>
              <w:jc w:val="left"/>
            </w:pPr>
            <w:r>
              <w:rPr>
                <w:rFonts w:ascii="Arial" w:hAnsi="Arial"/>
                <w:b w:val="0"/>
                <w:sz w:val="13"/>
              </w:rPr>
              <w:t>Chapter 15</w:t>
            </w:r>
          </w:p>
        </w:tc>
        <w:tc>
          <w:tcPr>
            <w:tcW w:type="dxa" w:w="2880"/>
            <w:vAlign w:val="top"/>
          </w:tcPr>
          <w:p>
            <w:pPr>
              <w:spacing w:after="0"/>
              <w:jc w:val="left"/>
            </w:pPr>
            <w:r>
              <w:rPr>
                <w:rFonts w:ascii="Arial" w:hAnsi="Arial"/>
                <w:b w:val="0"/>
                <w:sz w:val="13"/>
              </w:rPr>
              <w:t>✓ Marked as L5</w:t>
            </w:r>
          </w:p>
        </w:tc>
      </w:tr>
    </w:tbl>
    <w:p>
      <w:pPr>
        <w:sectPr>
          <w:pgSz w:w="12240" w:h="15840" w:orient="landscape"/>
          <w:pgMar w:top="792" w:right="648" w:bottom="792" w:left="648" w:header="720" w:footer="720" w:gutter="0"/>
          <w:cols w:space="720"/>
          <w:docGrid w:linePitch="360"/>
        </w:sectPr>
      </w:pPr>
    </w:p>
    <w:p/>
    <w:p/>
    <w:p>
      <w:pPr>
        <w:pStyle w:val="Heading2"/>
      </w:pPr>
      <w:r>
        <w:t>C.3 Source Register</w:t>
      </w:r>
    </w:p>
    <w:p/>
    <w:p>
      <w:r>
        <w:t>The following table provides the complete source register for the white paper.</w:t>
      </w:r>
    </w:p>
    <w:p/>
    <w:p>
      <w:pPr>
        <w:keepNext/>
      </w:pPr>
      <w:r>
        <w:rPr>
          <w:b/>
          <w:sz w:val="17"/>
        </w:rPr>
        <w:t>Table T-C-02: Source Register</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Source ID</w:t>
            </w:r>
          </w:p>
        </w:tc>
        <w:tc>
          <w:tcPr>
            <w:tcW w:type="dxa" w:w="2400"/>
            <w:vAlign w:val="top"/>
            <w:shd w:fill="D9EAF7"/>
            <w:textDirection w:val="lrTb"/>
          </w:tcPr>
          <w:p>
            <w:pPr>
              <w:spacing w:after="0"/>
              <w:jc w:val="left"/>
            </w:pPr>
            <w:r>
              <w:rPr>
                <w:rFonts w:ascii="Arial" w:hAnsi="Arial"/>
                <w:b/>
                <w:sz w:val="11"/>
              </w:rPr>
              <w:t>Source Name</w:t>
            </w:r>
          </w:p>
        </w:tc>
        <w:tc>
          <w:tcPr>
            <w:tcW w:type="dxa" w:w="2400"/>
            <w:vAlign w:val="top"/>
            <w:shd w:fill="D9EAF7"/>
            <w:textDirection w:val="lrTb"/>
          </w:tcPr>
          <w:p>
            <w:pPr>
              <w:spacing w:after="0"/>
              <w:jc w:val="left"/>
            </w:pPr>
            <w:r>
              <w:rPr>
                <w:rFonts w:ascii="Arial" w:hAnsi="Arial"/>
                <w:b/>
                <w:sz w:val="11"/>
              </w:rPr>
              <w:t>Evidence Level</w:t>
            </w:r>
          </w:p>
        </w:tc>
        <w:tc>
          <w:tcPr>
            <w:tcW w:type="dxa" w:w="2400"/>
            <w:vAlign w:val="top"/>
            <w:shd w:fill="D9EAF7"/>
            <w:textDirection w:val="lrTb"/>
          </w:tcPr>
          <w:p>
            <w:pPr>
              <w:spacing w:after="0"/>
              <w:jc w:val="left"/>
            </w:pPr>
            <w:r>
              <w:rPr>
                <w:rFonts w:ascii="Arial" w:hAnsi="Arial"/>
                <w:b/>
                <w:sz w:val="11"/>
              </w:rPr>
              <w:t>Used In</w:t>
            </w:r>
          </w:p>
        </w:tc>
        <w:tc>
          <w:tcPr>
            <w:tcW w:type="dxa" w:w="2400"/>
            <w:vAlign w:val="top"/>
            <w:shd w:fill="D9EAF7"/>
            <w:textDirection w:val="lrTb"/>
          </w:tcPr>
          <w:p>
            <w:pPr>
              <w:spacing w:after="0"/>
              <w:jc w:val="left"/>
            </w:pPr>
            <w:r>
              <w:rPr>
                <w:rFonts w:ascii="Arial" w:hAnsi="Arial"/>
                <w:b/>
                <w:sz w:val="11"/>
              </w:rPr>
              <w:t>Current Status</w:t>
            </w:r>
          </w:p>
        </w:tc>
        <w:tc>
          <w:tcPr>
            <w:tcW w:type="dxa" w:w="2400"/>
            <w:vAlign w:val="top"/>
            <w:shd w:fill="D9EAF7"/>
            <w:textDirection w:val="lrTb"/>
          </w:tcPr>
          <w:p>
            <w:pPr>
              <w:spacing w:after="0"/>
              <w:jc w:val="left"/>
            </w:pPr>
            <w:r>
              <w:rPr>
                <w:rFonts w:ascii="Arial" w:hAnsi="Arial"/>
                <w:b/>
                <w:sz w:val="11"/>
              </w:rPr>
              <w:t>Phase 1C Action</w:t>
            </w:r>
          </w:p>
        </w:tc>
      </w:tr>
      <w:tr>
        <w:trPr>
          <w:cantSplit/>
        </w:trPr>
        <w:tc>
          <w:tcPr>
            <w:tcW w:type="dxa" w:w="2400"/>
            <w:vAlign w:val="top"/>
          </w:tcPr>
          <w:p>
            <w:pPr>
              <w:spacing w:after="0"/>
              <w:jc w:val="left"/>
            </w:pPr>
            <w:r>
              <w:rPr>
                <w:rFonts w:ascii="Arial" w:hAnsi="Arial"/>
                <w:b w:val="0"/>
                <w:sz w:val="11"/>
              </w:rPr>
              <w:t>EU-AI-ACT</w:t>
            </w:r>
          </w:p>
        </w:tc>
        <w:tc>
          <w:tcPr>
            <w:tcW w:type="dxa" w:w="2400"/>
            <w:vAlign w:val="top"/>
          </w:tcPr>
          <w:p>
            <w:pPr>
              <w:spacing w:after="0"/>
              <w:jc w:val="left"/>
            </w:pPr>
            <w:r>
              <w:rPr>
                <w:rFonts w:ascii="Arial" w:hAnsi="Arial"/>
                <w:b w:val="0"/>
                <w:sz w:val="11"/>
              </w:rPr>
              <w:t>EU AI Act (Regulation (EU) 2024/1689)</w:t>
            </w:r>
          </w:p>
        </w:tc>
        <w:tc>
          <w:tcPr>
            <w:tcW w:type="dxa" w:w="2400"/>
            <w:vAlign w:val="top"/>
          </w:tcPr>
          <w:p>
            <w:pPr>
              <w:spacing w:after="0"/>
              <w:jc w:val="left"/>
            </w:pPr>
            <w:r>
              <w:rPr>
                <w:rFonts w:ascii="Arial" w:hAnsi="Arial"/>
                <w:b w:val="0"/>
                <w:sz w:val="11"/>
              </w:rPr>
              <w:t>L1</w:t>
            </w:r>
          </w:p>
        </w:tc>
        <w:tc>
          <w:tcPr>
            <w:tcW w:type="dxa" w:w="2400"/>
            <w:vAlign w:val="top"/>
          </w:tcPr>
          <w:p>
            <w:pPr>
              <w:spacing w:after="0"/>
              <w:jc w:val="left"/>
            </w:pPr>
            <w:r>
              <w:rPr>
                <w:rFonts w:ascii="Arial" w:hAnsi="Arial"/>
                <w:b w:val="0"/>
                <w:sz w:val="11"/>
              </w:rPr>
              <w:t>Chapter 4</w:t>
            </w:r>
          </w:p>
        </w:tc>
        <w:tc>
          <w:tcPr>
            <w:tcW w:type="dxa" w:w="2400"/>
            <w:vAlign w:val="top"/>
          </w:tcPr>
          <w:p>
            <w:pPr>
              <w:spacing w:after="0"/>
              <w:jc w:val="left"/>
            </w:pPr>
            <w:r>
              <w:rPr>
                <w:rFonts w:ascii="Arial" w:hAnsi="Arial"/>
                <w:b w:val="0"/>
                <w:sz w:val="11"/>
              </w:rPr>
              <w:t>✓ Referenced</w:t>
            </w:r>
          </w:p>
        </w:tc>
        <w:tc>
          <w:tcPr>
            <w:tcW w:type="dxa" w:w="2400"/>
            <w:vAlign w:val="top"/>
          </w:tcPr>
          <w:p>
            <w:pPr>
              <w:spacing w:after="0"/>
              <w:jc w:val="left"/>
            </w:pPr>
            <w:r>
              <w:rPr>
                <w:rFonts w:ascii="Arial" w:hAnsi="Arial"/>
                <w:b w:val="0"/>
                <w:sz w:val="11"/>
              </w:rPr>
              <w:t>Verify article citations</w:t>
            </w:r>
          </w:p>
        </w:tc>
      </w:tr>
      <w:tr>
        <w:trPr>
          <w:cantSplit/>
        </w:trPr>
        <w:tc>
          <w:tcPr>
            <w:tcW w:type="dxa" w:w="2400"/>
            <w:vAlign w:val="top"/>
          </w:tcPr>
          <w:p>
            <w:pPr>
              <w:spacing w:after="0"/>
              <w:jc w:val="left"/>
            </w:pPr>
            <w:r>
              <w:rPr>
                <w:rFonts w:ascii="Arial" w:hAnsi="Arial"/>
                <w:b w:val="0"/>
                <w:sz w:val="11"/>
              </w:rPr>
              <w:t>GDPR</w:t>
            </w:r>
          </w:p>
        </w:tc>
        <w:tc>
          <w:tcPr>
            <w:tcW w:type="dxa" w:w="2400"/>
            <w:vAlign w:val="top"/>
          </w:tcPr>
          <w:p>
            <w:pPr>
              <w:spacing w:after="0"/>
              <w:jc w:val="left"/>
            </w:pPr>
            <w:r>
              <w:rPr>
                <w:rFonts w:ascii="Arial" w:hAnsi="Arial"/>
                <w:b w:val="0"/>
                <w:sz w:val="11"/>
              </w:rPr>
              <w:t>GDPR (Regulation (EU) 2016/679)</w:t>
            </w:r>
          </w:p>
        </w:tc>
        <w:tc>
          <w:tcPr>
            <w:tcW w:type="dxa" w:w="2400"/>
            <w:vAlign w:val="top"/>
          </w:tcPr>
          <w:p>
            <w:pPr>
              <w:spacing w:after="0"/>
              <w:jc w:val="left"/>
            </w:pPr>
            <w:r>
              <w:rPr>
                <w:rFonts w:ascii="Arial" w:hAnsi="Arial"/>
                <w:b w:val="0"/>
                <w:sz w:val="11"/>
              </w:rPr>
              <w:t>L1</w:t>
            </w:r>
          </w:p>
        </w:tc>
        <w:tc>
          <w:tcPr>
            <w:tcW w:type="dxa" w:w="2400"/>
            <w:vAlign w:val="top"/>
          </w:tcPr>
          <w:p>
            <w:pPr>
              <w:spacing w:after="0"/>
              <w:jc w:val="left"/>
            </w:pPr>
            <w:r>
              <w:rPr>
                <w:rFonts w:ascii="Arial" w:hAnsi="Arial"/>
                <w:b w:val="0"/>
                <w:sz w:val="11"/>
              </w:rPr>
              <w:t>Chapter 4</w:t>
            </w:r>
          </w:p>
        </w:tc>
        <w:tc>
          <w:tcPr>
            <w:tcW w:type="dxa" w:w="2400"/>
            <w:vAlign w:val="top"/>
          </w:tcPr>
          <w:p>
            <w:pPr>
              <w:spacing w:after="0"/>
              <w:jc w:val="left"/>
            </w:pPr>
            <w:r>
              <w:rPr>
                <w:rFonts w:ascii="Arial" w:hAnsi="Arial"/>
                <w:b w:val="0"/>
                <w:sz w:val="11"/>
              </w:rPr>
              <w:t>✓ Referenced</w:t>
            </w:r>
          </w:p>
        </w:tc>
        <w:tc>
          <w:tcPr>
            <w:tcW w:type="dxa" w:w="2400"/>
            <w:vAlign w:val="top"/>
          </w:tcPr>
          <w:p>
            <w:pPr>
              <w:spacing w:after="0"/>
              <w:jc w:val="left"/>
            </w:pPr>
            <w:r>
              <w:rPr>
                <w:rFonts w:ascii="Arial" w:hAnsi="Arial"/>
                <w:b w:val="0"/>
                <w:sz w:val="11"/>
              </w:rPr>
              <w:t>Verify article citations</w:t>
            </w:r>
          </w:p>
        </w:tc>
      </w:tr>
      <w:tr>
        <w:trPr>
          <w:cantSplit/>
        </w:trPr>
        <w:tc>
          <w:tcPr>
            <w:tcW w:type="dxa" w:w="2400"/>
            <w:vAlign w:val="top"/>
          </w:tcPr>
          <w:p>
            <w:pPr>
              <w:spacing w:after="0"/>
              <w:jc w:val="left"/>
            </w:pPr>
            <w:r>
              <w:rPr>
                <w:rFonts w:ascii="Arial" w:hAnsi="Arial"/>
                <w:b w:val="0"/>
                <w:sz w:val="11"/>
              </w:rPr>
              <w:t>COLORADO-AI-ACT</w:t>
            </w:r>
          </w:p>
        </w:tc>
        <w:tc>
          <w:tcPr>
            <w:tcW w:type="dxa" w:w="2400"/>
            <w:vAlign w:val="top"/>
          </w:tcPr>
          <w:p>
            <w:pPr>
              <w:spacing w:after="0"/>
              <w:jc w:val="left"/>
            </w:pPr>
            <w:r>
              <w:rPr>
                <w:rFonts w:ascii="Arial" w:hAnsi="Arial"/>
                <w:b w:val="0"/>
                <w:sz w:val="11"/>
              </w:rPr>
              <w:t>Colorado AI Act (SB25B-004)</w:t>
            </w:r>
          </w:p>
        </w:tc>
        <w:tc>
          <w:tcPr>
            <w:tcW w:type="dxa" w:w="2400"/>
            <w:vAlign w:val="top"/>
          </w:tcPr>
          <w:p>
            <w:pPr>
              <w:spacing w:after="0"/>
              <w:jc w:val="left"/>
            </w:pPr>
            <w:r>
              <w:rPr>
                <w:rFonts w:ascii="Arial" w:hAnsi="Arial"/>
                <w:b w:val="0"/>
                <w:sz w:val="11"/>
              </w:rPr>
              <w:t>L1</w:t>
            </w:r>
          </w:p>
        </w:tc>
        <w:tc>
          <w:tcPr>
            <w:tcW w:type="dxa" w:w="2400"/>
            <w:vAlign w:val="top"/>
          </w:tcPr>
          <w:p>
            <w:pPr>
              <w:spacing w:after="0"/>
              <w:jc w:val="left"/>
            </w:pPr>
            <w:r>
              <w:rPr>
                <w:rFonts w:ascii="Arial" w:hAnsi="Arial"/>
                <w:b w:val="0"/>
                <w:sz w:val="11"/>
              </w:rPr>
              <w:t>Chapter 4</w:t>
            </w:r>
          </w:p>
        </w:tc>
        <w:tc>
          <w:tcPr>
            <w:tcW w:type="dxa" w:w="2400"/>
            <w:vAlign w:val="top"/>
          </w:tcPr>
          <w:p>
            <w:pPr>
              <w:spacing w:after="0"/>
              <w:jc w:val="left"/>
            </w:pPr>
            <w:r>
              <w:rPr>
                <w:rFonts w:ascii="Arial" w:hAnsi="Arial"/>
                <w:b w:val="0"/>
                <w:sz w:val="11"/>
              </w:rPr>
              <w:t>✓ Referenced</w:t>
            </w:r>
          </w:p>
        </w:tc>
        <w:tc>
          <w:tcPr>
            <w:tcW w:type="dxa" w:w="2400"/>
            <w:vAlign w:val="top"/>
          </w:tcPr>
          <w:p>
            <w:pPr>
              <w:spacing w:after="0"/>
              <w:jc w:val="left"/>
            </w:pPr>
            <w:r>
              <w:rPr>
                <w:rFonts w:ascii="Arial" w:hAnsi="Arial"/>
                <w:b w:val="0"/>
                <w:sz w:val="11"/>
              </w:rPr>
              <w:t>Verify citation</w:t>
            </w:r>
          </w:p>
        </w:tc>
      </w:tr>
      <w:tr>
        <w:trPr>
          <w:cantSplit/>
        </w:trPr>
        <w:tc>
          <w:tcPr>
            <w:tcW w:type="dxa" w:w="2400"/>
            <w:vAlign w:val="top"/>
          </w:tcPr>
          <w:p>
            <w:pPr>
              <w:spacing w:after="0"/>
              <w:jc w:val="left"/>
            </w:pPr>
            <w:r>
              <w:rPr>
                <w:rFonts w:ascii="Arial" w:hAnsi="Arial"/>
                <w:b w:val="0"/>
                <w:sz w:val="11"/>
              </w:rPr>
              <w:t>NIST-AI-RMF</w:t>
            </w:r>
          </w:p>
        </w:tc>
        <w:tc>
          <w:tcPr>
            <w:tcW w:type="dxa" w:w="2400"/>
            <w:vAlign w:val="top"/>
          </w:tcPr>
          <w:p>
            <w:pPr>
              <w:spacing w:after="0"/>
              <w:jc w:val="left"/>
            </w:pPr>
            <w:r>
              <w:rPr>
                <w:rFonts w:ascii="Arial" w:hAnsi="Arial"/>
                <w:b w:val="0"/>
                <w:sz w:val="11"/>
              </w:rPr>
              <w:t>NIST AI RMF 1.0</w:t>
            </w:r>
          </w:p>
        </w:tc>
        <w:tc>
          <w:tcPr>
            <w:tcW w:type="dxa" w:w="2400"/>
            <w:vAlign w:val="top"/>
          </w:tcPr>
          <w:p>
            <w:pPr>
              <w:spacing w:after="0"/>
              <w:jc w:val="left"/>
            </w:pPr>
            <w:r>
              <w:rPr>
                <w:rFonts w:ascii="Arial" w:hAnsi="Arial"/>
                <w:b w:val="0"/>
                <w:sz w:val="11"/>
              </w:rPr>
              <w:t>L1</w:t>
            </w:r>
          </w:p>
        </w:tc>
        <w:tc>
          <w:tcPr>
            <w:tcW w:type="dxa" w:w="2400"/>
            <w:vAlign w:val="top"/>
          </w:tcPr>
          <w:p>
            <w:pPr>
              <w:spacing w:after="0"/>
              <w:jc w:val="left"/>
            </w:pPr>
            <w:r>
              <w:rPr>
                <w:rFonts w:ascii="Arial" w:hAnsi="Arial"/>
                <w:b w:val="0"/>
                <w:sz w:val="11"/>
              </w:rPr>
              <w:t>Chapter 4</w:t>
            </w:r>
          </w:p>
        </w:tc>
        <w:tc>
          <w:tcPr>
            <w:tcW w:type="dxa" w:w="2400"/>
            <w:vAlign w:val="top"/>
          </w:tcPr>
          <w:p>
            <w:pPr>
              <w:spacing w:after="0"/>
              <w:jc w:val="left"/>
            </w:pPr>
            <w:r>
              <w:rPr>
                <w:rFonts w:ascii="Arial" w:hAnsi="Arial"/>
                <w:b w:val="0"/>
                <w:sz w:val="11"/>
              </w:rPr>
              <w:t>✓ Referenced</w:t>
            </w:r>
          </w:p>
        </w:tc>
        <w:tc>
          <w:tcPr>
            <w:tcW w:type="dxa" w:w="2400"/>
            <w:vAlign w:val="top"/>
          </w:tcPr>
          <w:p>
            <w:pPr>
              <w:spacing w:after="0"/>
              <w:jc w:val="left"/>
            </w:pPr>
            <w:r>
              <w:rPr>
                <w:rFonts w:ascii="Arial" w:hAnsi="Arial"/>
                <w:b w:val="0"/>
                <w:sz w:val="11"/>
              </w:rPr>
              <w:t>Verify citation</w:t>
            </w:r>
          </w:p>
        </w:tc>
      </w:tr>
      <w:tr>
        <w:trPr>
          <w:cantSplit/>
        </w:trPr>
        <w:tc>
          <w:tcPr>
            <w:tcW w:type="dxa" w:w="2400"/>
            <w:vAlign w:val="top"/>
          </w:tcPr>
          <w:p>
            <w:pPr>
              <w:spacing w:after="0"/>
              <w:jc w:val="left"/>
            </w:pPr>
            <w:r>
              <w:rPr>
                <w:rFonts w:ascii="Arial" w:hAnsi="Arial"/>
                <w:b w:val="0"/>
                <w:sz w:val="11"/>
              </w:rPr>
              <w:t>ISO-42001</w:t>
            </w:r>
          </w:p>
        </w:tc>
        <w:tc>
          <w:tcPr>
            <w:tcW w:type="dxa" w:w="2400"/>
            <w:vAlign w:val="top"/>
          </w:tcPr>
          <w:p>
            <w:pPr>
              <w:spacing w:after="0"/>
              <w:jc w:val="left"/>
            </w:pPr>
            <w:r>
              <w:rPr>
                <w:rFonts w:ascii="Arial" w:hAnsi="Arial"/>
                <w:b w:val="0"/>
                <w:sz w:val="11"/>
              </w:rPr>
              <w:t>ISO/IEC 42001:2023</w:t>
            </w:r>
          </w:p>
        </w:tc>
        <w:tc>
          <w:tcPr>
            <w:tcW w:type="dxa" w:w="2400"/>
            <w:vAlign w:val="top"/>
          </w:tcPr>
          <w:p>
            <w:pPr>
              <w:spacing w:after="0"/>
              <w:jc w:val="left"/>
            </w:pPr>
            <w:r>
              <w:rPr>
                <w:rFonts w:ascii="Arial" w:hAnsi="Arial"/>
                <w:b w:val="0"/>
                <w:sz w:val="11"/>
              </w:rPr>
              <w:t>L1</w:t>
            </w:r>
          </w:p>
        </w:tc>
        <w:tc>
          <w:tcPr>
            <w:tcW w:type="dxa" w:w="2400"/>
            <w:vAlign w:val="top"/>
          </w:tcPr>
          <w:p>
            <w:pPr>
              <w:spacing w:after="0"/>
              <w:jc w:val="left"/>
            </w:pPr>
            <w:r>
              <w:rPr>
                <w:rFonts w:ascii="Arial" w:hAnsi="Arial"/>
                <w:b w:val="0"/>
                <w:sz w:val="11"/>
              </w:rPr>
              <w:t>Chapter 4</w:t>
            </w:r>
          </w:p>
        </w:tc>
        <w:tc>
          <w:tcPr>
            <w:tcW w:type="dxa" w:w="2400"/>
            <w:vAlign w:val="top"/>
          </w:tcPr>
          <w:p>
            <w:pPr>
              <w:spacing w:after="0"/>
              <w:jc w:val="left"/>
            </w:pPr>
            <w:r>
              <w:rPr>
                <w:rFonts w:ascii="Arial" w:hAnsi="Arial"/>
                <w:b w:val="0"/>
                <w:sz w:val="11"/>
              </w:rPr>
              <w:t>✓ Referenced</w:t>
            </w:r>
          </w:p>
        </w:tc>
        <w:tc>
          <w:tcPr>
            <w:tcW w:type="dxa" w:w="2400"/>
            <w:vAlign w:val="top"/>
          </w:tcPr>
          <w:p>
            <w:pPr>
              <w:spacing w:after="0"/>
              <w:jc w:val="left"/>
            </w:pPr>
            <w:r>
              <w:rPr>
                <w:rFonts w:ascii="Arial" w:hAnsi="Arial"/>
                <w:b w:val="0"/>
                <w:sz w:val="11"/>
              </w:rPr>
              <w:t>Verify citation</w:t>
            </w:r>
          </w:p>
        </w:tc>
      </w:tr>
      <w:tr>
        <w:trPr>
          <w:cantSplit/>
        </w:trPr>
        <w:tc>
          <w:tcPr>
            <w:tcW w:type="dxa" w:w="2400"/>
            <w:vAlign w:val="top"/>
          </w:tcPr>
          <w:p>
            <w:pPr>
              <w:spacing w:after="0"/>
              <w:jc w:val="left"/>
            </w:pPr>
            <w:r>
              <w:rPr>
                <w:rFonts w:ascii="Arial" w:hAnsi="Arial"/>
                <w:b w:val="0"/>
                <w:sz w:val="11"/>
              </w:rPr>
              <w:t>SINGAPORE-IMDA</w:t>
            </w:r>
          </w:p>
        </w:tc>
        <w:tc>
          <w:tcPr>
            <w:tcW w:type="dxa" w:w="2400"/>
            <w:vAlign w:val="top"/>
          </w:tcPr>
          <w:p>
            <w:pPr>
              <w:spacing w:after="0"/>
              <w:jc w:val="left"/>
            </w:pPr>
            <w:r>
              <w:rPr>
                <w:rFonts w:ascii="Arial" w:hAnsi="Arial"/>
                <w:b w:val="0"/>
                <w:sz w:val="11"/>
              </w:rPr>
              <w:t>Singapore IMDA Model AI Governance Framework for Agentic AI</w:t>
            </w:r>
          </w:p>
        </w:tc>
        <w:tc>
          <w:tcPr>
            <w:tcW w:type="dxa" w:w="2400"/>
            <w:vAlign w:val="top"/>
          </w:tcPr>
          <w:p>
            <w:pPr>
              <w:spacing w:after="0"/>
              <w:jc w:val="left"/>
            </w:pPr>
            <w:r>
              <w:rPr>
                <w:rFonts w:ascii="Arial" w:hAnsi="Arial"/>
                <w:b w:val="0"/>
                <w:sz w:val="11"/>
              </w:rPr>
              <w:t>L1</w:t>
            </w:r>
          </w:p>
        </w:tc>
        <w:tc>
          <w:tcPr>
            <w:tcW w:type="dxa" w:w="2400"/>
            <w:vAlign w:val="top"/>
          </w:tcPr>
          <w:p>
            <w:pPr>
              <w:spacing w:after="0"/>
              <w:jc w:val="left"/>
            </w:pPr>
            <w:r>
              <w:rPr>
                <w:rFonts w:ascii="Arial" w:hAnsi="Arial"/>
                <w:b w:val="0"/>
                <w:sz w:val="11"/>
              </w:rPr>
              <w:t>Chapter 4</w:t>
            </w:r>
          </w:p>
        </w:tc>
        <w:tc>
          <w:tcPr>
            <w:tcW w:type="dxa" w:w="2400"/>
            <w:vAlign w:val="top"/>
          </w:tcPr>
          <w:p>
            <w:pPr>
              <w:spacing w:after="0"/>
              <w:jc w:val="left"/>
            </w:pPr>
            <w:r>
              <w:rPr>
                <w:rFonts w:ascii="Arial" w:hAnsi="Arial"/>
                <w:b w:val="0"/>
                <w:sz w:val="11"/>
              </w:rPr>
              <w:t>✓ Referenced</w:t>
            </w:r>
          </w:p>
        </w:tc>
        <w:tc>
          <w:tcPr>
            <w:tcW w:type="dxa" w:w="2400"/>
            <w:vAlign w:val="top"/>
          </w:tcPr>
          <w:p>
            <w:pPr>
              <w:spacing w:after="0"/>
              <w:jc w:val="left"/>
            </w:pPr>
            <w:r>
              <w:rPr>
                <w:rFonts w:ascii="Arial" w:hAnsi="Arial"/>
                <w:b w:val="0"/>
                <w:sz w:val="11"/>
              </w:rPr>
              <w:t>Verify citation</w:t>
            </w:r>
          </w:p>
        </w:tc>
      </w:tr>
      <w:tr>
        <w:trPr>
          <w:cantSplit/>
        </w:trPr>
        <w:tc>
          <w:tcPr>
            <w:tcW w:type="dxa" w:w="2400"/>
            <w:vAlign w:val="top"/>
          </w:tcPr>
          <w:p>
            <w:pPr>
              <w:spacing w:after="0"/>
              <w:jc w:val="left"/>
            </w:pPr>
            <w:r>
              <w:rPr>
                <w:rFonts w:ascii="Arial" w:hAnsi="Arial"/>
                <w:b w:val="0"/>
                <w:sz w:val="11"/>
              </w:rPr>
              <w:t>W3C-PROV</w:t>
            </w:r>
          </w:p>
        </w:tc>
        <w:tc>
          <w:tcPr>
            <w:tcW w:type="dxa" w:w="2400"/>
            <w:vAlign w:val="top"/>
          </w:tcPr>
          <w:p>
            <w:pPr>
              <w:spacing w:after="0"/>
              <w:jc w:val="left"/>
            </w:pPr>
            <w:r>
              <w:rPr>
                <w:rFonts w:ascii="Arial" w:hAnsi="Arial"/>
                <w:b w:val="0"/>
                <w:sz w:val="11"/>
              </w:rPr>
              <w:t>W3C PROV-DM</w:t>
            </w:r>
          </w:p>
        </w:tc>
        <w:tc>
          <w:tcPr>
            <w:tcW w:type="dxa" w:w="2400"/>
            <w:vAlign w:val="top"/>
          </w:tcPr>
          <w:p>
            <w:pPr>
              <w:spacing w:after="0"/>
              <w:jc w:val="left"/>
            </w:pPr>
            <w:r>
              <w:rPr>
                <w:rFonts w:ascii="Arial" w:hAnsi="Arial"/>
                <w:b w:val="0"/>
                <w:sz w:val="11"/>
              </w:rPr>
              <w:t>L1</w:t>
            </w:r>
          </w:p>
        </w:tc>
        <w:tc>
          <w:tcPr>
            <w:tcW w:type="dxa" w:w="2400"/>
            <w:vAlign w:val="top"/>
          </w:tcPr>
          <w:p>
            <w:pPr>
              <w:spacing w:after="0"/>
              <w:jc w:val="left"/>
            </w:pPr>
            <w:r>
              <w:rPr>
                <w:rFonts w:ascii="Arial" w:hAnsi="Arial"/>
                <w:b w:val="0"/>
                <w:sz w:val="11"/>
              </w:rPr>
              <w:t>Chapter 4</w:t>
            </w:r>
          </w:p>
        </w:tc>
        <w:tc>
          <w:tcPr>
            <w:tcW w:type="dxa" w:w="2400"/>
            <w:vAlign w:val="top"/>
          </w:tcPr>
          <w:p>
            <w:pPr>
              <w:spacing w:after="0"/>
              <w:jc w:val="left"/>
            </w:pPr>
            <w:r>
              <w:rPr>
                <w:rFonts w:ascii="Arial" w:hAnsi="Arial"/>
                <w:b w:val="0"/>
                <w:sz w:val="11"/>
              </w:rPr>
              <w:t>✓ Referenced</w:t>
            </w:r>
          </w:p>
        </w:tc>
        <w:tc>
          <w:tcPr>
            <w:tcW w:type="dxa" w:w="2400"/>
            <w:vAlign w:val="top"/>
          </w:tcPr>
          <w:p>
            <w:pPr>
              <w:spacing w:after="0"/>
              <w:jc w:val="left"/>
            </w:pPr>
            <w:r>
              <w:rPr>
                <w:rFonts w:ascii="Arial" w:hAnsi="Arial"/>
                <w:b w:val="0"/>
                <w:sz w:val="11"/>
              </w:rPr>
              <w:t>Verify citation</w:t>
            </w:r>
          </w:p>
        </w:tc>
      </w:tr>
      <w:tr>
        <w:trPr>
          <w:cantSplit/>
        </w:trPr>
        <w:tc>
          <w:tcPr>
            <w:tcW w:type="dxa" w:w="2400"/>
            <w:vAlign w:val="top"/>
          </w:tcPr>
          <w:p>
            <w:pPr>
              <w:spacing w:after="0"/>
              <w:jc w:val="left"/>
            </w:pPr>
            <w:r>
              <w:rPr>
                <w:rFonts w:ascii="Arial" w:hAnsi="Arial"/>
                <w:b w:val="0"/>
                <w:sz w:val="11"/>
              </w:rPr>
              <w:t>W3C-VC</w:t>
            </w:r>
          </w:p>
        </w:tc>
        <w:tc>
          <w:tcPr>
            <w:tcW w:type="dxa" w:w="2400"/>
            <w:vAlign w:val="top"/>
          </w:tcPr>
          <w:p>
            <w:pPr>
              <w:spacing w:after="0"/>
              <w:jc w:val="left"/>
            </w:pPr>
            <w:r>
              <w:rPr>
                <w:rFonts w:ascii="Arial" w:hAnsi="Arial"/>
                <w:b w:val="0"/>
                <w:sz w:val="11"/>
              </w:rPr>
              <w:t>W3C Verifiable Credentials</w:t>
            </w:r>
          </w:p>
        </w:tc>
        <w:tc>
          <w:tcPr>
            <w:tcW w:type="dxa" w:w="2400"/>
            <w:vAlign w:val="top"/>
          </w:tcPr>
          <w:p>
            <w:pPr>
              <w:spacing w:after="0"/>
              <w:jc w:val="left"/>
            </w:pPr>
            <w:r>
              <w:rPr>
                <w:rFonts w:ascii="Arial" w:hAnsi="Arial"/>
                <w:b w:val="0"/>
                <w:sz w:val="11"/>
              </w:rPr>
              <w:t>L1</w:t>
            </w:r>
          </w:p>
        </w:tc>
        <w:tc>
          <w:tcPr>
            <w:tcW w:type="dxa" w:w="2400"/>
            <w:vAlign w:val="top"/>
          </w:tcPr>
          <w:p>
            <w:pPr>
              <w:spacing w:after="0"/>
              <w:jc w:val="left"/>
            </w:pPr>
            <w:r>
              <w:rPr>
                <w:rFonts w:ascii="Arial" w:hAnsi="Arial"/>
                <w:b w:val="0"/>
                <w:sz w:val="11"/>
              </w:rPr>
              <w:t>Chapter 4</w:t>
            </w:r>
          </w:p>
        </w:tc>
        <w:tc>
          <w:tcPr>
            <w:tcW w:type="dxa" w:w="2400"/>
            <w:vAlign w:val="top"/>
          </w:tcPr>
          <w:p>
            <w:pPr>
              <w:spacing w:after="0"/>
              <w:jc w:val="left"/>
            </w:pPr>
            <w:r>
              <w:rPr>
                <w:rFonts w:ascii="Arial" w:hAnsi="Arial"/>
                <w:b w:val="0"/>
                <w:sz w:val="11"/>
              </w:rPr>
              <w:t>✓ Referenced</w:t>
            </w:r>
          </w:p>
        </w:tc>
        <w:tc>
          <w:tcPr>
            <w:tcW w:type="dxa" w:w="2400"/>
            <w:vAlign w:val="top"/>
          </w:tcPr>
          <w:p>
            <w:pPr>
              <w:spacing w:after="0"/>
              <w:jc w:val="left"/>
            </w:pPr>
            <w:r>
              <w:rPr>
                <w:rFonts w:ascii="Arial" w:hAnsi="Arial"/>
                <w:b w:val="0"/>
                <w:sz w:val="11"/>
              </w:rPr>
              <w:t>Verify citation</w:t>
            </w:r>
          </w:p>
        </w:tc>
      </w:tr>
      <w:tr>
        <w:trPr>
          <w:cantSplit/>
        </w:trPr>
        <w:tc>
          <w:tcPr>
            <w:tcW w:type="dxa" w:w="2400"/>
            <w:vAlign w:val="top"/>
          </w:tcPr>
          <w:p>
            <w:pPr>
              <w:spacing w:after="0"/>
              <w:jc w:val="left"/>
            </w:pPr>
            <w:r>
              <w:rPr>
                <w:rFonts w:ascii="Arial" w:hAnsi="Arial"/>
                <w:b w:val="0"/>
                <w:sz w:val="11"/>
              </w:rPr>
              <w:t>IBM-WATSONX-GOVERNANCE-DOCS</w:t>
            </w:r>
          </w:p>
        </w:tc>
        <w:tc>
          <w:tcPr>
            <w:tcW w:type="dxa" w:w="2400"/>
            <w:vAlign w:val="top"/>
          </w:tcPr>
          <w:p>
            <w:pPr>
              <w:spacing w:after="0"/>
              <w:jc w:val="left"/>
            </w:pPr>
            <w:r>
              <w:rPr>
                <w:rFonts w:ascii="Arial" w:hAnsi="Arial"/>
                <w:b w:val="0"/>
                <w:sz w:val="11"/>
              </w:rPr>
              <w:t>IBM watsonx.governance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MICROSOFT-AZURE-AI-FOUNDRY-DOCS</w:t>
            </w:r>
          </w:p>
        </w:tc>
        <w:tc>
          <w:tcPr>
            <w:tcW w:type="dxa" w:w="2400"/>
            <w:vAlign w:val="top"/>
          </w:tcPr>
          <w:p>
            <w:pPr>
              <w:spacing w:after="0"/>
              <w:jc w:val="left"/>
            </w:pPr>
            <w:r>
              <w:rPr>
                <w:rFonts w:ascii="Arial" w:hAnsi="Arial"/>
                <w:b w:val="0"/>
                <w:sz w:val="11"/>
              </w:rPr>
              <w:t>Microsoft Azure AI Foundry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MICROSOFT-RESPONSIBLE-AI-DOCS</w:t>
            </w:r>
          </w:p>
        </w:tc>
        <w:tc>
          <w:tcPr>
            <w:tcW w:type="dxa" w:w="2400"/>
            <w:vAlign w:val="top"/>
          </w:tcPr>
          <w:p>
            <w:pPr>
              <w:spacing w:after="0"/>
              <w:jc w:val="left"/>
            </w:pPr>
            <w:r>
              <w:rPr>
                <w:rFonts w:ascii="Arial" w:hAnsi="Arial"/>
                <w:b w:val="0"/>
                <w:sz w:val="11"/>
              </w:rPr>
              <w:t>Microsoft Responsible AI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AWS-BEDROCK-DOCS</w:t>
            </w:r>
          </w:p>
        </w:tc>
        <w:tc>
          <w:tcPr>
            <w:tcW w:type="dxa" w:w="2400"/>
            <w:vAlign w:val="top"/>
          </w:tcPr>
          <w:p>
            <w:pPr>
              <w:spacing w:after="0"/>
              <w:jc w:val="left"/>
            </w:pPr>
            <w:r>
              <w:rPr>
                <w:rFonts w:ascii="Arial" w:hAnsi="Arial"/>
                <w:b w:val="0"/>
                <w:sz w:val="11"/>
              </w:rPr>
              <w:t>AWS Bedrock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AWS-BEDROCK-GUARDRAILS-DOCS</w:t>
            </w:r>
          </w:p>
        </w:tc>
        <w:tc>
          <w:tcPr>
            <w:tcW w:type="dxa" w:w="2400"/>
            <w:vAlign w:val="top"/>
          </w:tcPr>
          <w:p>
            <w:pPr>
              <w:spacing w:after="0"/>
              <w:jc w:val="left"/>
            </w:pPr>
            <w:r>
              <w:rPr>
                <w:rFonts w:ascii="Arial" w:hAnsi="Arial"/>
                <w:b w:val="0"/>
                <w:sz w:val="11"/>
              </w:rPr>
              <w:t>AWS Bedrock Guardrails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AWS-AGENTCORE-DOCS</w:t>
            </w:r>
          </w:p>
        </w:tc>
        <w:tc>
          <w:tcPr>
            <w:tcW w:type="dxa" w:w="2400"/>
            <w:vAlign w:val="top"/>
          </w:tcPr>
          <w:p>
            <w:pPr>
              <w:spacing w:after="0"/>
              <w:jc w:val="left"/>
            </w:pPr>
            <w:r>
              <w:rPr>
                <w:rFonts w:ascii="Arial" w:hAnsi="Arial"/>
                <w:b w:val="0"/>
                <w:sz w:val="11"/>
              </w:rPr>
              <w:t>AWS AgentCore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GOOGLE-VERTEX-AI-DOCS</w:t>
            </w:r>
          </w:p>
        </w:tc>
        <w:tc>
          <w:tcPr>
            <w:tcW w:type="dxa" w:w="2400"/>
            <w:vAlign w:val="top"/>
          </w:tcPr>
          <w:p>
            <w:pPr>
              <w:spacing w:after="0"/>
              <w:jc w:val="left"/>
            </w:pPr>
            <w:r>
              <w:rPr>
                <w:rFonts w:ascii="Arial" w:hAnsi="Arial"/>
                <w:b w:val="0"/>
                <w:sz w:val="11"/>
              </w:rPr>
              <w:t>Google Vertex AI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GOOGLE-ADK-DOCS</w:t>
            </w:r>
          </w:p>
        </w:tc>
        <w:tc>
          <w:tcPr>
            <w:tcW w:type="dxa" w:w="2400"/>
            <w:vAlign w:val="top"/>
          </w:tcPr>
          <w:p>
            <w:pPr>
              <w:spacing w:after="0"/>
              <w:jc w:val="left"/>
            </w:pPr>
            <w:r>
              <w:rPr>
                <w:rFonts w:ascii="Arial" w:hAnsi="Arial"/>
                <w:b w:val="0"/>
                <w:sz w:val="11"/>
              </w:rPr>
              <w:t>Google ADK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GOOGLE-MODEL-ARMOR-DOCS</w:t>
            </w:r>
          </w:p>
        </w:tc>
        <w:tc>
          <w:tcPr>
            <w:tcW w:type="dxa" w:w="2400"/>
            <w:vAlign w:val="top"/>
          </w:tcPr>
          <w:p>
            <w:pPr>
              <w:spacing w:after="0"/>
              <w:jc w:val="left"/>
            </w:pPr>
            <w:r>
              <w:rPr>
                <w:rFonts w:ascii="Arial" w:hAnsi="Arial"/>
                <w:b w:val="0"/>
                <w:sz w:val="11"/>
              </w:rPr>
              <w:t>Google Model Armor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LANGGRAPH-DOCS</w:t>
            </w:r>
          </w:p>
        </w:tc>
        <w:tc>
          <w:tcPr>
            <w:tcW w:type="dxa" w:w="2400"/>
            <w:vAlign w:val="top"/>
          </w:tcPr>
          <w:p>
            <w:pPr>
              <w:spacing w:after="0"/>
              <w:jc w:val="left"/>
            </w:pPr>
            <w:r>
              <w:rPr>
                <w:rFonts w:ascii="Arial" w:hAnsi="Arial"/>
                <w:b w:val="0"/>
                <w:sz w:val="11"/>
              </w:rPr>
              <w:t>LangGraph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LANGSMITH-DOCS</w:t>
            </w:r>
          </w:p>
        </w:tc>
        <w:tc>
          <w:tcPr>
            <w:tcW w:type="dxa" w:w="2400"/>
            <w:vAlign w:val="top"/>
          </w:tcPr>
          <w:p>
            <w:pPr>
              <w:spacing w:after="0"/>
              <w:jc w:val="left"/>
            </w:pPr>
            <w:r>
              <w:rPr>
                <w:rFonts w:ascii="Arial" w:hAnsi="Arial"/>
                <w:b w:val="0"/>
                <w:sz w:val="11"/>
              </w:rPr>
              <w:t>LangSmith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OPENAI-AGENTS-SDK-DOCS</w:t>
            </w:r>
          </w:p>
        </w:tc>
        <w:tc>
          <w:tcPr>
            <w:tcW w:type="dxa" w:w="2400"/>
            <w:vAlign w:val="top"/>
          </w:tcPr>
          <w:p>
            <w:pPr>
              <w:spacing w:after="0"/>
              <w:jc w:val="left"/>
            </w:pPr>
            <w:r>
              <w:rPr>
                <w:rFonts w:ascii="Arial" w:hAnsi="Arial"/>
                <w:b w:val="0"/>
                <w:sz w:val="11"/>
              </w:rPr>
              <w:t>OpenAI Agents SDK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OPENAI-TOOLS-DOCS</w:t>
            </w:r>
          </w:p>
        </w:tc>
        <w:tc>
          <w:tcPr>
            <w:tcW w:type="dxa" w:w="2400"/>
            <w:vAlign w:val="top"/>
          </w:tcPr>
          <w:p>
            <w:pPr>
              <w:spacing w:after="0"/>
              <w:jc w:val="left"/>
            </w:pPr>
            <w:r>
              <w:rPr>
                <w:rFonts w:ascii="Arial" w:hAnsi="Arial"/>
                <w:b w:val="0"/>
                <w:sz w:val="11"/>
              </w:rPr>
              <w:t>OpenAI Tools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CREWAI-DOCS</w:t>
            </w:r>
          </w:p>
        </w:tc>
        <w:tc>
          <w:tcPr>
            <w:tcW w:type="dxa" w:w="2400"/>
            <w:vAlign w:val="top"/>
          </w:tcPr>
          <w:p>
            <w:pPr>
              <w:spacing w:after="0"/>
              <w:jc w:val="left"/>
            </w:pPr>
            <w:r>
              <w:rPr>
                <w:rFonts w:ascii="Arial" w:hAnsi="Arial"/>
                <w:b w:val="0"/>
                <w:sz w:val="11"/>
              </w:rPr>
              <w:t>CrewAI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CREWAI-GITHUB</w:t>
            </w:r>
          </w:p>
        </w:tc>
        <w:tc>
          <w:tcPr>
            <w:tcW w:type="dxa" w:w="2400"/>
            <w:vAlign w:val="top"/>
          </w:tcPr>
          <w:p>
            <w:pPr>
              <w:spacing w:after="0"/>
              <w:jc w:val="left"/>
            </w:pPr>
            <w:r>
              <w:rPr>
                <w:rFonts w:ascii="Arial" w:hAnsi="Arial"/>
                <w:b w:val="0"/>
                <w:sz w:val="11"/>
              </w:rPr>
              <w:t>CrewAI GitHub</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12</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MPLP-DOCS</w:t>
            </w:r>
          </w:p>
        </w:tc>
        <w:tc>
          <w:tcPr>
            <w:tcW w:type="dxa" w:w="2400"/>
            <w:vAlign w:val="top"/>
          </w:tcPr>
          <w:p>
            <w:pPr>
              <w:spacing w:after="0"/>
              <w:jc w:val="left"/>
            </w:pPr>
            <w:r>
              <w:rPr>
                <w:rFonts w:ascii="Arial" w:hAnsi="Arial"/>
                <w:b w:val="0"/>
                <w:sz w:val="11"/>
              </w:rPr>
              <w:t>MPLP Docs</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Chapters 12, 13</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MPLP-SPEC</w:t>
            </w:r>
          </w:p>
        </w:tc>
        <w:tc>
          <w:tcPr>
            <w:tcW w:type="dxa" w:w="2400"/>
            <w:vAlign w:val="top"/>
          </w:tcPr>
          <w:p>
            <w:pPr>
              <w:spacing w:after="0"/>
              <w:jc w:val="left"/>
            </w:pPr>
            <w:r>
              <w:rPr>
                <w:rFonts w:ascii="Arial" w:hAnsi="Arial"/>
                <w:b w:val="0"/>
                <w:sz w:val="11"/>
              </w:rPr>
              <w:t>MPLP Spec</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13</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VALIDATION-LAB-METHODOLOGY</w:t>
            </w:r>
          </w:p>
        </w:tc>
        <w:tc>
          <w:tcPr>
            <w:tcW w:type="dxa" w:w="2400"/>
            <w:vAlign w:val="top"/>
          </w:tcPr>
          <w:p>
            <w:pPr>
              <w:spacing w:after="0"/>
              <w:jc w:val="left"/>
            </w:pPr>
            <w:r>
              <w:rPr>
                <w:rFonts w:ascii="Arial" w:hAnsi="Arial"/>
                <w:b w:val="0"/>
                <w:sz w:val="11"/>
              </w:rPr>
              <w:t>Validation Lab Methodology</w:t>
            </w:r>
          </w:p>
        </w:tc>
        <w:tc>
          <w:tcPr>
            <w:tcW w:type="dxa" w:w="2400"/>
            <w:vAlign w:val="top"/>
          </w:tcPr>
          <w:p>
            <w:pPr>
              <w:spacing w:after="0"/>
              <w:jc w:val="left"/>
            </w:pPr>
            <w:r>
              <w:rPr>
                <w:rFonts w:ascii="Arial" w:hAnsi="Arial"/>
                <w:b w:val="0"/>
                <w:sz w:val="11"/>
              </w:rPr>
              <w:t>L2</w:t>
            </w:r>
          </w:p>
        </w:tc>
        <w:tc>
          <w:tcPr>
            <w:tcW w:type="dxa" w:w="2400"/>
            <w:vAlign w:val="top"/>
          </w:tcPr>
          <w:p>
            <w:pPr>
              <w:spacing w:after="0"/>
              <w:jc w:val="left"/>
            </w:pPr>
            <w:r>
              <w:rPr>
                <w:rFonts w:ascii="Arial" w:hAnsi="Arial"/>
                <w:b w:val="0"/>
                <w:sz w:val="11"/>
              </w:rPr>
              <w:t>Chapter 14</w:t>
            </w:r>
          </w:p>
        </w:tc>
        <w:tc>
          <w:tcPr>
            <w:tcW w:type="dxa" w:w="2400"/>
            <w:vAlign w:val="top"/>
          </w:tcPr>
          <w:p>
            <w:pPr>
              <w:spacing w:after="0"/>
              <w:jc w:val="left"/>
            </w:pPr>
            <w:r>
              <w:rPr>
                <w:rFonts w:ascii="Arial" w:hAnsi="Arial"/>
                <w:b w:val="0"/>
                <w:sz w:val="11"/>
              </w:rPr>
              <w:t>⏸️ Placeholder</w:t>
            </w:r>
          </w:p>
        </w:tc>
        <w:tc>
          <w:tcPr>
            <w:tcW w:type="dxa" w:w="2400"/>
            <w:vAlign w:val="top"/>
          </w:tcPr>
          <w:p>
            <w:pPr>
              <w:spacing w:after="0"/>
              <w:jc w:val="left"/>
            </w:pPr>
            <w:r>
              <w:rPr>
                <w:rFonts w:ascii="Arial" w:hAnsi="Arial"/>
                <w:b w:val="0"/>
                <w:sz w:val="11"/>
              </w:rPr>
              <w:t>Validate URL and publication details</w:t>
            </w:r>
          </w:p>
        </w:tc>
      </w:tr>
      <w:tr>
        <w:trPr>
          <w:cantSplit/>
        </w:trPr>
        <w:tc>
          <w:tcPr>
            <w:tcW w:type="dxa" w:w="2400"/>
            <w:vAlign w:val="top"/>
          </w:tcPr>
          <w:p>
            <w:pPr>
              <w:spacing w:after="0"/>
              <w:jc w:val="left"/>
            </w:pPr>
            <w:r>
              <w:rPr>
                <w:rFonts w:ascii="Arial" w:hAnsi="Arial"/>
                <w:b w:val="0"/>
                <w:sz w:val="11"/>
              </w:rPr>
              <w:t>AUTHOR-INFERENCE-MRO</w:t>
            </w:r>
          </w:p>
        </w:tc>
        <w:tc>
          <w:tcPr>
            <w:tcW w:type="dxa" w:w="2400"/>
            <w:vAlign w:val="top"/>
          </w:tcPr>
          <w:p>
            <w:pPr>
              <w:spacing w:after="0"/>
              <w:jc w:val="left"/>
            </w:pPr>
            <w:r>
              <w:rPr>
                <w:rFonts w:ascii="Arial" w:hAnsi="Arial"/>
                <w:b w:val="0"/>
                <w:sz w:val="11"/>
              </w:rPr>
              <w:t>Sixteen MROs (Author Inference)</w:t>
            </w:r>
          </w:p>
        </w:tc>
        <w:tc>
          <w:tcPr>
            <w:tcW w:type="dxa" w:w="2400"/>
            <w:vAlign w:val="top"/>
          </w:tcPr>
          <w:p>
            <w:pPr>
              <w:spacing w:after="0"/>
              <w:jc w:val="left"/>
            </w:pPr>
            <w:r>
              <w:rPr>
                <w:rFonts w:ascii="Arial" w:hAnsi="Arial"/>
                <w:b w:val="0"/>
                <w:sz w:val="11"/>
              </w:rPr>
              <w:t>L5</w:t>
            </w:r>
          </w:p>
        </w:tc>
        <w:tc>
          <w:tcPr>
            <w:tcW w:type="dxa" w:w="2400"/>
            <w:vAlign w:val="top"/>
          </w:tcPr>
          <w:p>
            <w:pPr>
              <w:spacing w:after="0"/>
              <w:jc w:val="left"/>
            </w:pPr>
            <w:r>
              <w:rPr>
                <w:rFonts w:ascii="Arial" w:hAnsi="Arial"/>
                <w:b w:val="0"/>
                <w:sz w:val="11"/>
              </w:rPr>
              <w:t>Chapter 6</w:t>
            </w:r>
          </w:p>
        </w:tc>
        <w:tc>
          <w:tcPr>
            <w:tcW w:type="dxa" w:w="2400"/>
            <w:vAlign w:val="top"/>
          </w:tcPr>
          <w:p>
            <w:pPr>
              <w:spacing w:after="0"/>
              <w:jc w:val="left"/>
            </w:pPr>
            <w:r>
              <w:rPr>
                <w:rFonts w:ascii="Arial" w:hAnsi="Arial"/>
                <w:b w:val="0"/>
                <w:sz w:val="11"/>
              </w:rPr>
              <w:t>✓ Marked as L5</w:t>
            </w:r>
          </w:p>
        </w:tc>
        <w:tc>
          <w:tcPr>
            <w:tcW w:type="dxa" w:w="2400"/>
            <w:vAlign w:val="top"/>
          </w:tcPr>
          <w:p>
            <w:pPr>
              <w:spacing w:after="0"/>
              <w:jc w:val="left"/>
            </w:pPr>
            <w:r>
              <w:rPr>
                <w:rFonts w:ascii="Arial" w:hAnsi="Arial"/>
                <w:b w:val="0"/>
                <w:sz w:val="11"/>
              </w:rPr>
              <w:t>Verify L5 marking in text</w:t>
            </w:r>
          </w:p>
        </w:tc>
      </w:tr>
      <w:tr>
        <w:trPr>
          <w:cantSplit/>
        </w:trPr>
        <w:tc>
          <w:tcPr>
            <w:tcW w:type="dxa" w:w="2400"/>
            <w:vAlign w:val="top"/>
          </w:tcPr>
          <w:p>
            <w:pPr>
              <w:spacing w:after="0"/>
              <w:jc w:val="left"/>
            </w:pPr>
            <w:r>
              <w:rPr>
                <w:rFonts w:ascii="Arial" w:hAnsi="Arial"/>
                <w:b w:val="0"/>
                <w:sz w:val="11"/>
              </w:rPr>
              <w:t>AUTHOR-INFERENCE-RCCS</w:t>
            </w:r>
          </w:p>
        </w:tc>
        <w:tc>
          <w:tcPr>
            <w:tcW w:type="dxa" w:w="2400"/>
            <w:vAlign w:val="top"/>
          </w:tcPr>
          <w:p>
            <w:pPr>
              <w:spacing w:after="0"/>
              <w:jc w:val="left"/>
            </w:pPr>
            <w:r>
              <w:rPr>
                <w:rFonts w:ascii="Arial" w:hAnsi="Arial"/>
                <w:b w:val="0"/>
                <w:sz w:val="11"/>
              </w:rPr>
              <w:t>RCCS (Author Inference)</w:t>
            </w:r>
          </w:p>
        </w:tc>
        <w:tc>
          <w:tcPr>
            <w:tcW w:type="dxa" w:w="2400"/>
            <w:vAlign w:val="top"/>
          </w:tcPr>
          <w:p>
            <w:pPr>
              <w:spacing w:after="0"/>
              <w:jc w:val="left"/>
            </w:pPr>
            <w:r>
              <w:rPr>
                <w:rFonts w:ascii="Arial" w:hAnsi="Arial"/>
                <w:b w:val="0"/>
                <w:sz w:val="11"/>
              </w:rPr>
              <w:t>L5</w:t>
            </w:r>
          </w:p>
        </w:tc>
        <w:tc>
          <w:tcPr>
            <w:tcW w:type="dxa" w:w="2400"/>
            <w:vAlign w:val="top"/>
          </w:tcPr>
          <w:p>
            <w:pPr>
              <w:spacing w:after="0"/>
              <w:jc w:val="left"/>
            </w:pPr>
            <w:r>
              <w:rPr>
                <w:rFonts w:ascii="Arial" w:hAnsi="Arial"/>
                <w:b w:val="0"/>
                <w:sz w:val="11"/>
              </w:rPr>
              <w:t>Chapter 7</w:t>
            </w:r>
          </w:p>
        </w:tc>
        <w:tc>
          <w:tcPr>
            <w:tcW w:type="dxa" w:w="2400"/>
            <w:vAlign w:val="top"/>
          </w:tcPr>
          <w:p>
            <w:pPr>
              <w:spacing w:after="0"/>
              <w:jc w:val="left"/>
            </w:pPr>
            <w:r>
              <w:rPr>
                <w:rFonts w:ascii="Arial" w:hAnsi="Arial"/>
                <w:b w:val="0"/>
                <w:sz w:val="11"/>
              </w:rPr>
              <w:t>✓ Marked as L5</w:t>
            </w:r>
          </w:p>
        </w:tc>
        <w:tc>
          <w:tcPr>
            <w:tcW w:type="dxa" w:w="2400"/>
            <w:vAlign w:val="top"/>
          </w:tcPr>
          <w:p>
            <w:pPr>
              <w:spacing w:after="0"/>
              <w:jc w:val="left"/>
            </w:pPr>
            <w:r>
              <w:rPr>
                <w:rFonts w:ascii="Arial" w:hAnsi="Arial"/>
                <w:b w:val="0"/>
                <w:sz w:val="11"/>
              </w:rPr>
              <w:t>Verify L5 marking in text</w:t>
            </w:r>
          </w:p>
        </w:tc>
      </w:tr>
      <w:tr>
        <w:trPr>
          <w:cantSplit/>
        </w:trPr>
        <w:tc>
          <w:tcPr>
            <w:tcW w:type="dxa" w:w="2400"/>
            <w:vAlign w:val="top"/>
          </w:tcPr>
          <w:p>
            <w:pPr>
              <w:spacing w:after="0"/>
              <w:jc w:val="left"/>
            </w:pPr>
            <w:r>
              <w:rPr>
                <w:rFonts w:ascii="Arial" w:hAnsi="Arial"/>
                <w:b w:val="0"/>
                <w:sz w:val="11"/>
              </w:rPr>
              <w:t>AUTHOR-INFERENCE-ALCS</w:t>
            </w:r>
          </w:p>
        </w:tc>
        <w:tc>
          <w:tcPr>
            <w:tcW w:type="dxa" w:w="2400"/>
            <w:vAlign w:val="top"/>
          </w:tcPr>
          <w:p>
            <w:pPr>
              <w:spacing w:after="0"/>
              <w:jc w:val="left"/>
            </w:pPr>
            <w:r>
              <w:rPr>
                <w:rFonts w:ascii="Arial" w:hAnsi="Arial"/>
                <w:b w:val="0"/>
                <w:sz w:val="11"/>
              </w:rPr>
              <w:t>ALCS (Author Inference)</w:t>
            </w:r>
          </w:p>
        </w:tc>
        <w:tc>
          <w:tcPr>
            <w:tcW w:type="dxa" w:w="2400"/>
            <w:vAlign w:val="top"/>
          </w:tcPr>
          <w:p>
            <w:pPr>
              <w:spacing w:after="0"/>
              <w:jc w:val="left"/>
            </w:pPr>
            <w:r>
              <w:rPr>
                <w:rFonts w:ascii="Arial" w:hAnsi="Arial"/>
                <w:b w:val="0"/>
                <w:sz w:val="11"/>
              </w:rPr>
              <w:t>L5</w:t>
            </w:r>
          </w:p>
        </w:tc>
        <w:tc>
          <w:tcPr>
            <w:tcW w:type="dxa" w:w="2400"/>
            <w:vAlign w:val="top"/>
          </w:tcPr>
          <w:p>
            <w:pPr>
              <w:spacing w:after="0"/>
              <w:jc w:val="left"/>
            </w:pPr>
            <w:r>
              <w:rPr>
                <w:rFonts w:ascii="Arial" w:hAnsi="Arial"/>
                <w:b w:val="0"/>
                <w:sz w:val="11"/>
              </w:rPr>
              <w:t>Chapter 8</w:t>
            </w:r>
          </w:p>
        </w:tc>
        <w:tc>
          <w:tcPr>
            <w:tcW w:type="dxa" w:w="2400"/>
            <w:vAlign w:val="top"/>
          </w:tcPr>
          <w:p>
            <w:pPr>
              <w:spacing w:after="0"/>
              <w:jc w:val="left"/>
            </w:pPr>
            <w:r>
              <w:rPr>
                <w:rFonts w:ascii="Arial" w:hAnsi="Arial"/>
                <w:b w:val="0"/>
                <w:sz w:val="11"/>
              </w:rPr>
              <w:t>✓ Marked as L5</w:t>
            </w:r>
          </w:p>
        </w:tc>
        <w:tc>
          <w:tcPr>
            <w:tcW w:type="dxa" w:w="2400"/>
            <w:vAlign w:val="top"/>
          </w:tcPr>
          <w:p>
            <w:pPr>
              <w:spacing w:after="0"/>
              <w:jc w:val="left"/>
            </w:pPr>
            <w:r>
              <w:rPr>
                <w:rFonts w:ascii="Arial" w:hAnsi="Arial"/>
                <w:b w:val="0"/>
                <w:sz w:val="11"/>
              </w:rPr>
              <w:t>Verify L5 marking in text</w:t>
            </w:r>
          </w:p>
        </w:tc>
      </w:tr>
      <w:tr>
        <w:trPr>
          <w:cantSplit/>
        </w:trPr>
        <w:tc>
          <w:tcPr>
            <w:tcW w:type="dxa" w:w="2400"/>
            <w:vAlign w:val="top"/>
          </w:tcPr>
          <w:p>
            <w:pPr>
              <w:spacing w:after="0"/>
              <w:jc w:val="left"/>
            </w:pPr>
            <w:r>
              <w:rPr>
                <w:rFonts w:ascii="Arial" w:hAnsi="Arial"/>
                <w:b w:val="0"/>
                <w:sz w:val="11"/>
              </w:rPr>
              <w:t>AUTHOR-INFERENCE-COMPOSITE</w:t>
            </w:r>
          </w:p>
        </w:tc>
        <w:tc>
          <w:tcPr>
            <w:tcW w:type="dxa" w:w="2400"/>
            <w:vAlign w:val="top"/>
          </w:tcPr>
          <w:p>
            <w:pPr>
              <w:spacing w:after="0"/>
              <w:jc w:val="left"/>
            </w:pPr>
            <w:r>
              <w:rPr>
                <w:rFonts w:ascii="Arial" w:hAnsi="Arial"/>
                <w:b w:val="0"/>
                <w:sz w:val="11"/>
              </w:rPr>
              <w:t>Composite Scoring (Author Inference)</w:t>
            </w:r>
          </w:p>
        </w:tc>
        <w:tc>
          <w:tcPr>
            <w:tcW w:type="dxa" w:w="2400"/>
            <w:vAlign w:val="top"/>
          </w:tcPr>
          <w:p>
            <w:pPr>
              <w:spacing w:after="0"/>
              <w:jc w:val="left"/>
            </w:pPr>
            <w:r>
              <w:rPr>
                <w:rFonts w:ascii="Arial" w:hAnsi="Arial"/>
                <w:b w:val="0"/>
                <w:sz w:val="11"/>
              </w:rPr>
              <w:t>L5</w:t>
            </w:r>
          </w:p>
        </w:tc>
        <w:tc>
          <w:tcPr>
            <w:tcW w:type="dxa" w:w="2400"/>
            <w:vAlign w:val="top"/>
          </w:tcPr>
          <w:p>
            <w:pPr>
              <w:spacing w:after="0"/>
              <w:jc w:val="left"/>
            </w:pPr>
            <w:r>
              <w:rPr>
                <w:rFonts w:ascii="Arial" w:hAnsi="Arial"/>
                <w:b w:val="0"/>
                <w:sz w:val="11"/>
              </w:rPr>
              <w:t>Chapter 9</w:t>
            </w:r>
          </w:p>
        </w:tc>
        <w:tc>
          <w:tcPr>
            <w:tcW w:type="dxa" w:w="2400"/>
            <w:vAlign w:val="top"/>
          </w:tcPr>
          <w:p>
            <w:pPr>
              <w:spacing w:after="0"/>
              <w:jc w:val="left"/>
            </w:pPr>
            <w:r>
              <w:rPr>
                <w:rFonts w:ascii="Arial" w:hAnsi="Arial"/>
                <w:b w:val="0"/>
                <w:sz w:val="11"/>
              </w:rPr>
              <w:t>✓ Marked as L5</w:t>
            </w:r>
          </w:p>
        </w:tc>
        <w:tc>
          <w:tcPr>
            <w:tcW w:type="dxa" w:w="2400"/>
            <w:vAlign w:val="top"/>
          </w:tcPr>
          <w:p>
            <w:pPr>
              <w:spacing w:after="0"/>
              <w:jc w:val="left"/>
            </w:pPr>
            <w:r>
              <w:rPr>
                <w:rFonts w:ascii="Arial" w:hAnsi="Arial"/>
                <w:b w:val="0"/>
                <w:sz w:val="11"/>
              </w:rPr>
              <w:t>Verify L5 marking in text</w:t>
            </w:r>
          </w:p>
        </w:tc>
      </w:tr>
      <w:tr>
        <w:trPr>
          <w:cantSplit/>
        </w:trPr>
        <w:tc>
          <w:tcPr>
            <w:tcW w:type="dxa" w:w="2400"/>
            <w:vAlign w:val="top"/>
          </w:tcPr>
          <w:p>
            <w:pPr>
              <w:spacing w:after="0"/>
              <w:jc w:val="left"/>
            </w:pPr>
            <w:r>
              <w:rPr>
                <w:rFonts w:ascii="Arial" w:hAnsi="Arial"/>
                <w:b w:val="0"/>
                <w:sz w:val="11"/>
              </w:rPr>
              <w:t>AUTHOR-INFERENCE-SYSTEM-MAPPING</w:t>
            </w:r>
          </w:p>
        </w:tc>
        <w:tc>
          <w:tcPr>
            <w:tcW w:type="dxa" w:w="2400"/>
            <w:vAlign w:val="top"/>
          </w:tcPr>
          <w:p>
            <w:pPr>
              <w:spacing w:after="0"/>
              <w:jc w:val="left"/>
            </w:pPr>
            <w:r>
              <w:rPr>
                <w:rFonts w:ascii="Arial" w:hAnsi="Arial"/>
                <w:b w:val="0"/>
                <w:sz w:val="11"/>
              </w:rPr>
              <w:t>System Mapping (Author Inference)</w:t>
            </w:r>
          </w:p>
        </w:tc>
        <w:tc>
          <w:tcPr>
            <w:tcW w:type="dxa" w:w="2400"/>
            <w:vAlign w:val="top"/>
          </w:tcPr>
          <w:p>
            <w:pPr>
              <w:spacing w:after="0"/>
              <w:jc w:val="left"/>
            </w:pPr>
            <w:r>
              <w:rPr>
                <w:rFonts w:ascii="Arial" w:hAnsi="Arial"/>
                <w:b w:val="0"/>
                <w:sz w:val="11"/>
              </w:rPr>
              <w:t>L5</w:t>
            </w:r>
          </w:p>
        </w:tc>
        <w:tc>
          <w:tcPr>
            <w:tcW w:type="dxa" w:w="2400"/>
            <w:vAlign w:val="top"/>
          </w:tcPr>
          <w:p>
            <w:pPr>
              <w:spacing w:after="0"/>
              <w:jc w:val="left"/>
            </w:pPr>
            <w:r>
              <w:rPr>
                <w:rFonts w:ascii="Arial" w:hAnsi="Arial"/>
                <w:b w:val="0"/>
                <w:sz w:val="11"/>
              </w:rPr>
              <w:t>Chapters 11, 12</w:t>
            </w:r>
          </w:p>
        </w:tc>
        <w:tc>
          <w:tcPr>
            <w:tcW w:type="dxa" w:w="2400"/>
            <w:vAlign w:val="top"/>
          </w:tcPr>
          <w:p>
            <w:pPr>
              <w:spacing w:after="0"/>
              <w:jc w:val="left"/>
            </w:pPr>
            <w:r>
              <w:rPr>
                <w:rFonts w:ascii="Arial" w:hAnsi="Arial"/>
                <w:b w:val="0"/>
                <w:sz w:val="11"/>
              </w:rPr>
              <w:t>✓ Marked as L5</w:t>
            </w:r>
          </w:p>
        </w:tc>
        <w:tc>
          <w:tcPr>
            <w:tcW w:type="dxa" w:w="2400"/>
            <w:vAlign w:val="top"/>
          </w:tcPr>
          <w:p>
            <w:pPr>
              <w:spacing w:after="0"/>
              <w:jc w:val="left"/>
            </w:pPr>
            <w:r>
              <w:rPr>
                <w:rFonts w:ascii="Arial" w:hAnsi="Arial"/>
                <w:b w:val="0"/>
                <w:sz w:val="11"/>
              </w:rPr>
              <w:t>Verify L5 marking in text</w:t>
            </w:r>
          </w:p>
        </w:tc>
      </w:tr>
      <w:tr>
        <w:trPr>
          <w:cantSplit/>
        </w:trPr>
        <w:tc>
          <w:tcPr>
            <w:tcW w:type="dxa" w:w="2400"/>
            <w:vAlign w:val="top"/>
          </w:tcPr>
          <w:p>
            <w:pPr>
              <w:spacing w:after="0"/>
              <w:jc w:val="left"/>
            </w:pPr>
            <w:r>
              <w:rPr>
                <w:rFonts w:ascii="Arial" w:hAnsi="Arial"/>
                <w:b w:val="0"/>
                <w:sz w:val="11"/>
              </w:rPr>
              <w:t>AUTHOR-INFERENCE-FAILURE-SCENARIOS</w:t>
            </w:r>
          </w:p>
        </w:tc>
        <w:tc>
          <w:tcPr>
            <w:tcW w:type="dxa" w:w="2400"/>
            <w:vAlign w:val="top"/>
          </w:tcPr>
          <w:p>
            <w:pPr>
              <w:spacing w:after="0"/>
              <w:jc w:val="left"/>
            </w:pPr>
            <w:r>
              <w:rPr>
                <w:rFonts w:ascii="Arial" w:hAnsi="Arial"/>
                <w:b w:val="0"/>
                <w:sz w:val="11"/>
              </w:rPr>
              <w:t>Failure Scenarios (Author Inference)</w:t>
            </w:r>
          </w:p>
        </w:tc>
        <w:tc>
          <w:tcPr>
            <w:tcW w:type="dxa" w:w="2400"/>
            <w:vAlign w:val="top"/>
          </w:tcPr>
          <w:p>
            <w:pPr>
              <w:spacing w:after="0"/>
              <w:jc w:val="left"/>
            </w:pPr>
            <w:r>
              <w:rPr>
                <w:rFonts w:ascii="Arial" w:hAnsi="Arial"/>
                <w:b w:val="0"/>
                <w:sz w:val="11"/>
              </w:rPr>
              <w:t>L5</w:t>
            </w:r>
          </w:p>
        </w:tc>
        <w:tc>
          <w:tcPr>
            <w:tcW w:type="dxa" w:w="2400"/>
            <w:vAlign w:val="top"/>
          </w:tcPr>
          <w:p>
            <w:pPr>
              <w:spacing w:after="0"/>
              <w:jc w:val="left"/>
            </w:pPr>
            <w:r>
              <w:rPr>
                <w:rFonts w:ascii="Arial" w:hAnsi="Arial"/>
                <w:b w:val="0"/>
                <w:sz w:val="11"/>
              </w:rPr>
              <w:t>Chapter 15</w:t>
            </w:r>
          </w:p>
        </w:tc>
        <w:tc>
          <w:tcPr>
            <w:tcW w:type="dxa" w:w="2400"/>
            <w:vAlign w:val="top"/>
          </w:tcPr>
          <w:p>
            <w:pPr>
              <w:spacing w:after="0"/>
              <w:jc w:val="left"/>
            </w:pPr>
            <w:r>
              <w:rPr>
                <w:rFonts w:ascii="Arial" w:hAnsi="Arial"/>
                <w:b w:val="0"/>
                <w:sz w:val="11"/>
              </w:rPr>
              <w:t>✓ Marked as L5</w:t>
            </w:r>
          </w:p>
        </w:tc>
        <w:tc>
          <w:tcPr>
            <w:tcW w:type="dxa" w:w="2400"/>
            <w:vAlign w:val="top"/>
          </w:tcPr>
          <w:p>
            <w:pPr>
              <w:spacing w:after="0"/>
              <w:jc w:val="left"/>
            </w:pPr>
            <w:r>
              <w:rPr>
                <w:rFonts w:ascii="Arial" w:hAnsi="Arial"/>
                <w:b w:val="0"/>
                <w:sz w:val="11"/>
              </w:rPr>
              <w:t>Verify L5 marking in text</w:t>
            </w:r>
          </w:p>
        </w:tc>
      </w:tr>
    </w:tbl>
    <w:p>
      <w:pPr>
        <w:sectPr>
          <w:pgSz w:w="15840" w:h="12240" w:orient="landscape"/>
          <w:pgMar w:top="792" w:right="648" w:bottom="792" w:left="648" w:header="720" w:footer="720" w:gutter="0"/>
          <w:cols w:space="720"/>
          <w:docGrid w:linePitch="360"/>
        </w:sectPr>
      </w:pPr>
    </w:p>
    <w:p/>
    <w:p/>
    <w:p>
      <w:pPr>
        <w:pStyle w:val="Heading2"/>
      </w:pPr>
      <w:r>
        <w:t>C.4 Citation Revalidation Queue</w:t>
      </w:r>
    </w:p>
    <w:p/>
    <w:p>
      <w:r>
        <w:t>The following table lists sources requiring final page-level citation pinning or retained boundary notes after Phase 1C follow-up.</w:t>
      </w:r>
    </w:p>
    <w:p/>
    <w:p>
      <w:pPr>
        <w:keepNext/>
      </w:pPr>
      <w:r>
        <w:rPr>
          <w:b/>
          <w:sz w:val="17"/>
        </w:rPr>
        <w:t>Table T-C-03: Citation Revalidation Queue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3"/>
              </w:rPr>
              <w:t>Source ID</w:t>
            </w:r>
          </w:p>
        </w:tc>
        <w:tc>
          <w:tcPr>
            <w:tcW w:type="dxa" w:w="2880"/>
            <w:vAlign w:val="top"/>
            <w:shd w:fill="D9EAF7"/>
          </w:tcPr>
          <w:p>
            <w:pPr>
              <w:spacing w:after="0"/>
              <w:jc w:val="left"/>
            </w:pPr>
            <w:r>
              <w:rPr>
                <w:rFonts w:ascii="Arial" w:hAnsi="Arial"/>
                <w:b/>
                <w:sz w:val="13"/>
              </w:rPr>
              <w:t>URL or Placeholder</w:t>
            </w:r>
          </w:p>
        </w:tc>
        <w:tc>
          <w:tcPr>
            <w:tcW w:type="dxa" w:w="2880"/>
            <w:vAlign w:val="top"/>
            <w:shd w:fill="D9EAF7"/>
          </w:tcPr>
          <w:p>
            <w:pPr>
              <w:spacing w:after="0"/>
              <w:jc w:val="left"/>
            </w:pPr>
            <w:r>
              <w:rPr>
                <w:rFonts w:ascii="Arial" w:hAnsi="Arial"/>
                <w:b/>
                <w:sz w:val="13"/>
              </w:rPr>
              <w:t>Reason for Revalidation</w:t>
            </w:r>
          </w:p>
        </w:tc>
        <w:tc>
          <w:tcPr>
            <w:tcW w:type="dxa" w:w="2880"/>
            <w:vAlign w:val="top"/>
            <w:shd w:fill="D9EAF7"/>
          </w:tcPr>
          <w:p>
            <w:pPr>
              <w:spacing w:after="0"/>
              <w:jc w:val="left"/>
            </w:pPr>
            <w:r>
              <w:rPr>
                <w:rFonts w:ascii="Arial" w:hAnsi="Arial"/>
                <w:b/>
                <w:sz w:val="13"/>
              </w:rPr>
              <w:t>Priority</w:t>
            </w:r>
          </w:p>
        </w:tc>
        <w:tc>
          <w:tcPr>
            <w:tcW w:type="dxa" w:w="2880"/>
            <w:vAlign w:val="top"/>
            <w:shd w:fill="D9EAF7"/>
          </w:tcPr>
          <w:p>
            <w:pPr>
              <w:spacing w:after="0"/>
              <w:jc w:val="left"/>
            </w:pPr>
            <w:r>
              <w:rPr>
                <w:rFonts w:ascii="Arial" w:hAnsi="Arial"/>
                <w:b/>
                <w:sz w:val="13"/>
              </w:rPr>
              <w:t>Phase</w:t>
            </w:r>
          </w:p>
        </w:tc>
      </w:tr>
      <w:tr>
        <w:trPr>
          <w:cantSplit/>
        </w:trPr>
        <w:tc>
          <w:tcPr>
            <w:tcW w:type="dxa" w:w="2880"/>
            <w:vAlign w:val="top"/>
          </w:tcPr>
          <w:p>
            <w:pPr>
              <w:spacing w:after="0"/>
              <w:jc w:val="left"/>
            </w:pPr>
            <w:r>
              <w:rPr>
                <w:rFonts w:ascii="Arial" w:hAnsi="Arial"/>
                <w:b w:val="0"/>
                <w:sz w:val="13"/>
              </w:rPr>
              <w:t>IBM-WATSONX-GOVERNANCE-DOCS</w:t>
            </w:r>
          </w:p>
        </w:tc>
        <w:tc>
          <w:tcPr>
            <w:tcW w:type="dxa" w:w="2880"/>
            <w:vAlign w:val="top"/>
          </w:tcPr>
          <w:p>
            <w:pPr>
              <w:spacing w:after="0"/>
              <w:jc w:val="left"/>
            </w:pPr>
            <w:r>
              <w:rPr>
                <w:rFonts w:ascii="Arial" w:hAnsi="Arial"/>
                <w:b w:val="0"/>
                <w:sz w:val="13"/>
              </w:rPr>
              <w:t>https://www.ibm.com/products/watsonx-governance; https://www.ibm.com/docs/en/watsonx</w:t>
            </w:r>
          </w:p>
        </w:tc>
        <w:tc>
          <w:tcPr>
            <w:tcW w:type="dxa" w:w="2880"/>
            <w:vAlign w:val="top"/>
          </w:tcPr>
          <w:p>
            <w:pPr>
              <w:spacing w:after="0"/>
              <w:jc w:val="left"/>
            </w:pPr>
            <w:r>
              <w:rPr>
                <w:rFonts w:ascii="Arial" w:hAnsi="Arial"/>
                <w:b w:val="0"/>
                <w:sz w:val="13"/>
              </w:rPr>
              <w:t>Pin exact pages for specific governance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MICROSOFT-AZURE-AI-FOUNDRY-DOCS</w:t>
            </w:r>
          </w:p>
        </w:tc>
        <w:tc>
          <w:tcPr>
            <w:tcW w:type="dxa" w:w="2880"/>
            <w:vAlign w:val="top"/>
          </w:tcPr>
          <w:p>
            <w:pPr>
              <w:spacing w:after="0"/>
              <w:jc w:val="left"/>
            </w:pPr>
            <w:r>
              <w:rPr>
                <w:rFonts w:ascii="Arial" w:hAnsi="Arial"/>
                <w:b w:val="0"/>
                <w:sz w:val="13"/>
              </w:rPr>
              <w:t>https://learn.microsoft.com/en-us/azure/foundry/</w:t>
            </w:r>
          </w:p>
        </w:tc>
        <w:tc>
          <w:tcPr>
            <w:tcW w:type="dxa" w:w="2880"/>
            <w:vAlign w:val="top"/>
          </w:tcPr>
          <w:p>
            <w:pPr>
              <w:spacing w:after="0"/>
              <w:jc w:val="left"/>
            </w:pPr>
            <w:r>
              <w:rPr>
                <w:rFonts w:ascii="Arial" w:hAnsi="Arial"/>
                <w:b w:val="0"/>
                <w:sz w:val="13"/>
              </w:rPr>
              <w:t>Pin exact pages for agents, tracing, evaluations, and safety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MICROSOFT-RESPONSIBLE-AI-DOCS</w:t>
            </w:r>
          </w:p>
        </w:tc>
        <w:tc>
          <w:tcPr>
            <w:tcW w:type="dxa" w:w="2880"/>
            <w:vAlign w:val="top"/>
          </w:tcPr>
          <w:p>
            <w:pPr>
              <w:spacing w:after="0"/>
              <w:jc w:val="left"/>
            </w:pPr>
            <w:r>
              <w:rPr>
                <w:rFonts w:ascii="Arial" w:hAnsi="Arial"/>
                <w:b w:val="0"/>
                <w:sz w:val="13"/>
              </w:rPr>
              <w:t>Microsoft Learn source family</w:t>
            </w:r>
          </w:p>
        </w:tc>
        <w:tc>
          <w:tcPr>
            <w:tcW w:type="dxa" w:w="2880"/>
            <w:vAlign w:val="top"/>
          </w:tcPr>
          <w:p>
            <w:pPr>
              <w:spacing w:after="0"/>
              <w:jc w:val="left"/>
            </w:pPr>
            <w:r>
              <w:rPr>
                <w:rFonts w:ascii="Arial" w:hAnsi="Arial"/>
                <w:b w:val="0"/>
                <w:sz w:val="13"/>
              </w:rPr>
              <w:t>Pin exact responsible-AI pages if retained</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AWS-BEDROCK-DOCS</w:t>
            </w:r>
          </w:p>
        </w:tc>
        <w:tc>
          <w:tcPr>
            <w:tcW w:type="dxa" w:w="2880"/>
            <w:vAlign w:val="top"/>
          </w:tcPr>
          <w:p>
            <w:pPr>
              <w:spacing w:after="0"/>
              <w:jc w:val="left"/>
            </w:pPr>
            <w:r>
              <w:rPr>
                <w:rFonts w:ascii="Arial" w:hAnsi="Arial"/>
                <w:b w:val="0"/>
                <w:sz w:val="13"/>
              </w:rPr>
              <w:t>https://docs.aws.amazon.com/bedrock/latest/userguide/what-is-bedrock.html</w:t>
            </w:r>
          </w:p>
        </w:tc>
        <w:tc>
          <w:tcPr>
            <w:tcW w:type="dxa" w:w="2880"/>
            <w:vAlign w:val="top"/>
          </w:tcPr>
          <w:p>
            <w:pPr>
              <w:spacing w:after="0"/>
              <w:jc w:val="left"/>
            </w:pPr>
            <w:r>
              <w:rPr>
                <w:rFonts w:ascii="Arial" w:hAnsi="Arial"/>
                <w:b w:val="0"/>
                <w:sz w:val="13"/>
              </w:rPr>
              <w:t>Pin exact Bedrock pages for retained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AWS-BEDROCK-GUARDRAILS-DOCS</w:t>
            </w:r>
          </w:p>
        </w:tc>
        <w:tc>
          <w:tcPr>
            <w:tcW w:type="dxa" w:w="2880"/>
            <w:vAlign w:val="top"/>
          </w:tcPr>
          <w:p>
            <w:pPr>
              <w:spacing w:after="0"/>
              <w:jc w:val="left"/>
            </w:pPr>
            <w:r>
              <w:rPr>
                <w:rFonts w:ascii="Arial" w:hAnsi="Arial"/>
                <w:b w:val="0"/>
                <w:sz w:val="13"/>
              </w:rPr>
              <w:t>https://docs.aws.amazon.com/bedrock/latest/userguide/guardrails.html</w:t>
            </w:r>
          </w:p>
        </w:tc>
        <w:tc>
          <w:tcPr>
            <w:tcW w:type="dxa" w:w="2880"/>
            <w:vAlign w:val="top"/>
          </w:tcPr>
          <w:p>
            <w:pPr>
              <w:spacing w:after="0"/>
              <w:jc w:val="left"/>
            </w:pPr>
            <w:r>
              <w:rPr>
                <w:rFonts w:ascii="Arial" w:hAnsi="Arial"/>
                <w:b w:val="0"/>
                <w:sz w:val="13"/>
              </w:rPr>
              <w:t>Pin exact guardrails pages; preserve authority-boundary caveat</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AWS-AGENTCORE-DOCS</w:t>
            </w:r>
          </w:p>
        </w:tc>
        <w:tc>
          <w:tcPr>
            <w:tcW w:type="dxa" w:w="2880"/>
            <w:vAlign w:val="top"/>
          </w:tcPr>
          <w:p>
            <w:pPr>
              <w:spacing w:after="0"/>
              <w:jc w:val="left"/>
            </w:pPr>
            <w:r>
              <w:rPr>
                <w:rFonts w:ascii="Arial" w:hAnsi="Arial"/>
                <w:b w:val="0"/>
                <w:sz w:val="13"/>
              </w:rPr>
              <w:t>https://docs.aws.amazon.com/bedrock-agentcore/latest/devguide/what-is-bedrock-agentcore.html</w:t>
            </w:r>
          </w:p>
        </w:tc>
        <w:tc>
          <w:tcPr>
            <w:tcW w:type="dxa" w:w="2880"/>
            <w:vAlign w:val="top"/>
          </w:tcPr>
          <w:p>
            <w:pPr>
              <w:spacing w:after="0"/>
              <w:jc w:val="left"/>
            </w:pPr>
            <w:r>
              <w:rPr>
                <w:rFonts w:ascii="Arial" w:hAnsi="Arial"/>
                <w:b w:val="0"/>
                <w:sz w:val="13"/>
              </w:rPr>
              <w:t>Pin exact AgentCore pages for runtime/observability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GOOGLE-VERTEX-AI-DOCS</w:t>
            </w:r>
          </w:p>
        </w:tc>
        <w:tc>
          <w:tcPr>
            <w:tcW w:type="dxa" w:w="2880"/>
            <w:vAlign w:val="top"/>
          </w:tcPr>
          <w:p>
            <w:pPr>
              <w:spacing w:after="0"/>
              <w:jc w:val="left"/>
            </w:pPr>
            <w:r>
              <w:rPr>
                <w:rFonts w:ascii="Arial" w:hAnsi="Arial"/>
                <w:b w:val="0"/>
                <w:sz w:val="13"/>
              </w:rPr>
              <w:t>https://docs.cloud.google.com/vertex-ai/docs</w:t>
            </w:r>
          </w:p>
        </w:tc>
        <w:tc>
          <w:tcPr>
            <w:tcW w:type="dxa" w:w="2880"/>
            <w:vAlign w:val="top"/>
          </w:tcPr>
          <w:p>
            <w:pPr>
              <w:spacing w:after="0"/>
              <w:jc w:val="left"/>
            </w:pPr>
            <w:r>
              <w:rPr>
                <w:rFonts w:ascii="Arial" w:hAnsi="Arial"/>
                <w:b w:val="0"/>
                <w:sz w:val="13"/>
              </w:rPr>
              <w:t>Pin exact Vertex AI pages for retained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GOOGLE-ADK-DOCS</w:t>
            </w:r>
          </w:p>
        </w:tc>
        <w:tc>
          <w:tcPr>
            <w:tcW w:type="dxa" w:w="2880"/>
            <w:vAlign w:val="top"/>
          </w:tcPr>
          <w:p>
            <w:pPr>
              <w:spacing w:after="0"/>
              <w:jc w:val="left"/>
            </w:pPr>
            <w:r>
              <w:rPr>
                <w:rFonts w:ascii="Arial" w:hAnsi="Arial"/>
                <w:b w:val="0"/>
                <w:sz w:val="13"/>
              </w:rPr>
              <w:t>https://adk.dev/</w:t>
            </w:r>
          </w:p>
        </w:tc>
        <w:tc>
          <w:tcPr>
            <w:tcW w:type="dxa" w:w="2880"/>
            <w:vAlign w:val="top"/>
          </w:tcPr>
          <w:p>
            <w:pPr>
              <w:spacing w:after="0"/>
              <w:jc w:val="left"/>
            </w:pPr>
            <w:r>
              <w:rPr>
                <w:rFonts w:ascii="Arial" w:hAnsi="Arial"/>
                <w:b w:val="0"/>
                <w:sz w:val="13"/>
              </w:rPr>
              <w:t>Pin exact ADK pages for agent/tool/session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GOOGLE-MODEL-ARMOR-DOCS</w:t>
            </w:r>
          </w:p>
        </w:tc>
        <w:tc>
          <w:tcPr>
            <w:tcW w:type="dxa" w:w="2880"/>
            <w:vAlign w:val="top"/>
          </w:tcPr>
          <w:p>
            <w:pPr>
              <w:spacing w:after="0"/>
              <w:jc w:val="left"/>
            </w:pPr>
            <w:r>
              <w:rPr>
                <w:rFonts w:ascii="Arial" w:hAnsi="Arial"/>
                <w:b w:val="0"/>
                <w:sz w:val="13"/>
              </w:rPr>
              <w:t>https://docs.cloud.google.com/model-armor/overview</w:t>
            </w:r>
          </w:p>
        </w:tc>
        <w:tc>
          <w:tcPr>
            <w:tcW w:type="dxa" w:w="2880"/>
            <w:vAlign w:val="top"/>
          </w:tcPr>
          <w:p>
            <w:pPr>
              <w:spacing w:after="0"/>
              <w:jc w:val="left"/>
            </w:pPr>
            <w:r>
              <w:rPr>
                <w:rFonts w:ascii="Arial" w:hAnsi="Arial"/>
                <w:b w:val="0"/>
                <w:sz w:val="13"/>
              </w:rPr>
              <w:t>Pin exact Model Armor pages; preserve lifecycle-governance caveat</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LANGGRAPH-DOCS</w:t>
            </w:r>
          </w:p>
        </w:tc>
        <w:tc>
          <w:tcPr>
            <w:tcW w:type="dxa" w:w="2880"/>
            <w:vAlign w:val="top"/>
          </w:tcPr>
          <w:p>
            <w:pPr>
              <w:spacing w:after="0"/>
              <w:jc w:val="left"/>
            </w:pPr>
            <w:r>
              <w:rPr>
                <w:rFonts w:ascii="Arial" w:hAnsi="Arial"/>
                <w:b w:val="0"/>
                <w:sz w:val="13"/>
              </w:rPr>
              <w:t>https://docs.langchain.com/oss/python/langgraph/overview</w:t>
            </w:r>
          </w:p>
        </w:tc>
        <w:tc>
          <w:tcPr>
            <w:tcW w:type="dxa" w:w="2880"/>
            <w:vAlign w:val="top"/>
          </w:tcPr>
          <w:p>
            <w:pPr>
              <w:spacing w:after="0"/>
              <w:jc w:val="left"/>
            </w:pPr>
            <w:r>
              <w:rPr>
                <w:rFonts w:ascii="Arial" w:hAnsi="Arial"/>
                <w:b w:val="0"/>
                <w:sz w:val="13"/>
              </w:rPr>
              <w:t>Pin exact persistence/interrupt/tool pages for retained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LANGSMITH-DOCS</w:t>
            </w:r>
          </w:p>
        </w:tc>
        <w:tc>
          <w:tcPr>
            <w:tcW w:type="dxa" w:w="2880"/>
            <w:vAlign w:val="top"/>
          </w:tcPr>
          <w:p>
            <w:pPr>
              <w:spacing w:after="0"/>
              <w:jc w:val="left"/>
            </w:pPr>
            <w:r>
              <w:rPr>
                <w:rFonts w:ascii="Arial" w:hAnsi="Arial"/>
                <w:b w:val="0"/>
                <w:sz w:val="13"/>
              </w:rPr>
              <w:t>https://docs.langchain.com/langsmith/home</w:t>
            </w:r>
          </w:p>
        </w:tc>
        <w:tc>
          <w:tcPr>
            <w:tcW w:type="dxa" w:w="2880"/>
            <w:vAlign w:val="top"/>
          </w:tcPr>
          <w:p>
            <w:pPr>
              <w:spacing w:after="0"/>
              <w:jc w:val="left"/>
            </w:pPr>
            <w:r>
              <w:rPr>
                <w:rFonts w:ascii="Arial" w:hAnsi="Arial"/>
                <w:b w:val="0"/>
                <w:sz w:val="13"/>
              </w:rPr>
              <w:t>Pin exact tracing/evaluation pages for retained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OPENAI-AGENTS-SDK-DOCS</w:t>
            </w:r>
          </w:p>
        </w:tc>
        <w:tc>
          <w:tcPr>
            <w:tcW w:type="dxa" w:w="2880"/>
            <w:vAlign w:val="top"/>
          </w:tcPr>
          <w:p>
            <w:pPr>
              <w:spacing w:after="0"/>
              <w:jc w:val="left"/>
            </w:pPr>
            <w:r>
              <w:rPr>
                <w:rFonts w:ascii="Arial" w:hAnsi="Arial"/>
                <w:b w:val="0"/>
                <w:sz w:val="13"/>
              </w:rPr>
              <w:t>https://openai.github.io/openai-agents-python/</w:t>
            </w:r>
          </w:p>
        </w:tc>
        <w:tc>
          <w:tcPr>
            <w:tcW w:type="dxa" w:w="2880"/>
            <w:vAlign w:val="top"/>
          </w:tcPr>
          <w:p>
            <w:pPr>
              <w:spacing w:after="0"/>
              <w:jc w:val="left"/>
            </w:pPr>
            <w:r>
              <w:rPr>
                <w:rFonts w:ascii="Arial" w:hAnsi="Arial"/>
                <w:b w:val="0"/>
                <w:sz w:val="13"/>
              </w:rPr>
              <w:t>Pin exact SDK pages for agents/tools/handoffs/tracing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OPENAI-TOOLS-DOCS</w:t>
            </w:r>
          </w:p>
        </w:tc>
        <w:tc>
          <w:tcPr>
            <w:tcW w:type="dxa" w:w="2880"/>
            <w:vAlign w:val="top"/>
          </w:tcPr>
          <w:p>
            <w:pPr>
              <w:spacing w:after="0"/>
              <w:jc w:val="left"/>
            </w:pPr>
            <w:r>
              <w:rPr>
                <w:rFonts w:ascii="Arial" w:hAnsi="Arial"/>
                <w:b w:val="0"/>
                <w:sz w:val="13"/>
              </w:rPr>
              <w:t>OpenAI platform docs source family</w:t>
            </w:r>
          </w:p>
        </w:tc>
        <w:tc>
          <w:tcPr>
            <w:tcW w:type="dxa" w:w="2880"/>
            <w:vAlign w:val="top"/>
          </w:tcPr>
          <w:p>
            <w:pPr>
              <w:spacing w:after="0"/>
              <w:jc w:val="left"/>
            </w:pPr>
            <w:r>
              <w:rPr>
                <w:rFonts w:ascii="Arial" w:hAnsi="Arial"/>
                <w:b w:val="0"/>
                <w:sz w:val="13"/>
              </w:rPr>
              <w:t>Pin exact accessible tools pages if retained</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CREWAI-DOCS</w:t>
            </w:r>
          </w:p>
        </w:tc>
        <w:tc>
          <w:tcPr>
            <w:tcW w:type="dxa" w:w="2880"/>
            <w:vAlign w:val="top"/>
          </w:tcPr>
          <w:p>
            <w:pPr>
              <w:spacing w:after="0"/>
              <w:jc w:val="left"/>
            </w:pPr>
            <w:r>
              <w:rPr>
                <w:rFonts w:ascii="Arial" w:hAnsi="Arial"/>
                <w:b w:val="0"/>
                <w:sz w:val="13"/>
              </w:rPr>
              <w:t>https://docs.crewai.com/</w:t>
            </w:r>
          </w:p>
        </w:tc>
        <w:tc>
          <w:tcPr>
            <w:tcW w:type="dxa" w:w="2880"/>
            <w:vAlign w:val="top"/>
          </w:tcPr>
          <w:p>
            <w:pPr>
              <w:spacing w:after="0"/>
              <w:jc w:val="left"/>
            </w:pPr>
            <w:r>
              <w:rPr>
                <w:rFonts w:ascii="Arial" w:hAnsi="Arial"/>
                <w:b w:val="0"/>
                <w:sz w:val="13"/>
              </w:rPr>
              <w:t>Pin exact agents/tasks/crews/flows/tools pages for retained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CREWAI-GITHUB</w:t>
            </w:r>
          </w:p>
        </w:tc>
        <w:tc>
          <w:tcPr>
            <w:tcW w:type="dxa" w:w="2880"/>
            <w:vAlign w:val="top"/>
          </w:tcPr>
          <w:p>
            <w:pPr>
              <w:spacing w:after="0"/>
              <w:jc w:val="left"/>
            </w:pPr>
            <w:r>
              <w:rPr>
                <w:rFonts w:ascii="Arial" w:hAnsi="Arial"/>
                <w:b w:val="0"/>
                <w:sz w:val="13"/>
              </w:rPr>
              <w:t>https://github.com/crewAIInc/crewAI</w:t>
            </w:r>
          </w:p>
        </w:tc>
        <w:tc>
          <w:tcPr>
            <w:tcW w:type="dxa" w:w="2880"/>
            <w:vAlign w:val="top"/>
          </w:tcPr>
          <w:p>
            <w:pPr>
              <w:spacing w:after="0"/>
              <w:jc w:val="left"/>
            </w:pPr>
            <w:r>
              <w:rPr>
                <w:rFonts w:ascii="Arial" w:hAnsi="Arial"/>
                <w:b w:val="0"/>
                <w:sz w:val="13"/>
              </w:rPr>
              <w:t>Pin exact repository paths only for code/API-specific claims</w:t>
            </w:r>
          </w:p>
        </w:tc>
        <w:tc>
          <w:tcPr>
            <w:tcW w:type="dxa" w:w="2880"/>
            <w:vAlign w:val="top"/>
          </w:tcPr>
          <w:p>
            <w:pPr>
              <w:spacing w:after="0"/>
              <w:jc w:val="left"/>
            </w:pPr>
            <w:r>
              <w:rPr>
                <w:rFonts w:ascii="Arial" w:hAnsi="Arial"/>
                <w:b w:val="0"/>
                <w:sz w:val="13"/>
              </w:rPr>
              <w:t>High</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MPLP-DOCS</w:t>
            </w:r>
          </w:p>
        </w:tc>
        <w:tc>
          <w:tcPr>
            <w:tcW w:type="dxa" w:w="2880"/>
            <w:vAlign w:val="top"/>
          </w:tcPr>
          <w:p>
            <w:pPr>
              <w:spacing w:after="0"/>
              <w:jc w:val="left"/>
            </w:pPr>
            <w:r>
              <w:rPr>
                <w:rFonts w:ascii="Arial" w:hAnsi="Arial"/>
                <w:b w:val="0"/>
                <w:sz w:val="13"/>
              </w:rPr>
              <w:t>https://docs.mplp.io/docs/introduction/mplp-v1.0-protocol-overview</w:t>
            </w:r>
          </w:p>
        </w:tc>
        <w:tc>
          <w:tcPr>
            <w:tcW w:type="dxa" w:w="2880"/>
            <w:vAlign w:val="top"/>
          </w:tcPr>
          <w:p>
            <w:pPr>
              <w:spacing w:after="0"/>
              <w:jc w:val="left"/>
            </w:pPr>
            <w:r>
              <w:rPr>
                <w:rFonts w:ascii="Arial" w:hAnsi="Arial"/>
                <w:b w:val="0"/>
                <w:sz w:val="13"/>
              </w:rPr>
              <w:t>Pin protocol version and preserve conflict-of-interest boundary</w:t>
            </w:r>
          </w:p>
        </w:tc>
        <w:tc>
          <w:tcPr>
            <w:tcW w:type="dxa" w:w="2880"/>
            <w:vAlign w:val="top"/>
          </w:tcPr>
          <w:p>
            <w:pPr>
              <w:spacing w:after="0"/>
              <w:jc w:val="left"/>
            </w:pPr>
            <w:r>
              <w:rPr>
                <w:rFonts w:ascii="Arial" w:hAnsi="Arial"/>
                <w:b w:val="0"/>
                <w:sz w:val="13"/>
              </w:rPr>
              <w:t>Critical</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MPLP-SPEC</w:t>
            </w:r>
          </w:p>
        </w:tc>
        <w:tc>
          <w:tcPr>
            <w:tcW w:type="dxa" w:w="2880"/>
            <w:vAlign w:val="top"/>
          </w:tcPr>
          <w:p>
            <w:pPr>
              <w:spacing w:after="0"/>
              <w:jc w:val="left"/>
            </w:pPr>
            <w:r>
              <w:rPr>
                <w:rFonts w:ascii="Arial" w:hAnsi="Arial"/>
                <w:b w:val="0"/>
                <w:sz w:val="13"/>
              </w:rPr>
              <w:t>https://docs.mplp.io/docs/introduction/mplp-v1.0-protocol-overview</w:t>
            </w:r>
          </w:p>
        </w:tc>
        <w:tc>
          <w:tcPr>
            <w:tcW w:type="dxa" w:w="2880"/>
            <w:vAlign w:val="top"/>
          </w:tcPr>
          <w:p>
            <w:pPr>
              <w:spacing w:after="0"/>
              <w:jc w:val="left"/>
            </w:pPr>
            <w:r>
              <w:rPr>
                <w:rFonts w:ascii="Arial" w:hAnsi="Arial"/>
                <w:b w:val="0"/>
                <w:sz w:val="13"/>
              </w:rPr>
              <w:t>Pin exact specification/version reference if separate page exists</w:t>
            </w:r>
          </w:p>
        </w:tc>
        <w:tc>
          <w:tcPr>
            <w:tcW w:type="dxa" w:w="2880"/>
            <w:vAlign w:val="top"/>
          </w:tcPr>
          <w:p>
            <w:pPr>
              <w:spacing w:after="0"/>
              <w:jc w:val="left"/>
            </w:pPr>
            <w:r>
              <w:rPr>
                <w:rFonts w:ascii="Arial" w:hAnsi="Arial"/>
                <w:b w:val="0"/>
                <w:sz w:val="13"/>
              </w:rPr>
              <w:t>Critical</w:t>
            </w:r>
          </w:p>
        </w:tc>
        <w:tc>
          <w:tcPr>
            <w:tcW w:type="dxa" w:w="2880"/>
            <w:vAlign w:val="top"/>
          </w:tcPr>
          <w:p>
            <w:pPr>
              <w:spacing w:after="0"/>
              <w:jc w:val="left"/>
            </w:pPr>
            <w:r>
              <w:rPr>
                <w:rFonts w:ascii="Arial" w:hAnsi="Arial"/>
                <w:b w:val="0"/>
                <w:sz w:val="13"/>
              </w:rPr>
              <w:t>Phase 1D / publication QA</w:t>
            </w:r>
          </w:p>
        </w:tc>
      </w:tr>
      <w:tr>
        <w:trPr>
          <w:cantSplit/>
        </w:trPr>
        <w:tc>
          <w:tcPr>
            <w:tcW w:type="dxa" w:w="2880"/>
            <w:vAlign w:val="top"/>
          </w:tcPr>
          <w:p>
            <w:pPr>
              <w:spacing w:after="0"/>
              <w:jc w:val="left"/>
            </w:pPr>
            <w:r>
              <w:rPr>
                <w:rFonts w:ascii="Arial" w:hAnsi="Arial"/>
                <w:b w:val="0"/>
                <w:sz w:val="13"/>
              </w:rPr>
              <w:t>VALIDATION-LAB-METHODOLOGY</w:t>
            </w:r>
          </w:p>
        </w:tc>
        <w:tc>
          <w:tcPr>
            <w:tcW w:type="dxa" w:w="2880"/>
            <w:vAlign w:val="top"/>
          </w:tcPr>
          <w:p>
            <w:pPr>
              <w:spacing w:after="0"/>
              <w:jc w:val="left"/>
            </w:pPr>
            <w:r>
              <w:rPr>
                <w:rFonts w:ascii="Arial" w:hAnsi="Arial"/>
                <w:b w:val="0"/>
                <w:sz w:val="13"/>
              </w:rPr>
              <w:t>https://lab.mplp.io/</w:t>
            </w:r>
          </w:p>
        </w:tc>
        <w:tc>
          <w:tcPr>
            <w:tcW w:type="dxa" w:w="2880"/>
            <w:vAlign w:val="top"/>
          </w:tcPr>
          <w:p>
            <w:pPr>
              <w:spacing w:after="0"/>
              <w:jc w:val="left"/>
            </w:pPr>
            <w:r>
              <w:rPr>
                <w:rFonts w:ascii="Arial" w:hAnsi="Arial"/>
                <w:b w:val="0"/>
                <w:sz w:val="13"/>
              </w:rPr>
              <w:t>Add methodology-specific citation or retain unresolved/boundary-limited note</w:t>
            </w:r>
          </w:p>
        </w:tc>
        <w:tc>
          <w:tcPr>
            <w:tcW w:type="dxa" w:w="2880"/>
            <w:vAlign w:val="top"/>
          </w:tcPr>
          <w:p>
            <w:pPr>
              <w:spacing w:after="0"/>
              <w:jc w:val="left"/>
            </w:pPr>
            <w:r>
              <w:rPr>
                <w:rFonts w:ascii="Arial" w:hAnsi="Arial"/>
                <w:b w:val="0"/>
                <w:sz w:val="13"/>
              </w:rPr>
              <w:t>Critical</w:t>
            </w:r>
          </w:p>
        </w:tc>
        <w:tc>
          <w:tcPr>
            <w:tcW w:type="dxa" w:w="2880"/>
            <w:vAlign w:val="top"/>
          </w:tcPr>
          <w:p>
            <w:pPr>
              <w:spacing w:after="0"/>
              <w:jc w:val="left"/>
            </w:pPr>
            <w:r>
              <w:rPr>
                <w:rFonts w:ascii="Arial" w:hAnsi="Arial"/>
                <w:b w:val="0"/>
                <w:sz w:val="13"/>
              </w:rPr>
              <w:t>Phase 1D / publication QA</w:t>
            </w:r>
          </w:p>
        </w:tc>
      </w:tr>
    </w:tbl>
    <w:p>
      <w:pPr>
        <w:sectPr>
          <w:pgSz w:w="12240" w:h="15840" w:orient="landscape"/>
          <w:pgMar w:top="792" w:right="648" w:bottom="792" w:left="648" w:header="720" w:footer="720" w:gutter="0"/>
          <w:cols w:space="720"/>
          <w:docGrid w:linePitch="360"/>
        </w:sectPr>
      </w:pPr>
    </w:p>
    <w:p/>
    <w:p/>
    <w:p>
      <w:pPr>
        <w:pStyle w:val="Heading2"/>
      </w:pPr>
      <w:r>
        <w:t>C.5 Source Notes and Revalidation Policy</w:t>
      </w:r>
    </w:p>
    <w:p/>
    <w:p>
      <w:pPr>
        <w:pStyle w:val="Heading3"/>
      </w:pPr>
      <w:r>
        <w:t>Source Notes</w:t>
      </w:r>
    </w:p>
    <w:p/>
    <w:p>
      <w:pPr>
        <w:pStyle w:val="ListBullet"/>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
      <w:pPr>
        <w:pStyle w:val="ListBullet"/>
      </w:pPr>
      <w:r>
        <w:t>L2 sources (official product documentation) are referenced in Chapters 12, 13, and 14 and support documented product/protocol capability surfaces. Phase 1C follow-up located official entry points and recorded claim-level dispositions. L2 sources still require page-level pinning before publication and do not prove deployment practice or legal compliance.</w:t>
      </w:r>
    </w:p>
    <w:p/>
    <w:p>
      <w:pPr>
        <w:pStyle w:val="ListBullet"/>
      </w:pPr>
      <w:r>
        <w:t>L5 sources (author inference) are used in Chapters 6-9, 11-12, and 15 to define the analytical framework (MROs, RCCS, ALCS, Composite Scoring, System Mapping, Failure Scenarios). These sources are marked as author inference and do not replace evidence-based analysis.</w:t>
      </w:r>
    </w:p>
    <w:p/>
    <w:p>
      <w:pPr>
        <w:pStyle w:val="ListBullet"/>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final proof must preserve that boundary.</w:t>
      </w:r>
    </w:p>
    <w:p/>
    <w:p>
      <w:pPr>
        <w:pStyle w:val="Heading3"/>
      </w:pPr>
      <w:r>
        <w:t>Revalidation Policy</w:t>
      </w:r>
    </w:p>
    <w:p/>
    <w:p>
      <w:r>
        <w:t>Final source governance before publication must:</w:t>
      </w:r>
    </w:p>
    <w:p/>
    <w:p>
      <w:r>
        <w:t>1. Pin exact page-level L2 product documentation URLs and replace remaining placeholders with validated URLs and publication/access details</w:t>
      </w:r>
    </w:p>
    <w:p>
      <w:r>
        <w:t>2. Verify all L1 legal/regulatory citations for accuracy and completeness</w:t>
      </w:r>
    </w:p>
    <w:p>
      <w:r>
        <w:t>3. Mark all L5 author inference clearly in the text</w:t>
      </w:r>
    </w:p>
    <w:p>
      <w:r>
        <w:t>4. Preserve MPLP and Validation Lab boundary discipline and add methodology-specific Validation Lab support if available</w:t>
      </w:r>
    </w:p>
    <w:p>
      <w:r>
        <w:t>5. Remove or mark as inference any unsupported claims</w:t>
      </w:r>
    </w:p>
    <w:p>
      <w:r>
        <w:t>6. Maintain the claim evidence register documenting all source validation and downgrade actions</w:t>
      </w:r>
    </w:p>
    <w:p/>
    <w:p/>
    <w:p>
      <w:r>
        <w:t>End of Appendix C</w:t>
      </w:r>
    </w:p>
    <w:p/>
    <w:p>
      <w:r>
        <w:t>Appendix C Status: FILLED (Phase 1B-8; Phase 1C follow-up reviewed) — References and Source Notes updated for claim-level source binding; official entry points located for required L2 groups; final page-level citation pinning and rendering QA remain before publication.</w:t>
      </w:r>
    </w:p>
    <w:p>
      <w:pPr>
        <w:pStyle w:val="Heading1"/>
      </w:pPr>
      <w:r>
        <w:t>Appendix D — Expanded Cross-System MRO Mapping</w:t>
      </w:r>
    </w:p>
    <w:p/>
    <w:p>
      <w:r>
        <w:t>Version: v0.3.2-FRC-R3</w:t>
      </w:r>
    </w:p>
    <w:p>
      <w:r>
        <w:t>Status: REVALIDATED PROVISIONAL — Phase 1C claim-level source binding applied</w:t>
      </w:r>
    </w:p>
    <w:p>
      <w:r>
        <w:t>Phase: 1B-8 / 1C Follow-up</w:t>
      </w:r>
    </w:p>
    <w:p/>
    <w:p/>
    <w:p>
      <w:pPr>
        <w:pStyle w:val="Heading2"/>
      </w:pPr>
      <w:r>
        <w:t>D.0 Mapping Boundary</w:t>
      </w:r>
    </w:p>
    <w:p/>
    <w:p>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
      <w:r>
        <w:t>Boundary statement:</w:t>
      </w:r>
    </w:p>
    <w:p/>
    <w:p>
      <w:pPr>
        <w:pStyle w:val="ListBullet"/>
      </w:pPr>
      <w:r>
        <w:t>This mapping is analytical only. The mapping compares systems by responsibility semantics, not product quality, market leadership, or procurement suitability.</w:t>
      </w:r>
    </w:p>
    <w:p/>
    <w:p>
      <w:pPr>
        <w:pStyle w:val="ListBullet"/>
      </w:pPr>
      <w:r>
        <w:t>This mapping is not a product ranking. Systems are not ranked by score or quality. The mapping identifies where systems appear to provide lifecycle responsibility object primitives and where gaps may exist.</w:t>
      </w:r>
    </w:p>
    <w:p/>
    <w:p>
      <w:pPr>
        <w:pStyle w:val="ListBullet"/>
      </w:pPr>
      <w:r>
        <w:t>This mapping is not certification. The presence of lifecycle responsibility object primitives does not certify a system as compliant, approved, or enterprise-ready.</w:t>
      </w:r>
    </w:p>
    <w:p/>
    <w:p>
      <w:pPr>
        <w:pStyle w:val="ListBullet"/>
      </w:pPr>
      <w:r>
        <w:t>This mapping is not a procurement recommendation. Organizations must evaluate systems within their specific legal, regulatory, and operational context. This mapping provides analytical input, not procurement guidance.</w:t>
      </w:r>
    </w:p>
    <w:p/>
    <w:p>
      <w:pPr>
        <w:pStyle w:val="ListBullet"/>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
      <w:pPr>
        <w:pStyle w:val="ListBullet"/>
      </w:pPr>
      <w:r>
        <w:t>This mapping uses qualitative values. The mapping uses qualitative values (Strong object-level mapping, Strong workflow/feature mapping, Partial or adjacent capability, Weak or implementer-built only, Not visible in public evidence, Source support unresolved where applicable) rather than numeric scores to avoid creating a false precision ranking.</w:t>
      </w:r>
    </w:p>
    <w:p/>
    <w:p/>
    <w:p>
      <w:pPr>
        <w:pStyle w:val="Heading2"/>
      </w:pPr>
      <w:r>
        <w:t>D.1 How to Read the Expanded MRO Mapping</w:t>
      </w:r>
    </w:p>
    <w:p/>
    <w:p>
      <w:r>
        <w:t>The expanded MRO mapping (Table T-D-01) maps all sixteen Missing Regulatory Objects across all eight representative systems.</w:t>
      </w:r>
    </w:p>
    <w:p/>
    <w:p>
      <w:r>
        <w:t>Qualitative values:</w:t>
      </w:r>
    </w:p>
    <w:p/>
    <w:p>
      <w:pPr>
        <w:pStyle w:val="ListBullet"/>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
      <w:pPr>
        <w:pStyle w:val="ListBullet"/>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
      <w:pPr>
        <w:pStyle w:val="ListBullet"/>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
      <w:pPr>
        <w:pStyle w:val="ListBullet"/>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
      <w:pPr>
        <w:pStyle w:val="ListBullet"/>
      </w:pPr>
      <w:r>
        <w:t>Not visible in public evidence: Lifecycle responsibility object primitives are not visible in public product documentation or protocol specifications. This does not prove the capability does not exist; it means public evidence is not available.</w:t>
      </w:r>
    </w:p>
    <w:p/>
    <w:p>
      <w:pPr>
        <w:pStyle w:val="ListBullet"/>
      </w:pPr>
      <w:r>
        <w:t>Source support unresolved: Mapping is uncertain because exact source support for the lifecycle responsibility object has not been pinned.</w:t>
      </w:r>
    </w:p>
    <w:p/>
    <w:p>
      <w:r>
        <w:t>Reading the table:</w:t>
      </w:r>
    </w:p>
    <w:p/>
    <w:p>
      <w:pPr>
        <w:pStyle w:val="ListBullet"/>
      </w:pPr>
      <w:r>
        <w:t>Rows: Sixteen Missing Regulatory Objects (MRO-01 through MRO-16)</w:t>
      </w:r>
    </w:p>
    <w:p>
      <w:pPr>
        <w:pStyle w:val="ListBullet"/>
      </w:pPr>
      <w:r>
        <w:t>Columns: Eight representative systems (MPLP, IBM, Microsoft, AWS, Google, LangGraph/LangSmith, OpenAI, CrewAI)</w:t>
      </w:r>
    </w:p>
    <w:p>
      <w:pPr>
        <w:pStyle w:val="ListBullet"/>
      </w:pPr>
      <w:r>
        <w:t>Cells: Qualitative mapping value for each MRO × System combination</w:t>
      </w:r>
    </w:p>
    <w:p>
      <w:pPr>
        <w:pStyle w:val="ListBullet"/>
      </w:pPr>
      <w:r>
        <w:t>Notes column: Additional context or boundary notes</w:t>
      </w:r>
    </w:p>
    <w:p/>
    <w:p/>
    <w:p>
      <w:pPr>
        <w:pStyle w:val="Heading2"/>
      </w:pPr>
      <w:r>
        <w:t>D.2 Expanded Cross-System MRO Mapping</w:t>
      </w:r>
    </w:p>
    <w:p/>
    <w:p>
      <w:pPr>
        <w:keepNext/>
      </w:pPr>
      <w:r>
        <w:rPr>
          <w:b/>
          <w:sz w:val="17"/>
        </w:rPr>
        <w:t>Table T-D-01: Expanded Cross-System MRO Mapping</w:t>
      </w:r>
    </w:p>
    <w:p/>
    <w:p>
      <w:r>
        <w:t>Note: This table is very wide (10 columns) and requires landscape layout. Phase 1C layout audit documented the risk; Phase 1D rendering QA remains required.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322"/>
        <w:gridCol w:w="1322"/>
        <w:gridCol w:w="1322"/>
        <w:gridCol w:w="1322"/>
        <w:gridCol w:w="1322"/>
        <w:gridCol w:w="1322"/>
        <w:gridCol w:w="1322"/>
        <w:gridCol w:w="1322"/>
        <w:gridCol w:w="1322"/>
        <w:gridCol w:w="1322"/>
        <w:gridCol w:w="1322"/>
      </w:tblGrid>
      <w:tr>
        <w:trPr>
          <w:tblHeader w:val="true"/>
          <w:cantSplit/>
        </w:trPr>
        <w:tc>
          <w:tcPr>
            <w:tcW w:type="dxa" w:w="1309"/>
            <w:vAlign w:val="top"/>
            <w:shd w:fill="D9EAF7"/>
            <w:textDirection w:val="lrTb"/>
          </w:tcPr>
          <w:p>
            <w:pPr>
              <w:spacing w:after="0"/>
              <w:jc w:val="left"/>
            </w:pPr>
            <w:r>
              <w:rPr>
                <w:rFonts w:ascii="Arial" w:hAnsi="Arial"/>
                <w:b/>
                <w:sz w:val="11"/>
              </w:rPr>
              <w:t>MRO ID</w:t>
            </w:r>
          </w:p>
        </w:tc>
        <w:tc>
          <w:tcPr>
            <w:tcW w:type="dxa" w:w="1309"/>
            <w:vAlign w:val="top"/>
            <w:shd w:fill="D9EAF7"/>
            <w:textDirection w:val="lrTb"/>
          </w:tcPr>
          <w:p>
            <w:pPr>
              <w:spacing w:after="0"/>
              <w:jc w:val="left"/>
            </w:pPr>
            <w:r>
              <w:rPr>
                <w:rFonts w:ascii="Arial" w:hAnsi="Arial"/>
                <w:b/>
                <w:sz w:val="11"/>
              </w:rPr>
              <w:t>MRO Name</w:t>
            </w:r>
          </w:p>
        </w:tc>
        <w:tc>
          <w:tcPr>
            <w:tcW w:type="dxa" w:w="1309"/>
            <w:vAlign w:val="top"/>
            <w:shd w:fill="D9EAF7"/>
            <w:textDirection w:val="lrTb"/>
          </w:tcPr>
          <w:p>
            <w:pPr>
              <w:spacing w:after="0"/>
              <w:jc w:val="left"/>
            </w:pPr>
            <w:r>
              <w:rPr>
                <w:rFonts w:ascii="Arial" w:hAnsi="Arial"/>
                <w:b/>
                <w:sz w:val="11"/>
              </w:rPr>
              <w:t>MPLP</w:t>
            </w:r>
          </w:p>
        </w:tc>
        <w:tc>
          <w:tcPr>
            <w:tcW w:type="dxa" w:w="1309"/>
            <w:vAlign w:val="top"/>
            <w:shd w:fill="D9EAF7"/>
          </w:tcPr>
          <w:p>
            <w:pPr>
              <w:spacing w:after="0"/>
              <w:jc w:val="left"/>
            </w:pPr>
            <w:r>
              <w:rPr>
                <w:rFonts w:ascii="Arial" w:hAnsi="Arial"/>
                <w:b/>
                <w:sz w:val="11"/>
              </w:rPr>
              <w:t>IBM watsonx.governance</w:t>
            </w:r>
          </w:p>
        </w:tc>
        <w:tc>
          <w:tcPr>
            <w:tcW w:type="dxa" w:w="1309"/>
            <w:vAlign w:val="top"/>
            <w:shd w:fill="D9EAF7"/>
          </w:tcPr>
          <w:p>
            <w:pPr>
              <w:spacing w:after="0"/>
              <w:jc w:val="left"/>
            </w:pPr>
            <w:r>
              <w:rPr>
                <w:rFonts w:ascii="Arial" w:hAnsi="Arial"/>
                <w:b/>
                <w:sz w:val="11"/>
              </w:rPr>
              <w:t>Microsoft Azure AI Foundry</w:t>
            </w:r>
          </w:p>
        </w:tc>
        <w:tc>
          <w:tcPr>
            <w:tcW w:type="dxa" w:w="1309"/>
            <w:vAlign w:val="top"/>
            <w:shd w:fill="D9EAF7"/>
          </w:tcPr>
          <w:p>
            <w:pPr>
              <w:spacing w:after="0"/>
              <w:jc w:val="left"/>
            </w:pPr>
            <w:r>
              <w:rPr>
                <w:rFonts w:ascii="Arial" w:hAnsi="Arial"/>
                <w:b/>
                <w:sz w:val="11"/>
              </w:rPr>
              <w:t>AWS Bedrock / Guardrails / AgentCore</w:t>
            </w:r>
          </w:p>
        </w:tc>
        <w:tc>
          <w:tcPr>
            <w:tcW w:type="dxa" w:w="1309"/>
            <w:vAlign w:val="top"/>
            <w:shd w:fill="D9EAF7"/>
          </w:tcPr>
          <w:p>
            <w:pPr>
              <w:spacing w:after="0"/>
              <w:jc w:val="left"/>
            </w:pPr>
            <w:r>
              <w:rPr>
                <w:rFonts w:ascii="Arial" w:hAnsi="Arial"/>
                <w:b/>
                <w:sz w:val="11"/>
              </w:rPr>
              <w:t>Google Vertex AI / ADK / Model Armor</w:t>
            </w:r>
          </w:p>
        </w:tc>
        <w:tc>
          <w:tcPr>
            <w:tcW w:type="dxa" w:w="1309"/>
            <w:vAlign w:val="top"/>
            <w:shd w:fill="D9EAF7"/>
          </w:tcPr>
          <w:p>
            <w:pPr>
              <w:spacing w:after="0"/>
              <w:jc w:val="left"/>
            </w:pPr>
            <w:r>
              <w:rPr>
                <w:rFonts w:ascii="Arial" w:hAnsi="Arial"/>
                <w:b/>
                <w:sz w:val="11"/>
              </w:rPr>
              <w:t>LangGraph / LangSmith</w:t>
            </w:r>
          </w:p>
        </w:tc>
        <w:tc>
          <w:tcPr>
            <w:tcW w:type="dxa" w:w="1309"/>
            <w:vAlign w:val="top"/>
            <w:shd w:fill="D9EAF7"/>
            <w:textDirection w:val="lrTb"/>
          </w:tcPr>
          <w:p>
            <w:pPr>
              <w:spacing w:after="0"/>
              <w:jc w:val="left"/>
            </w:pPr>
            <w:r>
              <w:rPr>
                <w:rFonts w:ascii="Arial" w:hAnsi="Arial"/>
                <w:b/>
                <w:sz w:val="11"/>
              </w:rPr>
              <w:t>OpenAI Agents SDK</w:t>
            </w:r>
          </w:p>
        </w:tc>
        <w:tc>
          <w:tcPr>
            <w:tcW w:type="dxa" w:w="1309"/>
            <w:vAlign w:val="top"/>
            <w:shd w:fill="D9EAF7"/>
            <w:textDirection w:val="lrTb"/>
          </w:tcPr>
          <w:p>
            <w:pPr>
              <w:spacing w:after="0"/>
              <w:jc w:val="left"/>
            </w:pPr>
            <w:r>
              <w:rPr>
                <w:rFonts w:ascii="Arial" w:hAnsi="Arial"/>
                <w:b/>
                <w:sz w:val="11"/>
              </w:rPr>
              <w:t>CrewAI</w:t>
            </w:r>
          </w:p>
        </w:tc>
        <w:tc>
          <w:tcPr>
            <w:tcW w:type="dxa" w:w="1309"/>
            <w:vAlign w:val="top"/>
            <w:shd w:fill="D9EAF7"/>
            <w:textDirection w:val="lrTb"/>
          </w:tcPr>
          <w:p>
            <w:pPr>
              <w:spacing w:after="0"/>
              <w:jc w:val="left"/>
            </w:pPr>
            <w:r>
              <w:rPr>
                <w:rFonts w:ascii="Arial" w:hAnsi="Arial"/>
                <w:b/>
                <w:sz w:val="11"/>
              </w:rPr>
              <w:t>Notes</w:t>
            </w:r>
          </w:p>
        </w:tc>
      </w:tr>
      <w:tr>
        <w:trPr>
          <w:cantSplit/>
        </w:trPr>
        <w:tc>
          <w:tcPr>
            <w:tcW w:type="dxa" w:w="1309"/>
            <w:vAlign w:val="top"/>
          </w:tcPr>
          <w:p>
            <w:pPr>
              <w:spacing w:after="0"/>
              <w:jc w:val="left"/>
            </w:pPr>
            <w:r>
              <w:rPr>
                <w:rFonts w:ascii="Arial" w:hAnsi="Arial"/>
                <w:b w:val="0"/>
                <w:sz w:val="11"/>
              </w:rPr>
              <w:t>MRO-01</w:t>
            </w:r>
          </w:p>
        </w:tc>
        <w:tc>
          <w:tcPr>
            <w:tcW w:type="dxa" w:w="1309"/>
            <w:vAlign w:val="top"/>
          </w:tcPr>
          <w:p>
            <w:pPr>
              <w:spacing w:after="0"/>
              <w:jc w:val="left"/>
            </w:pPr>
            <w:r>
              <w:rPr>
                <w:rFonts w:ascii="Arial" w:hAnsi="Arial"/>
                <w:b w:val="0"/>
                <w:sz w:val="11"/>
              </w:rPr>
              <w:t>Human Role to MAS Responsibility Mapping</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Role semantics appear explicit; IBM: Governance workflows may support role mapping; Others: Adjacent capabilities may exist but not lifecycle-specific. All provisional pending Phase 1C revalidation</w:t>
            </w:r>
          </w:p>
        </w:tc>
      </w:tr>
      <w:tr>
        <w:trPr>
          <w:cantSplit/>
        </w:trPr>
        <w:tc>
          <w:tcPr>
            <w:tcW w:type="dxa" w:w="1309"/>
            <w:vAlign w:val="top"/>
          </w:tcPr>
          <w:p>
            <w:pPr>
              <w:spacing w:after="0"/>
              <w:jc w:val="left"/>
            </w:pPr>
            <w:r>
              <w:rPr>
                <w:rFonts w:ascii="Arial" w:hAnsi="Arial"/>
                <w:b w:val="0"/>
                <w:sz w:val="11"/>
              </w:rPr>
              <w:t>MRO-02</w:t>
            </w:r>
          </w:p>
        </w:tc>
        <w:tc>
          <w:tcPr>
            <w:tcW w:type="dxa" w:w="1309"/>
            <w:vAlign w:val="top"/>
          </w:tcPr>
          <w:p>
            <w:pPr>
              <w:spacing w:after="0"/>
              <w:jc w:val="left"/>
            </w:pPr>
            <w:r>
              <w:rPr>
                <w:rFonts w:ascii="Arial" w:hAnsi="Arial"/>
                <w:b w:val="0"/>
                <w:sz w:val="11"/>
              </w:rPr>
              <w:t>Delegated Authority Boundary</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Authority boundary semantics appear explicit; AWS: Guardrails may provide boundary enforcement; Others: Access control ≠ authority boundary. All provisional pending Phase 1C revalidation</w:t>
            </w:r>
          </w:p>
        </w:tc>
      </w:tr>
      <w:tr>
        <w:trPr>
          <w:cantSplit/>
        </w:trPr>
        <w:tc>
          <w:tcPr>
            <w:tcW w:type="dxa" w:w="1309"/>
            <w:vAlign w:val="top"/>
          </w:tcPr>
          <w:p>
            <w:pPr>
              <w:spacing w:after="0"/>
              <w:jc w:val="left"/>
            </w:pPr>
            <w:r>
              <w:rPr>
                <w:rFonts w:ascii="Arial" w:hAnsi="Arial"/>
                <w:b w:val="0"/>
                <w:sz w:val="11"/>
              </w:rPr>
              <w:t>MRO-03</w:t>
            </w:r>
          </w:p>
        </w:tc>
        <w:tc>
          <w:tcPr>
            <w:tcW w:type="dxa" w:w="1309"/>
            <w:vAlign w:val="top"/>
          </w:tcPr>
          <w:p>
            <w:pPr>
              <w:spacing w:after="0"/>
              <w:jc w:val="left"/>
            </w:pPr>
            <w:r>
              <w:rPr>
                <w:rFonts w:ascii="Arial" w:hAnsi="Arial"/>
                <w:b w:val="0"/>
                <w:sz w:val="11"/>
              </w:rPr>
              <w:t>Agent Role is not Human Role</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MPLP: Role distinction appears explicit; IBM: Governance workflows may distinguish roles; CrewAI: Agent role labels exist but ≠ accountability roles. All provisional pending Phase 1C revalidation</w:t>
            </w:r>
          </w:p>
        </w:tc>
      </w:tr>
      <w:tr>
        <w:trPr>
          <w:cantSplit/>
        </w:trPr>
        <w:tc>
          <w:tcPr>
            <w:tcW w:type="dxa" w:w="1309"/>
            <w:vAlign w:val="top"/>
          </w:tcPr>
          <w:p>
            <w:pPr>
              <w:spacing w:after="0"/>
              <w:jc w:val="left"/>
            </w:pPr>
            <w:r>
              <w:rPr>
                <w:rFonts w:ascii="Arial" w:hAnsi="Arial"/>
                <w:b w:val="0"/>
                <w:sz w:val="11"/>
              </w:rPr>
              <w:t>MRO-04</w:t>
            </w:r>
          </w:p>
        </w:tc>
        <w:tc>
          <w:tcPr>
            <w:tcW w:type="dxa" w:w="1309"/>
            <w:vAlign w:val="top"/>
          </w:tcPr>
          <w:p>
            <w:pPr>
              <w:spacing w:after="0"/>
              <w:jc w:val="left"/>
            </w:pPr>
            <w:r>
              <w:rPr>
                <w:rFonts w:ascii="Arial" w:hAnsi="Arial"/>
                <w:b w:val="0"/>
                <w:sz w:val="11"/>
              </w:rPr>
              <w:t>Accepted Outcome Compliance</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Confirm semantics appear explicit; IBM: Approval workflows may exist; Others: Task completion ≠ accepted outcome. All provisional pending Phase 1C revalidation</w:t>
            </w:r>
          </w:p>
        </w:tc>
      </w:tr>
      <w:tr>
        <w:trPr>
          <w:cantSplit/>
        </w:trPr>
        <w:tc>
          <w:tcPr>
            <w:tcW w:type="dxa" w:w="1309"/>
            <w:vAlign w:val="top"/>
          </w:tcPr>
          <w:p>
            <w:pPr>
              <w:spacing w:after="0"/>
              <w:jc w:val="left"/>
            </w:pPr>
            <w:r>
              <w:rPr>
                <w:rFonts w:ascii="Arial" w:hAnsi="Arial"/>
                <w:b w:val="0"/>
                <w:sz w:val="11"/>
              </w:rPr>
              <w:t>MRO-05</w:t>
            </w:r>
          </w:p>
        </w:tc>
        <w:tc>
          <w:tcPr>
            <w:tcW w:type="dxa" w:w="1309"/>
            <w:vAlign w:val="top"/>
          </w:tcPr>
          <w:p>
            <w:pPr>
              <w:spacing w:after="0"/>
              <w:jc w:val="left"/>
            </w:pPr>
            <w:r>
              <w:rPr>
                <w:rFonts w:ascii="Arial" w:hAnsi="Arial"/>
                <w:b w:val="0"/>
                <w:sz w:val="11"/>
              </w:rPr>
              <w:t>Tool-Action Liability Boundary</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Tool-action semantics appear explicit; AWS: Guardrails may provide tool-action controls; Others: Tool calling ≠ liability boundary. All provisional pending Phase 1C revalidation</w:t>
            </w:r>
          </w:p>
        </w:tc>
      </w:tr>
      <w:tr>
        <w:trPr>
          <w:cantSplit/>
        </w:trPr>
        <w:tc>
          <w:tcPr>
            <w:tcW w:type="dxa" w:w="1309"/>
            <w:vAlign w:val="top"/>
          </w:tcPr>
          <w:p>
            <w:pPr>
              <w:spacing w:after="0"/>
              <w:jc w:val="left"/>
            </w:pPr>
            <w:r>
              <w:rPr>
                <w:rFonts w:ascii="Arial" w:hAnsi="Arial"/>
                <w:b w:val="0"/>
                <w:sz w:val="11"/>
              </w:rPr>
              <w:t>MRO-06</w:t>
            </w:r>
          </w:p>
        </w:tc>
        <w:tc>
          <w:tcPr>
            <w:tcW w:type="dxa" w:w="1309"/>
            <w:vAlign w:val="top"/>
          </w:tcPr>
          <w:p>
            <w:pPr>
              <w:spacing w:after="0"/>
              <w:jc w:val="left"/>
            </w:pPr>
            <w:r>
              <w:rPr>
                <w:rFonts w:ascii="Arial" w:hAnsi="Arial"/>
                <w:b w:val="0"/>
                <w:sz w:val="11"/>
              </w:rPr>
              <w:t>Responsibility Transfer Across Agents</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MPLP: Handoff semantics appear explicit; LangGraph: Orchestration may support handoff; Others: Handoff ≠ responsibility transfer. All provisional pending Phase 1C revalidation</w:t>
            </w:r>
          </w:p>
        </w:tc>
      </w:tr>
      <w:tr>
        <w:trPr>
          <w:cantSplit/>
        </w:trPr>
        <w:tc>
          <w:tcPr>
            <w:tcW w:type="dxa" w:w="1309"/>
            <w:vAlign w:val="top"/>
          </w:tcPr>
          <w:p>
            <w:pPr>
              <w:spacing w:after="0"/>
              <w:jc w:val="left"/>
            </w:pPr>
            <w:r>
              <w:rPr>
                <w:rFonts w:ascii="Arial" w:hAnsi="Arial"/>
                <w:b w:val="0"/>
                <w:sz w:val="11"/>
              </w:rPr>
              <w:t>MRO-07</w:t>
            </w:r>
          </w:p>
        </w:tc>
        <w:tc>
          <w:tcPr>
            <w:tcW w:type="dxa" w:w="1309"/>
            <w:vAlign w:val="top"/>
          </w:tcPr>
          <w:p>
            <w:pPr>
              <w:spacing w:after="0"/>
              <w:jc w:val="left"/>
            </w:pPr>
            <w:r>
              <w:rPr>
                <w:rFonts w:ascii="Arial" w:hAnsi="Arial"/>
                <w:b w:val="0"/>
                <w:sz w:val="11"/>
              </w:rPr>
              <w:t>Authority Drift</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Drift detection semantics appear explicit; IBM: Model monitoring may detect drift; Others: Monitoring ≠ authority drift detection. All provisional pending Phase 1C revalidation</w:t>
            </w:r>
          </w:p>
        </w:tc>
      </w:tr>
      <w:tr>
        <w:trPr>
          <w:cantSplit/>
        </w:trPr>
        <w:tc>
          <w:tcPr>
            <w:tcW w:type="dxa" w:w="1309"/>
            <w:vAlign w:val="top"/>
          </w:tcPr>
          <w:p>
            <w:pPr>
              <w:spacing w:after="0"/>
              <w:jc w:val="left"/>
            </w:pPr>
            <w:r>
              <w:rPr>
                <w:rFonts w:ascii="Arial" w:hAnsi="Arial"/>
                <w:b w:val="0"/>
                <w:sz w:val="11"/>
              </w:rPr>
              <w:t>MRO-08</w:t>
            </w:r>
          </w:p>
        </w:tc>
        <w:tc>
          <w:tcPr>
            <w:tcW w:type="dxa" w:w="1309"/>
            <w:vAlign w:val="top"/>
          </w:tcPr>
          <w:p>
            <w:pPr>
              <w:spacing w:after="0"/>
              <w:jc w:val="left"/>
            </w:pPr>
            <w:r>
              <w:rPr>
                <w:rFonts w:ascii="Arial" w:hAnsi="Arial"/>
                <w:b w:val="0"/>
                <w:sz w:val="11"/>
              </w:rPr>
              <w:t>MAS Evidence Partitioning</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Evidence partitioning semantics appear explicit; IBM: Audit trail partitioning may exist; LangSmith: Trace partitioning may exist; Others: Logs ≠ partitioned evidence. All provisional pending Phase 1C revalidation</w:t>
            </w:r>
          </w:p>
        </w:tc>
      </w:tr>
      <w:tr>
        <w:trPr>
          <w:cantSplit/>
        </w:trPr>
        <w:tc>
          <w:tcPr>
            <w:tcW w:type="dxa" w:w="1309"/>
            <w:vAlign w:val="top"/>
          </w:tcPr>
          <w:p>
            <w:pPr>
              <w:spacing w:after="0"/>
              <w:jc w:val="left"/>
            </w:pPr>
            <w:r>
              <w:rPr>
                <w:rFonts w:ascii="Arial" w:hAnsi="Arial"/>
                <w:b w:val="0"/>
                <w:sz w:val="11"/>
              </w:rPr>
              <w:t>MRO-09</w:t>
            </w:r>
          </w:p>
        </w:tc>
        <w:tc>
          <w:tcPr>
            <w:tcW w:type="dxa" w:w="1309"/>
            <w:vAlign w:val="top"/>
          </w:tcPr>
          <w:p>
            <w:pPr>
              <w:spacing w:after="0"/>
              <w:jc w:val="left"/>
            </w:pPr>
            <w:r>
              <w:rPr>
                <w:rFonts w:ascii="Arial" w:hAnsi="Arial"/>
                <w:b w:val="0"/>
                <w:sz w:val="11"/>
              </w:rPr>
              <w:t>Cross-Project Reuse Compliance</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Reuse validation semantics appear explicit; Others: Reuse ≠ reuse compliance validation. All provisional pending Phase 1C revalidation</w:t>
            </w:r>
          </w:p>
        </w:tc>
      </w:tr>
      <w:tr>
        <w:trPr>
          <w:cantSplit/>
        </w:trPr>
        <w:tc>
          <w:tcPr>
            <w:tcW w:type="dxa" w:w="1309"/>
            <w:vAlign w:val="top"/>
          </w:tcPr>
          <w:p>
            <w:pPr>
              <w:spacing w:after="0"/>
              <w:jc w:val="left"/>
            </w:pPr>
            <w:r>
              <w:rPr>
                <w:rFonts w:ascii="Arial" w:hAnsi="Arial"/>
                <w:b w:val="0"/>
                <w:sz w:val="11"/>
              </w:rPr>
              <w:t>MRO-10</w:t>
            </w:r>
          </w:p>
        </w:tc>
        <w:tc>
          <w:tcPr>
            <w:tcW w:type="dxa" w:w="1309"/>
            <w:vAlign w:val="top"/>
          </w:tcPr>
          <w:p>
            <w:pPr>
              <w:spacing w:after="0"/>
              <w:jc w:val="left"/>
            </w:pPr>
            <w:r>
              <w:rPr>
                <w:rFonts w:ascii="Arial" w:hAnsi="Arial"/>
                <w:b w:val="0"/>
                <w:sz w:val="11"/>
              </w:rPr>
              <w:t>Privacy / GDPR Lifecycle Mapping</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Privacy lifecycle semantics appear explicit; IBM/Microsoft/Google: Data governance workflows may exist; Others: Data governance ≠ lifecycle privacy mapping. All provisional pending Phase 1C revalidation</w:t>
            </w:r>
          </w:p>
        </w:tc>
      </w:tr>
      <w:tr>
        <w:trPr>
          <w:cantSplit/>
        </w:trPr>
        <w:tc>
          <w:tcPr>
            <w:tcW w:type="dxa" w:w="1309"/>
            <w:vAlign w:val="top"/>
          </w:tcPr>
          <w:p>
            <w:pPr>
              <w:spacing w:after="0"/>
              <w:jc w:val="left"/>
            </w:pPr>
            <w:r>
              <w:rPr>
                <w:rFonts w:ascii="Arial" w:hAnsi="Arial"/>
                <w:b w:val="0"/>
                <w:sz w:val="11"/>
              </w:rPr>
              <w:t>MRO-11</w:t>
            </w:r>
          </w:p>
        </w:tc>
        <w:tc>
          <w:tcPr>
            <w:tcW w:type="dxa" w:w="1309"/>
            <w:vAlign w:val="top"/>
          </w:tcPr>
          <w:p>
            <w:pPr>
              <w:spacing w:after="0"/>
              <w:jc w:val="left"/>
            </w:pPr>
            <w:r>
              <w:rPr>
                <w:rFonts w:ascii="Arial" w:hAnsi="Arial"/>
                <w:b w:val="0"/>
                <w:sz w:val="11"/>
              </w:rPr>
              <w:t>Privacy-Preserving Third-Party Validation</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Validation semantics appear explicit; Others: Validation ≠ privacy-preserving validation protocol. All provisional pending Phase 1C revalidation</w:t>
            </w:r>
          </w:p>
        </w:tc>
      </w:tr>
      <w:tr>
        <w:trPr>
          <w:cantSplit/>
        </w:trPr>
        <w:tc>
          <w:tcPr>
            <w:tcW w:type="dxa" w:w="1309"/>
            <w:vAlign w:val="top"/>
          </w:tcPr>
          <w:p>
            <w:pPr>
              <w:spacing w:after="0"/>
              <w:jc w:val="left"/>
            </w:pPr>
            <w:r>
              <w:rPr>
                <w:rFonts w:ascii="Arial" w:hAnsi="Arial"/>
                <w:b w:val="0"/>
                <w:sz w:val="11"/>
              </w:rPr>
              <w:t>MRO-12</w:t>
            </w:r>
          </w:p>
        </w:tc>
        <w:tc>
          <w:tcPr>
            <w:tcW w:type="dxa" w:w="1309"/>
            <w:vAlign w:val="top"/>
          </w:tcPr>
          <w:p>
            <w:pPr>
              <w:spacing w:after="0"/>
              <w:jc w:val="left"/>
            </w:pPr>
            <w:r>
              <w:rPr>
                <w:rFonts w:ascii="Arial" w:hAnsi="Arial"/>
                <w:b w:val="0"/>
                <w:sz w:val="11"/>
              </w:rPr>
              <w:t>Evidence Minimization and Selective Disclosure</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Selective disclosure semantics appear explicit; IBM: Evidence export with minimization may exist; Others: Data export ≠ selective disclosure. All provisional pending Phase 1C revalidation</w:t>
            </w:r>
          </w:p>
        </w:tc>
      </w:tr>
      <w:tr>
        <w:trPr>
          <w:cantSplit/>
        </w:trPr>
        <w:tc>
          <w:tcPr>
            <w:tcW w:type="dxa" w:w="1309"/>
            <w:vAlign w:val="top"/>
          </w:tcPr>
          <w:p>
            <w:pPr>
              <w:spacing w:after="0"/>
              <w:jc w:val="left"/>
            </w:pPr>
            <w:r>
              <w:rPr>
                <w:rFonts w:ascii="Arial" w:hAnsi="Arial"/>
                <w:b w:val="0"/>
                <w:sz w:val="11"/>
              </w:rPr>
              <w:t>MRO-13</w:t>
            </w:r>
          </w:p>
        </w:tc>
        <w:tc>
          <w:tcPr>
            <w:tcW w:type="dxa" w:w="1309"/>
            <w:vAlign w:val="top"/>
          </w:tcPr>
          <w:p>
            <w:pPr>
              <w:spacing w:after="0"/>
              <w:jc w:val="left"/>
            </w:pPr>
            <w:r>
              <w:rPr>
                <w:rFonts w:ascii="Arial" w:hAnsi="Arial"/>
                <w:b w:val="0"/>
                <w:sz w:val="11"/>
              </w:rPr>
              <w:t>Data Subject Rights vs Evidence Retention</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Retention reconciliation semantics appear explicit; IBM/Microsoft/Google: Data subject rights workflows may exist; Others: Data retention ≠ evidence retention reconciliation. All provisional pending Phase 1C revalidation</w:t>
            </w:r>
          </w:p>
        </w:tc>
      </w:tr>
      <w:tr>
        <w:trPr>
          <w:cantSplit/>
        </w:trPr>
        <w:tc>
          <w:tcPr>
            <w:tcW w:type="dxa" w:w="1309"/>
            <w:vAlign w:val="top"/>
          </w:tcPr>
          <w:p>
            <w:pPr>
              <w:spacing w:after="0"/>
              <w:jc w:val="left"/>
            </w:pPr>
            <w:r>
              <w:rPr>
                <w:rFonts w:ascii="Arial" w:hAnsi="Arial"/>
                <w:b w:val="0"/>
                <w:sz w:val="11"/>
              </w:rPr>
              <w:t>MRO-14</w:t>
            </w:r>
          </w:p>
        </w:tc>
        <w:tc>
          <w:tcPr>
            <w:tcW w:type="dxa" w:w="1309"/>
            <w:vAlign w:val="top"/>
          </w:tcPr>
          <w:p>
            <w:pPr>
              <w:spacing w:after="0"/>
              <w:jc w:val="left"/>
            </w:pPr>
            <w:r>
              <w:rPr>
                <w:rFonts w:ascii="Arial" w:hAnsi="Arial"/>
                <w:b w:val="0"/>
                <w:sz w:val="11"/>
              </w:rPr>
              <w:t>Third-Party Processor / Subprocessor Chain</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IBM/Microsoft/AWS/Google: Processor chain documentation may exist; MPLP: Network semantics may support but require integration; Others: Processor chain ≠ responsibility chain. All provisional pending Phase 1C revalidation</w:t>
            </w:r>
          </w:p>
        </w:tc>
      </w:tr>
      <w:tr>
        <w:trPr>
          <w:cantSplit/>
        </w:trPr>
        <w:tc>
          <w:tcPr>
            <w:tcW w:type="dxa" w:w="1309"/>
            <w:vAlign w:val="top"/>
          </w:tcPr>
          <w:p>
            <w:pPr>
              <w:spacing w:after="0"/>
              <w:jc w:val="left"/>
            </w:pPr>
            <w:r>
              <w:rPr>
                <w:rFonts w:ascii="Arial" w:hAnsi="Arial"/>
                <w:b w:val="0"/>
                <w:sz w:val="11"/>
              </w:rPr>
              <w:t>MRO-15</w:t>
            </w:r>
          </w:p>
        </w:tc>
        <w:tc>
          <w:tcPr>
            <w:tcW w:type="dxa" w:w="1309"/>
            <w:vAlign w:val="top"/>
          </w:tcPr>
          <w:p>
            <w:pPr>
              <w:spacing w:after="0"/>
              <w:jc w:val="left"/>
            </w:pPr>
            <w:r>
              <w:rPr>
                <w:rFonts w:ascii="Arial" w:hAnsi="Arial"/>
                <w:b w:val="0"/>
                <w:sz w:val="11"/>
              </w:rPr>
              <w:t>Vendor / Model / Runtime Substitution Conformance</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Substitution conformance semantics appear explicit; IBM: Model version management may exist; Others: Model substitution ≠ conformance validation. All provisional pending Phase 1C revalidation</w:t>
            </w:r>
          </w:p>
        </w:tc>
      </w:tr>
      <w:tr>
        <w:trPr>
          <w:cantSplit/>
        </w:trPr>
        <w:tc>
          <w:tcPr>
            <w:tcW w:type="dxa" w:w="1309"/>
            <w:vAlign w:val="top"/>
          </w:tcPr>
          <w:p>
            <w:pPr>
              <w:spacing w:after="0"/>
              <w:jc w:val="left"/>
            </w:pPr>
            <w:r>
              <w:rPr>
                <w:rFonts w:ascii="Arial" w:hAnsi="Arial"/>
                <w:b w:val="0"/>
                <w:sz w:val="11"/>
              </w:rPr>
              <w:t>MRO-16</w:t>
            </w:r>
          </w:p>
        </w:tc>
        <w:tc>
          <w:tcPr>
            <w:tcW w:type="dxa" w:w="1309"/>
            <w:vAlign w:val="top"/>
          </w:tcPr>
          <w:p>
            <w:pPr>
              <w:spacing w:after="0"/>
              <w:jc w:val="left"/>
            </w:pPr>
            <w:r>
              <w:rPr>
                <w:rFonts w:ascii="Arial" w:hAnsi="Arial"/>
                <w:b w:val="0"/>
                <w:sz w:val="11"/>
              </w:rPr>
              <w:t>Incident, Dispute, and Remediation Closure</w:t>
            </w:r>
          </w:p>
        </w:tc>
        <w:tc>
          <w:tcPr>
            <w:tcW w:type="dxa" w:w="1309"/>
            <w:vAlign w:val="top"/>
          </w:tcPr>
          <w:p>
            <w:pPr>
              <w:spacing w:after="0"/>
              <w:jc w:val="left"/>
            </w:pPr>
            <w:r>
              <w:rPr>
                <w:rFonts w:ascii="Arial" w:hAnsi="Arial"/>
                <w:b w:val="0"/>
                <w:sz w:val="11"/>
              </w:rPr>
              <w:t>Strong object-level mapping (provisional)</w:t>
            </w:r>
          </w:p>
        </w:tc>
        <w:tc>
          <w:tcPr>
            <w:tcW w:type="dxa" w:w="1309"/>
            <w:vAlign w:val="top"/>
          </w:tcPr>
          <w:p>
            <w:pPr>
              <w:spacing w:after="0"/>
              <w:jc w:val="left"/>
            </w:pPr>
            <w:r>
              <w:rPr>
                <w:rFonts w:ascii="Arial" w:hAnsi="Arial"/>
                <w:b w:val="0"/>
                <w:sz w:val="11"/>
              </w:rPr>
              <w:t>Strong workflow/feature mapping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Partial or adjacent capability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Weak or implementer-built only (provisional)</w:t>
            </w:r>
          </w:p>
        </w:tc>
        <w:tc>
          <w:tcPr>
            <w:tcW w:type="dxa" w:w="1309"/>
            <w:vAlign w:val="top"/>
          </w:tcPr>
          <w:p>
            <w:pPr>
              <w:spacing w:after="0"/>
              <w:jc w:val="left"/>
            </w:pPr>
            <w:r>
              <w:rPr>
                <w:rFonts w:ascii="Arial" w:hAnsi="Arial"/>
                <w:b w:val="0"/>
                <w:sz w:val="11"/>
              </w:rPr>
              <w:t>MPLP: Closure semantics appear explicit; IBM: Incident management workflows may exist; Others: Incident response ≠ remediation closure with lifecycle evidence. All provisional pending Phase 1C revalidation</w:t>
            </w:r>
          </w:p>
        </w:tc>
      </w:tr>
    </w:tbl>
    <w:p>
      <w:pPr>
        <w:sectPr>
          <w:pgSz w:w="15840" w:h="12240" w:orient="landscape"/>
          <w:pgMar w:top="792" w:right="648" w:bottom="792" w:left="648" w:header="720" w:footer="720" w:gutter="0"/>
          <w:cols w:space="720"/>
          <w:docGrid w:linePitch="360"/>
        </w:sectPr>
      </w:pPr>
    </w:p>
    <w:p/>
    <w:p/>
    <w:p>
      <w:pPr>
        <w:pStyle w:val="Heading2"/>
      </w:pPr>
      <w:r>
        <w:t>D.3 Pattern-Level Interpretation</w:t>
      </w:r>
    </w:p>
    <w:p/>
    <w:p>
      <w:r>
        <w:t>The expanded MRO mapping reveals several provisional patterns across system categories. All mappings remain revalidated provisional after Phase 1C claim-level source binding.</w:t>
      </w:r>
    </w:p>
    <w:p/>
    <w:p>
      <w:r>
        <w:t>Pattern 1: Lifecycle protocol paths (MPLP) provisionally show strong object-level mapping across most MROs.</w:t>
      </w:r>
    </w:p>
    <w:p/>
    <w:p>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
      <w:r>
        <w:t>Pattern 2: Enterprise AI governance platforms (IBM watsonx.governance) provisionally show strong workflow/feature mapping across governance-related MROs.</w:t>
      </w:r>
    </w:p>
    <w:p/>
    <w:p>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
      <w:r>
        <w:t>Pattern 3: Cloud AI platforms (Microsoft, AWS, Google) provisionally show strong workflow/feature mapping for data governance and processor chain MROs, but partial or adjacent capability for lifecycle-specific MROs.</w:t>
      </w:r>
    </w:p>
    <w:p/>
    <w:p>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
      <w:r>
        <w:t>Pattern 4: Agent orchestration frameworks (LangGraph/LangSmith) provisionally show strong workflow/feature mapping for evidence partitioning and responsibility transfer, but partial or adjacent capability for other MROs.</w:t>
      </w:r>
    </w:p>
    <w:p/>
    <w:p>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
      <w:r>
        <w:t>Pattern 5: Developer agent SDKs (OpenAI Agents SDK, CrewAI) provisionally show weak or implementer-built only for most MROs.</w:t>
      </w:r>
    </w:p>
    <w:p/>
    <w:p>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
      <w:r>
        <w:t>Pattern 6: The field gap is not lack of AI tools. The field gap is lack of explicit lifecycle responsibility objects.</w:t>
      </w:r>
    </w:p>
    <w:p/>
    <w:p>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
    <w:p>
      <w:pPr>
        <w:pStyle w:val="Heading2"/>
      </w:pPr>
      <w:r>
        <w:t>D.4 Phase 1C Claim-Level Source Binding Note</w:t>
      </w:r>
    </w:p>
    <w:p/>
    <w:p>
      <w:r>
        <w:t>This appendix is based on public product documentation and protocol specifications available as of the white paper publication date. Phase 1C follow-up completed source-entry and claim-disposition review for Appendix D. Remaining finalization work is to:</w:t>
      </w:r>
    </w:p>
    <w:p/>
    <w:p>
      <w:r>
        <w:t>1. Pin exact page-level citations for high-risk MRO cell claims where needed</w:t>
      </w:r>
    </w:p>
    <w:p>
      <w:r>
        <w:t>2. Preserve L5 analytical status for MRO mappings not directly stated in official documentation</w:t>
      </w:r>
    </w:p>
    <w:p>
      <w:r>
        <w:t>3. Retain provisional wording for all cross-system cells until publication approval</w:t>
      </w:r>
    </w:p>
    <w:p>
      <w:r>
        <w:t>4. Verify all qualitative mapping values during final proofing</w:t>
      </w:r>
    </w:p>
    <w:p>
      <w:r>
        <w:t>5. Mark uncertain mappings as source-support unresolved if exact page-level support cannot be pinned</w:t>
      </w:r>
    </w:p>
    <w:p/>
    <w:p>
      <w:r>
        <w:t>Phase 1D wide-table evaluation: Table T-D-01 is very wide (10 columns) and may require splitting, rotation, or alternative layout for readability in DOCX/PDF format.</w:t>
      </w:r>
    </w:p>
    <w:p/>
    <w:p/>
    <w:p>
      <w:r>
        <w:t>End of Appendix D</w:t>
      </w:r>
    </w:p>
    <w:p/>
    <w:p>
      <w:r>
        <w:t>Appendix D Status: REVALIDATED PROVISIONAL (Phase 1C Follow-up) — Expanded Cross-System MRO Mapping complete; official source entry points located and claim-level source binding recorded in the claim evidence register; cell-level mappings remain provisional/L5 where exact lifecycle-object support is not directly pinned; Phase 1D wide-table rendering QA required for T-D-01.</w:t>
      </w:r>
    </w:p>
    <w:p>
      <w:pPr>
        <w:pStyle w:val="Heading1"/>
      </w:pPr>
      <w:r>
        <w:t>Appendix E — RCCS Detailed Scoring Rubrics</w:t>
      </w:r>
    </w:p>
    <w:p/>
    <w:p>
      <w:r>
        <w:t>Version: v0.3.2-FRC-R3</w:t>
      </w:r>
    </w:p>
    <w:p>
      <w:r>
        <w:t>Status: Reconstructed from v0.3.1 semantic base</w:t>
      </w:r>
    </w:p>
    <w:p>
      <w:r>
        <w:t>Phase: 1B-9</w:t>
      </w:r>
    </w:p>
    <w:p/>
    <w:p/>
    <w:p>
      <w:pPr>
        <w:pStyle w:val="Heading2"/>
      </w:pPr>
      <w:r>
        <w:t>E.0 RCCS Rubric Boundary</w:t>
      </w:r>
    </w:p>
    <w:p/>
    <w:p>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
      <w:r>
        <w:t>Boundary statement:</w:t>
      </w:r>
    </w:p>
    <w:p/>
    <w:p>
      <w:pPr>
        <w:pStyle w:val="ListBullet"/>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
      <w:pPr>
        <w:pStyle w:val="ListBullet"/>
      </w:pPr>
      <w:r>
        <w:t>High RCCS scores do not prove legal compliance. A high RCCS score indicates that a system provides primitives for regulatory compliance coverage. It does not prove that the system is legally compliant, operationally effective, or enterprise-ready.</w:t>
      </w:r>
    </w:p>
    <w:p/>
    <w:p>
      <w:pPr>
        <w:pStyle w:val="ListBullet"/>
      </w:pPr>
      <w:r>
        <w:t>Low RCCS scores do not prove non-compliance. A low RCCS score indicates gaps in regulatory compliance coverage primitives. It does not prove that the system is non-compliant, unsafe, or unsuitable for deployment.</w:t>
      </w:r>
    </w:p>
    <w:p/>
    <w:p>
      <w:pPr>
        <w:pStyle w:val="ListBullet"/>
      </w:pPr>
      <w:r>
        <w:t>RCCS scores are context-independent. RCCS scores measure system capability, not organizational practice. Organizations must interpret scores within their legal, regulatory, and operational context.</w:t>
      </w:r>
    </w:p>
    <w:p/>
    <w:p>
      <w:pPr>
        <w:pStyle w:val="ListBullet"/>
      </w:pPr>
      <w:r>
        <w:t>RCCS scores require evidence. All scores must be supported by evidence. The evidence level (L1-L5) affects the score multiplier using the canonical formula from Phase 1B-8C.</w:t>
      </w:r>
    </w:p>
    <w:p/>
    <w:p>
      <w:pPr>
        <w:pStyle w:val="ListBullet"/>
      </w:pPr>
      <w:r>
        <w:t>RCCS scores are not product rankings. Rubrics compare systems by regulatory compliance coverage primitives, not product quality, market leadership, or procurement suitability.</w:t>
      </w:r>
    </w:p>
    <w:p/>
    <w:p/>
    <w:p>
      <w:pPr>
        <w:pStyle w:val="Heading2"/>
      </w:pPr>
      <w:r>
        <w:t>E.1 How to Use RCCS Rubrics</w:t>
      </w:r>
    </w:p>
    <w:p/>
    <w:p>
      <w:r>
        <w:t>Scoring process:</w:t>
      </w:r>
    </w:p>
    <w:p/>
    <w:p>
      <w:r>
        <w:t>1. Assess raw capability (0-5) based on system capability against the rubric</w:t>
      </w:r>
    </w:p>
    <w:p>
      <w:r>
        <w:t>2. Identify evidence level (L1-L5) based on source type</w:t>
      </w:r>
    </w:p>
    <w:p>
      <w:r>
        <w:t>3. Apply evidence multiplier using canonical formula: Dimension Score = (Raw Score / 5) × 100 × Evidence Confidence Multiplier</w:t>
      </w:r>
    </w:p>
    <w:p>
      <w:r>
        <w:t>4. Document justification explaining why the raw score and evidence level were assigned</w:t>
      </w:r>
    </w:p>
    <w:p>
      <w:r>
        <w:t>5. Add boundary note clarifying what the score does and does not prove</w:t>
      </w:r>
    </w:p>
    <w:p/>
    <w:p>
      <w:r>
        <w:t>Canonical evidence multipliers (from Phase 1B-8C):</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r>
        <w:t>Scoring scale:</w:t>
      </w:r>
    </w:p>
    <w:p/>
    <w:p>
      <w:pPr>
        <w:pStyle w:val="ListBullet"/>
      </w:pPr>
      <w:r>
        <w:t>0: No capability; no evidence</w:t>
      </w:r>
    </w:p>
    <w:p>
      <w:pPr>
        <w:pStyle w:val="ListBullet"/>
      </w:pPr>
      <w:r>
        <w:t>1: Minimal capability; weak evidence</w:t>
      </w:r>
    </w:p>
    <w:p>
      <w:pPr>
        <w:pStyle w:val="ListBullet"/>
      </w:pPr>
      <w:r>
        <w:t>2: Partial capability; some evidence</w:t>
      </w:r>
    </w:p>
    <w:p>
      <w:pPr>
        <w:pStyle w:val="ListBullet"/>
      </w:pPr>
      <w:r>
        <w:t>3: Moderate capability; documented evidence</w:t>
      </w:r>
    </w:p>
    <w:p>
      <w:pPr>
        <w:pStyle w:val="ListBullet"/>
      </w:pPr>
      <w:r>
        <w:t>4: Strong capability; validated evidence</w:t>
      </w:r>
    </w:p>
    <w:p>
      <w:pPr>
        <w:pStyle w:val="ListBullet"/>
      </w:pPr>
      <w:r>
        <w:t>5: Complete capability demonstrated by implementation evidence, formal audit evidence, protocol-level evidence, or validated operational artifacts. Legal text may establish a regulatory baseline but does not by itself prove implementation.</w:t>
      </w:r>
    </w:p>
    <w:p/>
    <w:p>
      <w:r>
        <w:t>Negative controls:</w:t>
      </w:r>
    </w:p>
    <w:p/>
    <w:p>
      <w:r>
        <w:t>Each rubric includes negative controls to prevent overclaim. Negative controls distinguish adjacent capabilities from regulatory compliance coverage primitives.</w:t>
      </w:r>
    </w:p>
    <w:p/>
    <w:p/>
    <w:p>
      <w:pPr>
        <w:pStyle w:val="Heading2"/>
      </w:pPr>
      <w:r>
        <w:t>E.2 RCCS Detailed Rubrics</w:t>
      </w:r>
    </w:p>
    <w:p/>
    <w:p>
      <w:pPr>
        <w:pStyle w:val="Heading3"/>
      </w:pPr>
      <w:r>
        <w:t>RCCS-01: Risk Management</w:t>
      </w:r>
    </w:p>
    <w:p/>
    <w:p>
      <w:r>
        <w:t>Core question: Does the system provide primitives for AI risk identification, assessment, mitigation, and monitoring?</w:t>
      </w:r>
    </w:p>
    <w:p/>
    <w:p>
      <w:r>
        <w:t>What counts: Risk assessment frameworks, risk registers, risk mitigation controls, risk monitoring dashboards, risk escalation workflows</w:t>
      </w:r>
    </w:p>
    <w:p/>
    <w:p>
      <w:r>
        <w:t>What does not count: General software risk management, non-AI-specific risk controls, risk management without AI lifecycle integration</w:t>
      </w:r>
    </w:p>
    <w:p/>
    <w:p>
      <w:pPr>
        <w:keepNext/>
      </w:pPr>
      <w:r>
        <w:rPr>
          <w:b/>
          <w:sz w:val="17"/>
        </w:rPr>
        <w:t>Table T-E-01: RCCS-01 Risk Management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risk management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risk assessment, no risk register, no risk controls</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risk management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risk management</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Risk management mentioned in marketing docs but no implementation details</w:t>
            </w:r>
          </w:p>
        </w:tc>
        <w:tc>
          <w:tcPr>
            <w:tcW w:type="dxa" w:w="2400"/>
            <w:vAlign w:val="top"/>
          </w:tcPr>
          <w:p>
            <w:pPr>
              <w:spacing w:after="0"/>
              <w:jc w:val="left"/>
            </w:pPr>
            <w:r>
              <w:rPr>
                <w:rFonts w:ascii="Arial" w:hAnsi="Arial"/>
                <w:b w:val="0"/>
                <w:sz w:val="11"/>
              </w:rPr>
              <w:t>Risk management mentioned ≠ risk management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risk management</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Risk assessment template exists but no risk register or monitoring</w:t>
            </w:r>
          </w:p>
        </w:tc>
        <w:tc>
          <w:tcPr>
            <w:tcW w:type="dxa" w:w="2400"/>
            <w:vAlign w:val="top"/>
          </w:tcPr>
          <w:p>
            <w:pPr>
              <w:spacing w:after="0"/>
              <w:jc w:val="left"/>
            </w:pPr>
            <w:r>
              <w:rPr>
                <w:rFonts w:ascii="Arial" w:hAnsi="Arial"/>
                <w:b w:val="0"/>
                <w:sz w:val="11"/>
              </w:rPr>
              <w:t>Risk template ≠ risk assessment workflow</w:t>
            </w:r>
          </w:p>
        </w:tc>
        <w:tc>
          <w:tcPr>
            <w:tcW w:type="dxa" w:w="2400"/>
            <w:vAlign w:val="top"/>
          </w:tcPr>
          <w:p>
            <w:pPr>
              <w:spacing w:after="0"/>
              <w:jc w:val="left"/>
            </w:pPr>
            <w:r>
              <w:rPr>
                <w:rFonts w:ascii="Arial" w:hAnsi="Arial"/>
                <w:b w:val="0"/>
                <w:sz w:val="11"/>
              </w:rPr>
              <w:t>Partial coverage;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risk management</w:t>
            </w:r>
          </w:p>
        </w:tc>
        <w:tc>
          <w:tcPr>
            <w:tcW w:type="dxa" w:w="2400"/>
            <w:vAlign w:val="top"/>
          </w:tcPr>
          <w:p>
            <w:pPr>
              <w:spacing w:after="0"/>
              <w:jc w:val="left"/>
            </w:pPr>
            <w:r>
              <w:rPr>
                <w:rFonts w:ascii="Arial" w:hAnsi="Arial"/>
                <w:b w:val="0"/>
                <w:sz w:val="11"/>
              </w:rPr>
              <w:t>Product documentation with risk assessment and register</w:t>
            </w:r>
          </w:p>
        </w:tc>
        <w:tc>
          <w:tcPr>
            <w:tcW w:type="dxa" w:w="2400"/>
            <w:vAlign w:val="top"/>
          </w:tcPr>
          <w:p>
            <w:pPr>
              <w:spacing w:after="0"/>
              <w:jc w:val="left"/>
            </w:pPr>
            <w:r>
              <w:rPr>
                <w:rFonts w:ascii="Arial" w:hAnsi="Arial"/>
                <w:b w:val="0"/>
                <w:sz w:val="11"/>
              </w:rPr>
              <w:t>Risk assessment workflow, risk register, basic mitigation controls</w:t>
            </w:r>
          </w:p>
        </w:tc>
        <w:tc>
          <w:tcPr>
            <w:tcW w:type="dxa" w:w="2400"/>
            <w:vAlign w:val="top"/>
          </w:tcPr>
          <w:p>
            <w:pPr>
              <w:spacing w:after="0"/>
              <w:jc w:val="left"/>
            </w:pPr>
            <w:r>
              <w:rPr>
                <w:rFonts w:ascii="Arial" w:hAnsi="Arial"/>
                <w:b w:val="0"/>
                <w:sz w:val="11"/>
              </w:rPr>
              <w:t>Risk register ≠ risk monitoring or escalation</w:t>
            </w:r>
          </w:p>
        </w:tc>
        <w:tc>
          <w:tcPr>
            <w:tcW w:type="dxa" w:w="2400"/>
            <w:vAlign w:val="top"/>
          </w:tcPr>
          <w:p>
            <w:pPr>
              <w:spacing w:after="0"/>
              <w:jc w:val="left"/>
            </w:pPr>
            <w:r>
              <w:rPr>
                <w:rFonts w:ascii="Arial" w:hAnsi="Arial"/>
                <w:b w:val="0"/>
                <w:sz w:val="11"/>
              </w:rPr>
              <w:t>Moderate coverage; monitoring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risk management</w:t>
            </w:r>
          </w:p>
        </w:tc>
        <w:tc>
          <w:tcPr>
            <w:tcW w:type="dxa" w:w="2400"/>
            <w:vAlign w:val="top"/>
          </w:tcPr>
          <w:p>
            <w:pPr>
              <w:spacing w:after="0"/>
              <w:jc w:val="left"/>
            </w:pPr>
            <w:r>
              <w:rPr>
                <w:rFonts w:ascii="Arial" w:hAnsi="Arial"/>
                <w:b w:val="0"/>
                <w:sz w:val="11"/>
              </w:rPr>
              <w:t>Product documentation with risk assessment, register, mitigation, and monitoring</w:t>
            </w:r>
          </w:p>
        </w:tc>
        <w:tc>
          <w:tcPr>
            <w:tcW w:type="dxa" w:w="2400"/>
            <w:vAlign w:val="top"/>
          </w:tcPr>
          <w:p>
            <w:pPr>
              <w:spacing w:after="0"/>
              <w:jc w:val="left"/>
            </w:pPr>
            <w:r>
              <w:rPr>
                <w:rFonts w:ascii="Arial" w:hAnsi="Arial"/>
                <w:b w:val="0"/>
                <w:sz w:val="11"/>
              </w:rPr>
              <w:t>Risk assessment workflow, risk register, mitigation controls, risk monitoring dashboard</w:t>
            </w:r>
          </w:p>
        </w:tc>
        <w:tc>
          <w:tcPr>
            <w:tcW w:type="dxa" w:w="2400"/>
            <w:vAlign w:val="top"/>
          </w:tcPr>
          <w:p>
            <w:pPr>
              <w:spacing w:after="0"/>
              <w:jc w:val="left"/>
            </w:pPr>
            <w:r>
              <w:rPr>
                <w:rFonts w:ascii="Arial" w:hAnsi="Arial"/>
                <w:b w:val="0"/>
                <w:sz w:val="11"/>
              </w:rPr>
              <w:t>Risk monitoring ≠ risk escalation or continuous improvement</w:t>
            </w:r>
          </w:p>
        </w:tc>
        <w:tc>
          <w:tcPr>
            <w:tcW w:type="dxa" w:w="2400"/>
            <w:vAlign w:val="top"/>
          </w:tcPr>
          <w:p>
            <w:pPr>
              <w:spacing w:after="0"/>
              <w:jc w:val="left"/>
            </w:pPr>
            <w:r>
              <w:rPr>
                <w:rFonts w:ascii="Arial" w:hAnsi="Arial"/>
                <w:b w:val="0"/>
                <w:sz w:val="11"/>
              </w:rPr>
              <w:t>Strong coverage; escalation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capability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9 risk management system requirement;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system implementation</w:t>
            </w:r>
          </w:p>
        </w:tc>
        <w:tc>
          <w:tcPr>
            <w:tcW w:type="dxa" w:w="2400"/>
            <w:vAlign w:val="top"/>
          </w:tcPr>
          <w:p>
            <w:pPr>
              <w:spacing w:after="0"/>
              <w:jc w:val="left"/>
            </w:pPr>
            <w:r>
              <w:rPr>
                <w:rFonts w:ascii="Arial" w:hAnsi="Arial"/>
                <w:b w:val="0"/>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RCCS-02: Data Governance</w:t>
      </w:r>
    </w:p>
    <w:p/>
    <w:p>
      <w:r>
        <w:t>Core question: Does the system provide primitives for data governance including data quality, data lineage, data access control, and data retention?</w:t>
      </w:r>
    </w:p>
    <w:p/>
    <w:p>
      <w:r>
        <w:t>What counts: Data quality checks, data lineage tracking, data access control, data retention policies, data subject rights workflows</w:t>
      </w:r>
    </w:p>
    <w:p/>
    <w:p>
      <w:r>
        <w:t>What does not count: General database management, data storage without governance, data access control without lifecycle integration</w:t>
      </w:r>
    </w:p>
    <w:p/>
    <w:p>
      <w:pPr>
        <w:keepNext/>
      </w:pPr>
      <w:r>
        <w:rPr>
          <w:b/>
          <w:sz w:val="17"/>
        </w:rPr>
        <w:t>Table T-E-02: RCCS-02 Data Governance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data governance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data quality checks, no data lineage, no data access control</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data governance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data governance</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Data governance mentioned in marketing docs but no implementation details</w:t>
            </w:r>
          </w:p>
        </w:tc>
        <w:tc>
          <w:tcPr>
            <w:tcW w:type="dxa" w:w="2400"/>
            <w:vAlign w:val="top"/>
          </w:tcPr>
          <w:p>
            <w:pPr>
              <w:spacing w:after="0"/>
              <w:jc w:val="left"/>
            </w:pPr>
            <w:r>
              <w:rPr>
                <w:rFonts w:ascii="Arial" w:hAnsi="Arial"/>
                <w:b w:val="0"/>
                <w:sz w:val="11"/>
              </w:rPr>
              <w:t>Data governance mentioned ≠ data governance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data governance</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Data quality checks exist but no data lineage or retention policies</w:t>
            </w:r>
          </w:p>
        </w:tc>
        <w:tc>
          <w:tcPr>
            <w:tcW w:type="dxa" w:w="2400"/>
            <w:vAlign w:val="top"/>
          </w:tcPr>
          <w:p>
            <w:pPr>
              <w:spacing w:after="0"/>
              <w:jc w:val="left"/>
            </w:pPr>
            <w:r>
              <w:rPr>
                <w:rFonts w:ascii="Arial" w:hAnsi="Arial"/>
                <w:b w:val="0"/>
                <w:sz w:val="11"/>
              </w:rPr>
              <w:t>Data quality ≠ data lineage or retention</w:t>
            </w:r>
          </w:p>
        </w:tc>
        <w:tc>
          <w:tcPr>
            <w:tcW w:type="dxa" w:w="2400"/>
            <w:vAlign w:val="top"/>
          </w:tcPr>
          <w:p>
            <w:pPr>
              <w:spacing w:after="0"/>
              <w:jc w:val="left"/>
            </w:pPr>
            <w:r>
              <w:rPr>
                <w:rFonts w:ascii="Arial" w:hAnsi="Arial"/>
                <w:b w:val="0"/>
                <w:sz w:val="11"/>
              </w:rPr>
              <w:t>Partial coverage; lineage and retention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data governance</w:t>
            </w:r>
          </w:p>
        </w:tc>
        <w:tc>
          <w:tcPr>
            <w:tcW w:type="dxa" w:w="2400"/>
            <w:vAlign w:val="top"/>
          </w:tcPr>
          <w:p>
            <w:pPr>
              <w:spacing w:after="0"/>
              <w:jc w:val="left"/>
            </w:pPr>
            <w:r>
              <w:rPr>
                <w:rFonts w:ascii="Arial" w:hAnsi="Arial"/>
                <w:b w:val="0"/>
                <w:sz w:val="11"/>
              </w:rPr>
              <w:t>Product documentation with data quality, lineage, and access control</w:t>
            </w:r>
          </w:p>
        </w:tc>
        <w:tc>
          <w:tcPr>
            <w:tcW w:type="dxa" w:w="2400"/>
            <w:vAlign w:val="top"/>
          </w:tcPr>
          <w:p>
            <w:pPr>
              <w:spacing w:after="0"/>
              <w:jc w:val="left"/>
            </w:pPr>
            <w:r>
              <w:rPr>
                <w:rFonts w:ascii="Arial" w:hAnsi="Arial"/>
                <w:b w:val="0"/>
                <w:sz w:val="11"/>
              </w:rPr>
              <w:t>Data quality checks, data lineage tracking, data access control</w:t>
            </w:r>
          </w:p>
        </w:tc>
        <w:tc>
          <w:tcPr>
            <w:tcW w:type="dxa" w:w="2400"/>
            <w:vAlign w:val="top"/>
          </w:tcPr>
          <w:p>
            <w:pPr>
              <w:spacing w:after="0"/>
              <w:jc w:val="left"/>
            </w:pPr>
            <w:r>
              <w:rPr>
                <w:rFonts w:ascii="Arial" w:hAnsi="Arial"/>
                <w:b w:val="0"/>
                <w:sz w:val="11"/>
              </w:rPr>
              <w:t>Data access control ≠ data retention or subject rights</w:t>
            </w:r>
          </w:p>
        </w:tc>
        <w:tc>
          <w:tcPr>
            <w:tcW w:type="dxa" w:w="2400"/>
            <w:vAlign w:val="top"/>
          </w:tcPr>
          <w:p>
            <w:pPr>
              <w:spacing w:after="0"/>
              <w:jc w:val="left"/>
            </w:pPr>
            <w:r>
              <w:rPr>
                <w:rFonts w:ascii="Arial" w:hAnsi="Arial"/>
                <w:b w:val="0"/>
                <w:sz w:val="11"/>
              </w:rPr>
              <w:t>Moderate coverage; retention and subject rights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data governance</w:t>
            </w:r>
          </w:p>
        </w:tc>
        <w:tc>
          <w:tcPr>
            <w:tcW w:type="dxa" w:w="2400"/>
            <w:vAlign w:val="top"/>
          </w:tcPr>
          <w:p>
            <w:pPr>
              <w:spacing w:after="0"/>
              <w:jc w:val="left"/>
            </w:pPr>
            <w:r>
              <w:rPr>
                <w:rFonts w:ascii="Arial" w:hAnsi="Arial"/>
                <w:b w:val="0"/>
                <w:sz w:val="11"/>
              </w:rPr>
              <w:t>Product documentation with data quality, lineage, access control, and retention</w:t>
            </w:r>
          </w:p>
        </w:tc>
        <w:tc>
          <w:tcPr>
            <w:tcW w:type="dxa" w:w="2400"/>
            <w:vAlign w:val="top"/>
          </w:tcPr>
          <w:p>
            <w:pPr>
              <w:spacing w:after="0"/>
              <w:jc w:val="left"/>
            </w:pPr>
            <w:r>
              <w:rPr>
                <w:rFonts w:ascii="Arial" w:hAnsi="Arial"/>
                <w:b w:val="0"/>
                <w:sz w:val="11"/>
              </w:rPr>
              <w:t>Data quality checks, data lineage tracking, data access control, data retention policies</w:t>
            </w:r>
          </w:p>
        </w:tc>
        <w:tc>
          <w:tcPr>
            <w:tcW w:type="dxa" w:w="2400"/>
            <w:vAlign w:val="top"/>
          </w:tcPr>
          <w:p>
            <w:pPr>
              <w:spacing w:after="0"/>
              <w:jc w:val="left"/>
            </w:pPr>
            <w:r>
              <w:rPr>
                <w:rFonts w:ascii="Arial" w:hAnsi="Arial"/>
                <w:b w:val="0"/>
                <w:sz w:val="11"/>
              </w:rPr>
              <w:t>Data retention ≠ data subject rights workflows</w:t>
            </w:r>
          </w:p>
        </w:tc>
        <w:tc>
          <w:tcPr>
            <w:tcW w:type="dxa" w:w="2400"/>
            <w:vAlign w:val="top"/>
          </w:tcPr>
          <w:p>
            <w:pPr>
              <w:spacing w:after="0"/>
              <w:jc w:val="left"/>
            </w:pPr>
            <w:r>
              <w:rPr>
                <w:rFonts w:ascii="Arial" w:hAnsi="Arial"/>
                <w:b w:val="0"/>
                <w:sz w:val="11"/>
              </w:rPr>
              <w:t>Strong coverage; subject rights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capability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GDPR Article 5 data governance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system implementation</w:t>
            </w:r>
          </w:p>
        </w:tc>
        <w:tc>
          <w:tcPr>
            <w:tcW w:type="dxa" w:w="2400"/>
            <w:vAlign w:val="top"/>
          </w:tcPr>
          <w:p>
            <w:pPr>
              <w:spacing w:after="0"/>
              <w:jc w:val="left"/>
            </w:pPr>
            <w:r>
              <w:rPr>
                <w:rFonts w:ascii="Arial" w:hAnsi="Arial"/>
                <w:b w:val="0"/>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RCCS-03: Documentation</w:t>
      </w:r>
    </w:p>
    <w:p/>
    <w:p>
      <w:r>
        <w:t>Core question: Does the system provide primitives for AI system documentation including model cards, system cards, and technical documentation?</w:t>
      </w:r>
    </w:p>
    <w:p/>
    <w:p>
      <w:r>
        <w:t>What counts: Model cards, system cards, technical documentation, API documentation, deployment documentation</w:t>
      </w:r>
    </w:p>
    <w:p/>
    <w:p>
      <w:r>
        <w:t>What does not count: General software documentation, marketing materials, documentation without AI lifecycle integration</w:t>
      </w:r>
    </w:p>
    <w:p/>
    <w:p>
      <w:pPr>
        <w:keepNext/>
      </w:pPr>
      <w:r>
        <w:rPr>
          <w:b/>
          <w:sz w:val="17"/>
        </w:rPr>
        <w:t>Table T-E-03: RCCS-03 Documentation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documentation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model cards, no system cards, no technical documentation</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documentation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documentation</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Documentation mentioned in marketing docs but no implementation details</w:t>
            </w:r>
          </w:p>
        </w:tc>
        <w:tc>
          <w:tcPr>
            <w:tcW w:type="dxa" w:w="2400"/>
            <w:vAlign w:val="top"/>
          </w:tcPr>
          <w:p>
            <w:pPr>
              <w:spacing w:after="0"/>
              <w:jc w:val="left"/>
            </w:pPr>
            <w:r>
              <w:rPr>
                <w:rFonts w:ascii="Arial" w:hAnsi="Arial"/>
                <w:b w:val="0"/>
                <w:sz w:val="11"/>
              </w:rPr>
              <w:t>Documentation mentioned ≠ documentation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documentation</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Model card template exists but no system card or deployment documentation</w:t>
            </w:r>
          </w:p>
        </w:tc>
        <w:tc>
          <w:tcPr>
            <w:tcW w:type="dxa" w:w="2400"/>
            <w:vAlign w:val="top"/>
          </w:tcPr>
          <w:p>
            <w:pPr>
              <w:spacing w:after="0"/>
              <w:jc w:val="left"/>
            </w:pPr>
            <w:r>
              <w:rPr>
                <w:rFonts w:ascii="Arial" w:hAnsi="Arial"/>
                <w:b w:val="0"/>
                <w:sz w:val="11"/>
              </w:rPr>
              <w:t>Model card ≠ system card or deployment documentation</w:t>
            </w:r>
          </w:p>
        </w:tc>
        <w:tc>
          <w:tcPr>
            <w:tcW w:type="dxa" w:w="2400"/>
            <w:vAlign w:val="top"/>
          </w:tcPr>
          <w:p>
            <w:pPr>
              <w:spacing w:after="0"/>
              <w:jc w:val="left"/>
            </w:pPr>
            <w:r>
              <w:rPr>
                <w:rFonts w:ascii="Arial" w:hAnsi="Arial"/>
                <w:b w:val="0"/>
                <w:sz w:val="11"/>
              </w:rPr>
              <w:t>Partial coverage; system card and deployment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documentation</w:t>
            </w:r>
          </w:p>
        </w:tc>
        <w:tc>
          <w:tcPr>
            <w:tcW w:type="dxa" w:w="2400"/>
            <w:vAlign w:val="top"/>
          </w:tcPr>
          <w:p>
            <w:pPr>
              <w:spacing w:after="0"/>
              <w:jc w:val="left"/>
            </w:pPr>
            <w:r>
              <w:rPr>
                <w:rFonts w:ascii="Arial" w:hAnsi="Arial"/>
                <w:b w:val="0"/>
                <w:sz w:val="11"/>
              </w:rPr>
              <w:t>Product documentation with model cards and system cards</w:t>
            </w:r>
          </w:p>
        </w:tc>
        <w:tc>
          <w:tcPr>
            <w:tcW w:type="dxa" w:w="2400"/>
            <w:vAlign w:val="top"/>
          </w:tcPr>
          <w:p>
            <w:pPr>
              <w:spacing w:after="0"/>
              <w:jc w:val="left"/>
            </w:pPr>
            <w:r>
              <w:rPr>
                <w:rFonts w:ascii="Arial" w:hAnsi="Arial"/>
                <w:b w:val="0"/>
                <w:sz w:val="11"/>
              </w:rPr>
              <w:t>Model card template, system card template, basic technical documentation</w:t>
            </w:r>
          </w:p>
        </w:tc>
        <w:tc>
          <w:tcPr>
            <w:tcW w:type="dxa" w:w="2400"/>
            <w:vAlign w:val="top"/>
          </w:tcPr>
          <w:p>
            <w:pPr>
              <w:spacing w:after="0"/>
              <w:jc w:val="left"/>
            </w:pPr>
            <w:r>
              <w:rPr>
                <w:rFonts w:ascii="Arial" w:hAnsi="Arial"/>
                <w:b w:val="0"/>
                <w:sz w:val="11"/>
              </w:rPr>
              <w:t>System card ≠ deployment documentation or API documentation</w:t>
            </w:r>
          </w:p>
        </w:tc>
        <w:tc>
          <w:tcPr>
            <w:tcW w:type="dxa" w:w="2400"/>
            <w:vAlign w:val="top"/>
          </w:tcPr>
          <w:p>
            <w:pPr>
              <w:spacing w:after="0"/>
              <w:jc w:val="left"/>
            </w:pPr>
            <w:r>
              <w:rPr>
                <w:rFonts w:ascii="Arial" w:hAnsi="Arial"/>
                <w:b w:val="0"/>
                <w:sz w:val="11"/>
              </w:rPr>
              <w:t>Moderate coverage; deployment and API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documentation</w:t>
            </w:r>
          </w:p>
        </w:tc>
        <w:tc>
          <w:tcPr>
            <w:tcW w:type="dxa" w:w="2400"/>
            <w:vAlign w:val="top"/>
          </w:tcPr>
          <w:p>
            <w:pPr>
              <w:spacing w:after="0"/>
              <w:jc w:val="left"/>
            </w:pPr>
            <w:r>
              <w:rPr>
                <w:rFonts w:ascii="Arial" w:hAnsi="Arial"/>
                <w:b w:val="0"/>
                <w:sz w:val="11"/>
              </w:rPr>
              <w:t>Product documentation with model cards, system cards, and technical documentation</w:t>
            </w:r>
          </w:p>
        </w:tc>
        <w:tc>
          <w:tcPr>
            <w:tcW w:type="dxa" w:w="2400"/>
            <w:vAlign w:val="top"/>
          </w:tcPr>
          <w:p>
            <w:pPr>
              <w:spacing w:after="0"/>
              <w:jc w:val="left"/>
            </w:pPr>
            <w:r>
              <w:rPr>
                <w:rFonts w:ascii="Arial" w:hAnsi="Arial"/>
                <w:b w:val="0"/>
                <w:sz w:val="11"/>
              </w:rPr>
              <w:t>Model card template, system card template, technical documentation, API documentation</w:t>
            </w:r>
          </w:p>
        </w:tc>
        <w:tc>
          <w:tcPr>
            <w:tcW w:type="dxa" w:w="2400"/>
            <w:vAlign w:val="top"/>
          </w:tcPr>
          <w:p>
            <w:pPr>
              <w:spacing w:after="0"/>
              <w:jc w:val="left"/>
            </w:pPr>
            <w:r>
              <w:rPr>
                <w:rFonts w:ascii="Arial" w:hAnsi="Arial"/>
                <w:b w:val="0"/>
                <w:sz w:val="11"/>
              </w:rPr>
              <w:t>API documentation ≠ deployment documentation or lifecycle documentation</w:t>
            </w:r>
          </w:p>
        </w:tc>
        <w:tc>
          <w:tcPr>
            <w:tcW w:type="dxa" w:w="2400"/>
            <w:vAlign w:val="top"/>
          </w:tcPr>
          <w:p>
            <w:pPr>
              <w:spacing w:after="0"/>
              <w:jc w:val="left"/>
            </w:pPr>
            <w:r>
              <w:rPr>
                <w:rFonts w:ascii="Arial" w:hAnsi="Arial"/>
                <w:b w:val="0"/>
                <w:sz w:val="11"/>
              </w:rPr>
              <w:t>Strong coverage; deployment and lifecycle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capability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11 technical documentation requirement;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system implementation</w:t>
            </w:r>
          </w:p>
        </w:tc>
        <w:tc>
          <w:tcPr>
            <w:tcW w:type="dxa" w:w="2400"/>
            <w:vAlign w:val="top"/>
          </w:tcPr>
          <w:p>
            <w:pPr>
              <w:spacing w:after="0"/>
              <w:jc w:val="left"/>
            </w:pPr>
            <w:r>
              <w:rPr>
                <w:rFonts w:ascii="Arial" w:hAnsi="Arial"/>
                <w:b w:val="0"/>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RCCS-04: Record-Keeping</w:t>
      </w:r>
    </w:p>
    <w:p/>
    <w:p>
      <w:r>
        <w:t>Core question: Does the system provide primitives for record-keeping including audit trails, logs, and evidence export?</w:t>
      </w:r>
    </w:p>
    <w:p/>
    <w:p>
      <w:r>
        <w:t>What counts: Audit trails, logs, evidence export capability, log retention policies, log integrity validation</w:t>
      </w:r>
    </w:p>
    <w:p/>
    <w:p>
      <w:r>
        <w:t>What does not count: General application logs, logs without lifecycle integration, logs without export capability</w:t>
      </w:r>
    </w:p>
    <w:p/>
    <w:p>
      <w:pPr>
        <w:keepNext/>
      </w:pPr>
      <w:r>
        <w:rPr>
          <w:b/>
          <w:sz w:val="17"/>
        </w:rPr>
        <w:t>Table T-E-04: RCCS-04 Record-Keeping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record-keeping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audit trails, no logs, no evidence export</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record-keeping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record-keeping</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Record-keeping mentioned in marketing docs but no implementation details</w:t>
            </w:r>
          </w:p>
        </w:tc>
        <w:tc>
          <w:tcPr>
            <w:tcW w:type="dxa" w:w="2400"/>
            <w:vAlign w:val="top"/>
          </w:tcPr>
          <w:p>
            <w:pPr>
              <w:spacing w:after="0"/>
              <w:jc w:val="left"/>
            </w:pPr>
            <w:r>
              <w:rPr>
                <w:rFonts w:ascii="Arial" w:hAnsi="Arial"/>
                <w:b w:val="0"/>
                <w:sz w:val="11"/>
              </w:rPr>
              <w:t>Record-keeping mentioned ≠ record-keeping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record-keeping</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Audit trails exist but no evidence export or retention policies</w:t>
            </w:r>
          </w:p>
        </w:tc>
        <w:tc>
          <w:tcPr>
            <w:tcW w:type="dxa" w:w="2400"/>
            <w:vAlign w:val="top"/>
          </w:tcPr>
          <w:p>
            <w:pPr>
              <w:spacing w:after="0"/>
              <w:jc w:val="left"/>
            </w:pPr>
            <w:r>
              <w:rPr>
                <w:rFonts w:ascii="Arial" w:hAnsi="Arial"/>
                <w:b w:val="0"/>
                <w:sz w:val="11"/>
              </w:rPr>
              <w:t>Audit trails ≠ evidence export or retention</w:t>
            </w:r>
          </w:p>
        </w:tc>
        <w:tc>
          <w:tcPr>
            <w:tcW w:type="dxa" w:w="2400"/>
            <w:vAlign w:val="top"/>
          </w:tcPr>
          <w:p>
            <w:pPr>
              <w:spacing w:after="0"/>
              <w:jc w:val="left"/>
            </w:pPr>
            <w:r>
              <w:rPr>
                <w:rFonts w:ascii="Arial" w:hAnsi="Arial"/>
                <w:b w:val="0"/>
                <w:sz w:val="11"/>
              </w:rPr>
              <w:t>Partial coverage; export and retention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record-keeping</w:t>
            </w:r>
          </w:p>
        </w:tc>
        <w:tc>
          <w:tcPr>
            <w:tcW w:type="dxa" w:w="2400"/>
            <w:vAlign w:val="top"/>
          </w:tcPr>
          <w:p>
            <w:pPr>
              <w:spacing w:after="0"/>
              <w:jc w:val="left"/>
            </w:pPr>
            <w:r>
              <w:rPr>
                <w:rFonts w:ascii="Arial" w:hAnsi="Arial"/>
                <w:b w:val="0"/>
                <w:sz w:val="11"/>
              </w:rPr>
              <w:t>Product documentation with audit trails and evidence export</w:t>
            </w:r>
          </w:p>
        </w:tc>
        <w:tc>
          <w:tcPr>
            <w:tcW w:type="dxa" w:w="2400"/>
            <w:vAlign w:val="top"/>
          </w:tcPr>
          <w:p>
            <w:pPr>
              <w:spacing w:after="0"/>
              <w:jc w:val="left"/>
            </w:pPr>
            <w:r>
              <w:rPr>
                <w:rFonts w:ascii="Arial" w:hAnsi="Arial"/>
                <w:b w:val="0"/>
                <w:sz w:val="11"/>
              </w:rPr>
              <w:t>Audit trails, evidence export capability, basic log retention policies</w:t>
            </w:r>
          </w:p>
        </w:tc>
        <w:tc>
          <w:tcPr>
            <w:tcW w:type="dxa" w:w="2400"/>
            <w:vAlign w:val="top"/>
          </w:tcPr>
          <w:p>
            <w:pPr>
              <w:spacing w:after="0"/>
              <w:jc w:val="left"/>
            </w:pPr>
            <w:r>
              <w:rPr>
                <w:rFonts w:ascii="Arial" w:hAnsi="Arial"/>
                <w:b w:val="0"/>
                <w:sz w:val="11"/>
              </w:rPr>
              <w:t>Evidence export ≠ log integrity validation or selective disclosure</w:t>
            </w:r>
          </w:p>
        </w:tc>
        <w:tc>
          <w:tcPr>
            <w:tcW w:type="dxa" w:w="2400"/>
            <w:vAlign w:val="top"/>
          </w:tcPr>
          <w:p>
            <w:pPr>
              <w:spacing w:after="0"/>
              <w:jc w:val="left"/>
            </w:pPr>
            <w:r>
              <w:rPr>
                <w:rFonts w:ascii="Arial" w:hAnsi="Arial"/>
                <w:b w:val="0"/>
                <w:sz w:val="11"/>
              </w:rPr>
              <w:t>Moderate coverage; integrity and disclosure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record-keeping</w:t>
            </w:r>
          </w:p>
        </w:tc>
        <w:tc>
          <w:tcPr>
            <w:tcW w:type="dxa" w:w="2400"/>
            <w:vAlign w:val="top"/>
          </w:tcPr>
          <w:p>
            <w:pPr>
              <w:spacing w:after="0"/>
              <w:jc w:val="left"/>
            </w:pPr>
            <w:r>
              <w:rPr>
                <w:rFonts w:ascii="Arial" w:hAnsi="Arial"/>
                <w:b w:val="0"/>
                <w:sz w:val="11"/>
              </w:rPr>
              <w:t>Product documentation with audit trails, evidence export, and retention</w:t>
            </w:r>
          </w:p>
        </w:tc>
        <w:tc>
          <w:tcPr>
            <w:tcW w:type="dxa" w:w="2400"/>
            <w:vAlign w:val="top"/>
          </w:tcPr>
          <w:p>
            <w:pPr>
              <w:spacing w:after="0"/>
              <w:jc w:val="left"/>
            </w:pPr>
            <w:r>
              <w:rPr>
                <w:rFonts w:ascii="Arial" w:hAnsi="Arial"/>
                <w:b w:val="0"/>
                <w:sz w:val="11"/>
              </w:rPr>
              <w:t>Audit trails, evidence export capability, log retention policies, log integrity validation</w:t>
            </w:r>
          </w:p>
        </w:tc>
        <w:tc>
          <w:tcPr>
            <w:tcW w:type="dxa" w:w="2400"/>
            <w:vAlign w:val="top"/>
          </w:tcPr>
          <w:p>
            <w:pPr>
              <w:spacing w:after="0"/>
              <w:jc w:val="left"/>
            </w:pPr>
            <w:r>
              <w:rPr>
                <w:rFonts w:ascii="Arial" w:hAnsi="Arial"/>
                <w:b w:val="0"/>
                <w:sz w:val="11"/>
              </w:rPr>
              <w:t>Log integrity ≠ selective disclosure or evidence minimization</w:t>
            </w:r>
          </w:p>
        </w:tc>
        <w:tc>
          <w:tcPr>
            <w:tcW w:type="dxa" w:w="2400"/>
            <w:vAlign w:val="top"/>
          </w:tcPr>
          <w:p>
            <w:pPr>
              <w:spacing w:after="0"/>
              <w:jc w:val="left"/>
            </w:pPr>
            <w:r>
              <w:rPr>
                <w:rFonts w:ascii="Arial" w:hAnsi="Arial"/>
                <w:b w:val="0"/>
                <w:sz w:val="11"/>
              </w:rPr>
              <w:t>Strong coverage; disclosure and minimization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capability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12 record-keeping requirement;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system implementation</w:t>
            </w:r>
          </w:p>
        </w:tc>
        <w:tc>
          <w:tcPr>
            <w:tcW w:type="dxa" w:w="2400"/>
            <w:vAlign w:val="top"/>
          </w:tcPr>
          <w:p>
            <w:pPr>
              <w:spacing w:after="0"/>
              <w:jc w:val="left"/>
            </w:pPr>
            <w:r>
              <w:rPr>
                <w:rFonts w:ascii="Arial" w:hAnsi="Arial"/>
                <w:b w:val="0"/>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RCCS-05: Transparency</w:t>
      </w:r>
    </w:p>
    <w:p/>
    <w:p>
      <w:r>
        <w:t>Core question: Does the system provide primitives for transparency including explainability, interpretability, and disclosure?</w:t>
      </w:r>
    </w:p>
    <w:p/>
    <w:p>
      <w:r>
        <w:t>What counts: Explainability tools, interpretability methods, disclosure mechanisms, transparency reports</w:t>
      </w:r>
    </w:p>
    <w:p/>
    <w:p>
      <w:r>
        <w:t>What does not count: General UI transparency, transparency without AI lifecycle integration, transparency without disclosure capability</w:t>
      </w:r>
    </w:p>
    <w:p/>
    <w:p>
      <w:pPr>
        <w:keepNext/>
      </w:pPr>
      <w:r>
        <w:rPr>
          <w:b/>
          <w:sz w:val="17"/>
        </w:rPr>
        <w:t>Table T-E-05: RCCS-05 Transparency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transparency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explainability, no interpretability, no disclosure</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transparency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transparency</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Transparency mentioned in marketing docs but no implementation details</w:t>
            </w:r>
          </w:p>
        </w:tc>
        <w:tc>
          <w:tcPr>
            <w:tcW w:type="dxa" w:w="2400"/>
            <w:vAlign w:val="top"/>
          </w:tcPr>
          <w:p>
            <w:pPr>
              <w:spacing w:after="0"/>
              <w:jc w:val="left"/>
            </w:pPr>
            <w:r>
              <w:rPr>
                <w:rFonts w:ascii="Arial" w:hAnsi="Arial"/>
                <w:b w:val="0"/>
                <w:sz w:val="11"/>
              </w:rPr>
              <w:t>Transparency mentioned ≠ transparency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transparency</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Explainability tools exist but no interpretability or disclosure mechanisms</w:t>
            </w:r>
          </w:p>
        </w:tc>
        <w:tc>
          <w:tcPr>
            <w:tcW w:type="dxa" w:w="2400"/>
            <w:vAlign w:val="top"/>
          </w:tcPr>
          <w:p>
            <w:pPr>
              <w:spacing w:after="0"/>
              <w:jc w:val="left"/>
            </w:pPr>
            <w:r>
              <w:rPr>
                <w:rFonts w:ascii="Arial" w:hAnsi="Arial"/>
                <w:b w:val="0"/>
                <w:sz w:val="11"/>
              </w:rPr>
              <w:t>Explainability ≠ interpretability or disclosure</w:t>
            </w:r>
          </w:p>
        </w:tc>
        <w:tc>
          <w:tcPr>
            <w:tcW w:type="dxa" w:w="2400"/>
            <w:vAlign w:val="top"/>
          </w:tcPr>
          <w:p>
            <w:pPr>
              <w:spacing w:after="0"/>
              <w:jc w:val="left"/>
            </w:pPr>
            <w:r>
              <w:rPr>
                <w:rFonts w:ascii="Arial" w:hAnsi="Arial"/>
                <w:b w:val="0"/>
                <w:sz w:val="11"/>
              </w:rPr>
              <w:t>Partial coverage; interpretability and disclosure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transparency</w:t>
            </w:r>
          </w:p>
        </w:tc>
        <w:tc>
          <w:tcPr>
            <w:tcW w:type="dxa" w:w="2400"/>
            <w:vAlign w:val="top"/>
          </w:tcPr>
          <w:p>
            <w:pPr>
              <w:spacing w:after="0"/>
              <w:jc w:val="left"/>
            </w:pPr>
            <w:r>
              <w:rPr>
                <w:rFonts w:ascii="Arial" w:hAnsi="Arial"/>
                <w:b w:val="0"/>
                <w:sz w:val="11"/>
              </w:rPr>
              <w:t>Product documentation with explainability and interpretability</w:t>
            </w:r>
          </w:p>
        </w:tc>
        <w:tc>
          <w:tcPr>
            <w:tcW w:type="dxa" w:w="2400"/>
            <w:vAlign w:val="top"/>
          </w:tcPr>
          <w:p>
            <w:pPr>
              <w:spacing w:after="0"/>
              <w:jc w:val="left"/>
            </w:pPr>
            <w:r>
              <w:rPr>
                <w:rFonts w:ascii="Arial" w:hAnsi="Arial"/>
                <w:b w:val="0"/>
                <w:sz w:val="11"/>
              </w:rPr>
              <w:t>Explainability tools, interpretability methods, basic disclosure mechanisms</w:t>
            </w:r>
          </w:p>
        </w:tc>
        <w:tc>
          <w:tcPr>
            <w:tcW w:type="dxa" w:w="2400"/>
            <w:vAlign w:val="top"/>
          </w:tcPr>
          <w:p>
            <w:pPr>
              <w:spacing w:after="0"/>
              <w:jc w:val="left"/>
            </w:pPr>
            <w:r>
              <w:rPr>
                <w:rFonts w:ascii="Arial" w:hAnsi="Arial"/>
                <w:b w:val="0"/>
                <w:sz w:val="11"/>
              </w:rPr>
              <w:t>Disclosure mechanisms ≠ transparency reports or selective disclosure</w:t>
            </w:r>
          </w:p>
        </w:tc>
        <w:tc>
          <w:tcPr>
            <w:tcW w:type="dxa" w:w="2400"/>
            <w:vAlign w:val="top"/>
          </w:tcPr>
          <w:p>
            <w:pPr>
              <w:spacing w:after="0"/>
              <w:jc w:val="left"/>
            </w:pPr>
            <w:r>
              <w:rPr>
                <w:rFonts w:ascii="Arial" w:hAnsi="Arial"/>
                <w:b w:val="0"/>
                <w:sz w:val="11"/>
              </w:rPr>
              <w:t>Moderate coverage; reporting and selective disclosure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transparency</w:t>
            </w:r>
          </w:p>
        </w:tc>
        <w:tc>
          <w:tcPr>
            <w:tcW w:type="dxa" w:w="2400"/>
            <w:vAlign w:val="top"/>
          </w:tcPr>
          <w:p>
            <w:pPr>
              <w:spacing w:after="0"/>
              <w:jc w:val="left"/>
            </w:pPr>
            <w:r>
              <w:rPr>
                <w:rFonts w:ascii="Arial" w:hAnsi="Arial"/>
                <w:b w:val="0"/>
                <w:sz w:val="11"/>
              </w:rPr>
              <w:t>Product documentation with explainability, interpretability, and disclosure</w:t>
            </w:r>
          </w:p>
        </w:tc>
        <w:tc>
          <w:tcPr>
            <w:tcW w:type="dxa" w:w="2400"/>
            <w:vAlign w:val="top"/>
          </w:tcPr>
          <w:p>
            <w:pPr>
              <w:spacing w:after="0"/>
              <w:jc w:val="left"/>
            </w:pPr>
            <w:r>
              <w:rPr>
                <w:rFonts w:ascii="Arial" w:hAnsi="Arial"/>
                <w:b w:val="0"/>
                <w:sz w:val="11"/>
              </w:rPr>
              <w:t>Explainability tools, interpretability methods, disclosure mechanisms, transparency reports</w:t>
            </w:r>
          </w:p>
        </w:tc>
        <w:tc>
          <w:tcPr>
            <w:tcW w:type="dxa" w:w="2400"/>
            <w:vAlign w:val="top"/>
          </w:tcPr>
          <w:p>
            <w:pPr>
              <w:spacing w:after="0"/>
              <w:jc w:val="left"/>
            </w:pPr>
            <w:r>
              <w:rPr>
                <w:rFonts w:ascii="Arial" w:hAnsi="Arial"/>
                <w:b w:val="0"/>
                <w:sz w:val="11"/>
              </w:rPr>
              <w:t>Transparency reports ≠ selective disclosure or evidence minimization</w:t>
            </w:r>
          </w:p>
        </w:tc>
        <w:tc>
          <w:tcPr>
            <w:tcW w:type="dxa" w:w="2400"/>
            <w:vAlign w:val="top"/>
          </w:tcPr>
          <w:p>
            <w:pPr>
              <w:spacing w:after="0"/>
              <w:jc w:val="left"/>
            </w:pPr>
            <w:r>
              <w:rPr>
                <w:rFonts w:ascii="Arial" w:hAnsi="Arial"/>
                <w:b w:val="0"/>
                <w:sz w:val="11"/>
              </w:rPr>
              <w:t>Strong coverage; selective disclosure and minimization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capability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13 transparency requirement;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system implementation</w:t>
            </w:r>
          </w:p>
        </w:tc>
        <w:tc>
          <w:tcPr>
            <w:tcW w:type="dxa" w:w="2400"/>
            <w:vAlign w:val="top"/>
          </w:tcPr>
          <w:p>
            <w:pPr>
              <w:spacing w:after="0"/>
              <w:jc w:val="left"/>
            </w:pPr>
            <w:r>
              <w:rPr>
                <w:rFonts w:ascii="Arial" w:hAnsi="Arial"/>
                <w:b w:val="0"/>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RCCS-06: Human Oversight</w:t>
      </w:r>
    </w:p>
    <w:p/>
    <w:p>
      <w:r>
        <w:t>Core question: Does the system provide primitives for human oversight including human-in-the-loop, human-on-the-loop, and human review workflows?</w:t>
      </w:r>
    </w:p>
    <w:p/>
    <w:p>
      <w:r>
        <w:t>What counts: Human-in-the-loop workflows, human-on-the-loop monitoring, human review workflows, escalation mechanisms</w:t>
      </w:r>
    </w:p>
    <w:p/>
    <w:p>
      <w:r>
        <w:t>What does not count: General approval buttons, human oversight without lifecycle integration, human oversight without accountability mapping</w:t>
      </w:r>
    </w:p>
    <w:p/>
    <w:p>
      <w:pPr>
        <w:keepNext/>
      </w:pPr>
      <w:r>
        <w:rPr>
          <w:b/>
          <w:sz w:val="17"/>
        </w:rPr>
        <w:t>Table T-E-06: RCCS-06 Human Oversight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human oversight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human-in-the-loop, no human-on-the-loop, no human review</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human oversight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human oversight</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Human oversight mentioned in marketing docs but no implementation details</w:t>
            </w:r>
          </w:p>
        </w:tc>
        <w:tc>
          <w:tcPr>
            <w:tcW w:type="dxa" w:w="2400"/>
            <w:vAlign w:val="top"/>
          </w:tcPr>
          <w:p>
            <w:pPr>
              <w:spacing w:after="0"/>
              <w:jc w:val="left"/>
            </w:pPr>
            <w:r>
              <w:rPr>
                <w:rFonts w:ascii="Arial" w:hAnsi="Arial"/>
                <w:b w:val="0"/>
                <w:sz w:val="11"/>
              </w:rPr>
              <w:t>Human oversight mentioned ≠ human oversight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human oversight</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Approval button exists but no human-role-to-MAS responsibility mapping or escalation</w:t>
            </w:r>
          </w:p>
        </w:tc>
        <w:tc>
          <w:tcPr>
            <w:tcW w:type="dxa" w:w="2400"/>
            <w:vAlign w:val="top"/>
          </w:tcPr>
          <w:p>
            <w:pPr>
              <w:spacing w:after="0"/>
              <w:jc w:val="left"/>
            </w:pPr>
            <w:r>
              <w:rPr>
                <w:rFonts w:ascii="Arial" w:hAnsi="Arial"/>
                <w:b w:val="0"/>
                <w:sz w:val="11"/>
              </w:rPr>
              <w:t>Approval button ≠ human-role-to-MAS responsibility mapping</w:t>
            </w:r>
          </w:p>
        </w:tc>
        <w:tc>
          <w:tcPr>
            <w:tcW w:type="dxa" w:w="2400"/>
            <w:vAlign w:val="top"/>
          </w:tcPr>
          <w:p>
            <w:pPr>
              <w:spacing w:after="0"/>
              <w:jc w:val="left"/>
            </w:pPr>
            <w:r>
              <w:rPr>
                <w:rFonts w:ascii="Arial" w:hAnsi="Arial"/>
                <w:b w:val="0"/>
                <w:sz w:val="11"/>
              </w:rPr>
              <w:t>Partial coverage; responsibility mapping and escalation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human oversight</w:t>
            </w:r>
          </w:p>
        </w:tc>
        <w:tc>
          <w:tcPr>
            <w:tcW w:type="dxa" w:w="2400"/>
            <w:vAlign w:val="top"/>
          </w:tcPr>
          <w:p>
            <w:pPr>
              <w:spacing w:after="0"/>
              <w:jc w:val="left"/>
            </w:pPr>
            <w:r>
              <w:rPr>
                <w:rFonts w:ascii="Arial" w:hAnsi="Arial"/>
                <w:b w:val="0"/>
                <w:sz w:val="11"/>
              </w:rPr>
              <w:t>Product documentation with human-in-the-loop and human-on-the-loop</w:t>
            </w:r>
          </w:p>
        </w:tc>
        <w:tc>
          <w:tcPr>
            <w:tcW w:type="dxa" w:w="2400"/>
            <w:vAlign w:val="top"/>
          </w:tcPr>
          <w:p>
            <w:pPr>
              <w:spacing w:after="0"/>
              <w:jc w:val="left"/>
            </w:pPr>
            <w:r>
              <w:rPr>
                <w:rFonts w:ascii="Arial" w:hAnsi="Arial"/>
                <w:b w:val="0"/>
                <w:sz w:val="11"/>
              </w:rPr>
              <w:t>Human-in-the-loop workflows, human-on-the-loop monitoring, basic human review workflows</w:t>
            </w:r>
          </w:p>
        </w:tc>
        <w:tc>
          <w:tcPr>
            <w:tcW w:type="dxa" w:w="2400"/>
            <w:vAlign w:val="top"/>
          </w:tcPr>
          <w:p>
            <w:pPr>
              <w:spacing w:after="0"/>
              <w:jc w:val="left"/>
            </w:pPr>
            <w:r>
              <w:rPr>
                <w:rFonts w:ascii="Arial" w:hAnsi="Arial"/>
                <w:b w:val="0"/>
                <w:sz w:val="11"/>
              </w:rPr>
              <w:t>Human review ≠ escalation mechanisms or accountability mapping</w:t>
            </w:r>
          </w:p>
        </w:tc>
        <w:tc>
          <w:tcPr>
            <w:tcW w:type="dxa" w:w="2400"/>
            <w:vAlign w:val="top"/>
          </w:tcPr>
          <w:p>
            <w:pPr>
              <w:spacing w:after="0"/>
              <w:jc w:val="left"/>
            </w:pPr>
            <w:r>
              <w:rPr>
                <w:rFonts w:ascii="Arial" w:hAnsi="Arial"/>
                <w:b w:val="0"/>
                <w:sz w:val="11"/>
              </w:rPr>
              <w:t>Moderate coverage; escalation and accountability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human oversight</w:t>
            </w:r>
          </w:p>
        </w:tc>
        <w:tc>
          <w:tcPr>
            <w:tcW w:type="dxa" w:w="2400"/>
            <w:vAlign w:val="top"/>
          </w:tcPr>
          <w:p>
            <w:pPr>
              <w:spacing w:after="0"/>
              <w:jc w:val="left"/>
            </w:pPr>
            <w:r>
              <w:rPr>
                <w:rFonts w:ascii="Arial" w:hAnsi="Arial"/>
                <w:b w:val="0"/>
                <w:sz w:val="11"/>
              </w:rPr>
              <w:t>Product documentation with human-in-the-loop, human-on-the-loop, and escalation</w:t>
            </w:r>
          </w:p>
        </w:tc>
        <w:tc>
          <w:tcPr>
            <w:tcW w:type="dxa" w:w="2400"/>
            <w:vAlign w:val="top"/>
          </w:tcPr>
          <w:p>
            <w:pPr>
              <w:spacing w:after="0"/>
              <w:jc w:val="left"/>
            </w:pPr>
            <w:r>
              <w:rPr>
                <w:rFonts w:ascii="Arial" w:hAnsi="Arial"/>
                <w:b w:val="0"/>
                <w:sz w:val="11"/>
              </w:rPr>
              <w:t>Human-in-the-loop workflows, human-on-the-loop monitoring, human review workflows, escalation mechanisms</w:t>
            </w:r>
          </w:p>
        </w:tc>
        <w:tc>
          <w:tcPr>
            <w:tcW w:type="dxa" w:w="2400"/>
            <w:vAlign w:val="top"/>
          </w:tcPr>
          <w:p>
            <w:pPr>
              <w:spacing w:after="0"/>
              <w:jc w:val="left"/>
            </w:pPr>
            <w:r>
              <w:rPr>
                <w:rFonts w:ascii="Arial" w:hAnsi="Arial"/>
                <w:b w:val="0"/>
                <w:sz w:val="11"/>
              </w:rPr>
              <w:t>Escalation mechanisms ≠ accountability mapping or accepted outcome compliance</w:t>
            </w:r>
          </w:p>
        </w:tc>
        <w:tc>
          <w:tcPr>
            <w:tcW w:type="dxa" w:w="2400"/>
            <w:vAlign w:val="top"/>
          </w:tcPr>
          <w:p>
            <w:pPr>
              <w:spacing w:after="0"/>
              <w:jc w:val="left"/>
            </w:pPr>
            <w:r>
              <w:rPr>
                <w:rFonts w:ascii="Arial" w:hAnsi="Arial"/>
                <w:b w:val="0"/>
                <w:sz w:val="11"/>
              </w:rPr>
              <w:t>Strong coverage; accountability and accepted outcome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capability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14 human oversight requirement;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system implementation</w:t>
            </w:r>
          </w:p>
        </w:tc>
        <w:tc>
          <w:tcPr>
            <w:tcW w:type="dxa" w:w="2400"/>
            <w:vAlign w:val="top"/>
          </w:tcPr>
          <w:p>
            <w:pPr>
              <w:spacing w:after="0"/>
              <w:jc w:val="left"/>
            </w:pPr>
            <w:r>
              <w:rPr>
                <w:rFonts w:ascii="Arial" w:hAnsi="Arial"/>
                <w:b w:val="0"/>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RCCS-07: Security</w:t>
      </w:r>
    </w:p>
    <w:p/>
    <w:p>
      <w:r>
        <w:t>Core question: Does the system provide primitives for security including access control, authentication, authorization, and security monitoring?</w:t>
      </w:r>
    </w:p>
    <w:p/>
    <w:p>
      <w:r>
        <w:t>What counts: Access control, authentication, authorization, security monitoring, security incident response</w:t>
      </w:r>
    </w:p>
    <w:p/>
    <w:p>
      <w:r>
        <w:t>What does not count: General application security, security without AI lifecycle integration, security without lifecycle evidence</w:t>
      </w:r>
    </w:p>
    <w:p/>
    <w:p>
      <w:pPr>
        <w:keepNext/>
      </w:pPr>
      <w:r>
        <w:rPr>
          <w:b/>
          <w:sz w:val="17"/>
        </w:rPr>
        <w:t>Table T-E-07: RCCS-07 Security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security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access control, no authentication, no authorization</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security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security</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Security mentioned in marketing docs but no implementation details</w:t>
            </w:r>
          </w:p>
        </w:tc>
        <w:tc>
          <w:tcPr>
            <w:tcW w:type="dxa" w:w="2400"/>
            <w:vAlign w:val="top"/>
          </w:tcPr>
          <w:p>
            <w:pPr>
              <w:spacing w:after="0"/>
              <w:jc w:val="left"/>
            </w:pPr>
            <w:r>
              <w:rPr>
                <w:rFonts w:ascii="Arial" w:hAnsi="Arial"/>
                <w:b w:val="0"/>
                <w:sz w:val="11"/>
              </w:rPr>
              <w:t>Security mentioned ≠ security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security</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Access control exists but no authentication or authorization for AI lifecycle</w:t>
            </w:r>
          </w:p>
        </w:tc>
        <w:tc>
          <w:tcPr>
            <w:tcW w:type="dxa" w:w="2400"/>
            <w:vAlign w:val="top"/>
          </w:tcPr>
          <w:p>
            <w:pPr>
              <w:spacing w:after="0"/>
              <w:jc w:val="left"/>
            </w:pPr>
            <w:r>
              <w:rPr>
                <w:rFonts w:ascii="Arial" w:hAnsi="Arial"/>
                <w:b w:val="0"/>
                <w:sz w:val="11"/>
              </w:rPr>
              <w:t>Access control ≠ authentication or authorization</w:t>
            </w:r>
          </w:p>
        </w:tc>
        <w:tc>
          <w:tcPr>
            <w:tcW w:type="dxa" w:w="2400"/>
            <w:vAlign w:val="top"/>
          </w:tcPr>
          <w:p>
            <w:pPr>
              <w:spacing w:after="0"/>
              <w:jc w:val="left"/>
            </w:pPr>
            <w:r>
              <w:rPr>
                <w:rFonts w:ascii="Arial" w:hAnsi="Arial"/>
                <w:b w:val="0"/>
                <w:sz w:val="11"/>
              </w:rPr>
              <w:t>Partial coverage; authentication and authorization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security</w:t>
            </w:r>
          </w:p>
        </w:tc>
        <w:tc>
          <w:tcPr>
            <w:tcW w:type="dxa" w:w="2400"/>
            <w:vAlign w:val="top"/>
          </w:tcPr>
          <w:p>
            <w:pPr>
              <w:spacing w:after="0"/>
              <w:jc w:val="left"/>
            </w:pPr>
            <w:r>
              <w:rPr>
                <w:rFonts w:ascii="Arial" w:hAnsi="Arial"/>
                <w:b w:val="0"/>
                <w:sz w:val="11"/>
              </w:rPr>
              <w:t>Product documentation with access control, authentication, and authorization</w:t>
            </w:r>
          </w:p>
        </w:tc>
        <w:tc>
          <w:tcPr>
            <w:tcW w:type="dxa" w:w="2400"/>
            <w:vAlign w:val="top"/>
          </w:tcPr>
          <w:p>
            <w:pPr>
              <w:spacing w:after="0"/>
              <w:jc w:val="left"/>
            </w:pPr>
            <w:r>
              <w:rPr>
                <w:rFonts w:ascii="Arial" w:hAnsi="Arial"/>
                <w:b w:val="0"/>
                <w:sz w:val="11"/>
              </w:rPr>
              <w:t>Access control, authentication, authorization, basic security monitoring</w:t>
            </w:r>
          </w:p>
        </w:tc>
        <w:tc>
          <w:tcPr>
            <w:tcW w:type="dxa" w:w="2400"/>
            <w:vAlign w:val="top"/>
          </w:tcPr>
          <w:p>
            <w:pPr>
              <w:spacing w:after="0"/>
              <w:jc w:val="left"/>
            </w:pPr>
            <w:r>
              <w:rPr>
                <w:rFonts w:ascii="Arial" w:hAnsi="Arial"/>
                <w:b w:val="0"/>
                <w:sz w:val="11"/>
              </w:rPr>
              <w:t>Security monitoring ≠ security incident response or lifecycle evidence</w:t>
            </w:r>
          </w:p>
        </w:tc>
        <w:tc>
          <w:tcPr>
            <w:tcW w:type="dxa" w:w="2400"/>
            <w:vAlign w:val="top"/>
          </w:tcPr>
          <w:p>
            <w:pPr>
              <w:spacing w:after="0"/>
              <w:jc w:val="left"/>
            </w:pPr>
            <w:r>
              <w:rPr>
                <w:rFonts w:ascii="Arial" w:hAnsi="Arial"/>
                <w:b w:val="0"/>
                <w:sz w:val="11"/>
              </w:rPr>
              <w:t>Moderate coverage; incident response and lifecycle evidence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security</w:t>
            </w:r>
          </w:p>
        </w:tc>
        <w:tc>
          <w:tcPr>
            <w:tcW w:type="dxa" w:w="2400"/>
            <w:vAlign w:val="top"/>
          </w:tcPr>
          <w:p>
            <w:pPr>
              <w:spacing w:after="0"/>
              <w:jc w:val="left"/>
            </w:pPr>
            <w:r>
              <w:rPr>
                <w:rFonts w:ascii="Arial" w:hAnsi="Arial"/>
                <w:b w:val="0"/>
                <w:sz w:val="11"/>
              </w:rPr>
              <w:t>Product documentation with access control, authentication, authorization, and monitoring</w:t>
            </w:r>
          </w:p>
        </w:tc>
        <w:tc>
          <w:tcPr>
            <w:tcW w:type="dxa" w:w="2400"/>
            <w:vAlign w:val="top"/>
          </w:tcPr>
          <w:p>
            <w:pPr>
              <w:spacing w:after="0"/>
              <w:jc w:val="left"/>
            </w:pPr>
            <w:r>
              <w:rPr>
                <w:rFonts w:ascii="Arial" w:hAnsi="Arial"/>
                <w:b w:val="0"/>
                <w:sz w:val="11"/>
              </w:rPr>
              <w:t>Access control, authentication, authorization, security monitoring, security incident response</w:t>
            </w:r>
          </w:p>
        </w:tc>
        <w:tc>
          <w:tcPr>
            <w:tcW w:type="dxa" w:w="2400"/>
            <w:vAlign w:val="top"/>
          </w:tcPr>
          <w:p>
            <w:pPr>
              <w:spacing w:after="0"/>
              <w:jc w:val="left"/>
            </w:pPr>
            <w:r>
              <w:rPr>
                <w:rFonts w:ascii="Arial" w:hAnsi="Arial"/>
                <w:b w:val="0"/>
                <w:sz w:val="11"/>
              </w:rPr>
              <w:t>Security incident response ≠ lifecycle evidence or delegated authority boundary</w:t>
            </w:r>
          </w:p>
        </w:tc>
        <w:tc>
          <w:tcPr>
            <w:tcW w:type="dxa" w:w="2400"/>
            <w:vAlign w:val="top"/>
          </w:tcPr>
          <w:p>
            <w:pPr>
              <w:spacing w:after="0"/>
              <w:jc w:val="left"/>
            </w:pPr>
            <w:r>
              <w:rPr>
                <w:rFonts w:ascii="Arial" w:hAnsi="Arial"/>
                <w:b w:val="0"/>
                <w:sz w:val="11"/>
              </w:rPr>
              <w:t>Strong coverage; lifecycle evidence and authority boundary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capability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NIST AI RMF security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system implementation</w:t>
            </w:r>
          </w:p>
        </w:tc>
        <w:tc>
          <w:tcPr>
            <w:tcW w:type="dxa" w:w="2400"/>
            <w:vAlign w:val="top"/>
          </w:tcPr>
          <w:p>
            <w:pPr>
              <w:spacing w:after="0"/>
              <w:jc w:val="left"/>
            </w:pPr>
            <w:r>
              <w:rPr>
                <w:rFonts w:ascii="Arial" w:hAnsi="Arial"/>
                <w:b w:val="0"/>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RCCS-08: Accountability</w:t>
      </w:r>
    </w:p>
    <w:p/>
    <w:p>
      <w:r>
        <w:t>Core question: Does the system provide primitives for accountability including role assignment, responsibility mapping, and accountability tracking?</w:t>
      </w:r>
    </w:p>
    <w:p/>
    <w:p>
      <w:r>
        <w:t>What counts: Role assignment, responsibility mapping, accountability tracking, accountability escalation</w:t>
      </w:r>
    </w:p>
    <w:p/>
    <w:p>
      <w:r>
        <w:t>What does not count: General user management, accountability without lifecycle integration, accountability without accepted outcome compliance</w:t>
      </w:r>
    </w:p>
    <w:p/>
    <w:p>
      <w:pPr>
        <w:keepNext/>
      </w:pPr>
      <w:r>
        <w:rPr>
          <w:b/>
          <w:sz w:val="17"/>
        </w:rPr>
        <w:t>Table T-E-08: RCCS-08 Accountability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accountability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role assignment, no responsibility mapping, no accountability tracking</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accountability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accountability</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Accountability mentioned in marketing docs but no implementation details</w:t>
            </w:r>
          </w:p>
        </w:tc>
        <w:tc>
          <w:tcPr>
            <w:tcW w:type="dxa" w:w="2400"/>
            <w:vAlign w:val="top"/>
          </w:tcPr>
          <w:p>
            <w:pPr>
              <w:spacing w:after="0"/>
              <w:jc w:val="left"/>
            </w:pPr>
            <w:r>
              <w:rPr>
                <w:rFonts w:ascii="Arial" w:hAnsi="Arial"/>
                <w:b w:val="0"/>
                <w:sz w:val="11"/>
              </w:rPr>
              <w:t>Accountability mentioned ≠ accountability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accountability</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Role assignment exists but no responsibility mapping or accountability tracking</w:t>
            </w:r>
          </w:p>
        </w:tc>
        <w:tc>
          <w:tcPr>
            <w:tcW w:type="dxa" w:w="2400"/>
            <w:vAlign w:val="top"/>
          </w:tcPr>
          <w:p>
            <w:pPr>
              <w:spacing w:after="0"/>
              <w:jc w:val="left"/>
            </w:pPr>
            <w:r>
              <w:rPr>
                <w:rFonts w:ascii="Arial" w:hAnsi="Arial"/>
                <w:b w:val="0"/>
                <w:sz w:val="11"/>
              </w:rPr>
              <w:t>Role assignment ≠ responsibility mapping or accountability tracking</w:t>
            </w:r>
          </w:p>
        </w:tc>
        <w:tc>
          <w:tcPr>
            <w:tcW w:type="dxa" w:w="2400"/>
            <w:vAlign w:val="top"/>
          </w:tcPr>
          <w:p>
            <w:pPr>
              <w:spacing w:after="0"/>
              <w:jc w:val="left"/>
            </w:pPr>
            <w:r>
              <w:rPr>
                <w:rFonts w:ascii="Arial" w:hAnsi="Arial"/>
                <w:b w:val="0"/>
                <w:sz w:val="11"/>
              </w:rPr>
              <w:t>Partial coverage; responsibility mapping and tracking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accountability</w:t>
            </w:r>
          </w:p>
        </w:tc>
        <w:tc>
          <w:tcPr>
            <w:tcW w:type="dxa" w:w="2400"/>
            <w:vAlign w:val="top"/>
          </w:tcPr>
          <w:p>
            <w:pPr>
              <w:spacing w:after="0"/>
              <w:jc w:val="left"/>
            </w:pPr>
            <w:r>
              <w:rPr>
                <w:rFonts w:ascii="Arial" w:hAnsi="Arial"/>
                <w:b w:val="0"/>
                <w:sz w:val="11"/>
              </w:rPr>
              <w:t>Product documentation with role assignment and responsibility mapping</w:t>
            </w:r>
          </w:p>
        </w:tc>
        <w:tc>
          <w:tcPr>
            <w:tcW w:type="dxa" w:w="2400"/>
            <w:vAlign w:val="top"/>
          </w:tcPr>
          <w:p>
            <w:pPr>
              <w:spacing w:after="0"/>
              <w:jc w:val="left"/>
            </w:pPr>
            <w:r>
              <w:rPr>
                <w:rFonts w:ascii="Arial" w:hAnsi="Arial"/>
                <w:b w:val="0"/>
                <w:sz w:val="11"/>
              </w:rPr>
              <w:t>Role assignment, responsibility mapping, basic accountability tracking</w:t>
            </w:r>
          </w:p>
        </w:tc>
        <w:tc>
          <w:tcPr>
            <w:tcW w:type="dxa" w:w="2400"/>
            <w:vAlign w:val="top"/>
          </w:tcPr>
          <w:p>
            <w:pPr>
              <w:spacing w:after="0"/>
              <w:jc w:val="left"/>
            </w:pPr>
            <w:r>
              <w:rPr>
                <w:rFonts w:ascii="Arial" w:hAnsi="Arial"/>
                <w:b w:val="0"/>
                <w:sz w:val="11"/>
              </w:rPr>
              <w:t>Accountability tracking ≠ accountability escalation or accepted outcome compliance</w:t>
            </w:r>
          </w:p>
        </w:tc>
        <w:tc>
          <w:tcPr>
            <w:tcW w:type="dxa" w:w="2400"/>
            <w:vAlign w:val="top"/>
          </w:tcPr>
          <w:p>
            <w:pPr>
              <w:spacing w:after="0"/>
              <w:jc w:val="left"/>
            </w:pPr>
            <w:r>
              <w:rPr>
                <w:rFonts w:ascii="Arial" w:hAnsi="Arial"/>
                <w:b w:val="0"/>
                <w:sz w:val="11"/>
              </w:rPr>
              <w:t>Moderate coverage; escalation and accepted outcome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accountability</w:t>
            </w:r>
          </w:p>
        </w:tc>
        <w:tc>
          <w:tcPr>
            <w:tcW w:type="dxa" w:w="2400"/>
            <w:vAlign w:val="top"/>
          </w:tcPr>
          <w:p>
            <w:pPr>
              <w:spacing w:after="0"/>
              <w:jc w:val="left"/>
            </w:pPr>
            <w:r>
              <w:rPr>
                <w:rFonts w:ascii="Arial" w:hAnsi="Arial"/>
                <w:b w:val="0"/>
                <w:sz w:val="11"/>
              </w:rPr>
              <w:t>Product documentation with role assignment, responsibility mapping, and tracking</w:t>
            </w:r>
          </w:p>
        </w:tc>
        <w:tc>
          <w:tcPr>
            <w:tcW w:type="dxa" w:w="2400"/>
            <w:vAlign w:val="top"/>
          </w:tcPr>
          <w:p>
            <w:pPr>
              <w:spacing w:after="0"/>
              <w:jc w:val="left"/>
            </w:pPr>
            <w:r>
              <w:rPr>
                <w:rFonts w:ascii="Arial" w:hAnsi="Arial"/>
                <w:b w:val="0"/>
                <w:sz w:val="11"/>
              </w:rPr>
              <w:t>Role assignment, responsibility mapping, accountability tracking, accountability escalation</w:t>
            </w:r>
          </w:p>
        </w:tc>
        <w:tc>
          <w:tcPr>
            <w:tcW w:type="dxa" w:w="2400"/>
            <w:vAlign w:val="top"/>
          </w:tcPr>
          <w:p>
            <w:pPr>
              <w:spacing w:after="0"/>
              <w:jc w:val="left"/>
            </w:pPr>
            <w:r>
              <w:rPr>
                <w:rFonts w:ascii="Arial" w:hAnsi="Arial"/>
                <w:b w:val="0"/>
                <w:sz w:val="11"/>
              </w:rPr>
              <w:t>Accountability escalation ≠ accepted outcome compliance or human-role-to-MAS mapping</w:t>
            </w:r>
          </w:p>
        </w:tc>
        <w:tc>
          <w:tcPr>
            <w:tcW w:type="dxa" w:w="2400"/>
            <w:vAlign w:val="top"/>
          </w:tcPr>
          <w:p>
            <w:pPr>
              <w:spacing w:after="0"/>
              <w:jc w:val="left"/>
            </w:pPr>
            <w:r>
              <w:rPr>
                <w:rFonts w:ascii="Arial" w:hAnsi="Arial"/>
                <w:b w:val="0"/>
                <w:sz w:val="11"/>
              </w:rPr>
              <w:t>Strong coverage; accepted outcome and human-role-to-MAS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capability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26 accountability requirement;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system implementation</w:t>
            </w:r>
          </w:p>
        </w:tc>
        <w:tc>
          <w:tcPr>
            <w:tcW w:type="dxa" w:w="2400"/>
            <w:vAlign w:val="top"/>
          </w:tcPr>
          <w:p>
            <w:pPr>
              <w:spacing w:after="0"/>
              <w:jc w:val="left"/>
            </w:pPr>
            <w:r>
              <w:rPr>
                <w:rFonts w:ascii="Arial" w:hAnsi="Arial"/>
                <w:b w:val="0"/>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RCCS-09: Contestability</w:t>
      </w:r>
    </w:p>
    <w:p/>
    <w:p>
      <w:r>
        <w:t>Core question: Does the system provide primitives for contestability including dispute resolution, appeal mechanisms, and remediation workflows?</w:t>
      </w:r>
    </w:p>
    <w:p/>
    <w:p>
      <w:r>
        <w:t>What counts: Dispute resolution workflows, appeal mechanisms, remediation workflows, contestability tracking</w:t>
      </w:r>
    </w:p>
    <w:p/>
    <w:p>
      <w:r>
        <w:t>What does not count: General customer support, contestability without lifecycle integration, contestability without remediation closure</w:t>
      </w:r>
    </w:p>
    <w:p/>
    <w:p>
      <w:pPr>
        <w:keepNext/>
      </w:pPr>
      <w:r>
        <w:rPr>
          <w:b/>
          <w:sz w:val="17"/>
        </w:rPr>
        <w:t>Table T-E-09: RCCS-09 Contestability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contestability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dispute resolution, no appeal mechanisms, no remediation workflows</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contestability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contestability</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Contestability mentioned in marketing docs but no implementation details</w:t>
            </w:r>
          </w:p>
        </w:tc>
        <w:tc>
          <w:tcPr>
            <w:tcW w:type="dxa" w:w="2400"/>
            <w:vAlign w:val="top"/>
          </w:tcPr>
          <w:p>
            <w:pPr>
              <w:spacing w:after="0"/>
              <w:jc w:val="left"/>
            </w:pPr>
            <w:r>
              <w:rPr>
                <w:rFonts w:ascii="Arial" w:hAnsi="Arial"/>
                <w:b w:val="0"/>
                <w:sz w:val="11"/>
              </w:rPr>
              <w:t>Contestability mentioned ≠ contestability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contestability</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Dispute resolution workflow exists but no appeal mechanisms or remediation workflows</w:t>
            </w:r>
          </w:p>
        </w:tc>
        <w:tc>
          <w:tcPr>
            <w:tcW w:type="dxa" w:w="2400"/>
            <w:vAlign w:val="top"/>
          </w:tcPr>
          <w:p>
            <w:pPr>
              <w:spacing w:after="0"/>
              <w:jc w:val="left"/>
            </w:pPr>
            <w:r>
              <w:rPr>
                <w:rFonts w:ascii="Arial" w:hAnsi="Arial"/>
                <w:b w:val="0"/>
                <w:sz w:val="11"/>
              </w:rPr>
              <w:t>Dispute resolution ≠ appeal mechanisms or remediation workflows</w:t>
            </w:r>
          </w:p>
        </w:tc>
        <w:tc>
          <w:tcPr>
            <w:tcW w:type="dxa" w:w="2400"/>
            <w:vAlign w:val="top"/>
          </w:tcPr>
          <w:p>
            <w:pPr>
              <w:spacing w:after="0"/>
              <w:jc w:val="left"/>
            </w:pPr>
            <w:r>
              <w:rPr>
                <w:rFonts w:ascii="Arial" w:hAnsi="Arial"/>
                <w:b w:val="0"/>
                <w:sz w:val="11"/>
              </w:rPr>
              <w:t>Partial coverage; appeal and remediation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contestability</w:t>
            </w:r>
          </w:p>
        </w:tc>
        <w:tc>
          <w:tcPr>
            <w:tcW w:type="dxa" w:w="2400"/>
            <w:vAlign w:val="top"/>
          </w:tcPr>
          <w:p>
            <w:pPr>
              <w:spacing w:after="0"/>
              <w:jc w:val="left"/>
            </w:pPr>
            <w:r>
              <w:rPr>
                <w:rFonts w:ascii="Arial" w:hAnsi="Arial"/>
                <w:b w:val="0"/>
                <w:sz w:val="11"/>
              </w:rPr>
              <w:t>Product documentation with dispute resolution and appeal mechanisms</w:t>
            </w:r>
          </w:p>
        </w:tc>
        <w:tc>
          <w:tcPr>
            <w:tcW w:type="dxa" w:w="2400"/>
            <w:vAlign w:val="top"/>
          </w:tcPr>
          <w:p>
            <w:pPr>
              <w:spacing w:after="0"/>
              <w:jc w:val="left"/>
            </w:pPr>
            <w:r>
              <w:rPr>
                <w:rFonts w:ascii="Arial" w:hAnsi="Arial"/>
                <w:b w:val="0"/>
                <w:sz w:val="11"/>
              </w:rPr>
              <w:t>Dispute resolution workflows, appeal mechanisms, basic remediation workflows</w:t>
            </w:r>
          </w:p>
        </w:tc>
        <w:tc>
          <w:tcPr>
            <w:tcW w:type="dxa" w:w="2400"/>
            <w:vAlign w:val="top"/>
          </w:tcPr>
          <w:p>
            <w:pPr>
              <w:spacing w:after="0"/>
              <w:jc w:val="left"/>
            </w:pPr>
            <w:r>
              <w:rPr>
                <w:rFonts w:ascii="Arial" w:hAnsi="Arial"/>
                <w:b w:val="0"/>
                <w:sz w:val="11"/>
              </w:rPr>
              <w:t>Remediation workflows ≠ remediation closure or contestability tracking</w:t>
            </w:r>
          </w:p>
        </w:tc>
        <w:tc>
          <w:tcPr>
            <w:tcW w:type="dxa" w:w="2400"/>
            <w:vAlign w:val="top"/>
          </w:tcPr>
          <w:p>
            <w:pPr>
              <w:spacing w:after="0"/>
              <w:jc w:val="left"/>
            </w:pPr>
            <w:r>
              <w:rPr>
                <w:rFonts w:ascii="Arial" w:hAnsi="Arial"/>
                <w:b w:val="0"/>
                <w:sz w:val="11"/>
              </w:rPr>
              <w:t>Moderate coverage; closure and tracking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contestability</w:t>
            </w:r>
          </w:p>
        </w:tc>
        <w:tc>
          <w:tcPr>
            <w:tcW w:type="dxa" w:w="2400"/>
            <w:vAlign w:val="top"/>
          </w:tcPr>
          <w:p>
            <w:pPr>
              <w:spacing w:after="0"/>
              <w:jc w:val="left"/>
            </w:pPr>
            <w:r>
              <w:rPr>
                <w:rFonts w:ascii="Arial" w:hAnsi="Arial"/>
                <w:b w:val="0"/>
                <w:sz w:val="11"/>
              </w:rPr>
              <w:t>Product documentation with dispute resolution, appeal, and remediation</w:t>
            </w:r>
          </w:p>
        </w:tc>
        <w:tc>
          <w:tcPr>
            <w:tcW w:type="dxa" w:w="2400"/>
            <w:vAlign w:val="top"/>
          </w:tcPr>
          <w:p>
            <w:pPr>
              <w:spacing w:after="0"/>
              <w:jc w:val="left"/>
            </w:pPr>
            <w:r>
              <w:rPr>
                <w:rFonts w:ascii="Arial" w:hAnsi="Arial"/>
                <w:b w:val="0"/>
                <w:sz w:val="11"/>
              </w:rPr>
              <w:t>Dispute resolution workflows, appeal mechanisms, remediation workflows, contestability tracking</w:t>
            </w:r>
          </w:p>
        </w:tc>
        <w:tc>
          <w:tcPr>
            <w:tcW w:type="dxa" w:w="2400"/>
            <w:vAlign w:val="top"/>
          </w:tcPr>
          <w:p>
            <w:pPr>
              <w:spacing w:after="0"/>
              <w:jc w:val="left"/>
            </w:pPr>
            <w:r>
              <w:rPr>
                <w:rFonts w:ascii="Arial" w:hAnsi="Arial"/>
                <w:b w:val="0"/>
                <w:sz w:val="11"/>
              </w:rPr>
              <w:t>Contestability tracking ≠ remediation closure or incident/dispute/remediation closure</w:t>
            </w:r>
          </w:p>
        </w:tc>
        <w:tc>
          <w:tcPr>
            <w:tcW w:type="dxa" w:w="2400"/>
            <w:vAlign w:val="top"/>
          </w:tcPr>
          <w:p>
            <w:pPr>
              <w:spacing w:after="0"/>
              <w:jc w:val="left"/>
            </w:pPr>
            <w:r>
              <w:rPr>
                <w:rFonts w:ascii="Arial" w:hAnsi="Arial"/>
                <w:b w:val="0"/>
                <w:sz w:val="11"/>
              </w:rPr>
              <w:t>Strong coverage; closure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capability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GDPR Article 22 right to contest automated decision-making;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system implementation</w:t>
            </w:r>
          </w:p>
        </w:tc>
        <w:tc>
          <w:tcPr>
            <w:tcW w:type="dxa" w:w="2400"/>
            <w:vAlign w:val="top"/>
          </w:tcPr>
          <w:p>
            <w:pPr>
              <w:spacing w:after="0"/>
              <w:jc w:val="left"/>
            </w:pPr>
            <w:r>
              <w:rPr>
                <w:rFonts w:ascii="Arial" w:hAnsi="Arial"/>
                <w:b w:val="0"/>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RCCS-10: Monitoring</w:t>
      </w:r>
    </w:p>
    <w:p/>
    <w:p>
      <w:r>
        <w:t>Core question: Does the system provide primitives for monitoring including performance monitoring, drift detection, and continuous improvement?</w:t>
      </w:r>
    </w:p>
    <w:p/>
    <w:p>
      <w:r>
        <w:t>What counts: Performance monitoring, drift detection, continuous improvement workflows, monitoring dashboards</w:t>
      </w:r>
    </w:p>
    <w:p/>
    <w:p>
      <w:r>
        <w:t>What does not count: General application monitoring, monitoring without AI lifecycle integration, monitoring without drift detection</w:t>
      </w:r>
    </w:p>
    <w:p/>
    <w:p>
      <w:pPr>
        <w:keepNext/>
      </w:pPr>
      <w:r>
        <w:rPr>
          <w:b/>
          <w:sz w:val="17"/>
        </w:rPr>
        <w:t>Table T-E-10: RCCS-10 Monitoring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monitoring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performance monitoring, no drift detection, no continuous improvement</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monitoring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monitoring</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Monitoring mentioned in marketing docs but no implementation details</w:t>
            </w:r>
          </w:p>
        </w:tc>
        <w:tc>
          <w:tcPr>
            <w:tcW w:type="dxa" w:w="2400"/>
            <w:vAlign w:val="top"/>
          </w:tcPr>
          <w:p>
            <w:pPr>
              <w:spacing w:after="0"/>
              <w:jc w:val="left"/>
            </w:pPr>
            <w:r>
              <w:rPr>
                <w:rFonts w:ascii="Arial" w:hAnsi="Arial"/>
                <w:b w:val="0"/>
                <w:sz w:val="11"/>
              </w:rPr>
              <w:t>Monitoring mentioned ≠ monitoring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monitoring</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Performance monitoring exists but no drift detection or continuous improvement</w:t>
            </w:r>
          </w:p>
        </w:tc>
        <w:tc>
          <w:tcPr>
            <w:tcW w:type="dxa" w:w="2400"/>
            <w:vAlign w:val="top"/>
          </w:tcPr>
          <w:p>
            <w:pPr>
              <w:spacing w:after="0"/>
              <w:jc w:val="left"/>
            </w:pPr>
            <w:r>
              <w:rPr>
                <w:rFonts w:ascii="Arial" w:hAnsi="Arial"/>
                <w:b w:val="0"/>
                <w:sz w:val="11"/>
              </w:rPr>
              <w:t>Performance monitoring ≠ drift detection or continuous improvement</w:t>
            </w:r>
          </w:p>
        </w:tc>
        <w:tc>
          <w:tcPr>
            <w:tcW w:type="dxa" w:w="2400"/>
            <w:vAlign w:val="top"/>
          </w:tcPr>
          <w:p>
            <w:pPr>
              <w:spacing w:after="0"/>
              <w:jc w:val="left"/>
            </w:pPr>
            <w:r>
              <w:rPr>
                <w:rFonts w:ascii="Arial" w:hAnsi="Arial"/>
                <w:b w:val="0"/>
                <w:sz w:val="11"/>
              </w:rPr>
              <w:t>Partial coverage; drift detection and continuous improvement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monitoring</w:t>
            </w:r>
          </w:p>
        </w:tc>
        <w:tc>
          <w:tcPr>
            <w:tcW w:type="dxa" w:w="2400"/>
            <w:vAlign w:val="top"/>
          </w:tcPr>
          <w:p>
            <w:pPr>
              <w:spacing w:after="0"/>
              <w:jc w:val="left"/>
            </w:pPr>
            <w:r>
              <w:rPr>
                <w:rFonts w:ascii="Arial" w:hAnsi="Arial"/>
                <w:b w:val="0"/>
                <w:sz w:val="11"/>
              </w:rPr>
              <w:t>Product documentation with performance monitoring and drift detection</w:t>
            </w:r>
          </w:p>
        </w:tc>
        <w:tc>
          <w:tcPr>
            <w:tcW w:type="dxa" w:w="2400"/>
            <w:vAlign w:val="top"/>
          </w:tcPr>
          <w:p>
            <w:pPr>
              <w:spacing w:after="0"/>
              <w:jc w:val="left"/>
            </w:pPr>
            <w:r>
              <w:rPr>
                <w:rFonts w:ascii="Arial" w:hAnsi="Arial"/>
                <w:b w:val="0"/>
                <w:sz w:val="11"/>
              </w:rPr>
              <w:t>Performance monitoring, drift detection, basic continuous improvement workflows</w:t>
            </w:r>
          </w:p>
        </w:tc>
        <w:tc>
          <w:tcPr>
            <w:tcW w:type="dxa" w:w="2400"/>
            <w:vAlign w:val="top"/>
          </w:tcPr>
          <w:p>
            <w:pPr>
              <w:spacing w:after="0"/>
              <w:jc w:val="left"/>
            </w:pPr>
            <w:r>
              <w:rPr>
                <w:rFonts w:ascii="Arial" w:hAnsi="Arial"/>
                <w:b w:val="0"/>
                <w:sz w:val="11"/>
              </w:rPr>
              <w:t>Continuous improvement ≠ monitoring dashboards or authority drift detection</w:t>
            </w:r>
          </w:p>
        </w:tc>
        <w:tc>
          <w:tcPr>
            <w:tcW w:type="dxa" w:w="2400"/>
            <w:vAlign w:val="top"/>
          </w:tcPr>
          <w:p>
            <w:pPr>
              <w:spacing w:after="0"/>
              <w:jc w:val="left"/>
            </w:pPr>
            <w:r>
              <w:rPr>
                <w:rFonts w:ascii="Arial" w:hAnsi="Arial"/>
                <w:b w:val="0"/>
                <w:sz w:val="11"/>
              </w:rPr>
              <w:t>Moderate coverage; dashboards and authority drift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monitoring</w:t>
            </w:r>
          </w:p>
        </w:tc>
        <w:tc>
          <w:tcPr>
            <w:tcW w:type="dxa" w:w="2400"/>
            <w:vAlign w:val="top"/>
          </w:tcPr>
          <w:p>
            <w:pPr>
              <w:spacing w:after="0"/>
              <w:jc w:val="left"/>
            </w:pPr>
            <w:r>
              <w:rPr>
                <w:rFonts w:ascii="Arial" w:hAnsi="Arial"/>
                <w:b w:val="0"/>
                <w:sz w:val="11"/>
              </w:rPr>
              <w:t>Product documentation with performance monitoring, drift detection, and continuous improvement</w:t>
            </w:r>
          </w:p>
        </w:tc>
        <w:tc>
          <w:tcPr>
            <w:tcW w:type="dxa" w:w="2400"/>
            <w:vAlign w:val="top"/>
          </w:tcPr>
          <w:p>
            <w:pPr>
              <w:spacing w:after="0"/>
              <w:jc w:val="left"/>
            </w:pPr>
            <w:r>
              <w:rPr>
                <w:rFonts w:ascii="Arial" w:hAnsi="Arial"/>
                <w:b w:val="0"/>
                <w:sz w:val="11"/>
              </w:rPr>
              <w:t>Performance monitoring, drift detection, continuous improvement workflows, monitoring dashboards</w:t>
            </w:r>
          </w:p>
        </w:tc>
        <w:tc>
          <w:tcPr>
            <w:tcW w:type="dxa" w:w="2400"/>
            <w:vAlign w:val="top"/>
          </w:tcPr>
          <w:p>
            <w:pPr>
              <w:spacing w:after="0"/>
              <w:jc w:val="left"/>
            </w:pPr>
            <w:r>
              <w:rPr>
                <w:rFonts w:ascii="Arial" w:hAnsi="Arial"/>
                <w:b w:val="0"/>
                <w:sz w:val="11"/>
              </w:rPr>
              <w:t>Monitoring dashboards ≠ authority drift detection or lifecycle drift detection</w:t>
            </w:r>
          </w:p>
        </w:tc>
        <w:tc>
          <w:tcPr>
            <w:tcW w:type="dxa" w:w="2400"/>
            <w:vAlign w:val="top"/>
          </w:tcPr>
          <w:p>
            <w:pPr>
              <w:spacing w:after="0"/>
              <w:jc w:val="left"/>
            </w:pPr>
            <w:r>
              <w:rPr>
                <w:rFonts w:ascii="Arial" w:hAnsi="Arial"/>
                <w:b w:val="0"/>
                <w:sz w:val="11"/>
              </w:rPr>
              <w:t>Strong coverage; authority drift and lifecycle drift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capability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72 post-market monitoring requirement;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system implementation</w:t>
            </w:r>
          </w:p>
        </w:tc>
        <w:tc>
          <w:tcPr>
            <w:tcW w:type="dxa" w:w="2400"/>
            <w:vAlign w:val="top"/>
          </w:tcPr>
          <w:p>
            <w:pPr>
              <w:spacing w:after="0"/>
              <w:jc w:val="left"/>
            </w:pPr>
            <w:r>
              <w:rPr>
                <w:rFonts w:ascii="Arial" w:hAnsi="Arial"/>
                <w:b w:val="0"/>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2"/>
      </w:pPr>
      <w:r>
        <w:t>E.3 RCCS Evidence Requirements</w:t>
      </w:r>
    </w:p>
    <w:p/>
    <w:p>
      <w:r>
        <w:t>Evidence hierarchy:</w:t>
      </w:r>
    </w:p>
    <w:p/>
    <w:p>
      <w:pPr>
        <w:pStyle w:val="ListBullet"/>
      </w:pPr>
      <w:r>
        <w:t>L1 (Binding Legal Text): EU AI Act, GDPR, Colorado AI Act, formal standards (NIST AI RMF, ISO/IEC 42001)</w:t>
      </w:r>
    </w:p>
    <w:p>
      <w:pPr>
        <w:pStyle w:val="ListBullet"/>
      </w:pPr>
      <w:r>
        <w:t>L2 (Product Docs): Official product documentation, protocol specifications, GitHub repositories</w:t>
      </w:r>
    </w:p>
    <w:p>
      <w:pPr>
        <w:pStyle w:val="ListBullet"/>
      </w:pPr>
      <w:r>
        <w:t>L3 (Audit Report): Third-party audit reports, academic papers, industry reports</w:t>
      </w:r>
    </w:p>
    <w:p>
      <w:pPr>
        <w:pStyle w:val="ListBullet"/>
      </w:pPr>
      <w:r>
        <w:t>L4 (Vendor Claim): Vendor claims, marketing materials, blog posts</w:t>
      </w:r>
    </w:p>
    <w:p>
      <w:pPr>
        <w:pStyle w:val="ListBullet"/>
      </w:pPr>
      <w:r>
        <w:t>L5 (Author Inference): Author inference, analytical framework, logical derivation</w:t>
      </w:r>
    </w:p>
    <w:p/>
    <w:p>
      <w:r>
        <w:t>Evidence multiplier application:</w:t>
      </w:r>
    </w:p>
    <w:p/>
    <w:p>
      <w:pPr>
        <w:spacing w:before="60" w:after="100"/>
        <w:ind w:left="259"/>
      </w:pPr>
      <w:r>
        <w:rPr>
          <w:rFonts w:ascii="Courier New" w:hAnsi="Courier New"/>
          <w:sz w:val="15"/>
        </w:rPr>
        <w:t>Dimension Score = (Raw Score / 5) × 100 × Evidence Confidence Multiplier</w:t>
        <w:br/>
        <w:br/>
        <w:t>Where:</w:t>
        <w:br/>
        <w:t>Raw Score = 0-5 based on capability assessment</w:t>
        <w:br/>
        <w:t>Evidence Confidence Multiplier = L1=1.00, L2=0.85, L3=0.75, L4=0.55, L5=0.35</w:t>
      </w:r>
    </w:p>
    <w:p/>
    <w:p>
      <w:r>
        <w:t>Example:</w:t>
      </w:r>
    </w:p>
    <w:p/>
    <w:p>
      <w:pPr>
        <w:spacing w:before="60" w:after="100"/>
        <w:ind w:left="259"/>
      </w:pPr>
      <w:r>
        <w:rPr>
          <w:rFonts w:ascii="Courier New" w:hAnsi="Courier New"/>
          <w:sz w:val="15"/>
        </w:rPr>
        <w:t>RCCS-04 Record-Keeping</w:t>
        <w:br/>
        <w:t>Raw Score: 4 (Strong capability)</w:t>
        <w:br/>
        <w:t>Evidence Level: L2 (Product documentation)</w:t>
        <w:br/>
        <w:t>Evidence Multiplier: 0.85</w:t>
        <w:br/>
        <w:t>Dimension Score: (4/5) × 100 × 0.85 = 68.0</w:t>
      </w:r>
    </w:p>
    <w:p/>
    <w:p/>
    <w:p>
      <w:pPr>
        <w:pStyle w:val="Heading2"/>
      </w:pPr>
      <w:r>
        <w:t>E.4 RCCS Scoring Notes and Negative Controls</w:t>
      </w:r>
    </w:p>
    <w:p/>
    <w:p>
      <w:r>
        <w:t>Negative controls prevent overclaim:</w:t>
      </w:r>
    </w:p>
    <w:p/>
    <w:p>
      <w:r>
        <w:t>1. Risk management mentioned ≠ risk management implemented</w:t>
      </w:r>
    </w:p>
    <w:p>
      <w:pPr>
        <w:pStyle w:val="ListBullet"/>
      </w:pPr>
      <w:r>
        <w:t>Vendor marketing materials may mention risk management without providing implementation details</w:t>
      </w:r>
    </w:p>
    <w:p>
      <w:pPr>
        <w:pStyle w:val="ListBullet"/>
      </w:pPr>
      <w:r>
        <w:t>Require product documentation or audit evidence to validate implementation</w:t>
      </w:r>
    </w:p>
    <w:p/>
    <w:p>
      <w:r>
        <w:t>2. Data quality ≠ data lineage or retention</w:t>
      </w:r>
    </w:p>
    <w:p>
      <w:pPr>
        <w:pStyle w:val="ListBullet"/>
      </w:pPr>
      <w:r>
        <w:t>Data quality checks do not automatically provide data lineage tracking or retention policies</w:t>
      </w:r>
    </w:p>
    <w:p>
      <w:pPr>
        <w:pStyle w:val="ListBullet"/>
      </w:pPr>
      <w:r>
        <w:t>Require explicit evidence of lineage and retention capabilities</w:t>
      </w:r>
    </w:p>
    <w:p/>
    <w:p>
      <w:r>
        <w:t>3. Model card ≠ system card or deployment documentation</w:t>
      </w:r>
    </w:p>
    <w:p>
      <w:pPr>
        <w:pStyle w:val="ListBullet"/>
      </w:pPr>
      <w:r>
        <w:t>Model cards document model-level information but do not provide system-level or deployment-level documentation</w:t>
      </w:r>
    </w:p>
    <w:p>
      <w:pPr>
        <w:pStyle w:val="ListBullet"/>
      </w:pPr>
      <w:r>
        <w:t>Require explicit evidence of system cards and deployment documentation</w:t>
      </w:r>
    </w:p>
    <w:p/>
    <w:p>
      <w:r>
        <w:t>4. Audit trails ≠ evidence export or retention</w:t>
      </w:r>
    </w:p>
    <w:p>
      <w:pPr>
        <w:pStyle w:val="ListBullet"/>
      </w:pPr>
      <w:r>
        <w:t>Audit trails provide execution records but do not automatically provide evidence export or retention capabilities</w:t>
      </w:r>
    </w:p>
    <w:p>
      <w:pPr>
        <w:pStyle w:val="ListBullet"/>
      </w:pPr>
      <w:r>
        <w:t>Require explicit evidence of export and retention capabilities</w:t>
      </w:r>
    </w:p>
    <w:p/>
    <w:p>
      <w:r>
        <w:t>5. Explainability ≠ interpretability or disclosure</w:t>
      </w:r>
    </w:p>
    <w:p>
      <w:pPr>
        <w:pStyle w:val="ListBullet"/>
      </w:pPr>
      <w:r>
        <w:t>Explainability tools provide post-hoc explanations but do not automatically provide interpretability methods or disclosure mechanisms</w:t>
      </w:r>
    </w:p>
    <w:p>
      <w:pPr>
        <w:pStyle w:val="ListBullet"/>
      </w:pPr>
      <w:r>
        <w:t>Require explicit evidence of interpretability and disclosure capabilities</w:t>
      </w:r>
    </w:p>
    <w:p/>
    <w:p>
      <w:r>
        <w:t>6. Approval button ≠ human-role-to-MAS responsibility mapping</w:t>
      </w:r>
    </w:p>
    <w:p>
      <w:pPr>
        <w:pStyle w:val="ListBullet"/>
      </w:pPr>
      <w:r>
        <w:t>Approval buttons provide UI controls but do not automatically provide human-role-to-MAS responsibility mapping or accountability tracking</w:t>
      </w:r>
    </w:p>
    <w:p>
      <w:pPr>
        <w:pStyle w:val="ListBullet"/>
      </w:pPr>
      <w:r>
        <w:t>Require explicit evidence of responsibility mapping and accountability tracking</w:t>
      </w:r>
    </w:p>
    <w:p/>
    <w:p>
      <w:r>
        <w:t>7. Access control ≠ authentication or authorization</w:t>
      </w:r>
    </w:p>
    <w:p>
      <w:pPr>
        <w:pStyle w:val="ListBullet"/>
      </w:pPr>
      <w:r>
        <w:t>Access control provides basic security but does not automatically provide authentication or authorization for AI lifecycle</w:t>
      </w:r>
    </w:p>
    <w:p>
      <w:pPr>
        <w:pStyle w:val="ListBullet"/>
      </w:pPr>
      <w:r>
        <w:t>Require explicit evidence of authentication and authorization capabilities</w:t>
      </w:r>
    </w:p>
    <w:p/>
    <w:p>
      <w:r>
        <w:t>8. Role assignment ≠ responsibility mapping or accountability tracking</w:t>
      </w:r>
    </w:p>
    <w:p>
      <w:pPr>
        <w:pStyle w:val="ListBullet"/>
      </w:pPr>
      <w:r>
        <w:t>Role assignment provides user management but does not automatically provide responsibility mapping or accountability tracking</w:t>
      </w:r>
    </w:p>
    <w:p>
      <w:pPr>
        <w:pStyle w:val="ListBullet"/>
      </w:pPr>
      <w:r>
        <w:t>Require explicit evidence of responsibility mapping and accountability tracking</w:t>
      </w:r>
    </w:p>
    <w:p/>
    <w:p>
      <w:r>
        <w:t>9. Dispute resolution ≠ appeal mechanisms or remediation workflows</w:t>
      </w:r>
    </w:p>
    <w:p>
      <w:pPr>
        <w:pStyle w:val="ListBullet"/>
      </w:pPr>
      <w:r>
        <w:t>Dispute resolution workflows provide basic contestability but do not automatically provide appeal mechanisms or remediation workflows</w:t>
      </w:r>
    </w:p>
    <w:p>
      <w:pPr>
        <w:pStyle w:val="ListBullet"/>
      </w:pPr>
      <w:r>
        <w:t>Require explicit evidence of appeal and remediation capabilities</w:t>
      </w:r>
    </w:p>
    <w:p/>
    <w:p>
      <w:r>
        <w:t>10. Performance monitoring ≠ drift detection or continuous improvement</w:t>
      </w:r>
    </w:p>
    <w:p>
      <w:pPr>
        <w:pStyle w:val="ListBullet"/>
      </w:pPr>
      <w:r>
        <w:t>Performance monitoring provides basic observability but does not automatically provide drift detection or continuous improvement workflows</w:t>
      </w:r>
    </w:p>
    <w:p>
      <w:pPr>
        <w:pStyle w:val="ListBullet"/>
      </w:pPr>
      <w:r>
        <w:t>Require explicit evidence of drift detection and continuous improvement capabilities</w:t>
      </w:r>
    </w:p>
    <w:p/>
    <w:p>
      <w:r>
        <w:t>Boundary discipline:</w:t>
      </w:r>
    </w:p>
    <w:p/>
    <w:p>
      <w:pPr>
        <w:pStyle w:val="ListBullet"/>
      </w:pPr>
      <w:r>
        <w:t>RCCS measures regulatory compliance coverage primitives, not legal compliance</w:t>
      </w:r>
    </w:p>
    <w:p>
      <w:pPr>
        <w:pStyle w:val="ListBullet"/>
      </w:pPr>
      <w:r>
        <w:t>High RCCS scores do not prove legal compliance, regulatory approval, or certification</w:t>
      </w:r>
    </w:p>
    <w:p>
      <w:pPr>
        <w:pStyle w:val="ListBullet"/>
      </w:pPr>
      <w:r>
        <w:t>Low RCCS scores do not prove non-compliance or unsuitability</w:t>
      </w:r>
    </w:p>
    <w:p>
      <w:pPr>
        <w:pStyle w:val="ListBullet"/>
      </w:pPr>
      <w:r>
        <w:t>RCCS scores are context-independent; organizations must interpret within their legal, regulatory, and operational context</w:t>
      </w:r>
    </w:p>
    <w:p>
      <w:pPr>
        <w:pStyle w:val="ListBullet"/>
      </w:pPr>
      <w:r>
        <w:t>RCCS scores require evidence; evidence level affects score multiplier</w:t>
      </w:r>
    </w:p>
    <w:p>
      <w:pPr>
        <w:pStyle w:val="ListBullet"/>
      </w:pPr>
      <w:r>
        <w:t>RCCS scores are not product rankings; they compare systems by regulatory compliance coverage primitives</w:t>
      </w:r>
    </w:p>
    <w:p/>
    <w:p/>
    <w:p>
      <w:r>
        <w:t>End of Appendix E</w:t>
      </w:r>
    </w:p>
    <w:p/>
    <w:p>
      <w:r>
        <w:t>Appendix E Status: FILLED (Phase 1B-9) — RCCS Detailed Scoring Rubrics complete; all 10 RCCS dimensions with detailed rubrics, evidence requirements, and negative controls.</w:t>
      </w:r>
    </w:p>
    <w:p>
      <w:pPr>
        <w:pStyle w:val="Heading1"/>
      </w:pPr>
      <w:r>
        <w:t>Appendix F — ALCS Detailed Scoring Rubrics</w:t>
      </w:r>
    </w:p>
    <w:p/>
    <w:p>
      <w:r>
        <w:t>Version: v0.3.2-FRC-R3</w:t>
      </w:r>
    </w:p>
    <w:p>
      <w:r>
        <w:t>Status: Reconstructed from v0.3.1 semantic base</w:t>
      </w:r>
    </w:p>
    <w:p>
      <w:r>
        <w:t>Phase: 1B-9</w:t>
      </w:r>
    </w:p>
    <w:p/>
    <w:p/>
    <w:p>
      <w:pPr>
        <w:pStyle w:val="Heading2"/>
      </w:pPr>
      <w:r>
        <w:t>F.0 ALCS Rubric Boundary</w:t>
      </w:r>
    </w:p>
    <w:p/>
    <w:p>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
      <w:r>
        <w:t>Boundary statement:</w:t>
      </w:r>
    </w:p>
    <w:p/>
    <w:p>
      <w:pPr>
        <w:pStyle w:val="ListBullet"/>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
      <w:pPr>
        <w:pStyle w:val="ListBullet"/>
      </w:pPr>
      <w:r>
        <w:t>High ALCS scores do not prove legal compliance. A high ALCS score indicates that a system provides primitives for agentic lifecycle responsibility management. It does not prove that the system is legally compliant, operationally effective, or enterprise-ready.</w:t>
      </w:r>
    </w:p>
    <w:p/>
    <w:p>
      <w:pPr>
        <w:pStyle w:val="ListBullet"/>
      </w:pPr>
      <w:r>
        <w:t>Low ALCS scores do not prove non-compliance. A low ALCS score indicates gaps in agentic lifecycle responsibility primitives. It does not prove that the system is non-compliant, unsafe, or unsuitable for deployment.</w:t>
      </w:r>
    </w:p>
    <w:p/>
    <w:p>
      <w:pPr>
        <w:pStyle w:val="ListBullet"/>
      </w:pPr>
      <w:r>
        <w:t>ALCS scores are context-independent. ALCS scores measure system capability, not organizational practice. Organizations must interpret scores within their legal, regulatory, and operational context.</w:t>
      </w:r>
    </w:p>
    <w:p/>
    <w:p>
      <w:pPr>
        <w:pStyle w:val="ListBullet"/>
      </w:pPr>
      <w:r>
        <w:t>ALCS scores require evidence. All scores must be supported by evidence. The evidence level (L1-L5) affects the score multiplier using the canonical formula from Phase 1B-8C.</w:t>
      </w:r>
    </w:p>
    <w:p/>
    <w:p>
      <w:pPr>
        <w:pStyle w:val="ListBullet"/>
      </w:pPr>
      <w:r>
        <w:t>ALCS scores are not product rankings. Rubrics compare systems by agentic lifecycle responsibility primitives, not product quality, market leadership, or procurement suitability.</w:t>
      </w:r>
    </w:p>
    <w:p/>
    <w:p/>
    <w:p>
      <w:pPr>
        <w:pStyle w:val="Heading2"/>
      </w:pPr>
      <w:r>
        <w:t>F.1 How to Use ALCS Rubrics</w:t>
      </w:r>
    </w:p>
    <w:p/>
    <w:p>
      <w:r>
        <w:t>Scoring process:</w:t>
      </w:r>
    </w:p>
    <w:p/>
    <w:p>
      <w:r>
        <w:t>1. Assess raw capability (0-5) based on system capability against the rubric</w:t>
      </w:r>
    </w:p>
    <w:p>
      <w:r>
        <w:t>2. Identify evidence level (L1-L5) based on source type</w:t>
      </w:r>
    </w:p>
    <w:p>
      <w:r>
        <w:t>3. Apply evidence multiplier using canonical formula: Dimension Score = (Raw Score / 5) × 100 × Evidence Confidence Multiplier</w:t>
      </w:r>
    </w:p>
    <w:p>
      <w:r>
        <w:t>4. Document justification explaining why the raw score and evidence level were assigned</w:t>
      </w:r>
    </w:p>
    <w:p>
      <w:r>
        <w:t>5. Add boundary note clarifying what the score does and does not prove</w:t>
      </w:r>
    </w:p>
    <w:p/>
    <w:p>
      <w:r>
        <w:t>Canonical evidence multipliers (from Phase 1B-8C):</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r>
        <w:t>Scoring scale:</w:t>
      </w:r>
    </w:p>
    <w:p/>
    <w:p>
      <w:pPr>
        <w:pStyle w:val="ListBullet"/>
      </w:pPr>
      <w:r>
        <w:t>0: No capability; no evidence</w:t>
      </w:r>
    </w:p>
    <w:p>
      <w:pPr>
        <w:pStyle w:val="ListBullet"/>
      </w:pPr>
      <w:r>
        <w:t>1: Minimal capability; weak evidence</w:t>
      </w:r>
    </w:p>
    <w:p>
      <w:pPr>
        <w:pStyle w:val="ListBullet"/>
      </w:pPr>
      <w:r>
        <w:t>2: Partial capability; some evidence</w:t>
      </w:r>
    </w:p>
    <w:p>
      <w:pPr>
        <w:pStyle w:val="ListBullet"/>
      </w:pPr>
      <w:r>
        <w:t>3: Moderate capability; documented evidence</w:t>
      </w:r>
    </w:p>
    <w:p>
      <w:pPr>
        <w:pStyle w:val="ListBullet"/>
      </w:pPr>
      <w:r>
        <w:t>4: Strong capability; validated evidence</w:t>
      </w:r>
    </w:p>
    <w:p>
      <w:pPr>
        <w:pStyle w:val="ListBullet"/>
      </w:pPr>
      <w:r>
        <w:t>5: Complete capability demonstrated by implementation evidence, formal audit evidence, protocol-level evidence, or validated operational artifacts. Legal text may establish a regulatory baseline but does not by itself prove implementation.</w:t>
      </w:r>
    </w:p>
    <w:p/>
    <w:p>
      <w:r>
        <w:t>Negative controls:</w:t>
      </w:r>
    </w:p>
    <w:p/>
    <w:p>
      <w:r>
        <w:t>Each rubric includes negative controls to prevent overclaim. Negative controls distinguish adjacent capabilities from agentic lifecycle responsibility primitives.</w:t>
      </w:r>
    </w:p>
    <w:p/>
    <w:p/>
    <w:p>
      <w:pPr>
        <w:pStyle w:val="Heading2"/>
      </w:pPr>
      <w:r>
        <w:t>F.2 ALCS Detailed Rubrics</w:t>
      </w:r>
    </w:p>
    <w:p/>
    <w:p>
      <w:pPr>
        <w:pStyle w:val="Heading3"/>
      </w:pPr>
      <w:r>
        <w:t>ALCS-01: Human-Role-to-MAS Responsibility Mapping</w:t>
      </w:r>
    </w:p>
    <w:p/>
    <w:p>
      <w:r>
        <w:t>Core question: Does the system provide primitives for mapping human roles to multi-agent system (MAS) responsibilities?</w:t>
      </w:r>
    </w:p>
    <w:p/>
    <w:p>
      <w:r>
        <w:t>What counts: Human role definitions, MAS responsibility definitions, role-to-responsibility mapping, responsibility tracking, responsibility audit trails</w:t>
      </w:r>
    </w:p>
    <w:p/>
    <w:p>
      <w:r>
        <w:t>What does not count: General user management, role assignment without MAS integration, responsibility tracking without lifecycle integration</w:t>
      </w:r>
    </w:p>
    <w:p/>
    <w:p>
      <w:pPr>
        <w:keepNext/>
      </w:pPr>
      <w:r>
        <w:rPr>
          <w:b/>
          <w:sz w:val="17"/>
        </w:rPr>
        <w:t>Table T-F-01: ALCS-01 Human-Role-to-MAS Responsibility Mapping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human-role-to-MAS mapping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human role definitions, no MAS responsibility definitions, no mapping</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human-role-to-MAS mapping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human-role-to-MAS mapping</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Human-role-to-MAS mapping mentioned in marketing docs but no implementation details</w:t>
            </w:r>
          </w:p>
        </w:tc>
        <w:tc>
          <w:tcPr>
            <w:tcW w:type="dxa" w:w="2400"/>
            <w:vAlign w:val="top"/>
          </w:tcPr>
          <w:p>
            <w:pPr>
              <w:spacing w:after="0"/>
              <w:jc w:val="left"/>
            </w:pPr>
            <w:r>
              <w:rPr>
                <w:rFonts w:ascii="Arial" w:hAnsi="Arial"/>
                <w:b w:val="0"/>
                <w:sz w:val="11"/>
              </w:rPr>
              <w:t>Mapping mentioned ≠ mapping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human-role-to-MAS mapping</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Human role definitions exist but no MAS responsibility definitions or mapping</w:t>
            </w:r>
          </w:p>
        </w:tc>
        <w:tc>
          <w:tcPr>
            <w:tcW w:type="dxa" w:w="2400"/>
            <w:vAlign w:val="top"/>
          </w:tcPr>
          <w:p>
            <w:pPr>
              <w:spacing w:after="0"/>
              <w:jc w:val="left"/>
            </w:pPr>
            <w:r>
              <w:rPr>
                <w:rFonts w:ascii="Arial" w:hAnsi="Arial"/>
                <w:b w:val="0"/>
                <w:sz w:val="11"/>
              </w:rPr>
              <w:t>Human roles ≠ MAS responsibilities or mapping</w:t>
            </w:r>
          </w:p>
        </w:tc>
        <w:tc>
          <w:tcPr>
            <w:tcW w:type="dxa" w:w="2400"/>
            <w:vAlign w:val="top"/>
          </w:tcPr>
          <w:p>
            <w:pPr>
              <w:spacing w:after="0"/>
              <w:jc w:val="left"/>
            </w:pPr>
            <w:r>
              <w:rPr>
                <w:rFonts w:ascii="Arial" w:hAnsi="Arial"/>
                <w:b w:val="0"/>
                <w:sz w:val="11"/>
              </w:rPr>
              <w:t>Partial coverage; MAS responsibility and mapping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human-role-to-MAS mapping</w:t>
            </w:r>
          </w:p>
        </w:tc>
        <w:tc>
          <w:tcPr>
            <w:tcW w:type="dxa" w:w="2400"/>
            <w:vAlign w:val="top"/>
          </w:tcPr>
          <w:p>
            <w:pPr>
              <w:spacing w:after="0"/>
              <w:jc w:val="left"/>
            </w:pPr>
            <w:r>
              <w:rPr>
                <w:rFonts w:ascii="Arial" w:hAnsi="Arial"/>
                <w:b w:val="0"/>
                <w:sz w:val="11"/>
              </w:rPr>
              <w:t>Product documentation with human roles and MAS responsibilities</w:t>
            </w:r>
          </w:p>
        </w:tc>
        <w:tc>
          <w:tcPr>
            <w:tcW w:type="dxa" w:w="2400"/>
            <w:vAlign w:val="top"/>
          </w:tcPr>
          <w:p>
            <w:pPr>
              <w:spacing w:after="0"/>
              <w:jc w:val="left"/>
            </w:pPr>
            <w:r>
              <w:rPr>
                <w:rFonts w:ascii="Arial" w:hAnsi="Arial"/>
                <w:b w:val="0"/>
                <w:sz w:val="11"/>
              </w:rPr>
              <w:t>Human role definitions, MAS responsibility definitions, basic role-to-responsibility mapping</w:t>
            </w:r>
          </w:p>
        </w:tc>
        <w:tc>
          <w:tcPr>
            <w:tcW w:type="dxa" w:w="2400"/>
            <w:vAlign w:val="top"/>
          </w:tcPr>
          <w:p>
            <w:pPr>
              <w:spacing w:after="0"/>
              <w:jc w:val="left"/>
            </w:pPr>
            <w:r>
              <w:rPr>
                <w:rFonts w:ascii="Arial" w:hAnsi="Arial"/>
                <w:b w:val="0"/>
                <w:sz w:val="11"/>
              </w:rPr>
              <w:t>Role-to-responsibility mapping ≠ responsibility tracking or audit trails</w:t>
            </w:r>
          </w:p>
        </w:tc>
        <w:tc>
          <w:tcPr>
            <w:tcW w:type="dxa" w:w="2400"/>
            <w:vAlign w:val="top"/>
          </w:tcPr>
          <w:p>
            <w:pPr>
              <w:spacing w:after="0"/>
              <w:jc w:val="left"/>
            </w:pPr>
            <w:r>
              <w:rPr>
                <w:rFonts w:ascii="Arial" w:hAnsi="Arial"/>
                <w:b w:val="0"/>
                <w:sz w:val="11"/>
              </w:rPr>
              <w:t>Moderate coverage; tracking and audit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human-role-to-MAS mapping</w:t>
            </w:r>
          </w:p>
        </w:tc>
        <w:tc>
          <w:tcPr>
            <w:tcW w:type="dxa" w:w="2400"/>
            <w:vAlign w:val="top"/>
          </w:tcPr>
          <w:p>
            <w:pPr>
              <w:spacing w:after="0"/>
              <w:jc w:val="left"/>
            </w:pPr>
            <w:r>
              <w:rPr>
                <w:rFonts w:ascii="Arial" w:hAnsi="Arial"/>
                <w:b w:val="0"/>
                <w:sz w:val="11"/>
              </w:rPr>
              <w:t>Product documentation with human roles, MAS responsibilities, and tracking</w:t>
            </w:r>
          </w:p>
        </w:tc>
        <w:tc>
          <w:tcPr>
            <w:tcW w:type="dxa" w:w="2400"/>
            <w:vAlign w:val="top"/>
          </w:tcPr>
          <w:p>
            <w:pPr>
              <w:spacing w:after="0"/>
              <w:jc w:val="left"/>
            </w:pPr>
            <w:r>
              <w:rPr>
                <w:rFonts w:ascii="Arial" w:hAnsi="Arial"/>
                <w:b w:val="0"/>
                <w:sz w:val="11"/>
              </w:rPr>
              <w:t>Human role definitions, MAS responsibility definitions, role-to-responsibility mapping, responsibility tracking</w:t>
            </w:r>
          </w:p>
        </w:tc>
        <w:tc>
          <w:tcPr>
            <w:tcW w:type="dxa" w:w="2400"/>
            <w:vAlign w:val="top"/>
          </w:tcPr>
          <w:p>
            <w:pPr>
              <w:spacing w:after="0"/>
              <w:jc w:val="left"/>
            </w:pPr>
            <w:r>
              <w:rPr>
                <w:rFonts w:ascii="Arial" w:hAnsi="Arial"/>
                <w:b w:val="0"/>
                <w:sz w:val="11"/>
              </w:rPr>
              <w:t>Responsibility tracking ≠ responsibility audit trails or accepted outcome compliance</w:t>
            </w:r>
          </w:p>
        </w:tc>
        <w:tc>
          <w:tcPr>
            <w:tcW w:type="dxa" w:w="2400"/>
            <w:vAlign w:val="top"/>
          </w:tcPr>
          <w:p>
            <w:pPr>
              <w:spacing w:after="0"/>
              <w:jc w:val="left"/>
            </w:pPr>
            <w:r>
              <w:rPr>
                <w:rFonts w:ascii="Arial" w:hAnsi="Arial"/>
                <w:b w:val="0"/>
                <w:sz w:val="11"/>
              </w:rPr>
              <w:t>Strong coverage; audit and accepted outcome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human-role-to-MAS mapping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14 human oversight requirement with MAS integration;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ALCS-02: Delegated Authority Boundary</w:t>
      </w:r>
    </w:p>
    <w:p/>
    <w:p>
      <w:r>
        <w:t>Core question: Does the system provide primitives for defining and enforcing delegated authority boundaries between humans and agents?</w:t>
      </w:r>
    </w:p>
    <w:p/>
    <w:p>
      <w:r>
        <w:t>What counts: Authority boundary definitions, authority delegation workflows, authority enforcement mechanisms, authority audit trails</w:t>
      </w:r>
    </w:p>
    <w:p/>
    <w:p>
      <w:r>
        <w:t>What does not count: General permission systems, authority without lifecycle integration, authority without delegation tracking</w:t>
      </w:r>
    </w:p>
    <w:p/>
    <w:p>
      <w:pPr>
        <w:keepNext/>
      </w:pPr>
      <w:r>
        <w:rPr>
          <w:b/>
          <w:sz w:val="17"/>
        </w:rPr>
        <w:t>Table T-F-02: ALCS-02 Delegated Authority Boundary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delegated authority boundary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authority boundary definitions, no delegation workflows, no enforcement</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delegated authority boundary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delegated authority boundary</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Delegated authority mentioned in marketing docs but no implementation details</w:t>
            </w:r>
          </w:p>
        </w:tc>
        <w:tc>
          <w:tcPr>
            <w:tcW w:type="dxa" w:w="2400"/>
            <w:vAlign w:val="top"/>
          </w:tcPr>
          <w:p>
            <w:pPr>
              <w:spacing w:after="0"/>
              <w:jc w:val="left"/>
            </w:pPr>
            <w:r>
              <w:rPr>
                <w:rFonts w:ascii="Arial" w:hAnsi="Arial"/>
                <w:b w:val="0"/>
                <w:sz w:val="11"/>
              </w:rPr>
              <w:t>Authority mentioned ≠ authority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delegated authority boundary</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Authority boundary definitions exist but no delegation workflows or enforcement</w:t>
            </w:r>
          </w:p>
        </w:tc>
        <w:tc>
          <w:tcPr>
            <w:tcW w:type="dxa" w:w="2400"/>
            <w:vAlign w:val="top"/>
          </w:tcPr>
          <w:p>
            <w:pPr>
              <w:spacing w:after="0"/>
              <w:jc w:val="left"/>
            </w:pPr>
            <w:r>
              <w:rPr>
                <w:rFonts w:ascii="Arial" w:hAnsi="Arial"/>
                <w:b w:val="0"/>
                <w:sz w:val="11"/>
              </w:rPr>
              <w:t>Authority definitions ≠ delegation workflows or enforcement</w:t>
            </w:r>
          </w:p>
        </w:tc>
        <w:tc>
          <w:tcPr>
            <w:tcW w:type="dxa" w:w="2400"/>
            <w:vAlign w:val="top"/>
          </w:tcPr>
          <w:p>
            <w:pPr>
              <w:spacing w:after="0"/>
              <w:jc w:val="left"/>
            </w:pPr>
            <w:r>
              <w:rPr>
                <w:rFonts w:ascii="Arial" w:hAnsi="Arial"/>
                <w:b w:val="0"/>
                <w:sz w:val="11"/>
              </w:rPr>
              <w:t>Partial coverage; delegation and enforcement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delegated authority boundary</w:t>
            </w:r>
          </w:p>
        </w:tc>
        <w:tc>
          <w:tcPr>
            <w:tcW w:type="dxa" w:w="2400"/>
            <w:vAlign w:val="top"/>
          </w:tcPr>
          <w:p>
            <w:pPr>
              <w:spacing w:after="0"/>
              <w:jc w:val="left"/>
            </w:pPr>
            <w:r>
              <w:rPr>
                <w:rFonts w:ascii="Arial" w:hAnsi="Arial"/>
                <w:b w:val="0"/>
                <w:sz w:val="11"/>
              </w:rPr>
              <w:t>Product documentation with authority boundaries and delegation</w:t>
            </w:r>
          </w:p>
        </w:tc>
        <w:tc>
          <w:tcPr>
            <w:tcW w:type="dxa" w:w="2400"/>
            <w:vAlign w:val="top"/>
          </w:tcPr>
          <w:p>
            <w:pPr>
              <w:spacing w:after="0"/>
              <w:jc w:val="left"/>
            </w:pPr>
            <w:r>
              <w:rPr>
                <w:rFonts w:ascii="Arial" w:hAnsi="Arial"/>
                <w:b w:val="0"/>
                <w:sz w:val="11"/>
              </w:rPr>
              <w:t>Authority boundary definitions, authority delegation workflows, basic enforcement mechanisms</w:t>
            </w:r>
          </w:p>
        </w:tc>
        <w:tc>
          <w:tcPr>
            <w:tcW w:type="dxa" w:w="2400"/>
            <w:vAlign w:val="top"/>
          </w:tcPr>
          <w:p>
            <w:pPr>
              <w:spacing w:after="0"/>
              <w:jc w:val="left"/>
            </w:pPr>
            <w:r>
              <w:rPr>
                <w:rFonts w:ascii="Arial" w:hAnsi="Arial"/>
                <w:b w:val="0"/>
                <w:sz w:val="11"/>
              </w:rPr>
              <w:t>Enforcement mechanisms ≠ authority audit trails or authority drift detection</w:t>
            </w:r>
          </w:p>
        </w:tc>
        <w:tc>
          <w:tcPr>
            <w:tcW w:type="dxa" w:w="2400"/>
            <w:vAlign w:val="top"/>
          </w:tcPr>
          <w:p>
            <w:pPr>
              <w:spacing w:after="0"/>
              <w:jc w:val="left"/>
            </w:pPr>
            <w:r>
              <w:rPr>
                <w:rFonts w:ascii="Arial" w:hAnsi="Arial"/>
                <w:b w:val="0"/>
                <w:sz w:val="11"/>
              </w:rPr>
              <w:t>Moderate coverage; audit and drift detection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delegated authority boundary</w:t>
            </w:r>
          </w:p>
        </w:tc>
        <w:tc>
          <w:tcPr>
            <w:tcW w:type="dxa" w:w="2400"/>
            <w:vAlign w:val="top"/>
          </w:tcPr>
          <w:p>
            <w:pPr>
              <w:spacing w:after="0"/>
              <w:jc w:val="left"/>
            </w:pPr>
            <w:r>
              <w:rPr>
                <w:rFonts w:ascii="Arial" w:hAnsi="Arial"/>
                <w:b w:val="0"/>
                <w:sz w:val="11"/>
              </w:rPr>
              <w:t>Product documentation with authority boundaries, delegation, and enforcement</w:t>
            </w:r>
          </w:p>
        </w:tc>
        <w:tc>
          <w:tcPr>
            <w:tcW w:type="dxa" w:w="2400"/>
            <w:vAlign w:val="top"/>
          </w:tcPr>
          <w:p>
            <w:pPr>
              <w:spacing w:after="0"/>
              <w:jc w:val="left"/>
            </w:pPr>
            <w:r>
              <w:rPr>
                <w:rFonts w:ascii="Arial" w:hAnsi="Arial"/>
                <w:b w:val="0"/>
                <w:sz w:val="11"/>
              </w:rPr>
              <w:t>Authority boundary definitions, authority delegation workflows, enforcement mechanisms, authority audit trails</w:t>
            </w:r>
          </w:p>
        </w:tc>
        <w:tc>
          <w:tcPr>
            <w:tcW w:type="dxa" w:w="2400"/>
            <w:vAlign w:val="top"/>
          </w:tcPr>
          <w:p>
            <w:pPr>
              <w:spacing w:after="0"/>
              <w:jc w:val="left"/>
            </w:pPr>
            <w:r>
              <w:rPr>
                <w:rFonts w:ascii="Arial" w:hAnsi="Arial"/>
                <w:b w:val="0"/>
                <w:sz w:val="11"/>
              </w:rPr>
              <w:t>Authority audit trails ≠ authority drift detection or responsibility transfer tracking</w:t>
            </w:r>
          </w:p>
        </w:tc>
        <w:tc>
          <w:tcPr>
            <w:tcW w:type="dxa" w:w="2400"/>
            <w:vAlign w:val="top"/>
          </w:tcPr>
          <w:p>
            <w:pPr>
              <w:spacing w:after="0"/>
              <w:jc w:val="left"/>
            </w:pPr>
            <w:r>
              <w:rPr>
                <w:rFonts w:ascii="Arial" w:hAnsi="Arial"/>
                <w:b w:val="0"/>
                <w:sz w:val="11"/>
              </w:rPr>
              <w:t>Strong coverage; drift detection and transfer tracking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delegated authority boundary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14 human oversight with authority boundary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ALCS-03: Agent Role vs Human Role Distinction</w:t>
      </w:r>
    </w:p>
    <w:p/>
    <w:p>
      <w:r>
        <w:t>Core question: Does the system provide primitives for distinguishing agent roles from human roles in lifecycle workflows?</w:t>
      </w:r>
    </w:p>
    <w:p/>
    <w:p>
      <w:r>
        <w:t>What counts: Agent role definitions, human role definitions, role distinction mechanisms, role-based access control, role audit trails</w:t>
      </w:r>
    </w:p>
    <w:p/>
    <w:p>
      <w:r>
        <w:t>What does not count: General role-based access control, role distinction without lifecycle integration, role distinction without accountability tracking</w:t>
      </w:r>
    </w:p>
    <w:p/>
    <w:p>
      <w:pPr>
        <w:keepNext/>
      </w:pPr>
      <w:r>
        <w:rPr>
          <w:b/>
          <w:sz w:val="17"/>
        </w:rPr>
        <w:t>Table T-F-03: ALCS-03 Agent Role vs Human Role Distinction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agent-human role distinction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agent role definitions, no human role definitions, no distinction mechanisms</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agent-human role distinction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agent-human role distinction</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Agent-human role distinction mentioned in marketing docs but no implementation details</w:t>
            </w:r>
          </w:p>
        </w:tc>
        <w:tc>
          <w:tcPr>
            <w:tcW w:type="dxa" w:w="2400"/>
            <w:vAlign w:val="top"/>
          </w:tcPr>
          <w:p>
            <w:pPr>
              <w:spacing w:after="0"/>
              <w:jc w:val="left"/>
            </w:pPr>
            <w:r>
              <w:rPr>
                <w:rFonts w:ascii="Arial" w:hAnsi="Arial"/>
                <w:b w:val="0"/>
                <w:sz w:val="11"/>
              </w:rPr>
              <w:t>Distinction mentioned ≠ distinction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agent-human role distinction</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Agent role definitions exist but no human role definitions or distinction mechanisms</w:t>
            </w:r>
          </w:p>
        </w:tc>
        <w:tc>
          <w:tcPr>
            <w:tcW w:type="dxa" w:w="2400"/>
            <w:vAlign w:val="top"/>
          </w:tcPr>
          <w:p>
            <w:pPr>
              <w:spacing w:after="0"/>
              <w:jc w:val="left"/>
            </w:pPr>
            <w:r>
              <w:rPr>
                <w:rFonts w:ascii="Arial" w:hAnsi="Arial"/>
                <w:b w:val="0"/>
                <w:sz w:val="11"/>
              </w:rPr>
              <w:t>Agent roles ≠ human roles or distinction mechanisms</w:t>
            </w:r>
          </w:p>
        </w:tc>
        <w:tc>
          <w:tcPr>
            <w:tcW w:type="dxa" w:w="2400"/>
            <w:vAlign w:val="top"/>
          </w:tcPr>
          <w:p>
            <w:pPr>
              <w:spacing w:after="0"/>
              <w:jc w:val="left"/>
            </w:pPr>
            <w:r>
              <w:rPr>
                <w:rFonts w:ascii="Arial" w:hAnsi="Arial"/>
                <w:b w:val="0"/>
                <w:sz w:val="11"/>
              </w:rPr>
              <w:t>Partial coverage; human role and distinction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agent-human role distinction</w:t>
            </w:r>
          </w:p>
        </w:tc>
        <w:tc>
          <w:tcPr>
            <w:tcW w:type="dxa" w:w="2400"/>
            <w:vAlign w:val="top"/>
          </w:tcPr>
          <w:p>
            <w:pPr>
              <w:spacing w:after="0"/>
              <w:jc w:val="left"/>
            </w:pPr>
            <w:r>
              <w:rPr>
                <w:rFonts w:ascii="Arial" w:hAnsi="Arial"/>
                <w:b w:val="0"/>
                <w:sz w:val="11"/>
              </w:rPr>
              <w:t>Product documentation with agent roles, human roles, and distinction</w:t>
            </w:r>
          </w:p>
        </w:tc>
        <w:tc>
          <w:tcPr>
            <w:tcW w:type="dxa" w:w="2400"/>
            <w:vAlign w:val="top"/>
          </w:tcPr>
          <w:p>
            <w:pPr>
              <w:spacing w:after="0"/>
              <w:jc w:val="left"/>
            </w:pPr>
            <w:r>
              <w:rPr>
                <w:rFonts w:ascii="Arial" w:hAnsi="Arial"/>
                <w:b w:val="0"/>
                <w:sz w:val="11"/>
              </w:rPr>
              <w:t>Agent role definitions, human role definitions, basic role distinction mechanisms</w:t>
            </w:r>
          </w:p>
        </w:tc>
        <w:tc>
          <w:tcPr>
            <w:tcW w:type="dxa" w:w="2400"/>
            <w:vAlign w:val="top"/>
          </w:tcPr>
          <w:p>
            <w:pPr>
              <w:spacing w:after="0"/>
              <w:jc w:val="left"/>
            </w:pPr>
            <w:r>
              <w:rPr>
                <w:rFonts w:ascii="Arial" w:hAnsi="Arial"/>
                <w:b w:val="0"/>
                <w:sz w:val="11"/>
              </w:rPr>
              <w:t>Role distinction ≠ role-based access control or role audit trails</w:t>
            </w:r>
          </w:p>
        </w:tc>
        <w:tc>
          <w:tcPr>
            <w:tcW w:type="dxa" w:w="2400"/>
            <w:vAlign w:val="top"/>
          </w:tcPr>
          <w:p>
            <w:pPr>
              <w:spacing w:after="0"/>
              <w:jc w:val="left"/>
            </w:pPr>
            <w:r>
              <w:rPr>
                <w:rFonts w:ascii="Arial" w:hAnsi="Arial"/>
                <w:b w:val="0"/>
                <w:sz w:val="11"/>
              </w:rPr>
              <w:t>Moderate coverage; access control and audit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agent-human role distinction</w:t>
            </w:r>
          </w:p>
        </w:tc>
        <w:tc>
          <w:tcPr>
            <w:tcW w:type="dxa" w:w="2400"/>
            <w:vAlign w:val="top"/>
          </w:tcPr>
          <w:p>
            <w:pPr>
              <w:spacing w:after="0"/>
              <w:jc w:val="left"/>
            </w:pPr>
            <w:r>
              <w:rPr>
                <w:rFonts w:ascii="Arial" w:hAnsi="Arial"/>
                <w:b w:val="0"/>
                <w:sz w:val="11"/>
              </w:rPr>
              <w:t>Product documentation with agent roles, human roles, distinction, and access control</w:t>
            </w:r>
          </w:p>
        </w:tc>
        <w:tc>
          <w:tcPr>
            <w:tcW w:type="dxa" w:w="2400"/>
            <w:vAlign w:val="top"/>
          </w:tcPr>
          <w:p>
            <w:pPr>
              <w:spacing w:after="0"/>
              <w:jc w:val="left"/>
            </w:pPr>
            <w:r>
              <w:rPr>
                <w:rFonts w:ascii="Arial" w:hAnsi="Arial"/>
                <w:b w:val="0"/>
                <w:sz w:val="11"/>
              </w:rPr>
              <w:t>Agent role definitions, human role definitions, role distinction mechanisms, role-based access control</w:t>
            </w:r>
          </w:p>
        </w:tc>
        <w:tc>
          <w:tcPr>
            <w:tcW w:type="dxa" w:w="2400"/>
            <w:vAlign w:val="top"/>
          </w:tcPr>
          <w:p>
            <w:pPr>
              <w:spacing w:after="0"/>
              <w:jc w:val="left"/>
            </w:pPr>
            <w:r>
              <w:rPr>
                <w:rFonts w:ascii="Arial" w:hAnsi="Arial"/>
                <w:b w:val="0"/>
                <w:sz w:val="11"/>
              </w:rPr>
              <w:t>Role-based access control ≠ role audit trails or accountability tracking</w:t>
            </w:r>
          </w:p>
        </w:tc>
        <w:tc>
          <w:tcPr>
            <w:tcW w:type="dxa" w:w="2400"/>
            <w:vAlign w:val="top"/>
          </w:tcPr>
          <w:p>
            <w:pPr>
              <w:spacing w:after="0"/>
              <w:jc w:val="left"/>
            </w:pPr>
            <w:r>
              <w:rPr>
                <w:rFonts w:ascii="Arial" w:hAnsi="Arial"/>
                <w:b w:val="0"/>
                <w:sz w:val="11"/>
              </w:rPr>
              <w:t>Strong coverage; audit and accountability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agent-human role distinction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14 human oversight with role distinction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ALCS-04: Accepted Outcome Compliance</w:t>
      </w:r>
    </w:p>
    <w:p/>
    <w:p>
      <w:r>
        <w:t>Core question: Does the system provide primitives for tracking accepted outcomes and ensuring compliance with accepted outcome boundaries?</w:t>
      </w:r>
    </w:p>
    <w:p/>
    <w:p>
      <w:r>
        <w:t>What counts: Accepted outcome definitions, outcome acceptance workflows, outcome compliance tracking, outcome audit trails</w:t>
      </w:r>
    </w:p>
    <w:p/>
    <w:p>
      <w:r>
        <w:t>What does not count: General output validation, outcome tracking without acceptance workflows, outcome tracking without compliance enforcement</w:t>
      </w:r>
    </w:p>
    <w:p/>
    <w:p>
      <w:pPr>
        <w:keepNext/>
      </w:pPr>
      <w:r>
        <w:rPr>
          <w:b/>
          <w:sz w:val="17"/>
        </w:rPr>
        <w:t>Table T-F-04: ALCS-04 Accepted Outcome Compliance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accepted outcome compliance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accepted outcome definitions, no acceptance workflows, no compliance tracking</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accepted outcome compliance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accepted outcome compliance</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Accepted outcome compliance mentioned in marketing docs but no implementation details</w:t>
            </w:r>
          </w:p>
        </w:tc>
        <w:tc>
          <w:tcPr>
            <w:tcW w:type="dxa" w:w="2400"/>
            <w:vAlign w:val="top"/>
          </w:tcPr>
          <w:p>
            <w:pPr>
              <w:spacing w:after="0"/>
              <w:jc w:val="left"/>
            </w:pPr>
            <w:r>
              <w:rPr>
                <w:rFonts w:ascii="Arial" w:hAnsi="Arial"/>
                <w:b w:val="0"/>
                <w:sz w:val="11"/>
              </w:rPr>
              <w:t>Compliance mentioned ≠ compliance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accepted outcome compliance</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Accepted outcome definitions exist but no acceptance workflows or compliance tracking</w:t>
            </w:r>
          </w:p>
        </w:tc>
        <w:tc>
          <w:tcPr>
            <w:tcW w:type="dxa" w:w="2400"/>
            <w:vAlign w:val="top"/>
          </w:tcPr>
          <w:p>
            <w:pPr>
              <w:spacing w:after="0"/>
              <w:jc w:val="left"/>
            </w:pPr>
            <w:r>
              <w:rPr>
                <w:rFonts w:ascii="Arial" w:hAnsi="Arial"/>
                <w:b w:val="0"/>
                <w:sz w:val="11"/>
              </w:rPr>
              <w:t>Outcome definitions ≠ acceptance workflows or compliance tracking</w:t>
            </w:r>
          </w:p>
        </w:tc>
        <w:tc>
          <w:tcPr>
            <w:tcW w:type="dxa" w:w="2400"/>
            <w:vAlign w:val="top"/>
          </w:tcPr>
          <w:p>
            <w:pPr>
              <w:spacing w:after="0"/>
              <w:jc w:val="left"/>
            </w:pPr>
            <w:r>
              <w:rPr>
                <w:rFonts w:ascii="Arial" w:hAnsi="Arial"/>
                <w:b w:val="0"/>
                <w:sz w:val="11"/>
              </w:rPr>
              <w:t>Partial coverage; acceptance and compliance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accepted outcome compliance</w:t>
            </w:r>
          </w:p>
        </w:tc>
        <w:tc>
          <w:tcPr>
            <w:tcW w:type="dxa" w:w="2400"/>
            <w:vAlign w:val="top"/>
          </w:tcPr>
          <w:p>
            <w:pPr>
              <w:spacing w:after="0"/>
              <w:jc w:val="left"/>
            </w:pPr>
            <w:r>
              <w:rPr>
                <w:rFonts w:ascii="Arial" w:hAnsi="Arial"/>
                <w:b w:val="0"/>
                <w:sz w:val="11"/>
              </w:rPr>
              <w:t>Product documentation with outcome definitions and acceptance workflows</w:t>
            </w:r>
          </w:p>
        </w:tc>
        <w:tc>
          <w:tcPr>
            <w:tcW w:type="dxa" w:w="2400"/>
            <w:vAlign w:val="top"/>
          </w:tcPr>
          <w:p>
            <w:pPr>
              <w:spacing w:after="0"/>
              <w:jc w:val="left"/>
            </w:pPr>
            <w:r>
              <w:rPr>
                <w:rFonts w:ascii="Arial" w:hAnsi="Arial"/>
                <w:b w:val="0"/>
                <w:sz w:val="11"/>
              </w:rPr>
              <w:t>Accepted outcome definitions, outcome acceptance workflows, basic compliance tracking</w:t>
            </w:r>
          </w:p>
        </w:tc>
        <w:tc>
          <w:tcPr>
            <w:tcW w:type="dxa" w:w="2400"/>
            <w:vAlign w:val="top"/>
          </w:tcPr>
          <w:p>
            <w:pPr>
              <w:spacing w:after="0"/>
              <w:jc w:val="left"/>
            </w:pPr>
            <w:r>
              <w:rPr>
                <w:rFonts w:ascii="Arial" w:hAnsi="Arial"/>
                <w:b w:val="0"/>
                <w:sz w:val="11"/>
              </w:rPr>
              <w:t>Compliance tracking ≠ outcome audit trails or compliance enforcement</w:t>
            </w:r>
          </w:p>
        </w:tc>
        <w:tc>
          <w:tcPr>
            <w:tcW w:type="dxa" w:w="2400"/>
            <w:vAlign w:val="top"/>
          </w:tcPr>
          <w:p>
            <w:pPr>
              <w:spacing w:after="0"/>
              <w:jc w:val="left"/>
            </w:pPr>
            <w:r>
              <w:rPr>
                <w:rFonts w:ascii="Arial" w:hAnsi="Arial"/>
                <w:b w:val="0"/>
                <w:sz w:val="11"/>
              </w:rPr>
              <w:t>Moderate coverage; audit and enforcement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accepted outcome compliance</w:t>
            </w:r>
          </w:p>
        </w:tc>
        <w:tc>
          <w:tcPr>
            <w:tcW w:type="dxa" w:w="2400"/>
            <w:vAlign w:val="top"/>
          </w:tcPr>
          <w:p>
            <w:pPr>
              <w:spacing w:after="0"/>
              <w:jc w:val="left"/>
            </w:pPr>
            <w:r>
              <w:rPr>
                <w:rFonts w:ascii="Arial" w:hAnsi="Arial"/>
                <w:b w:val="0"/>
                <w:sz w:val="11"/>
              </w:rPr>
              <w:t>Product documentation with outcome definitions, acceptance, and compliance</w:t>
            </w:r>
          </w:p>
        </w:tc>
        <w:tc>
          <w:tcPr>
            <w:tcW w:type="dxa" w:w="2400"/>
            <w:vAlign w:val="top"/>
          </w:tcPr>
          <w:p>
            <w:pPr>
              <w:spacing w:after="0"/>
              <w:jc w:val="left"/>
            </w:pPr>
            <w:r>
              <w:rPr>
                <w:rFonts w:ascii="Arial" w:hAnsi="Arial"/>
                <w:b w:val="0"/>
                <w:sz w:val="11"/>
              </w:rPr>
              <w:t>Accepted outcome definitions, outcome acceptance workflows, compliance tracking, outcome audit trails</w:t>
            </w:r>
          </w:p>
        </w:tc>
        <w:tc>
          <w:tcPr>
            <w:tcW w:type="dxa" w:w="2400"/>
            <w:vAlign w:val="top"/>
          </w:tcPr>
          <w:p>
            <w:pPr>
              <w:spacing w:after="0"/>
              <w:jc w:val="left"/>
            </w:pPr>
            <w:r>
              <w:rPr>
                <w:rFonts w:ascii="Arial" w:hAnsi="Arial"/>
                <w:b w:val="0"/>
                <w:sz w:val="11"/>
              </w:rPr>
              <w:t>Outcome audit trails ≠ compliance enforcement or responsibility transfer tracking</w:t>
            </w:r>
          </w:p>
        </w:tc>
        <w:tc>
          <w:tcPr>
            <w:tcW w:type="dxa" w:w="2400"/>
            <w:vAlign w:val="top"/>
          </w:tcPr>
          <w:p>
            <w:pPr>
              <w:spacing w:after="0"/>
              <w:jc w:val="left"/>
            </w:pPr>
            <w:r>
              <w:rPr>
                <w:rFonts w:ascii="Arial" w:hAnsi="Arial"/>
                <w:b w:val="0"/>
                <w:sz w:val="11"/>
              </w:rPr>
              <w:t>Strong coverage; enforcement and transfer tracking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accepted outcome compliance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14 human oversight with outcome acceptance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ALCS-05: Tool-Action Liability Boundary</w:t>
      </w:r>
    </w:p>
    <w:p/>
    <w:p>
      <w:r>
        <w:t>Core question: Does the system provide primitives for defining and tracking tool-action liability boundaries?</w:t>
      </w:r>
    </w:p>
    <w:p/>
    <w:p>
      <w:r>
        <w:t>What counts: Tool-action liability definitions, liability boundary enforcement, liability tracking, liability audit trails</w:t>
      </w:r>
    </w:p>
    <w:p/>
    <w:p>
      <w:r>
        <w:t>What does not count: General tool usage tracking, liability tracking without boundary enforcement, liability tracking without lifecycle integration</w:t>
      </w:r>
    </w:p>
    <w:p/>
    <w:p>
      <w:pPr>
        <w:keepNext/>
      </w:pPr>
      <w:r>
        <w:rPr>
          <w:b/>
          <w:sz w:val="17"/>
        </w:rPr>
        <w:t>Table T-F-05: ALCS-05 Tool-Action Liability Boundary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tool-action liability boundary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liability definitions, no boundary enforcement, no liability tracking</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tool-action liability boundary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tool-action liability boundary</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Tool-action liability mentioned in marketing docs but no implementation details</w:t>
            </w:r>
          </w:p>
        </w:tc>
        <w:tc>
          <w:tcPr>
            <w:tcW w:type="dxa" w:w="2400"/>
            <w:vAlign w:val="top"/>
          </w:tcPr>
          <w:p>
            <w:pPr>
              <w:spacing w:after="0"/>
              <w:jc w:val="left"/>
            </w:pPr>
            <w:r>
              <w:rPr>
                <w:rFonts w:ascii="Arial" w:hAnsi="Arial"/>
                <w:b w:val="0"/>
                <w:sz w:val="11"/>
              </w:rPr>
              <w:t>Liability mentioned ≠ liability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tool-action liability boundary</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Liability definitions exist but no boundary enforcement or liability tracking</w:t>
            </w:r>
          </w:p>
        </w:tc>
        <w:tc>
          <w:tcPr>
            <w:tcW w:type="dxa" w:w="2400"/>
            <w:vAlign w:val="top"/>
          </w:tcPr>
          <w:p>
            <w:pPr>
              <w:spacing w:after="0"/>
              <w:jc w:val="left"/>
            </w:pPr>
            <w:r>
              <w:rPr>
                <w:rFonts w:ascii="Arial" w:hAnsi="Arial"/>
                <w:b w:val="0"/>
                <w:sz w:val="11"/>
              </w:rPr>
              <w:t>Liability definitions ≠ boundary enforcement or tracking</w:t>
            </w:r>
          </w:p>
        </w:tc>
        <w:tc>
          <w:tcPr>
            <w:tcW w:type="dxa" w:w="2400"/>
            <w:vAlign w:val="top"/>
          </w:tcPr>
          <w:p>
            <w:pPr>
              <w:spacing w:after="0"/>
              <w:jc w:val="left"/>
            </w:pPr>
            <w:r>
              <w:rPr>
                <w:rFonts w:ascii="Arial" w:hAnsi="Arial"/>
                <w:b w:val="0"/>
                <w:sz w:val="11"/>
              </w:rPr>
              <w:t>Partial coverage; enforcement and tracking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tool-action liability boundary</w:t>
            </w:r>
          </w:p>
        </w:tc>
        <w:tc>
          <w:tcPr>
            <w:tcW w:type="dxa" w:w="2400"/>
            <w:vAlign w:val="top"/>
          </w:tcPr>
          <w:p>
            <w:pPr>
              <w:spacing w:after="0"/>
              <w:jc w:val="left"/>
            </w:pPr>
            <w:r>
              <w:rPr>
                <w:rFonts w:ascii="Arial" w:hAnsi="Arial"/>
                <w:b w:val="0"/>
                <w:sz w:val="11"/>
              </w:rPr>
              <w:t>Product documentation with liability definitions and boundary enforcement</w:t>
            </w:r>
          </w:p>
        </w:tc>
        <w:tc>
          <w:tcPr>
            <w:tcW w:type="dxa" w:w="2400"/>
            <w:vAlign w:val="top"/>
          </w:tcPr>
          <w:p>
            <w:pPr>
              <w:spacing w:after="0"/>
              <w:jc w:val="left"/>
            </w:pPr>
            <w:r>
              <w:rPr>
                <w:rFonts w:ascii="Arial" w:hAnsi="Arial"/>
                <w:b w:val="0"/>
                <w:sz w:val="11"/>
              </w:rPr>
              <w:t>Tool-action liability definitions, liability boundary enforcement, basic liability tracking</w:t>
            </w:r>
          </w:p>
        </w:tc>
        <w:tc>
          <w:tcPr>
            <w:tcW w:type="dxa" w:w="2400"/>
            <w:vAlign w:val="top"/>
          </w:tcPr>
          <w:p>
            <w:pPr>
              <w:spacing w:after="0"/>
              <w:jc w:val="left"/>
            </w:pPr>
            <w:r>
              <w:rPr>
                <w:rFonts w:ascii="Arial" w:hAnsi="Arial"/>
                <w:b w:val="0"/>
                <w:sz w:val="11"/>
              </w:rPr>
              <w:t>Liability tracking ≠ liability audit trails or responsibility transfer tracking</w:t>
            </w:r>
          </w:p>
        </w:tc>
        <w:tc>
          <w:tcPr>
            <w:tcW w:type="dxa" w:w="2400"/>
            <w:vAlign w:val="top"/>
          </w:tcPr>
          <w:p>
            <w:pPr>
              <w:spacing w:after="0"/>
              <w:jc w:val="left"/>
            </w:pPr>
            <w:r>
              <w:rPr>
                <w:rFonts w:ascii="Arial" w:hAnsi="Arial"/>
                <w:b w:val="0"/>
                <w:sz w:val="11"/>
              </w:rPr>
              <w:t>Moderate coverage; audit and transfer tracking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tool-action liability boundary</w:t>
            </w:r>
          </w:p>
        </w:tc>
        <w:tc>
          <w:tcPr>
            <w:tcW w:type="dxa" w:w="2400"/>
            <w:vAlign w:val="top"/>
          </w:tcPr>
          <w:p>
            <w:pPr>
              <w:spacing w:after="0"/>
              <w:jc w:val="left"/>
            </w:pPr>
            <w:r>
              <w:rPr>
                <w:rFonts w:ascii="Arial" w:hAnsi="Arial"/>
                <w:b w:val="0"/>
                <w:sz w:val="11"/>
              </w:rPr>
              <w:t>Product documentation with liability definitions, enforcement, and tracking</w:t>
            </w:r>
          </w:p>
        </w:tc>
        <w:tc>
          <w:tcPr>
            <w:tcW w:type="dxa" w:w="2400"/>
            <w:vAlign w:val="top"/>
          </w:tcPr>
          <w:p>
            <w:pPr>
              <w:spacing w:after="0"/>
              <w:jc w:val="left"/>
            </w:pPr>
            <w:r>
              <w:rPr>
                <w:rFonts w:ascii="Arial" w:hAnsi="Arial"/>
                <w:b w:val="0"/>
                <w:sz w:val="11"/>
              </w:rPr>
              <w:t>Tool-action liability definitions, liability boundary enforcement, liability tracking, liability audit trails</w:t>
            </w:r>
          </w:p>
        </w:tc>
        <w:tc>
          <w:tcPr>
            <w:tcW w:type="dxa" w:w="2400"/>
            <w:vAlign w:val="top"/>
          </w:tcPr>
          <w:p>
            <w:pPr>
              <w:spacing w:after="0"/>
              <w:jc w:val="left"/>
            </w:pPr>
            <w:r>
              <w:rPr>
                <w:rFonts w:ascii="Arial" w:hAnsi="Arial"/>
                <w:b w:val="0"/>
                <w:sz w:val="11"/>
              </w:rPr>
              <w:t>Liability audit trails ≠ responsibility transfer tracking or accepted outcome compliance</w:t>
            </w:r>
          </w:p>
        </w:tc>
        <w:tc>
          <w:tcPr>
            <w:tcW w:type="dxa" w:w="2400"/>
            <w:vAlign w:val="top"/>
          </w:tcPr>
          <w:p>
            <w:pPr>
              <w:spacing w:after="0"/>
              <w:jc w:val="left"/>
            </w:pPr>
            <w:r>
              <w:rPr>
                <w:rFonts w:ascii="Arial" w:hAnsi="Arial"/>
                <w:b w:val="0"/>
                <w:sz w:val="11"/>
              </w:rPr>
              <w:t>Strong coverage; transfer tracking and accepted outcome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tool-action liability boundary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26 accountability with tool-action liability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ALCS-06: Responsibility Transfer Across Agents</w:t>
      </w:r>
    </w:p>
    <w:p/>
    <w:p>
      <w:r>
        <w:t>Core question: Does the system provide primitives for tracking responsibility transfer across agents in multi-agent workflows?</w:t>
      </w:r>
    </w:p>
    <w:p/>
    <w:p>
      <w:r>
        <w:t>What counts: Responsibility transfer definitions, transfer workflows, transfer tracking, transfer audit trails</w:t>
      </w:r>
    </w:p>
    <w:p/>
    <w:p>
      <w:r>
        <w:t>What does not count: General workflow orchestration, transfer tracking without responsibility mapping, transfer tracking without lifecycle integration</w:t>
      </w:r>
    </w:p>
    <w:p/>
    <w:p>
      <w:pPr>
        <w:keepNext/>
      </w:pPr>
      <w:r>
        <w:rPr>
          <w:b/>
          <w:sz w:val="17"/>
        </w:rPr>
        <w:t>Table T-F-06: ALCS-06 Responsibility Transfer Across Agents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responsibility transfer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transfer definitions, no transfer workflows, no transfer tracking</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responsibility transfer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responsibility transfer</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Responsibility transfer mentioned in marketing docs but no implementation details</w:t>
            </w:r>
          </w:p>
        </w:tc>
        <w:tc>
          <w:tcPr>
            <w:tcW w:type="dxa" w:w="2400"/>
            <w:vAlign w:val="top"/>
          </w:tcPr>
          <w:p>
            <w:pPr>
              <w:spacing w:after="0"/>
              <w:jc w:val="left"/>
            </w:pPr>
            <w:r>
              <w:rPr>
                <w:rFonts w:ascii="Arial" w:hAnsi="Arial"/>
                <w:b w:val="0"/>
                <w:sz w:val="11"/>
              </w:rPr>
              <w:t>Transfer mentioned ≠ transfer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responsibility transfer</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Transfer definitions exist but no transfer workflows or transfer tracking</w:t>
            </w:r>
          </w:p>
        </w:tc>
        <w:tc>
          <w:tcPr>
            <w:tcW w:type="dxa" w:w="2400"/>
            <w:vAlign w:val="top"/>
          </w:tcPr>
          <w:p>
            <w:pPr>
              <w:spacing w:after="0"/>
              <w:jc w:val="left"/>
            </w:pPr>
            <w:r>
              <w:rPr>
                <w:rFonts w:ascii="Arial" w:hAnsi="Arial"/>
                <w:b w:val="0"/>
                <w:sz w:val="11"/>
              </w:rPr>
              <w:t>Transfer definitions ≠ transfer workflows or tracking</w:t>
            </w:r>
          </w:p>
        </w:tc>
        <w:tc>
          <w:tcPr>
            <w:tcW w:type="dxa" w:w="2400"/>
            <w:vAlign w:val="top"/>
          </w:tcPr>
          <w:p>
            <w:pPr>
              <w:spacing w:after="0"/>
              <w:jc w:val="left"/>
            </w:pPr>
            <w:r>
              <w:rPr>
                <w:rFonts w:ascii="Arial" w:hAnsi="Arial"/>
                <w:b w:val="0"/>
                <w:sz w:val="11"/>
              </w:rPr>
              <w:t>Partial coverage; workflow and tracking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responsibility transfer</w:t>
            </w:r>
          </w:p>
        </w:tc>
        <w:tc>
          <w:tcPr>
            <w:tcW w:type="dxa" w:w="2400"/>
            <w:vAlign w:val="top"/>
          </w:tcPr>
          <w:p>
            <w:pPr>
              <w:spacing w:after="0"/>
              <w:jc w:val="left"/>
            </w:pPr>
            <w:r>
              <w:rPr>
                <w:rFonts w:ascii="Arial" w:hAnsi="Arial"/>
                <w:b w:val="0"/>
                <w:sz w:val="11"/>
              </w:rPr>
              <w:t>Product documentation with transfer definitions and workflows</w:t>
            </w:r>
          </w:p>
        </w:tc>
        <w:tc>
          <w:tcPr>
            <w:tcW w:type="dxa" w:w="2400"/>
            <w:vAlign w:val="top"/>
          </w:tcPr>
          <w:p>
            <w:pPr>
              <w:spacing w:after="0"/>
              <w:jc w:val="left"/>
            </w:pPr>
            <w:r>
              <w:rPr>
                <w:rFonts w:ascii="Arial" w:hAnsi="Arial"/>
                <w:b w:val="0"/>
                <w:sz w:val="11"/>
              </w:rPr>
              <w:t>Responsibility transfer definitions, transfer workflows, basic transfer tracking</w:t>
            </w:r>
          </w:p>
        </w:tc>
        <w:tc>
          <w:tcPr>
            <w:tcW w:type="dxa" w:w="2400"/>
            <w:vAlign w:val="top"/>
          </w:tcPr>
          <w:p>
            <w:pPr>
              <w:spacing w:after="0"/>
              <w:jc w:val="left"/>
            </w:pPr>
            <w:r>
              <w:rPr>
                <w:rFonts w:ascii="Arial" w:hAnsi="Arial"/>
                <w:b w:val="0"/>
                <w:sz w:val="11"/>
              </w:rPr>
              <w:t>Transfer tracking ≠ transfer audit trails or cross-agent accountability</w:t>
            </w:r>
          </w:p>
        </w:tc>
        <w:tc>
          <w:tcPr>
            <w:tcW w:type="dxa" w:w="2400"/>
            <w:vAlign w:val="top"/>
          </w:tcPr>
          <w:p>
            <w:pPr>
              <w:spacing w:after="0"/>
              <w:jc w:val="left"/>
            </w:pPr>
            <w:r>
              <w:rPr>
                <w:rFonts w:ascii="Arial" w:hAnsi="Arial"/>
                <w:b w:val="0"/>
                <w:sz w:val="11"/>
              </w:rPr>
              <w:t>Moderate coverage; audit and accountability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responsibility transfer</w:t>
            </w:r>
          </w:p>
        </w:tc>
        <w:tc>
          <w:tcPr>
            <w:tcW w:type="dxa" w:w="2400"/>
            <w:vAlign w:val="top"/>
          </w:tcPr>
          <w:p>
            <w:pPr>
              <w:spacing w:after="0"/>
              <w:jc w:val="left"/>
            </w:pPr>
            <w:r>
              <w:rPr>
                <w:rFonts w:ascii="Arial" w:hAnsi="Arial"/>
                <w:b w:val="0"/>
                <w:sz w:val="11"/>
              </w:rPr>
              <w:t>Product documentation with transfer definitions, workflows, and tracking</w:t>
            </w:r>
          </w:p>
        </w:tc>
        <w:tc>
          <w:tcPr>
            <w:tcW w:type="dxa" w:w="2400"/>
            <w:vAlign w:val="top"/>
          </w:tcPr>
          <w:p>
            <w:pPr>
              <w:spacing w:after="0"/>
              <w:jc w:val="left"/>
            </w:pPr>
            <w:r>
              <w:rPr>
                <w:rFonts w:ascii="Arial" w:hAnsi="Arial"/>
                <w:b w:val="0"/>
                <w:sz w:val="11"/>
              </w:rPr>
              <w:t>Responsibility transfer definitions, transfer workflows, transfer tracking, transfer audit trails</w:t>
            </w:r>
          </w:p>
        </w:tc>
        <w:tc>
          <w:tcPr>
            <w:tcW w:type="dxa" w:w="2400"/>
            <w:vAlign w:val="top"/>
          </w:tcPr>
          <w:p>
            <w:pPr>
              <w:spacing w:after="0"/>
              <w:jc w:val="left"/>
            </w:pPr>
            <w:r>
              <w:rPr>
                <w:rFonts w:ascii="Arial" w:hAnsi="Arial"/>
                <w:b w:val="0"/>
                <w:sz w:val="11"/>
              </w:rPr>
              <w:t>Transfer audit trails ≠ cross-agent accountability or MAS evidence partitioning</w:t>
            </w:r>
          </w:p>
        </w:tc>
        <w:tc>
          <w:tcPr>
            <w:tcW w:type="dxa" w:w="2400"/>
            <w:vAlign w:val="top"/>
          </w:tcPr>
          <w:p>
            <w:pPr>
              <w:spacing w:after="0"/>
              <w:jc w:val="left"/>
            </w:pPr>
            <w:r>
              <w:rPr>
                <w:rFonts w:ascii="Arial" w:hAnsi="Arial"/>
                <w:b w:val="0"/>
                <w:sz w:val="11"/>
              </w:rPr>
              <w:t>Strong coverage; accountability and evidence partitioning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responsibility transfer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26 accountability with multi-agent responsibility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ALCS-07: Authority Drift Detection</w:t>
      </w:r>
    </w:p>
    <w:p/>
    <w:p>
      <w:r>
        <w:t>Core question: Does the system provide primitives for detecting authority drift where agents exceed delegated authority boundaries?</w:t>
      </w:r>
    </w:p>
    <w:p/>
    <w:p>
      <w:r>
        <w:t>What counts: Authority drift definitions, drift detection mechanisms, drift alerting, drift audit trails</w:t>
      </w:r>
    </w:p>
    <w:p/>
    <w:p>
      <w:r>
        <w:t>What does not count: General anomaly detection, drift detection without authority boundary integration, drift detection without lifecycle integration</w:t>
      </w:r>
    </w:p>
    <w:p/>
    <w:p>
      <w:pPr>
        <w:keepNext/>
      </w:pPr>
      <w:r>
        <w:rPr>
          <w:b/>
          <w:sz w:val="17"/>
        </w:rPr>
        <w:t>Table T-F-07: ALCS-07 Authority Drift Detection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authority drift detection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drift definitions, no drift detection, no drift alerting</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authority drift detection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authority drift detection</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Authority drift detection mentioned in marketing docs but no implementation details</w:t>
            </w:r>
          </w:p>
        </w:tc>
        <w:tc>
          <w:tcPr>
            <w:tcW w:type="dxa" w:w="2400"/>
            <w:vAlign w:val="top"/>
          </w:tcPr>
          <w:p>
            <w:pPr>
              <w:spacing w:after="0"/>
              <w:jc w:val="left"/>
            </w:pPr>
            <w:r>
              <w:rPr>
                <w:rFonts w:ascii="Arial" w:hAnsi="Arial"/>
                <w:b w:val="0"/>
                <w:sz w:val="11"/>
              </w:rPr>
              <w:t>Drift detection mentioned ≠ drift detection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authority drift detection</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Drift definitions exist but no drift detection mechanisms or drift alerting</w:t>
            </w:r>
          </w:p>
        </w:tc>
        <w:tc>
          <w:tcPr>
            <w:tcW w:type="dxa" w:w="2400"/>
            <w:vAlign w:val="top"/>
          </w:tcPr>
          <w:p>
            <w:pPr>
              <w:spacing w:after="0"/>
              <w:jc w:val="left"/>
            </w:pPr>
            <w:r>
              <w:rPr>
                <w:rFonts w:ascii="Arial" w:hAnsi="Arial"/>
                <w:b w:val="0"/>
                <w:sz w:val="11"/>
              </w:rPr>
              <w:t>Drift definitions ≠ drift detection or alerting</w:t>
            </w:r>
          </w:p>
        </w:tc>
        <w:tc>
          <w:tcPr>
            <w:tcW w:type="dxa" w:w="2400"/>
            <w:vAlign w:val="top"/>
          </w:tcPr>
          <w:p>
            <w:pPr>
              <w:spacing w:after="0"/>
              <w:jc w:val="left"/>
            </w:pPr>
            <w:r>
              <w:rPr>
                <w:rFonts w:ascii="Arial" w:hAnsi="Arial"/>
                <w:b w:val="0"/>
                <w:sz w:val="11"/>
              </w:rPr>
              <w:t>Partial coverage; detection and alerting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authority drift detection</w:t>
            </w:r>
          </w:p>
        </w:tc>
        <w:tc>
          <w:tcPr>
            <w:tcW w:type="dxa" w:w="2400"/>
            <w:vAlign w:val="top"/>
          </w:tcPr>
          <w:p>
            <w:pPr>
              <w:spacing w:after="0"/>
              <w:jc w:val="left"/>
            </w:pPr>
            <w:r>
              <w:rPr>
                <w:rFonts w:ascii="Arial" w:hAnsi="Arial"/>
                <w:b w:val="0"/>
                <w:sz w:val="11"/>
              </w:rPr>
              <w:t>Product documentation with drift definitions and detection</w:t>
            </w:r>
          </w:p>
        </w:tc>
        <w:tc>
          <w:tcPr>
            <w:tcW w:type="dxa" w:w="2400"/>
            <w:vAlign w:val="top"/>
          </w:tcPr>
          <w:p>
            <w:pPr>
              <w:spacing w:after="0"/>
              <w:jc w:val="left"/>
            </w:pPr>
            <w:r>
              <w:rPr>
                <w:rFonts w:ascii="Arial" w:hAnsi="Arial"/>
                <w:b w:val="0"/>
                <w:sz w:val="11"/>
              </w:rPr>
              <w:t>Authority drift definitions, drift detection mechanisms, basic drift alerting</w:t>
            </w:r>
          </w:p>
        </w:tc>
        <w:tc>
          <w:tcPr>
            <w:tcW w:type="dxa" w:w="2400"/>
            <w:vAlign w:val="top"/>
          </w:tcPr>
          <w:p>
            <w:pPr>
              <w:spacing w:after="0"/>
              <w:jc w:val="left"/>
            </w:pPr>
            <w:r>
              <w:rPr>
                <w:rFonts w:ascii="Arial" w:hAnsi="Arial"/>
                <w:b w:val="0"/>
                <w:sz w:val="11"/>
              </w:rPr>
              <w:t>Drift alerting ≠ drift audit trails or drift remediation workflows</w:t>
            </w:r>
          </w:p>
        </w:tc>
        <w:tc>
          <w:tcPr>
            <w:tcW w:type="dxa" w:w="2400"/>
            <w:vAlign w:val="top"/>
          </w:tcPr>
          <w:p>
            <w:pPr>
              <w:spacing w:after="0"/>
              <w:jc w:val="left"/>
            </w:pPr>
            <w:r>
              <w:rPr>
                <w:rFonts w:ascii="Arial" w:hAnsi="Arial"/>
                <w:b w:val="0"/>
                <w:sz w:val="11"/>
              </w:rPr>
              <w:t>Moderate coverage; audit and remediation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authority drift detection</w:t>
            </w:r>
          </w:p>
        </w:tc>
        <w:tc>
          <w:tcPr>
            <w:tcW w:type="dxa" w:w="2400"/>
            <w:vAlign w:val="top"/>
          </w:tcPr>
          <w:p>
            <w:pPr>
              <w:spacing w:after="0"/>
              <w:jc w:val="left"/>
            </w:pPr>
            <w:r>
              <w:rPr>
                <w:rFonts w:ascii="Arial" w:hAnsi="Arial"/>
                <w:b w:val="0"/>
                <w:sz w:val="11"/>
              </w:rPr>
              <w:t>Product documentation with drift definitions, detection, and alerting</w:t>
            </w:r>
          </w:p>
        </w:tc>
        <w:tc>
          <w:tcPr>
            <w:tcW w:type="dxa" w:w="2400"/>
            <w:vAlign w:val="top"/>
          </w:tcPr>
          <w:p>
            <w:pPr>
              <w:spacing w:after="0"/>
              <w:jc w:val="left"/>
            </w:pPr>
            <w:r>
              <w:rPr>
                <w:rFonts w:ascii="Arial" w:hAnsi="Arial"/>
                <w:b w:val="0"/>
                <w:sz w:val="11"/>
              </w:rPr>
              <w:t>Authority drift definitions, drift detection mechanisms, drift alerting, drift audit trails</w:t>
            </w:r>
          </w:p>
        </w:tc>
        <w:tc>
          <w:tcPr>
            <w:tcW w:type="dxa" w:w="2400"/>
            <w:vAlign w:val="top"/>
          </w:tcPr>
          <w:p>
            <w:pPr>
              <w:spacing w:after="0"/>
              <w:jc w:val="left"/>
            </w:pPr>
            <w:r>
              <w:rPr>
                <w:rFonts w:ascii="Arial" w:hAnsi="Arial"/>
                <w:b w:val="0"/>
                <w:sz w:val="11"/>
              </w:rPr>
              <w:t>Drift audit trails ≠ drift remediation workflows or continuous monitoring</w:t>
            </w:r>
          </w:p>
        </w:tc>
        <w:tc>
          <w:tcPr>
            <w:tcW w:type="dxa" w:w="2400"/>
            <w:vAlign w:val="top"/>
          </w:tcPr>
          <w:p>
            <w:pPr>
              <w:spacing w:after="0"/>
              <w:jc w:val="left"/>
            </w:pPr>
            <w:r>
              <w:rPr>
                <w:rFonts w:ascii="Arial" w:hAnsi="Arial"/>
                <w:b w:val="0"/>
                <w:sz w:val="11"/>
              </w:rPr>
              <w:t>Strong coverage; remediation and continuous monitoring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authority drift detection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72 post-market monitoring with authority drift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ALCS-08: MAS Evidence Partitioning</w:t>
      </w:r>
    </w:p>
    <w:p/>
    <w:p>
      <w:r>
        <w:t>Core question: Does the system provide primitives for partitioning evidence by agent, role, and responsibility in multi-agent systems?</w:t>
      </w:r>
    </w:p>
    <w:p/>
    <w:p>
      <w:r>
        <w:t>What counts: Evidence partitioning definitions, partitioning mechanisms, partitioned evidence storage, partitioned evidence retrieval</w:t>
      </w:r>
    </w:p>
    <w:p/>
    <w:p>
      <w:r>
        <w:t>What does not count: General evidence storage, evidence partitioning without agent/role/responsibility mapping, evidence partitioning without lifecycle integration</w:t>
      </w:r>
    </w:p>
    <w:p/>
    <w:p>
      <w:pPr>
        <w:keepNext/>
      </w:pPr>
      <w:r>
        <w:rPr>
          <w:b/>
          <w:sz w:val="17"/>
        </w:rPr>
        <w:t>Table T-F-08: ALCS-08 MAS Evidence Partitioning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MAS evidence partitioning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partitioning definitions, no partitioning mechanisms, no partitioned storage</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MAS evidence partitioning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MAS evidence partitioning</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MAS evidence partitioning mentioned in marketing docs but no implementation details</w:t>
            </w:r>
          </w:p>
        </w:tc>
        <w:tc>
          <w:tcPr>
            <w:tcW w:type="dxa" w:w="2400"/>
            <w:vAlign w:val="top"/>
          </w:tcPr>
          <w:p>
            <w:pPr>
              <w:spacing w:after="0"/>
              <w:jc w:val="left"/>
            </w:pPr>
            <w:r>
              <w:rPr>
                <w:rFonts w:ascii="Arial" w:hAnsi="Arial"/>
                <w:b w:val="0"/>
                <w:sz w:val="11"/>
              </w:rPr>
              <w:t>Partitioning mentioned ≠ partitioning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MAS evidence partitioning</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Partitioning definitions exist but no partitioning mechanisms or partitioned storage</w:t>
            </w:r>
          </w:p>
        </w:tc>
        <w:tc>
          <w:tcPr>
            <w:tcW w:type="dxa" w:w="2400"/>
            <w:vAlign w:val="top"/>
          </w:tcPr>
          <w:p>
            <w:pPr>
              <w:spacing w:after="0"/>
              <w:jc w:val="left"/>
            </w:pPr>
            <w:r>
              <w:rPr>
                <w:rFonts w:ascii="Arial" w:hAnsi="Arial"/>
                <w:b w:val="0"/>
                <w:sz w:val="11"/>
              </w:rPr>
              <w:t>Partitioning definitions ≠ partitioning mechanisms or storage</w:t>
            </w:r>
          </w:p>
        </w:tc>
        <w:tc>
          <w:tcPr>
            <w:tcW w:type="dxa" w:w="2400"/>
            <w:vAlign w:val="top"/>
          </w:tcPr>
          <w:p>
            <w:pPr>
              <w:spacing w:after="0"/>
              <w:jc w:val="left"/>
            </w:pPr>
            <w:r>
              <w:rPr>
                <w:rFonts w:ascii="Arial" w:hAnsi="Arial"/>
                <w:b w:val="0"/>
                <w:sz w:val="11"/>
              </w:rPr>
              <w:t>Partial coverage; mechanism and storage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MAS evidence partitioning</w:t>
            </w:r>
          </w:p>
        </w:tc>
        <w:tc>
          <w:tcPr>
            <w:tcW w:type="dxa" w:w="2400"/>
            <w:vAlign w:val="top"/>
          </w:tcPr>
          <w:p>
            <w:pPr>
              <w:spacing w:after="0"/>
              <w:jc w:val="left"/>
            </w:pPr>
            <w:r>
              <w:rPr>
                <w:rFonts w:ascii="Arial" w:hAnsi="Arial"/>
                <w:b w:val="0"/>
                <w:sz w:val="11"/>
              </w:rPr>
              <w:t>Product documentation with partitioning definitions and mechanisms</w:t>
            </w:r>
          </w:p>
        </w:tc>
        <w:tc>
          <w:tcPr>
            <w:tcW w:type="dxa" w:w="2400"/>
            <w:vAlign w:val="top"/>
          </w:tcPr>
          <w:p>
            <w:pPr>
              <w:spacing w:after="0"/>
              <w:jc w:val="left"/>
            </w:pPr>
            <w:r>
              <w:rPr>
                <w:rFonts w:ascii="Arial" w:hAnsi="Arial"/>
                <w:b w:val="0"/>
                <w:sz w:val="11"/>
              </w:rPr>
              <w:t>Evidence partitioning definitions, partitioning mechanisms, basic partitioned evidence storage</w:t>
            </w:r>
          </w:p>
        </w:tc>
        <w:tc>
          <w:tcPr>
            <w:tcW w:type="dxa" w:w="2400"/>
            <w:vAlign w:val="top"/>
          </w:tcPr>
          <w:p>
            <w:pPr>
              <w:spacing w:after="0"/>
              <w:jc w:val="left"/>
            </w:pPr>
            <w:r>
              <w:rPr>
                <w:rFonts w:ascii="Arial" w:hAnsi="Arial"/>
                <w:b w:val="0"/>
                <w:sz w:val="11"/>
              </w:rPr>
              <w:t>Partitioned storage ≠ partitioned evidence retrieval or selective disclosure</w:t>
            </w:r>
          </w:p>
        </w:tc>
        <w:tc>
          <w:tcPr>
            <w:tcW w:type="dxa" w:w="2400"/>
            <w:vAlign w:val="top"/>
          </w:tcPr>
          <w:p>
            <w:pPr>
              <w:spacing w:after="0"/>
              <w:jc w:val="left"/>
            </w:pPr>
            <w:r>
              <w:rPr>
                <w:rFonts w:ascii="Arial" w:hAnsi="Arial"/>
                <w:b w:val="0"/>
                <w:sz w:val="11"/>
              </w:rPr>
              <w:t>Moderate coverage; retrieval and disclosure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MAS evidence partitioning</w:t>
            </w:r>
          </w:p>
        </w:tc>
        <w:tc>
          <w:tcPr>
            <w:tcW w:type="dxa" w:w="2400"/>
            <w:vAlign w:val="top"/>
          </w:tcPr>
          <w:p>
            <w:pPr>
              <w:spacing w:after="0"/>
              <w:jc w:val="left"/>
            </w:pPr>
            <w:r>
              <w:rPr>
                <w:rFonts w:ascii="Arial" w:hAnsi="Arial"/>
                <w:b w:val="0"/>
                <w:sz w:val="11"/>
              </w:rPr>
              <w:t>Product documentation with partitioning definitions, mechanisms, and storage</w:t>
            </w:r>
          </w:p>
        </w:tc>
        <w:tc>
          <w:tcPr>
            <w:tcW w:type="dxa" w:w="2400"/>
            <w:vAlign w:val="top"/>
          </w:tcPr>
          <w:p>
            <w:pPr>
              <w:spacing w:after="0"/>
              <w:jc w:val="left"/>
            </w:pPr>
            <w:r>
              <w:rPr>
                <w:rFonts w:ascii="Arial" w:hAnsi="Arial"/>
                <w:b w:val="0"/>
                <w:sz w:val="11"/>
              </w:rPr>
              <w:t>Evidence partitioning definitions, partitioning mechanisms, partitioned evidence storage, partitioned evidence retrieval</w:t>
            </w:r>
          </w:p>
        </w:tc>
        <w:tc>
          <w:tcPr>
            <w:tcW w:type="dxa" w:w="2400"/>
            <w:vAlign w:val="top"/>
          </w:tcPr>
          <w:p>
            <w:pPr>
              <w:spacing w:after="0"/>
              <w:jc w:val="left"/>
            </w:pPr>
            <w:r>
              <w:rPr>
                <w:rFonts w:ascii="Arial" w:hAnsi="Arial"/>
                <w:b w:val="0"/>
                <w:sz w:val="11"/>
              </w:rPr>
              <w:t>Partitioned retrieval ≠ selective disclosure or evidence minimization</w:t>
            </w:r>
          </w:p>
        </w:tc>
        <w:tc>
          <w:tcPr>
            <w:tcW w:type="dxa" w:w="2400"/>
            <w:vAlign w:val="top"/>
          </w:tcPr>
          <w:p>
            <w:pPr>
              <w:spacing w:after="0"/>
              <w:jc w:val="left"/>
            </w:pPr>
            <w:r>
              <w:rPr>
                <w:rFonts w:ascii="Arial" w:hAnsi="Arial"/>
                <w:b w:val="0"/>
                <w:sz w:val="11"/>
              </w:rPr>
              <w:t>Strong coverage; disclosure and minimization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MAS evidence partitioning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GDPR Article 5 data minimization with MAS evidence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ALCS-09: Cross-Project Reuse Compliance</w:t>
      </w:r>
    </w:p>
    <w:p/>
    <w:p>
      <w:r>
        <w:t>Core question: Does the system provide primitives for ensuring compliance when reusing agents, models, or workflows across projects?</w:t>
      </w:r>
    </w:p>
    <w:p/>
    <w:p>
      <w:r>
        <w:t>What counts: Reuse compliance definitions, reuse tracking, reuse validation, reuse audit trails</w:t>
      </w:r>
    </w:p>
    <w:p/>
    <w:p>
      <w:r>
        <w:t>What does not count: General code reuse, reuse tracking without compliance validation, reuse tracking without lifecycle integration</w:t>
      </w:r>
    </w:p>
    <w:p/>
    <w:p>
      <w:pPr>
        <w:keepNext/>
      </w:pPr>
      <w:r>
        <w:rPr>
          <w:b/>
          <w:sz w:val="17"/>
        </w:rPr>
        <w:t>Table T-F-09: ALCS-09 Cross-Project Reuse Compliance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cross-project reuse compliance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reuse compliance definitions, no reuse tracking, no reuse validation</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cross-project reuse compliance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cross-project reuse compliance</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Cross-project reuse compliance mentioned in marketing docs but no implementation details</w:t>
            </w:r>
          </w:p>
        </w:tc>
        <w:tc>
          <w:tcPr>
            <w:tcW w:type="dxa" w:w="2400"/>
            <w:vAlign w:val="top"/>
          </w:tcPr>
          <w:p>
            <w:pPr>
              <w:spacing w:after="0"/>
              <w:jc w:val="left"/>
            </w:pPr>
            <w:r>
              <w:rPr>
                <w:rFonts w:ascii="Arial" w:hAnsi="Arial"/>
                <w:b w:val="0"/>
                <w:sz w:val="11"/>
              </w:rPr>
              <w:t>Reuse compliance mentioned ≠ reuse compliance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cross-project reuse compliance</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Reuse compliance definitions exist but no reuse tracking or reuse validation</w:t>
            </w:r>
          </w:p>
        </w:tc>
        <w:tc>
          <w:tcPr>
            <w:tcW w:type="dxa" w:w="2400"/>
            <w:vAlign w:val="top"/>
          </w:tcPr>
          <w:p>
            <w:pPr>
              <w:spacing w:after="0"/>
              <w:jc w:val="left"/>
            </w:pPr>
            <w:r>
              <w:rPr>
                <w:rFonts w:ascii="Arial" w:hAnsi="Arial"/>
                <w:b w:val="0"/>
                <w:sz w:val="11"/>
              </w:rPr>
              <w:t>Reuse definitions ≠ reuse tracking or validation</w:t>
            </w:r>
          </w:p>
        </w:tc>
        <w:tc>
          <w:tcPr>
            <w:tcW w:type="dxa" w:w="2400"/>
            <w:vAlign w:val="top"/>
          </w:tcPr>
          <w:p>
            <w:pPr>
              <w:spacing w:after="0"/>
              <w:jc w:val="left"/>
            </w:pPr>
            <w:r>
              <w:rPr>
                <w:rFonts w:ascii="Arial" w:hAnsi="Arial"/>
                <w:b w:val="0"/>
                <w:sz w:val="11"/>
              </w:rPr>
              <w:t>Partial coverage; tracking and validation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cross-project reuse compliance</w:t>
            </w:r>
          </w:p>
        </w:tc>
        <w:tc>
          <w:tcPr>
            <w:tcW w:type="dxa" w:w="2400"/>
            <w:vAlign w:val="top"/>
          </w:tcPr>
          <w:p>
            <w:pPr>
              <w:spacing w:after="0"/>
              <w:jc w:val="left"/>
            </w:pPr>
            <w:r>
              <w:rPr>
                <w:rFonts w:ascii="Arial" w:hAnsi="Arial"/>
                <w:b w:val="0"/>
                <w:sz w:val="11"/>
              </w:rPr>
              <w:t>Product documentation with reuse definitions and tracking</w:t>
            </w:r>
          </w:p>
        </w:tc>
        <w:tc>
          <w:tcPr>
            <w:tcW w:type="dxa" w:w="2400"/>
            <w:vAlign w:val="top"/>
          </w:tcPr>
          <w:p>
            <w:pPr>
              <w:spacing w:after="0"/>
              <w:jc w:val="left"/>
            </w:pPr>
            <w:r>
              <w:rPr>
                <w:rFonts w:ascii="Arial" w:hAnsi="Arial"/>
                <w:b w:val="0"/>
                <w:sz w:val="11"/>
              </w:rPr>
              <w:t>Reuse compliance definitions, reuse tracking, basic reuse validation</w:t>
            </w:r>
          </w:p>
        </w:tc>
        <w:tc>
          <w:tcPr>
            <w:tcW w:type="dxa" w:w="2400"/>
            <w:vAlign w:val="top"/>
          </w:tcPr>
          <w:p>
            <w:pPr>
              <w:spacing w:after="0"/>
              <w:jc w:val="left"/>
            </w:pPr>
            <w:r>
              <w:rPr>
                <w:rFonts w:ascii="Arial" w:hAnsi="Arial"/>
                <w:b w:val="0"/>
                <w:sz w:val="11"/>
              </w:rPr>
              <w:t>Reuse validation ≠ reuse audit trails or compliance enforcement</w:t>
            </w:r>
          </w:p>
        </w:tc>
        <w:tc>
          <w:tcPr>
            <w:tcW w:type="dxa" w:w="2400"/>
            <w:vAlign w:val="top"/>
          </w:tcPr>
          <w:p>
            <w:pPr>
              <w:spacing w:after="0"/>
              <w:jc w:val="left"/>
            </w:pPr>
            <w:r>
              <w:rPr>
                <w:rFonts w:ascii="Arial" w:hAnsi="Arial"/>
                <w:b w:val="0"/>
                <w:sz w:val="11"/>
              </w:rPr>
              <w:t>Moderate coverage; audit and enforcement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cross-project reuse compliance</w:t>
            </w:r>
          </w:p>
        </w:tc>
        <w:tc>
          <w:tcPr>
            <w:tcW w:type="dxa" w:w="2400"/>
            <w:vAlign w:val="top"/>
          </w:tcPr>
          <w:p>
            <w:pPr>
              <w:spacing w:after="0"/>
              <w:jc w:val="left"/>
            </w:pPr>
            <w:r>
              <w:rPr>
                <w:rFonts w:ascii="Arial" w:hAnsi="Arial"/>
                <w:b w:val="0"/>
                <w:sz w:val="11"/>
              </w:rPr>
              <w:t>Product documentation with reuse definitions, tracking, and validation</w:t>
            </w:r>
          </w:p>
        </w:tc>
        <w:tc>
          <w:tcPr>
            <w:tcW w:type="dxa" w:w="2400"/>
            <w:vAlign w:val="top"/>
          </w:tcPr>
          <w:p>
            <w:pPr>
              <w:spacing w:after="0"/>
              <w:jc w:val="left"/>
            </w:pPr>
            <w:r>
              <w:rPr>
                <w:rFonts w:ascii="Arial" w:hAnsi="Arial"/>
                <w:b w:val="0"/>
                <w:sz w:val="11"/>
              </w:rPr>
              <w:t>Reuse compliance definitions, reuse tracking, reuse validation, reuse audit trails</w:t>
            </w:r>
          </w:p>
        </w:tc>
        <w:tc>
          <w:tcPr>
            <w:tcW w:type="dxa" w:w="2400"/>
            <w:vAlign w:val="top"/>
          </w:tcPr>
          <w:p>
            <w:pPr>
              <w:spacing w:after="0"/>
              <w:jc w:val="left"/>
            </w:pPr>
            <w:r>
              <w:rPr>
                <w:rFonts w:ascii="Arial" w:hAnsi="Arial"/>
                <w:b w:val="0"/>
                <w:sz w:val="11"/>
              </w:rPr>
              <w:t>Reuse audit trails ≠ compliance enforcement or vendor substitution conformance</w:t>
            </w:r>
          </w:p>
        </w:tc>
        <w:tc>
          <w:tcPr>
            <w:tcW w:type="dxa" w:w="2400"/>
            <w:vAlign w:val="top"/>
          </w:tcPr>
          <w:p>
            <w:pPr>
              <w:spacing w:after="0"/>
              <w:jc w:val="left"/>
            </w:pPr>
            <w:r>
              <w:rPr>
                <w:rFonts w:ascii="Arial" w:hAnsi="Arial"/>
                <w:b w:val="0"/>
                <w:sz w:val="11"/>
              </w:rPr>
              <w:t>Strong coverage; enforcement and substitution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cross-project reuse compliance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43 conformity assessment with reuse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ALCS-10: Privacy/GDPR Lifecycle Mapping</w:t>
      </w:r>
    </w:p>
    <w:p/>
    <w:p>
      <w:r>
        <w:t>Core question: Does the system provide primitives for mapping privacy and GDPR requirements to AI lifecycle stages?</w:t>
      </w:r>
    </w:p>
    <w:p/>
    <w:p>
      <w:r>
        <w:t>What counts: Privacy lifecycle mapping definitions, GDPR requirement mapping, lifecycle stage integration, privacy audit trails</w:t>
      </w:r>
    </w:p>
    <w:p/>
    <w:p>
      <w:r>
        <w:t>What does not count: General privacy controls, privacy mapping without lifecycle integration, privacy mapping without GDPR-specific requirements</w:t>
      </w:r>
    </w:p>
    <w:p/>
    <w:p>
      <w:pPr>
        <w:keepNext/>
      </w:pPr>
      <w:r>
        <w:rPr>
          <w:b/>
          <w:sz w:val="17"/>
        </w:rPr>
        <w:t>Table T-F-10: ALCS-10 Privacy/GDPR Lifecycle Mapping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privacy/GDPR lifecycle mapping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privacy mapping definitions, no GDPR requirement mapping, no lifecycle integration</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privacy/GDPR lifecycle mapping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privacy/GDPR lifecycle mapping</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Privacy/GDPR lifecycle mapping mentioned in marketing docs but no implementation details</w:t>
            </w:r>
          </w:p>
        </w:tc>
        <w:tc>
          <w:tcPr>
            <w:tcW w:type="dxa" w:w="2400"/>
            <w:vAlign w:val="top"/>
          </w:tcPr>
          <w:p>
            <w:pPr>
              <w:spacing w:after="0"/>
              <w:jc w:val="left"/>
            </w:pPr>
            <w:r>
              <w:rPr>
                <w:rFonts w:ascii="Arial" w:hAnsi="Arial"/>
                <w:b w:val="0"/>
                <w:sz w:val="11"/>
              </w:rPr>
              <w:t>Mapping mentioned ≠ mapping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privacy/GDPR lifecycle mapping</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Privacy mapping definitions exist but no GDPR requirement mapping or lifecycle integration</w:t>
            </w:r>
          </w:p>
        </w:tc>
        <w:tc>
          <w:tcPr>
            <w:tcW w:type="dxa" w:w="2400"/>
            <w:vAlign w:val="top"/>
          </w:tcPr>
          <w:p>
            <w:pPr>
              <w:spacing w:after="0"/>
              <w:jc w:val="left"/>
            </w:pPr>
            <w:r>
              <w:rPr>
                <w:rFonts w:ascii="Arial" w:hAnsi="Arial"/>
                <w:b w:val="0"/>
                <w:sz w:val="11"/>
              </w:rPr>
              <w:t>Privacy definitions ≠ GDPR mapping or lifecycle integration</w:t>
            </w:r>
          </w:p>
        </w:tc>
        <w:tc>
          <w:tcPr>
            <w:tcW w:type="dxa" w:w="2400"/>
            <w:vAlign w:val="top"/>
          </w:tcPr>
          <w:p>
            <w:pPr>
              <w:spacing w:after="0"/>
              <w:jc w:val="left"/>
            </w:pPr>
            <w:r>
              <w:rPr>
                <w:rFonts w:ascii="Arial" w:hAnsi="Arial"/>
                <w:b w:val="0"/>
                <w:sz w:val="11"/>
              </w:rPr>
              <w:t>Partial coverage; GDPR and lifecycle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privacy/GDPR lifecycle mapping</w:t>
            </w:r>
          </w:p>
        </w:tc>
        <w:tc>
          <w:tcPr>
            <w:tcW w:type="dxa" w:w="2400"/>
            <w:vAlign w:val="top"/>
          </w:tcPr>
          <w:p>
            <w:pPr>
              <w:spacing w:after="0"/>
              <w:jc w:val="left"/>
            </w:pPr>
            <w:r>
              <w:rPr>
                <w:rFonts w:ascii="Arial" w:hAnsi="Arial"/>
                <w:b w:val="0"/>
                <w:sz w:val="11"/>
              </w:rPr>
              <w:t>Product documentation with privacy mapping and GDPR requirements</w:t>
            </w:r>
          </w:p>
        </w:tc>
        <w:tc>
          <w:tcPr>
            <w:tcW w:type="dxa" w:w="2400"/>
            <w:vAlign w:val="top"/>
          </w:tcPr>
          <w:p>
            <w:pPr>
              <w:spacing w:after="0"/>
              <w:jc w:val="left"/>
            </w:pPr>
            <w:r>
              <w:rPr>
                <w:rFonts w:ascii="Arial" w:hAnsi="Arial"/>
                <w:b w:val="0"/>
                <w:sz w:val="11"/>
              </w:rPr>
              <w:t>Privacy lifecycle mapping definitions, GDPR requirement mapping, basic lifecycle stage integration</w:t>
            </w:r>
          </w:p>
        </w:tc>
        <w:tc>
          <w:tcPr>
            <w:tcW w:type="dxa" w:w="2400"/>
            <w:vAlign w:val="top"/>
          </w:tcPr>
          <w:p>
            <w:pPr>
              <w:spacing w:after="0"/>
              <w:jc w:val="left"/>
            </w:pPr>
            <w:r>
              <w:rPr>
                <w:rFonts w:ascii="Arial" w:hAnsi="Arial"/>
                <w:b w:val="0"/>
                <w:sz w:val="11"/>
              </w:rPr>
              <w:t>Lifecycle integration ≠ privacy audit trails or data subject rights workflows</w:t>
            </w:r>
          </w:p>
        </w:tc>
        <w:tc>
          <w:tcPr>
            <w:tcW w:type="dxa" w:w="2400"/>
            <w:vAlign w:val="top"/>
          </w:tcPr>
          <w:p>
            <w:pPr>
              <w:spacing w:after="0"/>
              <w:jc w:val="left"/>
            </w:pPr>
            <w:r>
              <w:rPr>
                <w:rFonts w:ascii="Arial" w:hAnsi="Arial"/>
                <w:b w:val="0"/>
                <w:sz w:val="11"/>
              </w:rPr>
              <w:t>Moderate coverage; audit and data subject rights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privacy/GDPR lifecycle mapping</w:t>
            </w:r>
          </w:p>
        </w:tc>
        <w:tc>
          <w:tcPr>
            <w:tcW w:type="dxa" w:w="2400"/>
            <w:vAlign w:val="top"/>
          </w:tcPr>
          <w:p>
            <w:pPr>
              <w:spacing w:after="0"/>
              <w:jc w:val="left"/>
            </w:pPr>
            <w:r>
              <w:rPr>
                <w:rFonts w:ascii="Arial" w:hAnsi="Arial"/>
                <w:b w:val="0"/>
                <w:sz w:val="11"/>
              </w:rPr>
              <w:t>Product documentation with privacy mapping, GDPR requirements, and lifecycle integration</w:t>
            </w:r>
          </w:p>
        </w:tc>
        <w:tc>
          <w:tcPr>
            <w:tcW w:type="dxa" w:w="2400"/>
            <w:vAlign w:val="top"/>
          </w:tcPr>
          <w:p>
            <w:pPr>
              <w:spacing w:after="0"/>
              <w:jc w:val="left"/>
            </w:pPr>
            <w:r>
              <w:rPr>
                <w:rFonts w:ascii="Arial" w:hAnsi="Arial"/>
                <w:b w:val="0"/>
                <w:sz w:val="11"/>
              </w:rPr>
              <w:t>Privacy lifecycle mapping definitions, GDPR requirement mapping, lifecycle stage integration, privacy audit trails</w:t>
            </w:r>
          </w:p>
        </w:tc>
        <w:tc>
          <w:tcPr>
            <w:tcW w:type="dxa" w:w="2400"/>
            <w:vAlign w:val="top"/>
          </w:tcPr>
          <w:p>
            <w:pPr>
              <w:spacing w:after="0"/>
              <w:jc w:val="left"/>
            </w:pPr>
            <w:r>
              <w:rPr>
                <w:rFonts w:ascii="Arial" w:hAnsi="Arial"/>
                <w:b w:val="0"/>
                <w:sz w:val="11"/>
              </w:rPr>
              <w:t>Privacy audit trails ≠ data subject rights workflows or evidence minimization</w:t>
            </w:r>
          </w:p>
        </w:tc>
        <w:tc>
          <w:tcPr>
            <w:tcW w:type="dxa" w:w="2400"/>
            <w:vAlign w:val="top"/>
          </w:tcPr>
          <w:p>
            <w:pPr>
              <w:spacing w:after="0"/>
              <w:jc w:val="left"/>
            </w:pPr>
            <w:r>
              <w:rPr>
                <w:rFonts w:ascii="Arial" w:hAnsi="Arial"/>
                <w:b w:val="0"/>
                <w:sz w:val="11"/>
              </w:rPr>
              <w:t>Strong coverage; data subject rights and minimization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privacy/GDPR lifecycle mapping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GDPR Article 25 data protection by design with AI lifecycle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ALCS-11: Privacy-Preserving Third-Party Validation</w:t>
      </w:r>
    </w:p>
    <w:p/>
    <w:p>
      <w:r>
        <w:t>Core question: Does the system provide primitives for third-party validation while preserving privacy and minimizing evidence disclosure?</w:t>
      </w:r>
    </w:p>
    <w:p/>
    <w:p>
      <w:r>
        <w:t>What counts: Privacy-preserving validation mechanisms, selective disclosure controls, third-party validation workflows, validation audit trails</w:t>
      </w:r>
    </w:p>
    <w:p/>
    <w:p>
      <w:r>
        <w:t>What does not count: General third-party access, validation without privacy controls, validation without selective disclosure</w:t>
      </w:r>
    </w:p>
    <w:p/>
    <w:p>
      <w:pPr>
        <w:keepNext/>
      </w:pPr>
      <w:r>
        <w:rPr>
          <w:b/>
          <w:sz w:val="17"/>
        </w:rPr>
        <w:t>Table T-F-11: ALCS-11 Privacy-Preserving Third-Party Validation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privacy-preserving third-party validation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privacy-preserving validation, no selective disclosure, no validation workflows</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privacy-preserving third-party validation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privacy-preserving third-party validation</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Privacy-preserving validation mentioned in marketing docs but no implementation details</w:t>
            </w:r>
          </w:p>
        </w:tc>
        <w:tc>
          <w:tcPr>
            <w:tcW w:type="dxa" w:w="2400"/>
            <w:vAlign w:val="top"/>
          </w:tcPr>
          <w:p>
            <w:pPr>
              <w:spacing w:after="0"/>
              <w:jc w:val="left"/>
            </w:pPr>
            <w:r>
              <w:rPr>
                <w:rFonts w:ascii="Arial" w:hAnsi="Arial"/>
                <w:b w:val="0"/>
                <w:sz w:val="11"/>
              </w:rPr>
              <w:t>Validation mentioned ≠ validation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privacy-preserving third-party validation</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Privacy-preserving validation mechanisms exist but no selective disclosure or validation workflows</w:t>
            </w:r>
          </w:p>
        </w:tc>
        <w:tc>
          <w:tcPr>
            <w:tcW w:type="dxa" w:w="2400"/>
            <w:vAlign w:val="top"/>
          </w:tcPr>
          <w:p>
            <w:pPr>
              <w:spacing w:after="0"/>
              <w:jc w:val="left"/>
            </w:pPr>
            <w:r>
              <w:rPr>
                <w:rFonts w:ascii="Arial" w:hAnsi="Arial"/>
                <w:b w:val="0"/>
                <w:sz w:val="11"/>
              </w:rPr>
              <w:t>Privacy mechanisms ≠ selective disclosure or workflows</w:t>
            </w:r>
          </w:p>
        </w:tc>
        <w:tc>
          <w:tcPr>
            <w:tcW w:type="dxa" w:w="2400"/>
            <w:vAlign w:val="top"/>
          </w:tcPr>
          <w:p>
            <w:pPr>
              <w:spacing w:after="0"/>
              <w:jc w:val="left"/>
            </w:pPr>
            <w:r>
              <w:rPr>
                <w:rFonts w:ascii="Arial" w:hAnsi="Arial"/>
                <w:b w:val="0"/>
                <w:sz w:val="11"/>
              </w:rPr>
              <w:t>Partial coverage; disclosure and workflow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privacy-preserving third-party validation</w:t>
            </w:r>
          </w:p>
        </w:tc>
        <w:tc>
          <w:tcPr>
            <w:tcW w:type="dxa" w:w="2400"/>
            <w:vAlign w:val="top"/>
          </w:tcPr>
          <w:p>
            <w:pPr>
              <w:spacing w:after="0"/>
              <w:jc w:val="left"/>
            </w:pPr>
            <w:r>
              <w:rPr>
                <w:rFonts w:ascii="Arial" w:hAnsi="Arial"/>
                <w:b w:val="0"/>
                <w:sz w:val="11"/>
              </w:rPr>
              <w:t>Product documentation with privacy mechanisms and selective disclosure</w:t>
            </w:r>
          </w:p>
        </w:tc>
        <w:tc>
          <w:tcPr>
            <w:tcW w:type="dxa" w:w="2400"/>
            <w:vAlign w:val="top"/>
          </w:tcPr>
          <w:p>
            <w:pPr>
              <w:spacing w:after="0"/>
              <w:jc w:val="left"/>
            </w:pPr>
            <w:r>
              <w:rPr>
                <w:rFonts w:ascii="Arial" w:hAnsi="Arial"/>
                <w:b w:val="0"/>
                <w:sz w:val="11"/>
              </w:rPr>
              <w:t>Privacy-preserving validation mechanisms, selective disclosure controls, basic third-party validation workflows</w:t>
            </w:r>
          </w:p>
        </w:tc>
        <w:tc>
          <w:tcPr>
            <w:tcW w:type="dxa" w:w="2400"/>
            <w:vAlign w:val="top"/>
          </w:tcPr>
          <w:p>
            <w:pPr>
              <w:spacing w:after="0"/>
              <w:jc w:val="left"/>
            </w:pPr>
            <w:r>
              <w:rPr>
                <w:rFonts w:ascii="Arial" w:hAnsi="Arial"/>
                <w:b w:val="0"/>
                <w:sz w:val="11"/>
              </w:rPr>
              <w:t>Validation workflows ≠ validation audit trails or evidence minimization</w:t>
            </w:r>
          </w:p>
        </w:tc>
        <w:tc>
          <w:tcPr>
            <w:tcW w:type="dxa" w:w="2400"/>
            <w:vAlign w:val="top"/>
          </w:tcPr>
          <w:p>
            <w:pPr>
              <w:spacing w:after="0"/>
              <w:jc w:val="left"/>
            </w:pPr>
            <w:r>
              <w:rPr>
                <w:rFonts w:ascii="Arial" w:hAnsi="Arial"/>
                <w:b w:val="0"/>
                <w:sz w:val="11"/>
              </w:rPr>
              <w:t>Moderate coverage; audit and minimization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privacy-preserving third-party validation</w:t>
            </w:r>
          </w:p>
        </w:tc>
        <w:tc>
          <w:tcPr>
            <w:tcW w:type="dxa" w:w="2400"/>
            <w:vAlign w:val="top"/>
          </w:tcPr>
          <w:p>
            <w:pPr>
              <w:spacing w:after="0"/>
              <w:jc w:val="left"/>
            </w:pPr>
            <w:r>
              <w:rPr>
                <w:rFonts w:ascii="Arial" w:hAnsi="Arial"/>
                <w:b w:val="0"/>
                <w:sz w:val="11"/>
              </w:rPr>
              <w:t>Product documentation with privacy mechanisms, disclosure, and workflows</w:t>
            </w:r>
          </w:p>
        </w:tc>
        <w:tc>
          <w:tcPr>
            <w:tcW w:type="dxa" w:w="2400"/>
            <w:vAlign w:val="top"/>
          </w:tcPr>
          <w:p>
            <w:pPr>
              <w:spacing w:after="0"/>
              <w:jc w:val="left"/>
            </w:pPr>
            <w:r>
              <w:rPr>
                <w:rFonts w:ascii="Arial" w:hAnsi="Arial"/>
                <w:b w:val="0"/>
                <w:sz w:val="11"/>
              </w:rPr>
              <w:t>Privacy-preserving validation mechanisms, selective disclosure controls, third-party validation workflows, validation audit trails</w:t>
            </w:r>
          </w:p>
        </w:tc>
        <w:tc>
          <w:tcPr>
            <w:tcW w:type="dxa" w:w="2400"/>
            <w:vAlign w:val="top"/>
          </w:tcPr>
          <w:p>
            <w:pPr>
              <w:spacing w:after="0"/>
              <w:jc w:val="left"/>
            </w:pPr>
            <w:r>
              <w:rPr>
                <w:rFonts w:ascii="Arial" w:hAnsi="Arial"/>
                <w:b w:val="0"/>
                <w:sz w:val="11"/>
              </w:rPr>
              <w:t>Validation audit trails ≠ evidence minimization or zero-knowledge proofs</w:t>
            </w:r>
          </w:p>
        </w:tc>
        <w:tc>
          <w:tcPr>
            <w:tcW w:type="dxa" w:w="2400"/>
            <w:vAlign w:val="top"/>
          </w:tcPr>
          <w:p>
            <w:pPr>
              <w:spacing w:after="0"/>
              <w:jc w:val="left"/>
            </w:pPr>
            <w:r>
              <w:rPr>
                <w:rFonts w:ascii="Arial" w:hAnsi="Arial"/>
                <w:b w:val="0"/>
                <w:sz w:val="11"/>
              </w:rPr>
              <w:t>Strong coverage; minimization and zero-knowledge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privacy-preserving third-party validation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GDPR Article 5 data minimization with third-party validation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ALCS-12: Evidence Minimization and Selective Disclosure</w:t>
      </w:r>
    </w:p>
    <w:p/>
    <w:p>
      <w:r>
        <w:t>Core question: Does the system provide primitives for evidence minimization and selective disclosure to reduce privacy risk?</w:t>
      </w:r>
    </w:p>
    <w:p/>
    <w:p>
      <w:r>
        <w:t>What counts: Evidence minimization policies, selective disclosure mechanisms, disclosure controls, minimization audit trails</w:t>
      </w:r>
    </w:p>
    <w:p/>
    <w:p>
      <w:r>
        <w:t>What does not count: General data minimization, minimization without lifecycle integration, minimization without selective disclosure controls</w:t>
      </w:r>
    </w:p>
    <w:p/>
    <w:p>
      <w:pPr>
        <w:keepNext/>
      </w:pPr>
      <w:r>
        <w:rPr>
          <w:b/>
          <w:sz w:val="17"/>
        </w:rPr>
        <w:t>Table T-F-12: ALCS-12 Evidence Minimization and Selective Disclosure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evidence minimization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minimization policies, no selective disclosure, no disclosure controls</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evidence minimization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evidence minimization</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Evidence minimization mentioned in marketing docs but no implementation details</w:t>
            </w:r>
          </w:p>
        </w:tc>
        <w:tc>
          <w:tcPr>
            <w:tcW w:type="dxa" w:w="2400"/>
            <w:vAlign w:val="top"/>
          </w:tcPr>
          <w:p>
            <w:pPr>
              <w:spacing w:after="0"/>
              <w:jc w:val="left"/>
            </w:pPr>
            <w:r>
              <w:rPr>
                <w:rFonts w:ascii="Arial" w:hAnsi="Arial"/>
                <w:b w:val="0"/>
                <w:sz w:val="11"/>
              </w:rPr>
              <w:t>Minimization mentioned ≠ minimization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evidence minimization</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Minimization policies exist but no selective disclosure mechanisms or disclosure controls</w:t>
            </w:r>
          </w:p>
        </w:tc>
        <w:tc>
          <w:tcPr>
            <w:tcW w:type="dxa" w:w="2400"/>
            <w:vAlign w:val="top"/>
          </w:tcPr>
          <w:p>
            <w:pPr>
              <w:spacing w:after="0"/>
              <w:jc w:val="left"/>
            </w:pPr>
            <w:r>
              <w:rPr>
                <w:rFonts w:ascii="Arial" w:hAnsi="Arial"/>
                <w:b w:val="0"/>
                <w:sz w:val="11"/>
              </w:rPr>
              <w:t>Minimization policies ≠ selective disclosure or controls</w:t>
            </w:r>
          </w:p>
        </w:tc>
        <w:tc>
          <w:tcPr>
            <w:tcW w:type="dxa" w:w="2400"/>
            <w:vAlign w:val="top"/>
          </w:tcPr>
          <w:p>
            <w:pPr>
              <w:spacing w:after="0"/>
              <w:jc w:val="left"/>
            </w:pPr>
            <w:r>
              <w:rPr>
                <w:rFonts w:ascii="Arial" w:hAnsi="Arial"/>
                <w:b w:val="0"/>
                <w:sz w:val="11"/>
              </w:rPr>
              <w:t>Partial coverage; disclosure and control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evidence minimization</w:t>
            </w:r>
          </w:p>
        </w:tc>
        <w:tc>
          <w:tcPr>
            <w:tcW w:type="dxa" w:w="2400"/>
            <w:vAlign w:val="top"/>
          </w:tcPr>
          <w:p>
            <w:pPr>
              <w:spacing w:after="0"/>
              <w:jc w:val="left"/>
            </w:pPr>
            <w:r>
              <w:rPr>
                <w:rFonts w:ascii="Arial" w:hAnsi="Arial"/>
                <w:b w:val="0"/>
                <w:sz w:val="11"/>
              </w:rPr>
              <w:t>Product documentation with minimization policies and selective disclosure</w:t>
            </w:r>
          </w:p>
        </w:tc>
        <w:tc>
          <w:tcPr>
            <w:tcW w:type="dxa" w:w="2400"/>
            <w:vAlign w:val="top"/>
          </w:tcPr>
          <w:p>
            <w:pPr>
              <w:spacing w:after="0"/>
              <w:jc w:val="left"/>
            </w:pPr>
            <w:r>
              <w:rPr>
                <w:rFonts w:ascii="Arial" w:hAnsi="Arial"/>
                <w:b w:val="0"/>
                <w:sz w:val="11"/>
              </w:rPr>
              <w:t>Evidence minimization policies, selective disclosure mechanisms, basic disclosure controls</w:t>
            </w:r>
          </w:p>
        </w:tc>
        <w:tc>
          <w:tcPr>
            <w:tcW w:type="dxa" w:w="2400"/>
            <w:vAlign w:val="top"/>
          </w:tcPr>
          <w:p>
            <w:pPr>
              <w:spacing w:after="0"/>
              <w:jc w:val="left"/>
            </w:pPr>
            <w:r>
              <w:rPr>
                <w:rFonts w:ascii="Arial" w:hAnsi="Arial"/>
                <w:b w:val="0"/>
                <w:sz w:val="11"/>
              </w:rPr>
              <w:t>Disclosure controls ≠ minimization audit trails or retention enforcement</w:t>
            </w:r>
          </w:p>
        </w:tc>
        <w:tc>
          <w:tcPr>
            <w:tcW w:type="dxa" w:w="2400"/>
            <w:vAlign w:val="top"/>
          </w:tcPr>
          <w:p>
            <w:pPr>
              <w:spacing w:after="0"/>
              <w:jc w:val="left"/>
            </w:pPr>
            <w:r>
              <w:rPr>
                <w:rFonts w:ascii="Arial" w:hAnsi="Arial"/>
                <w:b w:val="0"/>
                <w:sz w:val="11"/>
              </w:rPr>
              <w:t>Moderate coverage; audit and retention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evidence minimization</w:t>
            </w:r>
          </w:p>
        </w:tc>
        <w:tc>
          <w:tcPr>
            <w:tcW w:type="dxa" w:w="2400"/>
            <w:vAlign w:val="top"/>
          </w:tcPr>
          <w:p>
            <w:pPr>
              <w:spacing w:after="0"/>
              <w:jc w:val="left"/>
            </w:pPr>
            <w:r>
              <w:rPr>
                <w:rFonts w:ascii="Arial" w:hAnsi="Arial"/>
                <w:b w:val="0"/>
                <w:sz w:val="11"/>
              </w:rPr>
              <w:t>Product documentation with minimization policies, disclosure, and controls</w:t>
            </w:r>
          </w:p>
        </w:tc>
        <w:tc>
          <w:tcPr>
            <w:tcW w:type="dxa" w:w="2400"/>
            <w:vAlign w:val="top"/>
          </w:tcPr>
          <w:p>
            <w:pPr>
              <w:spacing w:after="0"/>
              <w:jc w:val="left"/>
            </w:pPr>
            <w:r>
              <w:rPr>
                <w:rFonts w:ascii="Arial" w:hAnsi="Arial"/>
                <w:b w:val="0"/>
                <w:sz w:val="11"/>
              </w:rPr>
              <w:t>Evidence minimization policies, selective disclosure mechanisms, disclosure controls, minimization audit trails</w:t>
            </w:r>
          </w:p>
        </w:tc>
        <w:tc>
          <w:tcPr>
            <w:tcW w:type="dxa" w:w="2400"/>
            <w:vAlign w:val="top"/>
          </w:tcPr>
          <w:p>
            <w:pPr>
              <w:spacing w:after="0"/>
              <w:jc w:val="left"/>
            </w:pPr>
            <w:r>
              <w:rPr>
                <w:rFonts w:ascii="Arial" w:hAnsi="Arial"/>
                <w:b w:val="0"/>
                <w:sz w:val="11"/>
              </w:rPr>
              <w:t>Minimization audit trails ≠ retention enforcement or data subject rights integration</w:t>
            </w:r>
          </w:p>
        </w:tc>
        <w:tc>
          <w:tcPr>
            <w:tcW w:type="dxa" w:w="2400"/>
            <w:vAlign w:val="top"/>
          </w:tcPr>
          <w:p>
            <w:pPr>
              <w:spacing w:after="0"/>
              <w:jc w:val="left"/>
            </w:pPr>
            <w:r>
              <w:rPr>
                <w:rFonts w:ascii="Arial" w:hAnsi="Arial"/>
                <w:b w:val="0"/>
                <w:sz w:val="11"/>
              </w:rPr>
              <w:t>Strong coverage; retention and data subject rights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evidence minimization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GDPR Article 5 data minimization requirement;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ALCS-13: Data Subject Rights vs Evidence Retention</w:t>
      </w:r>
    </w:p>
    <w:p/>
    <w:p>
      <w:r>
        <w:t>Core question: Does the system provide primitives for balancing data subject rights (erasure, portability) with evidence retention requirements?</w:t>
      </w:r>
    </w:p>
    <w:p/>
    <w:p>
      <w:r>
        <w:t>What counts: Data subject rights workflows, evidence retention policies, rights-retention conflict resolution, conflict audit trails</w:t>
      </w:r>
    </w:p>
    <w:p/>
    <w:p>
      <w:r>
        <w:t>What does not count: General data subject rights, rights workflows without evidence retention integration, rights workflows without conflict resolution</w:t>
      </w:r>
    </w:p>
    <w:p/>
    <w:p>
      <w:pPr>
        <w:keepNext/>
      </w:pPr>
      <w:r>
        <w:rPr>
          <w:b/>
          <w:sz w:val="17"/>
        </w:rPr>
        <w:t>Table T-F-13: ALCS-13 Data Subject Rights vs Evidence Retention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data subject rights vs evidence retention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data subject rights workflows, no evidence retention policies, no conflict resolution</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data subject rights vs evidence retention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data subject rights vs evidence retention</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Data subject rights vs evidence retention mentioned in marketing docs but no implementation details</w:t>
            </w:r>
          </w:p>
        </w:tc>
        <w:tc>
          <w:tcPr>
            <w:tcW w:type="dxa" w:w="2400"/>
            <w:vAlign w:val="top"/>
          </w:tcPr>
          <w:p>
            <w:pPr>
              <w:spacing w:after="0"/>
              <w:jc w:val="left"/>
            </w:pPr>
            <w:r>
              <w:rPr>
                <w:rFonts w:ascii="Arial" w:hAnsi="Arial"/>
                <w:b w:val="0"/>
                <w:sz w:val="11"/>
              </w:rPr>
              <w:t>Rights-retention mentioned ≠ rights-retention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data subject rights vs evidence retention</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Data subject rights workflows exist but no evidence retention policies or conflict resolution</w:t>
            </w:r>
          </w:p>
        </w:tc>
        <w:tc>
          <w:tcPr>
            <w:tcW w:type="dxa" w:w="2400"/>
            <w:vAlign w:val="top"/>
          </w:tcPr>
          <w:p>
            <w:pPr>
              <w:spacing w:after="0"/>
              <w:jc w:val="left"/>
            </w:pPr>
            <w:r>
              <w:rPr>
                <w:rFonts w:ascii="Arial" w:hAnsi="Arial"/>
                <w:b w:val="0"/>
                <w:sz w:val="11"/>
              </w:rPr>
              <w:t>Rights workflows ≠ retention policies or conflict resolution</w:t>
            </w:r>
          </w:p>
        </w:tc>
        <w:tc>
          <w:tcPr>
            <w:tcW w:type="dxa" w:w="2400"/>
            <w:vAlign w:val="top"/>
          </w:tcPr>
          <w:p>
            <w:pPr>
              <w:spacing w:after="0"/>
              <w:jc w:val="left"/>
            </w:pPr>
            <w:r>
              <w:rPr>
                <w:rFonts w:ascii="Arial" w:hAnsi="Arial"/>
                <w:b w:val="0"/>
                <w:sz w:val="11"/>
              </w:rPr>
              <w:t>Partial coverage; retention and conflict resolution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data subject rights vs evidence retention</w:t>
            </w:r>
          </w:p>
        </w:tc>
        <w:tc>
          <w:tcPr>
            <w:tcW w:type="dxa" w:w="2400"/>
            <w:vAlign w:val="top"/>
          </w:tcPr>
          <w:p>
            <w:pPr>
              <w:spacing w:after="0"/>
              <w:jc w:val="left"/>
            </w:pPr>
            <w:r>
              <w:rPr>
                <w:rFonts w:ascii="Arial" w:hAnsi="Arial"/>
                <w:b w:val="0"/>
                <w:sz w:val="11"/>
              </w:rPr>
              <w:t>Product documentation with rights workflows and retention policies</w:t>
            </w:r>
          </w:p>
        </w:tc>
        <w:tc>
          <w:tcPr>
            <w:tcW w:type="dxa" w:w="2400"/>
            <w:vAlign w:val="top"/>
          </w:tcPr>
          <w:p>
            <w:pPr>
              <w:spacing w:after="0"/>
              <w:jc w:val="left"/>
            </w:pPr>
            <w:r>
              <w:rPr>
                <w:rFonts w:ascii="Arial" w:hAnsi="Arial"/>
                <w:b w:val="0"/>
                <w:sz w:val="11"/>
              </w:rPr>
              <w:t>Data subject rights workflows, evidence retention policies, basic rights-retention conflict resolution</w:t>
            </w:r>
          </w:p>
        </w:tc>
        <w:tc>
          <w:tcPr>
            <w:tcW w:type="dxa" w:w="2400"/>
            <w:vAlign w:val="top"/>
          </w:tcPr>
          <w:p>
            <w:pPr>
              <w:spacing w:after="0"/>
              <w:jc w:val="left"/>
            </w:pPr>
            <w:r>
              <w:rPr>
                <w:rFonts w:ascii="Arial" w:hAnsi="Arial"/>
                <w:b w:val="0"/>
                <w:sz w:val="11"/>
              </w:rPr>
              <w:t>Conflict resolution ≠ conflict audit trails or legal basis tracking</w:t>
            </w:r>
          </w:p>
        </w:tc>
        <w:tc>
          <w:tcPr>
            <w:tcW w:type="dxa" w:w="2400"/>
            <w:vAlign w:val="top"/>
          </w:tcPr>
          <w:p>
            <w:pPr>
              <w:spacing w:after="0"/>
              <w:jc w:val="left"/>
            </w:pPr>
            <w:r>
              <w:rPr>
                <w:rFonts w:ascii="Arial" w:hAnsi="Arial"/>
                <w:b w:val="0"/>
                <w:sz w:val="11"/>
              </w:rPr>
              <w:t>Moderate coverage; audit and legal basis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data subject rights vs evidence retention</w:t>
            </w:r>
          </w:p>
        </w:tc>
        <w:tc>
          <w:tcPr>
            <w:tcW w:type="dxa" w:w="2400"/>
            <w:vAlign w:val="top"/>
          </w:tcPr>
          <w:p>
            <w:pPr>
              <w:spacing w:after="0"/>
              <w:jc w:val="left"/>
            </w:pPr>
            <w:r>
              <w:rPr>
                <w:rFonts w:ascii="Arial" w:hAnsi="Arial"/>
                <w:b w:val="0"/>
                <w:sz w:val="11"/>
              </w:rPr>
              <w:t>Product documentation with rights workflows, retention policies, and conflict resolution</w:t>
            </w:r>
          </w:p>
        </w:tc>
        <w:tc>
          <w:tcPr>
            <w:tcW w:type="dxa" w:w="2400"/>
            <w:vAlign w:val="top"/>
          </w:tcPr>
          <w:p>
            <w:pPr>
              <w:spacing w:after="0"/>
              <w:jc w:val="left"/>
            </w:pPr>
            <w:r>
              <w:rPr>
                <w:rFonts w:ascii="Arial" w:hAnsi="Arial"/>
                <w:b w:val="0"/>
                <w:sz w:val="11"/>
              </w:rPr>
              <w:t>Data subject rights workflows, evidence retention policies, rights-retention conflict resolution, conflict audit trails</w:t>
            </w:r>
          </w:p>
        </w:tc>
        <w:tc>
          <w:tcPr>
            <w:tcW w:type="dxa" w:w="2400"/>
            <w:vAlign w:val="top"/>
          </w:tcPr>
          <w:p>
            <w:pPr>
              <w:spacing w:after="0"/>
              <w:jc w:val="left"/>
            </w:pPr>
            <w:r>
              <w:rPr>
                <w:rFonts w:ascii="Arial" w:hAnsi="Arial"/>
                <w:b w:val="0"/>
                <w:sz w:val="11"/>
              </w:rPr>
              <w:t>Conflict audit trails ≠ legal basis tracking or regulatory exemption tracking</w:t>
            </w:r>
          </w:p>
        </w:tc>
        <w:tc>
          <w:tcPr>
            <w:tcW w:type="dxa" w:w="2400"/>
            <w:vAlign w:val="top"/>
          </w:tcPr>
          <w:p>
            <w:pPr>
              <w:spacing w:after="0"/>
              <w:jc w:val="left"/>
            </w:pPr>
            <w:r>
              <w:rPr>
                <w:rFonts w:ascii="Arial" w:hAnsi="Arial"/>
                <w:b w:val="0"/>
                <w:sz w:val="11"/>
              </w:rPr>
              <w:t>Strong coverage; legal basis and exemption tracking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data subject rights vs evidence retention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GDPR Article 17 right to erasure with legal basis exemptions;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ALCS-14: Third-Party Processor/Subprocessor Chain</w:t>
      </w:r>
    </w:p>
    <w:p/>
    <w:p>
      <w:r>
        <w:t>Core question: Does the system provide primitives for tracking third-party processor and subprocessor chains in AI lifecycle workflows?</w:t>
      </w:r>
    </w:p>
    <w:p/>
    <w:p>
      <w:r>
        <w:t>What counts: Processor chain definitions, processor tracking, processor compliance validation, processor audit trails</w:t>
      </w:r>
    </w:p>
    <w:p/>
    <w:p>
      <w:r>
        <w:t>What does not count: General vendor management, processor tracking without compliance validation, processor tracking without lifecycle integration</w:t>
      </w:r>
    </w:p>
    <w:p/>
    <w:p>
      <w:pPr>
        <w:keepNext/>
      </w:pPr>
      <w:r>
        <w:rPr>
          <w:b/>
          <w:sz w:val="17"/>
        </w:rPr>
        <w:t>Table T-F-14: ALCS-14 Third-Party Processor/Subprocessor Chain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third-party processor chain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processor chain definitions, no processor tracking, no compliance validation</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third-party processor chain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third-party processor chain</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Third-party processor chain mentioned in marketing docs but no implementation details</w:t>
            </w:r>
          </w:p>
        </w:tc>
        <w:tc>
          <w:tcPr>
            <w:tcW w:type="dxa" w:w="2400"/>
            <w:vAlign w:val="top"/>
          </w:tcPr>
          <w:p>
            <w:pPr>
              <w:spacing w:after="0"/>
              <w:jc w:val="left"/>
            </w:pPr>
            <w:r>
              <w:rPr>
                <w:rFonts w:ascii="Arial" w:hAnsi="Arial"/>
                <w:b w:val="0"/>
                <w:sz w:val="11"/>
              </w:rPr>
              <w:t>Processor chain mentioned ≠ processor chain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third-party processor chain</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Processor chain definitions exist but no processor tracking or compliance validation</w:t>
            </w:r>
          </w:p>
        </w:tc>
        <w:tc>
          <w:tcPr>
            <w:tcW w:type="dxa" w:w="2400"/>
            <w:vAlign w:val="top"/>
          </w:tcPr>
          <w:p>
            <w:pPr>
              <w:spacing w:after="0"/>
              <w:jc w:val="left"/>
            </w:pPr>
            <w:r>
              <w:rPr>
                <w:rFonts w:ascii="Arial" w:hAnsi="Arial"/>
                <w:b w:val="0"/>
                <w:sz w:val="11"/>
              </w:rPr>
              <w:t>Processor definitions ≠ processor tracking or validation</w:t>
            </w:r>
          </w:p>
        </w:tc>
        <w:tc>
          <w:tcPr>
            <w:tcW w:type="dxa" w:w="2400"/>
            <w:vAlign w:val="top"/>
          </w:tcPr>
          <w:p>
            <w:pPr>
              <w:spacing w:after="0"/>
              <w:jc w:val="left"/>
            </w:pPr>
            <w:r>
              <w:rPr>
                <w:rFonts w:ascii="Arial" w:hAnsi="Arial"/>
                <w:b w:val="0"/>
                <w:sz w:val="11"/>
              </w:rPr>
              <w:t>Partial coverage; tracking and validation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third-party processor chain</w:t>
            </w:r>
          </w:p>
        </w:tc>
        <w:tc>
          <w:tcPr>
            <w:tcW w:type="dxa" w:w="2400"/>
            <w:vAlign w:val="top"/>
          </w:tcPr>
          <w:p>
            <w:pPr>
              <w:spacing w:after="0"/>
              <w:jc w:val="left"/>
            </w:pPr>
            <w:r>
              <w:rPr>
                <w:rFonts w:ascii="Arial" w:hAnsi="Arial"/>
                <w:b w:val="0"/>
                <w:sz w:val="11"/>
              </w:rPr>
              <w:t>Product documentation with processor definitions and tracking</w:t>
            </w:r>
          </w:p>
        </w:tc>
        <w:tc>
          <w:tcPr>
            <w:tcW w:type="dxa" w:w="2400"/>
            <w:vAlign w:val="top"/>
          </w:tcPr>
          <w:p>
            <w:pPr>
              <w:spacing w:after="0"/>
              <w:jc w:val="left"/>
            </w:pPr>
            <w:r>
              <w:rPr>
                <w:rFonts w:ascii="Arial" w:hAnsi="Arial"/>
                <w:b w:val="0"/>
                <w:sz w:val="11"/>
              </w:rPr>
              <w:t>Processor chain definitions, processor tracking, basic processor compliance validation</w:t>
            </w:r>
          </w:p>
        </w:tc>
        <w:tc>
          <w:tcPr>
            <w:tcW w:type="dxa" w:w="2400"/>
            <w:vAlign w:val="top"/>
          </w:tcPr>
          <w:p>
            <w:pPr>
              <w:spacing w:after="0"/>
              <w:jc w:val="left"/>
            </w:pPr>
            <w:r>
              <w:rPr>
                <w:rFonts w:ascii="Arial" w:hAnsi="Arial"/>
                <w:b w:val="0"/>
                <w:sz w:val="11"/>
              </w:rPr>
              <w:t>Compliance validation ≠ processor audit trails or subprocessor notification</w:t>
            </w:r>
          </w:p>
        </w:tc>
        <w:tc>
          <w:tcPr>
            <w:tcW w:type="dxa" w:w="2400"/>
            <w:vAlign w:val="top"/>
          </w:tcPr>
          <w:p>
            <w:pPr>
              <w:spacing w:after="0"/>
              <w:jc w:val="left"/>
            </w:pPr>
            <w:r>
              <w:rPr>
                <w:rFonts w:ascii="Arial" w:hAnsi="Arial"/>
                <w:b w:val="0"/>
                <w:sz w:val="11"/>
              </w:rPr>
              <w:t>Moderate coverage; audit and notification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third-party processor chain</w:t>
            </w:r>
          </w:p>
        </w:tc>
        <w:tc>
          <w:tcPr>
            <w:tcW w:type="dxa" w:w="2400"/>
            <w:vAlign w:val="top"/>
          </w:tcPr>
          <w:p>
            <w:pPr>
              <w:spacing w:after="0"/>
              <w:jc w:val="left"/>
            </w:pPr>
            <w:r>
              <w:rPr>
                <w:rFonts w:ascii="Arial" w:hAnsi="Arial"/>
                <w:b w:val="0"/>
                <w:sz w:val="11"/>
              </w:rPr>
              <w:t>Product documentation with processor definitions, tracking, and validation</w:t>
            </w:r>
          </w:p>
        </w:tc>
        <w:tc>
          <w:tcPr>
            <w:tcW w:type="dxa" w:w="2400"/>
            <w:vAlign w:val="top"/>
          </w:tcPr>
          <w:p>
            <w:pPr>
              <w:spacing w:after="0"/>
              <w:jc w:val="left"/>
            </w:pPr>
            <w:r>
              <w:rPr>
                <w:rFonts w:ascii="Arial" w:hAnsi="Arial"/>
                <w:b w:val="0"/>
                <w:sz w:val="11"/>
              </w:rPr>
              <w:t>Processor chain definitions, processor tracking, processor compliance validation, processor audit trails</w:t>
            </w:r>
          </w:p>
        </w:tc>
        <w:tc>
          <w:tcPr>
            <w:tcW w:type="dxa" w:w="2400"/>
            <w:vAlign w:val="top"/>
          </w:tcPr>
          <w:p>
            <w:pPr>
              <w:spacing w:after="0"/>
              <w:jc w:val="left"/>
            </w:pPr>
            <w:r>
              <w:rPr>
                <w:rFonts w:ascii="Arial" w:hAnsi="Arial"/>
                <w:b w:val="0"/>
                <w:sz w:val="11"/>
              </w:rPr>
              <w:t>Processor audit trails ≠ subprocessor notification or data transfer impact assessment</w:t>
            </w:r>
          </w:p>
        </w:tc>
        <w:tc>
          <w:tcPr>
            <w:tcW w:type="dxa" w:w="2400"/>
            <w:vAlign w:val="top"/>
          </w:tcPr>
          <w:p>
            <w:pPr>
              <w:spacing w:after="0"/>
              <w:jc w:val="left"/>
            </w:pPr>
            <w:r>
              <w:rPr>
                <w:rFonts w:ascii="Arial" w:hAnsi="Arial"/>
                <w:b w:val="0"/>
                <w:sz w:val="11"/>
              </w:rPr>
              <w:t>Strong coverage; notification and impact assessment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third-party processor chain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GDPR Article 28 processor requirements with subprocessor chain tracking;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ALCS-15: Vendor/Model/Runtime Substitution Conformance</w:t>
      </w:r>
    </w:p>
    <w:p/>
    <w:p>
      <w:r>
        <w:t>Core question: Does the system provide primitives for ensuring conformance when substituting vendors, models, or runtimes?</w:t>
      </w:r>
    </w:p>
    <w:p/>
    <w:p>
      <w:r>
        <w:t>What counts: Substitution conformance definitions, substitution tracking, substitution validation, substitution audit trails</w:t>
      </w:r>
    </w:p>
    <w:p/>
    <w:p>
      <w:r>
        <w:t>What does not count: General configuration management, substitution tracking without conformance validation, substitution tracking without lifecycle integration</w:t>
      </w:r>
    </w:p>
    <w:p/>
    <w:p>
      <w:pPr>
        <w:keepNext/>
      </w:pPr>
      <w:r>
        <w:rPr>
          <w:b/>
          <w:sz w:val="17"/>
        </w:rPr>
        <w:t>Table T-F-15: ALCS-15 Vendor/Model/Runtime Substitution Conformance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Score</w:t>
            </w:r>
          </w:p>
        </w:tc>
        <w:tc>
          <w:tcPr>
            <w:tcW w:type="dxa" w:w="2400"/>
            <w:vAlign w:val="top"/>
            <w:shd w:fill="D9EAF7"/>
            <w:textDirection w:val="lrTb"/>
          </w:tcPr>
          <w:p>
            <w:pPr>
              <w:spacing w:after="0"/>
              <w:jc w:val="left"/>
            </w:pPr>
            <w:r>
              <w:rPr>
                <w:rFonts w:ascii="Arial" w:hAnsi="Arial"/>
                <w:b/>
                <w:sz w:val="11"/>
              </w:rPr>
              <w:t>Capability Level</w:t>
            </w:r>
          </w:p>
        </w:tc>
        <w:tc>
          <w:tcPr>
            <w:tcW w:type="dxa" w:w="2400"/>
            <w:vAlign w:val="top"/>
            <w:shd w:fill="D9EAF7"/>
            <w:textDirection w:val="lrTb"/>
          </w:tcPr>
          <w:p>
            <w:pPr>
              <w:spacing w:after="0"/>
              <w:jc w:val="left"/>
            </w:pPr>
            <w:r>
              <w:rPr>
                <w:rFonts w:ascii="Arial" w:hAnsi="Arial"/>
                <w:b/>
                <w:sz w:val="11"/>
              </w:rPr>
              <w:t>Required Evidence</w:t>
            </w:r>
          </w:p>
        </w:tc>
        <w:tc>
          <w:tcPr>
            <w:tcW w:type="dxa" w:w="2400"/>
            <w:vAlign w:val="top"/>
            <w:shd w:fill="D9EAF7"/>
          </w:tcPr>
          <w:p>
            <w:pPr>
              <w:spacing w:after="0"/>
              <w:jc w:val="left"/>
            </w:pPr>
            <w:r>
              <w:rPr>
                <w:rFonts w:ascii="Arial" w:hAnsi="Arial"/>
                <w:b/>
                <w:sz w:val="11"/>
              </w:rPr>
              <w:t>Example Evidence Artifact</w:t>
            </w:r>
          </w:p>
        </w:tc>
        <w:tc>
          <w:tcPr>
            <w:tcW w:type="dxa" w:w="2400"/>
            <w:vAlign w:val="top"/>
            <w:shd w:fill="D9EAF7"/>
            <w:textDirection w:val="lrTb"/>
          </w:tcPr>
          <w:p>
            <w:pPr>
              <w:spacing w:after="0"/>
              <w:jc w:val="left"/>
            </w:pPr>
            <w:r>
              <w:rPr>
                <w:rFonts w:ascii="Arial" w:hAnsi="Arial"/>
                <w:b/>
                <w:sz w:val="11"/>
              </w:rPr>
              <w:t>Negative Control</w:t>
            </w:r>
          </w:p>
        </w:tc>
        <w:tc>
          <w:tcPr>
            <w:tcW w:type="dxa" w:w="2400"/>
            <w:vAlign w:val="top"/>
            <w:shd w:fill="D9EAF7"/>
            <w:textDirection w:val="lrTb"/>
          </w:tcPr>
          <w:p>
            <w:pPr>
              <w:spacing w:after="0"/>
              <w:jc w:val="left"/>
            </w:pPr>
            <w:r>
              <w:rPr>
                <w:rFonts w:ascii="Arial" w:hAnsi="Arial"/>
                <w:b/>
                <w:sz w:val="11"/>
              </w:rPr>
              <w:t>Boundary Note</w:t>
            </w:r>
          </w:p>
        </w:tc>
      </w:tr>
      <w:tr>
        <w:trPr>
          <w:cantSplit/>
        </w:trPr>
        <w:tc>
          <w:tcPr>
            <w:tcW w:type="dxa" w:w="2400"/>
            <w:vAlign w:val="top"/>
          </w:tcPr>
          <w:p>
            <w:pPr>
              <w:spacing w:after="0"/>
              <w:jc w:val="left"/>
            </w:pPr>
            <w:r>
              <w:rPr>
                <w:rFonts w:ascii="Arial" w:hAnsi="Arial"/>
                <w:b w:val="0"/>
                <w:sz w:val="11"/>
              </w:rPr>
              <w:t>0</w:t>
            </w:r>
          </w:p>
        </w:tc>
        <w:tc>
          <w:tcPr>
            <w:tcW w:type="dxa" w:w="2400"/>
            <w:vAlign w:val="top"/>
          </w:tcPr>
          <w:p>
            <w:pPr>
              <w:spacing w:after="0"/>
              <w:jc w:val="left"/>
            </w:pPr>
            <w:r>
              <w:rPr>
                <w:rFonts w:ascii="Arial" w:hAnsi="Arial"/>
                <w:b w:val="0"/>
                <w:sz w:val="11"/>
              </w:rPr>
              <w:t>No vendor/model/runtime substitution conformance capability</w:t>
            </w:r>
          </w:p>
        </w:tc>
        <w:tc>
          <w:tcPr>
            <w:tcW w:type="dxa" w:w="2400"/>
            <w:vAlign w:val="top"/>
          </w:tcPr>
          <w:p>
            <w:pPr>
              <w:spacing w:after="0"/>
              <w:jc w:val="left"/>
            </w:pPr>
            <w:r>
              <w:rPr>
                <w:rFonts w:ascii="Arial" w:hAnsi="Arial"/>
                <w:b w:val="0"/>
                <w:sz w:val="11"/>
              </w:rPr>
              <w:t>None</w:t>
            </w:r>
          </w:p>
        </w:tc>
        <w:tc>
          <w:tcPr>
            <w:tcW w:type="dxa" w:w="2400"/>
            <w:vAlign w:val="top"/>
          </w:tcPr>
          <w:p>
            <w:pPr>
              <w:spacing w:after="0"/>
              <w:jc w:val="left"/>
            </w:pPr>
            <w:r>
              <w:rPr>
                <w:rFonts w:ascii="Arial" w:hAnsi="Arial"/>
                <w:b w:val="0"/>
                <w:sz w:val="11"/>
              </w:rPr>
              <w:t>No substitution conformance definitions, no substitution tracking, no substitution validation</w:t>
            </w:r>
          </w:p>
        </w:tc>
        <w:tc>
          <w:tcPr>
            <w:tcW w:type="dxa" w:w="2400"/>
            <w:vAlign w:val="top"/>
          </w:tcPr>
          <w:p>
            <w:pPr>
              <w:spacing w:after="0"/>
              <w:jc w:val="left"/>
            </w:pPr>
            <w:r>
              <w:rPr>
                <w:rFonts w:ascii="Arial" w:hAnsi="Arial"/>
                <w:b w:val="0"/>
                <w:sz w:val="11"/>
              </w:rPr>
              <w:t>N/A</w:t>
            </w:r>
          </w:p>
        </w:tc>
        <w:tc>
          <w:tcPr>
            <w:tcW w:type="dxa" w:w="2400"/>
            <w:vAlign w:val="top"/>
          </w:tcPr>
          <w:p>
            <w:pPr>
              <w:spacing w:after="0"/>
              <w:jc w:val="left"/>
            </w:pPr>
            <w:r>
              <w:rPr>
                <w:rFonts w:ascii="Arial" w:hAnsi="Arial"/>
                <w:b w:val="0"/>
                <w:sz w:val="11"/>
              </w:rPr>
              <w:t>Absence of vendor/model/runtime substitution conformance primitives</w:t>
            </w:r>
          </w:p>
        </w:tc>
      </w:tr>
      <w:tr>
        <w:trPr>
          <w:cantSplit/>
        </w:trPr>
        <w:tc>
          <w:tcPr>
            <w:tcW w:type="dxa" w:w="2400"/>
            <w:vAlign w:val="top"/>
          </w:tcPr>
          <w:p>
            <w:pPr>
              <w:spacing w:after="0"/>
              <w:jc w:val="left"/>
            </w:pPr>
            <w:r>
              <w:rPr>
                <w:rFonts w:ascii="Arial" w:hAnsi="Arial"/>
                <w:b w:val="0"/>
                <w:sz w:val="11"/>
              </w:rPr>
              <w:t>1</w:t>
            </w:r>
          </w:p>
        </w:tc>
        <w:tc>
          <w:tcPr>
            <w:tcW w:type="dxa" w:w="2400"/>
            <w:vAlign w:val="top"/>
          </w:tcPr>
          <w:p>
            <w:pPr>
              <w:spacing w:after="0"/>
              <w:jc w:val="left"/>
            </w:pPr>
            <w:r>
              <w:rPr>
                <w:rFonts w:ascii="Arial" w:hAnsi="Arial"/>
                <w:b w:val="0"/>
                <w:sz w:val="11"/>
              </w:rPr>
              <w:t>Minimal vendor/model/runtime substitution conformance</w:t>
            </w:r>
          </w:p>
        </w:tc>
        <w:tc>
          <w:tcPr>
            <w:tcW w:type="dxa" w:w="2400"/>
            <w:vAlign w:val="top"/>
          </w:tcPr>
          <w:p>
            <w:pPr>
              <w:spacing w:after="0"/>
              <w:jc w:val="left"/>
            </w:pPr>
            <w:r>
              <w:rPr>
                <w:rFonts w:ascii="Arial" w:hAnsi="Arial"/>
                <w:b w:val="0"/>
                <w:sz w:val="11"/>
              </w:rPr>
              <w:t>Vendor claim or marketing material</w:t>
            </w:r>
          </w:p>
        </w:tc>
        <w:tc>
          <w:tcPr>
            <w:tcW w:type="dxa" w:w="2400"/>
            <w:vAlign w:val="top"/>
          </w:tcPr>
          <w:p>
            <w:pPr>
              <w:spacing w:after="0"/>
              <w:jc w:val="left"/>
            </w:pPr>
            <w:r>
              <w:rPr>
                <w:rFonts w:ascii="Arial" w:hAnsi="Arial"/>
                <w:b w:val="0"/>
                <w:sz w:val="11"/>
              </w:rPr>
              <w:t>Substitution conformance mentioned in marketing docs but no implementation details</w:t>
            </w:r>
          </w:p>
        </w:tc>
        <w:tc>
          <w:tcPr>
            <w:tcW w:type="dxa" w:w="2400"/>
            <w:vAlign w:val="top"/>
          </w:tcPr>
          <w:p>
            <w:pPr>
              <w:spacing w:after="0"/>
              <w:jc w:val="left"/>
            </w:pPr>
            <w:r>
              <w:rPr>
                <w:rFonts w:ascii="Arial" w:hAnsi="Arial"/>
                <w:b w:val="0"/>
                <w:sz w:val="11"/>
              </w:rPr>
              <w:t>Substitution mentioned ≠ substitution implemented</w:t>
            </w:r>
          </w:p>
        </w:tc>
        <w:tc>
          <w:tcPr>
            <w:tcW w:type="dxa" w:w="2400"/>
            <w:vAlign w:val="top"/>
          </w:tcPr>
          <w:p>
            <w:pPr>
              <w:spacing w:after="0"/>
              <w:jc w:val="left"/>
            </w:pPr>
            <w:r>
              <w:rPr>
                <w:rFonts w:ascii="Arial" w:hAnsi="Arial"/>
                <w:b w:val="0"/>
                <w:sz w:val="11"/>
              </w:rPr>
              <w:t>Vendor claim requires validation</w:t>
            </w:r>
          </w:p>
        </w:tc>
      </w:tr>
      <w:tr>
        <w:trPr>
          <w:cantSplit/>
        </w:trPr>
        <w:tc>
          <w:tcPr>
            <w:tcW w:type="dxa" w:w="2400"/>
            <w:vAlign w:val="top"/>
          </w:tcPr>
          <w:p>
            <w:pPr>
              <w:spacing w:after="0"/>
              <w:jc w:val="left"/>
            </w:pPr>
            <w:r>
              <w:rPr>
                <w:rFonts w:ascii="Arial" w:hAnsi="Arial"/>
                <w:b w:val="0"/>
                <w:sz w:val="11"/>
              </w:rPr>
              <w:t>2</w:t>
            </w:r>
          </w:p>
        </w:tc>
        <w:tc>
          <w:tcPr>
            <w:tcW w:type="dxa" w:w="2400"/>
            <w:vAlign w:val="top"/>
          </w:tcPr>
          <w:p>
            <w:pPr>
              <w:spacing w:after="0"/>
              <w:jc w:val="left"/>
            </w:pPr>
            <w:r>
              <w:rPr>
                <w:rFonts w:ascii="Arial" w:hAnsi="Arial"/>
                <w:b w:val="0"/>
                <w:sz w:val="11"/>
              </w:rPr>
              <w:t>Partial vendor/model/runtime substitution conformance</w:t>
            </w:r>
          </w:p>
        </w:tc>
        <w:tc>
          <w:tcPr>
            <w:tcW w:type="dxa" w:w="2400"/>
            <w:vAlign w:val="top"/>
          </w:tcPr>
          <w:p>
            <w:pPr>
              <w:spacing w:after="0"/>
              <w:jc w:val="left"/>
            </w:pPr>
            <w:r>
              <w:rPr>
                <w:rFonts w:ascii="Arial" w:hAnsi="Arial"/>
                <w:b w:val="0"/>
                <w:sz w:val="11"/>
              </w:rPr>
              <w:t>Product documentation with partial coverage</w:t>
            </w:r>
          </w:p>
        </w:tc>
        <w:tc>
          <w:tcPr>
            <w:tcW w:type="dxa" w:w="2400"/>
            <w:vAlign w:val="top"/>
          </w:tcPr>
          <w:p>
            <w:pPr>
              <w:spacing w:after="0"/>
              <w:jc w:val="left"/>
            </w:pPr>
            <w:r>
              <w:rPr>
                <w:rFonts w:ascii="Arial" w:hAnsi="Arial"/>
                <w:b w:val="0"/>
                <w:sz w:val="11"/>
              </w:rPr>
              <w:t>Substitution conformance definitions exist but no substitution tracking or substitution validation</w:t>
            </w:r>
          </w:p>
        </w:tc>
        <w:tc>
          <w:tcPr>
            <w:tcW w:type="dxa" w:w="2400"/>
            <w:vAlign w:val="top"/>
          </w:tcPr>
          <w:p>
            <w:pPr>
              <w:spacing w:after="0"/>
              <w:jc w:val="left"/>
            </w:pPr>
            <w:r>
              <w:rPr>
                <w:rFonts w:ascii="Arial" w:hAnsi="Arial"/>
                <w:b w:val="0"/>
                <w:sz w:val="11"/>
              </w:rPr>
              <w:t>Substitution definitions ≠ substitution tracking or validation</w:t>
            </w:r>
          </w:p>
        </w:tc>
        <w:tc>
          <w:tcPr>
            <w:tcW w:type="dxa" w:w="2400"/>
            <w:vAlign w:val="top"/>
          </w:tcPr>
          <w:p>
            <w:pPr>
              <w:spacing w:after="0"/>
              <w:jc w:val="left"/>
            </w:pPr>
            <w:r>
              <w:rPr>
                <w:rFonts w:ascii="Arial" w:hAnsi="Arial"/>
                <w:b w:val="0"/>
                <w:sz w:val="11"/>
              </w:rPr>
              <w:t>Partial coverage; tracking and validation gaps exist</w:t>
            </w:r>
          </w:p>
        </w:tc>
      </w:tr>
      <w:tr>
        <w:trPr>
          <w:cantSplit/>
        </w:trPr>
        <w:tc>
          <w:tcPr>
            <w:tcW w:type="dxa" w:w="2400"/>
            <w:vAlign w:val="top"/>
          </w:tcPr>
          <w:p>
            <w:pPr>
              <w:spacing w:after="0"/>
              <w:jc w:val="left"/>
            </w:pPr>
            <w:r>
              <w:rPr>
                <w:rFonts w:ascii="Arial" w:hAnsi="Arial"/>
                <w:b w:val="0"/>
                <w:sz w:val="11"/>
              </w:rPr>
              <w:t>3</w:t>
            </w:r>
          </w:p>
        </w:tc>
        <w:tc>
          <w:tcPr>
            <w:tcW w:type="dxa" w:w="2400"/>
            <w:vAlign w:val="top"/>
          </w:tcPr>
          <w:p>
            <w:pPr>
              <w:spacing w:after="0"/>
              <w:jc w:val="left"/>
            </w:pPr>
            <w:r>
              <w:rPr>
                <w:rFonts w:ascii="Arial" w:hAnsi="Arial"/>
                <w:b w:val="0"/>
                <w:sz w:val="11"/>
              </w:rPr>
              <w:t>Moderate vendor/model/runtime substitution conformance</w:t>
            </w:r>
          </w:p>
        </w:tc>
        <w:tc>
          <w:tcPr>
            <w:tcW w:type="dxa" w:w="2400"/>
            <w:vAlign w:val="top"/>
          </w:tcPr>
          <w:p>
            <w:pPr>
              <w:spacing w:after="0"/>
              <w:jc w:val="left"/>
            </w:pPr>
            <w:r>
              <w:rPr>
                <w:rFonts w:ascii="Arial" w:hAnsi="Arial"/>
                <w:b w:val="0"/>
                <w:sz w:val="11"/>
              </w:rPr>
              <w:t>Product documentation with substitution definitions and tracking</w:t>
            </w:r>
          </w:p>
        </w:tc>
        <w:tc>
          <w:tcPr>
            <w:tcW w:type="dxa" w:w="2400"/>
            <w:vAlign w:val="top"/>
          </w:tcPr>
          <w:p>
            <w:pPr>
              <w:spacing w:after="0"/>
              <w:jc w:val="left"/>
            </w:pPr>
            <w:r>
              <w:rPr>
                <w:rFonts w:ascii="Arial" w:hAnsi="Arial"/>
                <w:b w:val="0"/>
                <w:sz w:val="11"/>
              </w:rPr>
              <w:t>Substitution conformance definitions, substitution tracking, basic substitution validation</w:t>
            </w:r>
          </w:p>
        </w:tc>
        <w:tc>
          <w:tcPr>
            <w:tcW w:type="dxa" w:w="2400"/>
            <w:vAlign w:val="top"/>
          </w:tcPr>
          <w:p>
            <w:pPr>
              <w:spacing w:after="0"/>
              <w:jc w:val="left"/>
            </w:pPr>
            <w:r>
              <w:rPr>
                <w:rFonts w:ascii="Arial" w:hAnsi="Arial"/>
                <w:b w:val="0"/>
                <w:sz w:val="11"/>
              </w:rPr>
              <w:t>Substitution validation ≠ substitution audit trails or cross-project reuse compliance</w:t>
            </w:r>
          </w:p>
        </w:tc>
        <w:tc>
          <w:tcPr>
            <w:tcW w:type="dxa" w:w="2400"/>
            <w:vAlign w:val="top"/>
          </w:tcPr>
          <w:p>
            <w:pPr>
              <w:spacing w:after="0"/>
              <w:jc w:val="left"/>
            </w:pPr>
            <w:r>
              <w:rPr>
                <w:rFonts w:ascii="Arial" w:hAnsi="Arial"/>
                <w:b w:val="0"/>
                <w:sz w:val="11"/>
              </w:rPr>
              <w:t>Moderate coverage; audit and reuse compliance gaps exist</w:t>
            </w:r>
          </w:p>
        </w:tc>
      </w:tr>
      <w:tr>
        <w:trPr>
          <w:cantSplit/>
        </w:trPr>
        <w:tc>
          <w:tcPr>
            <w:tcW w:type="dxa" w:w="2400"/>
            <w:vAlign w:val="top"/>
          </w:tcPr>
          <w:p>
            <w:pPr>
              <w:spacing w:after="0"/>
              <w:jc w:val="left"/>
            </w:pPr>
            <w:r>
              <w:rPr>
                <w:rFonts w:ascii="Arial" w:hAnsi="Arial"/>
                <w:b w:val="0"/>
                <w:sz w:val="11"/>
              </w:rPr>
              <w:t>4</w:t>
            </w:r>
          </w:p>
        </w:tc>
        <w:tc>
          <w:tcPr>
            <w:tcW w:type="dxa" w:w="2400"/>
            <w:vAlign w:val="top"/>
          </w:tcPr>
          <w:p>
            <w:pPr>
              <w:spacing w:after="0"/>
              <w:jc w:val="left"/>
            </w:pPr>
            <w:r>
              <w:rPr>
                <w:rFonts w:ascii="Arial" w:hAnsi="Arial"/>
                <w:b w:val="0"/>
                <w:sz w:val="11"/>
              </w:rPr>
              <w:t>Strong vendor/model/runtime substitution conformance</w:t>
            </w:r>
          </w:p>
        </w:tc>
        <w:tc>
          <w:tcPr>
            <w:tcW w:type="dxa" w:w="2400"/>
            <w:vAlign w:val="top"/>
          </w:tcPr>
          <w:p>
            <w:pPr>
              <w:spacing w:after="0"/>
              <w:jc w:val="left"/>
            </w:pPr>
            <w:r>
              <w:rPr>
                <w:rFonts w:ascii="Arial" w:hAnsi="Arial"/>
                <w:b w:val="0"/>
                <w:sz w:val="11"/>
              </w:rPr>
              <w:t>Product documentation with substitution definitions, tracking, and validation</w:t>
            </w:r>
          </w:p>
        </w:tc>
        <w:tc>
          <w:tcPr>
            <w:tcW w:type="dxa" w:w="2400"/>
            <w:vAlign w:val="top"/>
          </w:tcPr>
          <w:p>
            <w:pPr>
              <w:spacing w:after="0"/>
              <w:jc w:val="left"/>
            </w:pPr>
            <w:r>
              <w:rPr>
                <w:rFonts w:ascii="Arial" w:hAnsi="Arial"/>
                <w:b w:val="0"/>
                <w:sz w:val="11"/>
              </w:rPr>
              <w:t>Substitution conformance definitions, substitution tracking, substitution validation, substitution audit trails</w:t>
            </w:r>
          </w:p>
        </w:tc>
        <w:tc>
          <w:tcPr>
            <w:tcW w:type="dxa" w:w="2400"/>
            <w:vAlign w:val="top"/>
          </w:tcPr>
          <w:p>
            <w:pPr>
              <w:spacing w:after="0"/>
              <w:jc w:val="left"/>
            </w:pPr>
            <w:r>
              <w:rPr>
                <w:rFonts w:ascii="Arial" w:hAnsi="Arial"/>
                <w:b w:val="0"/>
                <w:sz w:val="11"/>
              </w:rPr>
              <w:t>Substitution audit trails ≠ cross-project reuse compliance or evidence re-partitioning</w:t>
            </w:r>
          </w:p>
        </w:tc>
        <w:tc>
          <w:tcPr>
            <w:tcW w:type="dxa" w:w="2400"/>
            <w:vAlign w:val="top"/>
          </w:tcPr>
          <w:p>
            <w:pPr>
              <w:spacing w:after="0"/>
              <w:jc w:val="left"/>
            </w:pPr>
            <w:r>
              <w:rPr>
                <w:rFonts w:ascii="Arial" w:hAnsi="Arial"/>
                <w:b w:val="0"/>
                <w:sz w:val="11"/>
              </w:rPr>
              <w:t>Strong coverage; reuse compliance and re-partitioning gaps may exist</w:t>
            </w:r>
          </w:p>
        </w:tc>
      </w:tr>
      <w:tr>
        <w:trPr>
          <w:cantSplit/>
        </w:trPr>
        <w:tc>
          <w:tcPr>
            <w:tcW w:type="dxa" w:w="2400"/>
            <w:vAlign w:val="top"/>
          </w:tcPr>
          <w:p>
            <w:pPr>
              <w:spacing w:after="0"/>
              <w:jc w:val="left"/>
            </w:pPr>
            <w:r>
              <w:rPr>
                <w:rFonts w:ascii="Arial" w:hAnsi="Arial"/>
                <w:b w:val="0"/>
                <w:sz w:val="11"/>
              </w:rPr>
              <w:t>5</w:t>
            </w:r>
          </w:p>
        </w:tc>
        <w:tc>
          <w:tcPr>
            <w:tcW w:type="dxa" w:w="2400"/>
            <w:vAlign w:val="top"/>
          </w:tcPr>
          <w:p>
            <w:pPr>
              <w:spacing w:after="0"/>
              <w:jc w:val="left"/>
            </w:pPr>
            <w:r>
              <w:rPr>
                <w:rFonts w:ascii="Arial" w:hAnsi="Arial"/>
                <w:b w:val="0"/>
                <w:sz w:val="11"/>
              </w:rPr>
              <w:t>Complete vendor/model/runtime substitution conformance demonstrated by implementation evidence</w:t>
            </w:r>
          </w:p>
        </w:tc>
        <w:tc>
          <w:tcPr>
            <w:tcW w:type="dxa" w:w="2400"/>
            <w:vAlign w:val="top"/>
          </w:tcPr>
          <w:p>
            <w:pPr>
              <w:spacing w:after="0"/>
              <w:jc w:val="left"/>
            </w:pPr>
            <w:r>
              <w:rPr>
                <w:rFonts w:ascii="Arial" w:hAnsi="Arial"/>
                <w:b w:val="0"/>
                <w:sz w:val="11"/>
              </w:rPr>
              <w:t>Implementation evidence, formal audit evidence, protocol-level evidence, or validated operational artifacts</w:t>
            </w:r>
          </w:p>
        </w:tc>
        <w:tc>
          <w:tcPr>
            <w:tcW w:type="dxa" w:w="2400"/>
            <w:vAlign w:val="top"/>
          </w:tcPr>
          <w:p>
            <w:pPr>
              <w:spacing w:after="0"/>
              <w:jc w:val="left"/>
            </w:pPr>
            <w:r>
              <w:rPr>
                <w:rFonts w:ascii="Arial" w:hAnsi="Arial"/>
                <w:b w:val="0"/>
                <w:sz w:val="11"/>
              </w:rPr>
              <w:t>EU AI Act Article 43 conformity assessment with substitution requirements; implementation validated by audit or operational evidence</w:t>
            </w:r>
          </w:p>
        </w:tc>
        <w:tc>
          <w:tcPr>
            <w:tcW w:type="dxa" w:w="2400"/>
            <w:vAlign w:val="top"/>
          </w:tcPr>
          <w:p>
            <w:pPr>
              <w:spacing w:after="0"/>
              <w:jc w:val="left"/>
            </w:pPr>
            <w:r>
              <w:rPr>
                <w:rFonts w:ascii="Arial" w:hAnsi="Arial"/>
                <w:b w:val="0"/>
                <w:sz w:val="11"/>
              </w:rPr>
              <w:t>Legal text may establish regulatory baseline but does not prove ALCS implementation</w:t>
            </w:r>
          </w:p>
        </w:tc>
        <w:tc>
          <w:tcPr>
            <w:tcW w:type="dxa" w:w="2400"/>
            <w:vAlign w:val="top"/>
          </w:tcPr>
          <w:p>
            <w:pPr>
              <w:spacing w:after="0"/>
              <w:jc w:val="left"/>
            </w:pPr>
            <w:r>
              <w:rPr>
                <w:rFonts w:ascii="Arial" w:hAnsi="Arial"/>
                <w:b w:val="0"/>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2"/>
      </w:pPr>
      <w:r>
        <w:t>F.3 ALCS Evidence Requirements</w:t>
      </w:r>
    </w:p>
    <w:p/>
    <w:p>
      <w:r>
        <w:t>Evidence hierarchy:</w:t>
      </w:r>
    </w:p>
    <w:p/>
    <w:p>
      <w:pPr>
        <w:pStyle w:val="ListBullet"/>
      </w:pPr>
      <w:r>
        <w:t>L1 (Binding Legal Text): EU AI Act, GDPR, Colorado AI Act, formal standards (NIST AI RMF, ISO/IEC 42001)</w:t>
      </w:r>
    </w:p>
    <w:p>
      <w:pPr>
        <w:pStyle w:val="ListBullet"/>
      </w:pPr>
      <w:r>
        <w:t>L2 (Product Docs): Official product documentation, protocol specifications, GitHub repositories</w:t>
      </w:r>
    </w:p>
    <w:p>
      <w:pPr>
        <w:pStyle w:val="ListBullet"/>
      </w:pPr>
      <w:r>
        <w:t>L3 (Audit Report): Third-party audit reports, academic papers, industry reports</w:t>
      </w:r>
    </w:p>
    <w:p>
      <w:pPr>
        <w:pStyle w:val="ListBullet"/>
      </w:pPr>
      <w:r>
        <w:t>L4 (Vendor Claim): Vendor claims, marketing materials, blog posts</w:t>
      </w:r>
    </w:p>
    <w:p>
      <w:pPr>
        <w:pStyle w:val="ListBullet"/>
      </w:pPr>
      <w:r>
        <w:t>L5 (Author Inference): Author inference, analytical framework, logical derivation</w:t>
      </w:r>
    </w:p>
    <w:p/>
    <w:p>
      <w:r>
        <w:t>Evidence multiplier application:</w:t>
      </w:r>
    </w:p>
    <w:p/>
    <w:p>
      <w:pPr>
        <w:spacing w:before="60" w:after="100"/>
        <w:ind w:left="259"/>
      </w:pPr>
      <w:r>
        <w:rPr>
          <w:rFonts w:ascii="Courier New" w:hAnsi="Courier New"/>
          <w:sz w:val="15"/>
        </w:rPr>
        <w:t>Dimension Score = (Raw Score / 5) × 100 × Evidence Confidence Multiplier</w:t>
        <w:br/>
        <w:br/>
        <w:t>Where:</w:t>
        <w:br/>
        <w:t>Raw Score = 0-5 based on capability assessment</w:t>
        <w:br/>
        <w:t>Evidence Confidence Multiplier = L1=1.00, L2=0.85, L3=0.75, L4=0.55, L5=0.35</w:t>
      </w:r>
    </w:p>
    <w:p/>
    <w:p>
      <w:r>
        <w:t>Example:</w:t>
      </w:r>
    </w:p>
    <w:p/>
    <w:p>
      <w:pPr>
        <w:spacing w:before="60" w:after="100"/>
        <w:ind w:left="259"/>
      </w:pPr>
      <w:r>
        <w:rPr>
          <w:rFonts w:ascii="Courier New" w:hAnsi="Courier New"/>
          <w:sz w:val="15"/>
        </w:rPr>
        <w:t>ALCS-01 Human-Role-to-MAS Responsibility Mapping</w:t>
        <w:br/>
        <w:t>Raw Score: 3 (Moderate capability)</w:t>
        <w:br/>
        <w:t>Evidence Level: L2 (Product documentation)</w:t>
        <w:br/>
        <w:t>Evidence Multiplier: 0.85</w:t>
        <w:br/>
        <w:t>Dimension Score: (3/5) × 100 × 0.85 = 51.0</w:t>
      </w:r>
    </w:p>
    <w:p/>
    <w:p/>
    <w:p>
      <w:pPr>
        <w:pStyle w:val="Heading2"/>
      </w:pPr>
      <w:r>
        <w:t>F.4 ALCS Scoring Notes and Negative Controls</w:t>
      </w:r>
    </w:p>
    <w:p/>
    <w:p>
      <w:r>
        <w:t>Negative controls prevent overclaim:</w:t>
      </w:r>
    </w:p>
    <w:p/>
    <w:p>
      <w:r>
        <w:t>1. Human-role-to-MAS mapping mentioned ≠ mapping implemented</w:t>
      </w:r>
    </w:p>
    <w:p>
      <w:pPr>
        <w:pStyle w:val="ListBullet"/>
      </w:pPr>
      <w:r>
        <w:t>Vendor marketing materials may mention human-role-to-MAS mapping without providing implementation details</w:t>
      </w:r>
    </w:p>
    <w:p>
      <w:pPr>
        <w:pStyle w:val="ListBullet"/>
      </w:pPr>
      <w:r>
        <w:t>Require product documentation or audit evidence to validate implementation</w:t>
      </w:r>
    </w:p>
    <w:p/>
    <w:p>
      <w:r>
        <w:t>2. Authority definitions ≠ delegation workflows or enforcement</w:t>
      </w:r>
    </w:p>
    <w:p>
      <w:pPr>
        <w:pStyle w:val="ListBullet"/>
      </w:pPr>
      <w:r>
        <w:t>Authority boundary definitions do not automatically provide delegation workflows or enforcement mechanisms</w:t>
      </w:r>
    </w:p>
    <w:p>
      <w:pPr>
        <w:pStyle w:val="ListBullet"/>
      </w:pPr>
      <w:r>
        <w:t>Require explicit evidence of delegation and enforcement capabilities</w:t>
      </w:r>
    </w:p>
    <w:p/>
    <w:p>
      <w:r>
        <w:t>3. Agent roles ≠ human roles or distinction mechanisms</w:t>
      </w:r>
    </w:p>
    <w:p>
      <w:pPr>
        <w:pStyle w:val="ListBullet"/>
      </w:pPr>
      <w:r>
        <w:t>Agent role definitions do not automatically provide human role definitions or distinction mechanisms</w:t>
      </w:r>
    </w:p>
    <w:p>
      <w:pPr>
        <w:pStyle w:val="ListBullet"/>
      </w:pPr>
      <w:r>
        <w:t>Require explicit evidence of human roles and distinction capabilities</w:t>
      </w:r>
    </w:p>
    <w:p/>
    <w:p>
      <w:r>
        <w:t>4. Outcome definitions ≠ acceptance workflows or compliance tracking</w:t>
      </w:r>
    </w:p>
    <w:p>
      <w:pPr>
        <w:pStyle w:val="ListBullet"/>
      </w:pPr>
      <w:r>
        <w:t>Accepted outcome definitions do not automatically provide acceptance workflows or compliance tracking</w:t>
      </w:r>
    </w:p>
    <w:p>
      <w:pPr>
        <w:pStyle w:val="ListBullet"/>
      </w:pPr>
      <w:r>
        <w:t>Require explicit evidence of acceptance and compliance capabilities</w:t>
      </w:r>
    </w:p>
    <w:p/>
    <w:p>
      <w:r>
        <w:t>5. Liability definitions ≠ boundary enforcement or tracking</w:t>
      </w:r>
    </w:p>
    <w:p>
      <w:pPr>
        <w:pStyle w:val="ListBullet"/>
      </w:pPr>
      <w:r>
        <w:t>Tool-action liability definitions do not automatically provide boundary enforcement or liability tracking</w:t>
      </w:r>
    </w:p>
    <w:p>
      <w:pPr>
        <w:pStyle w:val="ListBullet"/>
      </w:pPr>
      <w:r>
        <w:t>Require explicit evidence of enforcement and tracking capabilities</w:t>
      </w:r>
    </w:p>
    <w:p/>
    <w:p>
      <w:r>
        <w:t>6. Transfer definitions ≠ transfer workflows or tracking</w:t>
      </w:r>
    </w:p>
    <w:p>
      <w:pPr>
        <w:pStyle w:val="ListBullet"/>
      </w:pPr>
      <w:r>
        <w:t>Responsibility transfer definitions do not automatically provide transfer workflows or transfer tracking</w:t>
      </w:r>
    </w:p>
    <w:p>
      <w:pPr>
        <w:pStyle w:val="ListBullet"/>
      </w:pPr>
      <w:r>
        <w:t>Require explicit evidence of workflows and tracking capabilities</w:t>
      </w:r>
    </w:p>
    <w:p/>
    <w:p>
      <w:r>
        <w:t>7. Drift definitions ≠ drift detection or alerting</w:t>
      </w:r>
    </w:p>
    <w:p>
      <w:pPr>
        <w:pStyle w:val="ListBullet"/>
      </w:pPr>
      <w:r>
        <w:t>Authority drift definitions do not automatically provide drift detection mechanisms or drift alerting</w:t>
      </w:r>
    </w:p>
    <w:p>
      <w:pPr>
        <w:pStyle w:val="ListBullet"/>
      </w:pPr>
      <w:r>
        <w:t>Require explicit evidence of detection and alerting capabilities</w:t>
      </w:r>
    </w:p>
    <w:p/>
    <w:p>
      <w:r>
        <w:t>8. Partitioning definitions ≠ partitioning mechanisms or storage</w:t>
      </w:r>
    </w:p>
    <w:p>
      <w:pPr>
        <w:pStyle w:val="ListBullet"/>
      </w:pPr>
      <w:r>
        <w:t>Evidence partitioning definitions do not automatically provide partitioning mechanisms or partitioned storage</w:t>
      </w:r>
    </w:p>
    <w:p>
      <w:pPr>
        <w:pStyle w:val="ListBullet"/>
      </w:pPr>
      <w:r>
        <w:t>Require explicit evidence of mechanisms and storage capabilities</w:t>
      </w:r>
    </w:p>
    <w:p/>
    <w:p>
      <w:r>
        <w:t>9. Reuse definitions ≠ reuse tracking or validation</w:t>
      </w:r>
    </w:p>
    <w:p>
      <w:pPr>
        <w:pStyle w:val="ListBullet"/>
      </w:pPr>
      <w:r>
        <w:t>Cross-project reuse compliance definitions do not automatically provide reuse tracking or reuse validation</w:t>
      </w:r>
    </w:p>
    <w:p>
      <w:pPr>
        <w:pStyle w:val="ListBullet"/>
      </w:pPr>
      <w:r>
        <w:t>Require explicit evidence of tracking and validation capabilities</w:t>
      </w:r>
    </w:p>
    <w:p/>
    <w:p>
      <w:r>
        <w:t>10. Privacy definitions ≠ GDPR mapping or lifecycle integration</w:t>
      </w:r>
    </w:p>
    <w:p>
      <w:pPr>
        <w:pStyle w:val="ListBullet"/>
      </w:pPr>
      <w:r>
        <w:t>Privacy lifecycle mapping definitions do not automatically provide GDPR requirement mapping or lifecycle integration</w:t>
      </w:r>
    </w:p>
    <w:p>
      <w:pPr>
        <w:pStyle w:val="ListBullet"/>
      </w:pPr>
      <w:r>
        <w:t>Require explicit evidence of GDPR mapping and lifecycle integration capabilities</w:t>
      </w:r>
    </w:p>
    <w:p/>
    <w:p>
      <w:r>
        <w:t>11. Privacy mechanisms ≠ selective disclosure or workflows</w:t>
      </w:r>
    </w:p>
    <w:p>
      <w:pPr>
        <w:pStyle w:val="ListBullet"/>
      </w:pPr>
      <w:r>
        <w:t>Privacy-preserving validation mechanisms do not automatically provide selective disclosure controls or validation workflows</w:t>
      </w:r>
    </w:p>
    <w:p>
      <w:pPr>
        <w:pStyle w:val="ListBullet"/>
      </w:pPr>
      <w:r>
        <w:t>Require explicit evidence of disclosure and workflow capabilities</w:t>
      </w:r>
    </w:p>
    <w:p/>
    <w:p>
      <w:r>
        <w:t>12. Minimization policies ≠ selective disclosure or controls</w:t>
      </w:r>
    </w:p>
    <w:p>
      <w:pPr>
        <w:pStyle w:val="ListBullet"/>
      </w:pPr>
      <w:r>
        <w:t>Evidence minimization policies do not automatically provide selective disclosure mechanisms or disclosure controls</w:t>
      </w:r>
    </w:p>
    <w:p>
      <w:pPr>
        <w:pStyle w:val="ListBullet"/>
      </w:pPr>
      <w:r>
        <w:t>Require explicit evidence of disclosure and control capabilities</w:t>
      </w:r>
    </w:p>
    <w:p/>
    <w:p>
      <w:r>
        <w:t>13. Rights workflows ≠ retention policies or conflict resolution</w:t>
      </w:r>
    </w:p>
    <w:p>
      <w:pPr>
        <w:pStyle w:val="ListBullet"/>
      </w:pPr>
      <w:r>
        <w:t>Data subject rights workflows do not automatically provide evidence retention policies or conflict resolution</w:t>
      </w:r>
    </w:p>
    <w:p>
      <w:pPr>
        <w:pStyle w:val="ListBullet"/>
      </w:pPr>
      <w:r>
        <w:t>Require explicit evidence of retention and conflict resolution capabilities</w:t>
      </w:r>
    </w:p>
    <w:p/>
    <w:p>
      <w:r>
        <w:t>14. Processor definitions ≠ processor tracking or validation</w:t>
      </w:r>
    </w:p>
    <w:p>
      <w:pPr>
        <w:pStyle w:val="ListBullet"/>
      </w:pPr>
      <w:r>
        <w:t>Processor chain definitions do not automatically provide processor tracking or compliance validation</w:t>
      </w:r>
    </w:p>
    <w:p>
      <w:pPr>
        <w:pStyle w:val="ListBullet"/>
      </w:pPr>
      <w:r>
        <w:t>Require explicit evidence of tracking and validation capabilities</w:t>
      </w:r>
    </w:p>
    <w:p/>
    <w:p>
      <w:r>
        <w:t>15. Substitution definitions ≠ substitution tracking or validation</w:t>
      </w:r>
    </w:p>
    <w:p>
      <w:pPr>
        <w:pStyle w:val="ListBullet"/>
      </w:pPr>
      <w:r>
        <w:t>Vendor/model/runtime substitution conformance definitions do not automatically provide substitution tracking or substitution validation</w:t>
      </w:r>
    </w:p>
    <w:p>
      <w:pPr>
        <w:pStyle w:val="ListBullet"/>
      </w:pPr>
      <w:r>
        <w:t>Require explicit evidence of tracking and validation capabilities</w:t>
      </w:r>
    </w:p>
    <w:p/>
    <w:p>
      <w:r>
        <w:t>Boundary discipline:</w:t>
      </w:r>
    </w:p>
    <w:p/>
    <w:p>
      <w:pPr>
        <w:pStyle w:val="ListBullet"/>
      </w:pPr>
      <w:r>
        <w:t>ALCS measures agentic lifecycle responsibility object maturity, not legal compliance</w:t>
      </w:r>
    </w:p>
    <w:p>
      <w:pPr>
        <w:pStyle w:val="ListBullet"/>
      </w:pPr>
      <w:r>
        <w:t>High ALCS scores do not prove legal compliance, regulatory approval, or certification</w:t>
      </w:r>
    </w:p>
    <w:p>
      <w:pPr>
        <w:pStyle w:val="ListBullet"/>
      </w:pPr>
      <w:r>
        <w:t>Low ALCS scores do not prove non-compliance or unsuitability</w:t>
      </w:r>
    </w:p>
    <w:p>
      <w:pPr>
        <w:pStyle w:val="ListBullet"/>
      </w:pPr>
      <w:r>
        <w:t>ALCS scores are context-independent; organizations must interpret within their legal, regulatory, and operational context</w:t>
      </w:r>
    </w:p>
    <w:p>
      <w:pPr>
        <w:pStyle w:val="ListBullet"/>
      </w:pPr>
      <w:r>
        <w:t>ALCS scores require evidence; evidence level affects score multiplier</w:t>
      </w:r>
    </w:p>
    <w:p>
      <w:pPr>
        <w:pStyle w:val="ListBullet"/>
      </w:pPr>
      <w:r>
        <w:t>ALCS scores are not product rankings; they compare systems by agentic lifecycle responsibility primitives</w:t>
      </w:r>
    </w:p>
    <w:p/>
    <w:p>
      <w:r>
        <w:t>ALCS vs RCCS distinction:</w:t>
      </w:r>
    </w:p>
    <w:p/>
    <w:p>
      <w:pPr>
        <w:pStyle w:val="ListBullet"/>
      </w:pPr>
      <w:r>
        <w:t>RCCS measures regulatory compliance coverage primitives (risk management, data governance, documentation, record-keeping, transparency, human oversight, security, accountability, contestability, monitoring)</w:t>
      </w:r>
    </w:p>
    <w:p>
      <w:pPr>
        <w:pStyle w:val="ListBullet"/>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pPr>
      <w:r>
        <w:t>RCCS focuses on regulatory compliance coverage capabilities</w:t>
      </w:r>
    </w:p>
    <w:p>
      <w:pPr>
        <w:pStyle w:val="ListBullet"/>
      </w:pPr>
      <w:r>
        <w:t>ALCS focuses on agentic lifecycle responsibility tracking and accountability capabilities</w:t>
      </w:r>
    </w:p>
    <w:p>
      <w:pPr>
        <w:pStyle w:val="ListBullet"/>
      </w:pPr>
      <w:r>
        <w:t>Both are analytical tools, not legal compliance scores</w:t>
      </w:r>
    </w:p>
    <w:p/>
    <w:p>
      <w:r>
        <w:t>Composite score formula (from Phase 1B-8C):</w:t>
      </w:r>
    </w:p>
    <w:p/>
    <w:p>
      <w:pPr>
        <w:spacing w:before="60" w:after="100"/>
        <w:ind w:left="259"/>
      </w:pPr>
      <w:r>
        <w:rPr>
          <w:rFonts w:ascii="Courier New" w:hAnsi="Courier New"/>
          <w:sz w:val="15"/>
        </w:rPr>
        <w:t>Composite Score = 0.40 × RCCS + 0.60 × ALCS</w:t>
        <w:br/>
        <w:br/>
        <w:t>Where:</w:t>
        <w:br/>
        <w:t>RCCS = Average of 10 RCCS dimension scores (0-100)</w:t>
        <w:br/>
        <w:t>ALCS = Average of 15 ALCS dimension scores (0-100)</w:t>
        <w:br/>
        <w:t>Composite Score = Weighted average (0-100)</w:t>
      </w:r>
    </w:p>
    <w:p/>
    <w:p>
      <w:r>
        <w:t>Example:</w:t>
      </w:r>
    </w:p>
    <w:p/>
    <w:p>
      <w:pPr>
        <w:spacing w:before="60" w:after="100"/>
        <w:ind w:left="259"/>
      </w:pPr>
      <w:r>
        <w:rPr>
          <w:rFonts w:ascii="Courier New" w:hAnsi="Courier New"/>
          <w:sz w:val="15"/>
        </w:rPr>
        <w:t>RCCS Average: 65.0 (across 10 dimensions)</w:t>
        <w:br/>
        <w:t>ALCS Average: 55.0 (across 15 dimensions)</w:t>
        <w:br/>
        <w:t>Composite Score: 0.40 × 65.0 + 0.60 × 55.0 = 26.0 + 33.0 = 59.0</w:t>
      </w:r>
    </w:p>
    <w:p/>
    <w:p/>
    <w:p>
      <w:r>
        <w:t>End of Appendix F</w:t>
      </w:r>
    </w:p>
    <w:p/>
    <w:p>
      <w:r>
        <w:t>Appendix F Status: FILLED (Phase 1B-9) — ALCS Detailed Scoring Rubrics complete; all 15 ALCS dimensions with detailed rubrics, evidence requirements, and negative controls using canonical ALCS dictionary from Chapter 8.</w:t>
      </w:r>
    </w:p>
    <w:p>
      <w:pPr>
        <w:pStyle w:val="Heading1"/>
      </w:pPr>
      <w:r>
        <w:t>Appendix G — Expanded System-by-System Assessment</w:t>
      </w:r>
    </w:p>
    <w:p/>
    <w:p>
      <w:r>
        <w:t>Version: v0.3.2-FRC-R3</w:t>
      </w:r>
    </w:p>
    <w:p>
      <w:r>
        <w:t>Status: REVALIDATED PROVISIONAL — Phase 1C claim-level source binding applied</w:t>
      </w:r>
    </w:p>
    <w:p>
      <w:r>
        <w:t>Phase: 1C Follow-up (Claim-Level Revalidation)</w:t>
      </w:r>
    </w:p>
    <w:p/>
    <w:p/>
    <w:p>
      <w:pPr>
        <w:pStyle w:val="Heading2"/>
      </w:pPr>
      <w:r>
        <w:t>G.0 Assessment Boundary and Provisional Status</w:t>
      </w:r>
    </w:p>
    <w:p/>
    <w:p>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
      <w:r>
        <w:t>CRITICAL BOUNDARY STATEMENT:</w:t>
      </w:r>
    </w:p>
    <w:p/>
    <w:p>
      <w:pPr>
        <w:pStyle w:val="ListBullet"/>
      </w:pPr>
      <w:r>
        <w:t>All assessments remain provisional. Phase 1C claim-level review located official source entry points and narrowed claims, but did not produce final vendor assessments.</w:t>
      </w:r>
    </w:p>
    <w:p>
      <w:pPr>
        <w:pStyle w:val="ListBullet"/>
      </w:pPr>
      <w:r>
        <w:t>L2 product documentation is source-bound, not final proof. Product documentation can support documented capability surfaces; it does not prove deployment practice, audit success, or lifecycle responsibility-object implementation.</w:t>
      </w:r>
    </w:p>
    <w:p>
      <w:pPr>
        <w:pStyle w:val="ListBullet"/>
      </w:pPr>
      <w:r>
        <w:t>This is not a product ordering. Systems are assessed by capability posture, not ordered by quality, market position, or procurement suitability.</w:t>
      </w:r>
    </w:p>
    <w:p>
      <w:pPr>
        <w:pStyle w:val="ListBullet"/>
      </w:pPr>
      <w:r>
        <w:t>This is not a procurement recommendation. Organizations must evaluate systems within their own legal, regulatory, operational, and business context.</w:t>
      </w:r>
    </w:p>
    <w:p>
      <w:pPr>
        <w:pStyle w:val="ListBullet"/>
      </w:pPr>
      <w:r>
        <w:t>This is not certification. Assessments measure capability posture against analytical frameworks (RCCS/ALCS), not legal compliance, regulatory approval, or certification status.</w:t>
      </w:r>
    </w:p>
    <w:p>
      <w:pPr>
        <w:pStyle w:val="ListBullet"/>
      </w:pPr>
      <w:r>
        <w:t>Assessments are context-independent. Organizations must interpret assessments within their legal, regulatory, and operational context.</w:t>
      </w:r>
    </w:p>
    <w:p>
      <w:pPr>
        <w:pStyle w:val="ListBullet"/>
      </w:pPr>
      <w:r>
        <w:t>Low provisional posture does not prove non-compliance or poor product quality. It indicates gaps in publicly visible evidence for specific capability primitives.</w:t>
      </w:r>
    </w:p>
    <w:p>
      <w:pPr>
        <w:pStyle w:val="ListBullet"/>
      </w:pPr>
      <w:r>
        <w:t>High provisional posture does not prove legal compliance, enterprise readiness, or operational effectiveness. It indicates stronger publicly visible evidence for specific capability primitives.</w:t>
      </w:r>
    </w:p>
    <w:p/>
    <w:p>
      <w:r>
        <w:t>Phase 1C follow-up result:</w:t>
      </w:r>
    </w:p>
    <w:p/>
    <w:p>
      <w:r>
        <w:t>1. Official L2 source entry points were located for the eight assessed systems and required source groups.</w:t>
      </w:r>
    </w:p>
    <w:p>
      <w:r>
        <w:t>2. Product/protocol capability claims were bound to source IDs where official documentation supports the surface capability.</w:t>
      </w:r>
    </w:p>
    <w:p>
      <w:r>
        <w:t>3. Lifecycle responsibility-object mappings that are not directly stated in official documentation remain L5 analytical interpretation.</w:t>
      </w:r>
    </w:p>
    <w:p>
      <w:r>
        <w:t>4. Unsupported or adjacent ALCS claims remain boundary-limited as "requires implementer integration", "not visible as lifecycle responsibility object", or "requires exact source support".</w:t>
      </w:r>
    </w:p>
    <w:p>
      <w:r>
        <w:t>5. No numerical scores, ordering, procurement recommendation, certification claim, or legal compliance proof was introduced.</w:t>
      </w:r>
    </w:p>
    <w:p/>
    <w:p/>
    <w:p>
      <w:pPr>
        <w:pStyle w:val="Heading2"/>
      </w:pPr>
      <w:r>
        <w:t>G.1 How to Read the System Assessments</w:t>
      </w:r>
    </w:p>
    <w:p/>
    <w:p>
      <w:r>
        <w:t>Assessment structure:</w:t>
      </w:r>
    </w:p>
    <w:p/>
    <w:p>
      <w:r>
        <w:t>Each system assessment uses a qualitative provisional posture framework across key assessment areas. Assessments do not compute numerical scores, ordered comparisons, or composite metrics before Phase 1C source revalidation.</w:t>
      </w:r>
    </w:p>
    <w:p/>
    <w:p>
      <w:r>
        <w:t>Assessment areas:</w:t>
      </w:r>
    </w:p>
    <w:p/>
    <w:p>
      <w:r>
        <w:t>1. Regulatory Compliance Coverage Primitives (RCCS-aligned): Risk management, data governance, documentation, record-keeping, transparency, human oversight, security, accountability, contestability, monitoring</w:t>
      </w:r>
    </w:p>
    <w:p>
      <w:r>
        <w:t>2. 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
      <w:r>
        <w:t>Provisional posture levels:</w:t>
      </w:r>
    </w:p>
    <w:p/>
    <w:p>
      <w:pPr>
        <w:pStyle w:val="ListBullet"/>
      </w:pPr>
      <w:r>
        <w:t>Strong provisional posture: Multiple capability primitives visible in public product documentation with implementation details</w:t>
      </w:r>
    </w:p>
    <w:p>
      <w:pPr>
        <w:pStyle w:val="ListBullet"/>
      </w:pPr>
      <w:r>
        <w:t>Moderate provisional posture: Some capability primitives visible in public product documentation with partial implementation details</w:t>
      </w:r>
    </w:p>
    <w:p>
      <w:pPr>
        <w:pStyle w:val="ListBullet"/>
      </w:pPr>
      <w:r>
        <w:t>Partial provisional posture: Limited capability primitives visible in public product documentation with minimal implementation details</w:t>
      </w:r>
    </w:p>
    <w:p>
      <w:pPr>
        <w:pStyle w:val="ListBullet"/>
      </w:pPr>
      <w:r>
        <w:t>Weak / implementer-built posture: Few or no capability primitives visible in public product documentation; capabilities may exist but require implementer-built solutions</w:t>
      </w:r>
    </w:p>
    <w:p>
      <w:pPr>
        <w:pStyle w:val="ListBullet"/>
      </w:pPr>
      <w:r>
        <w:t>Not visible in public evidence: No publicly visible evidence for capability primitives; does not prove absence, only lack of public documentation</w:t>
      </w:r>
    </w:p>
    <w:p/>
    <w:p>
      <w:r>
        <w:t>Evidence types:</w:t>
      </w:r>
    </w:p>
    <w:p/>
    <w:p>
      <w:pPr>
        <w:pStyle w:val="ListBullet"/>
      </w:pPr>
      <w:r>
        <w:t>L1 (Binding Legal Text): EU AI Act, GDPR, formal standards</w:t>
      </w:r>
    </w:p>
    <w:p>
      <w:pPr>
        <w:pStyle w:val="ListBullet"/>
      </w:pPr>
      <w:r>
        <w:t>L2 (Product Docs): Official product documentation, protocol specifications, GitHub repositories</w:t>
      </w:r>
    </w:p>
    <w:p>
      <w:pPr>
        <w:pStyle w:val="ListBullet"/>
      </w:pPr>
      <w:r>
        <w:t>L3 (Audit Report): Third-party audit reports, academic papers</w:t>
      </w:r>
    </w:p>
    <w:p>
      <w:pPr>
        <w:pStyle w:val="ListBullet"/>
      </w:pPr>
      <w:r>
        <w:t>L4 (Vendor Claim): Vendor claims, marketing materials</w:t>
      </w:r>
    </w:p>
    <w:p>
      <w:pPr>
        <w:pStyle w:val="ListBullet"/>
      </w:pPr>
      <w:r>
        <w:t>L5 (Author Inference): Author inference, analytical framework</w:t>
      </w:r>
    </w:p>
    <w:p/>
    <w:p>
      <w:r>
        <w:t>What assessments do NOT provide:</w:t>
      </w:r>
    </w:p>
    <w:p/>
    <w:p>
      <w:pPr>
        <w:pStyle w:val="ListBullet"/>
      </w:pPr>
      <w:r>
        <w:t>Numerical scores or ordered comparisons</w:t>
      </w:r>
    </w:p>
    <w:p>
      <w:pPr>
        <w:pStyle w:val="ListBullet"/>
      </w:pPr>
      <w:r>
        <w:t>Composite metrics or weighted averages</w:t>
      </w:r>
    </w:p>
    <w:p>
      <w:pPr>
        <w:pStyle w:val="ListBullet"/>
      </w:pPr>
      <w:r>
        <w:t>Procurement recommendations or vendor preferences</w:t>
      </w:r>
    </w:p>
    <w:p>
      <w:pPr>
        <w:pStyle w:val="ListBullet"/>
      </w:pPr>
      <w:r>
        <w:t>Legal compliance proof or certification status</w:t>
      </w:r>
    </w:p>
    <w:p>
      <w:pPr>
        <w:pStyle w:val="ListBullet"/>
      </w:pPr>
      <w:r>
        <w:t>Regulatory approval or conformity assessment</w:t>
      </w:r>
    </w:p>
    <w:p>
      <w:pPr>
        <w:pStyle w:val="ListBullet"/>
      </w:pPr>
      <w:r>
        <w:t>Market endorsement or quality ratings</w:t>
      </w:r>
    </w:p>
    <w:p>
      <w:pPr>
        <w:pStyle w:val="ListBullet"/>
      </w:pPr>
      <w:r>
        <w:t>"Best" or "worst" designations</w:t>
      </w:r>
    </w:p>
    <w:p>
      <w:pPr>
        <w:pStyle w:val="ListBullet"/>
      </w:pPr>
      <w:r>
        <w:t>Market tier classifications</w:t>
      </w:r>
    </w:p>
    <w:p/>
    <w:p/>
    <w:p>
      <w:pPr>
        <w:pStyle w:val="Heading2"/>
      </w:pPr>
      <w:r>
        <w:t>G.2 System Assessment Profiles</w:t>
      </w:r>
    </w:p>
    <w:p/>
    <w:p>
      <w:pPr>
        <w:pStyle w:val="Heading3"/>
      </w:pPr>
      <w:r>
        <w:t>G.2.1 MPLP (Multi-Agent Lifecycle Protocol)</w:t>
      </w:r>
    </w:p>
    <w:p/>
    <w:p>
      <w:pPr>
        <w:keepNext/>
      </w:pPr>
      <w:r>
        <w:rPr>
          <w:b/>
          <w:sz w:val="17"/>
        </w:rPr>
        <w:t>Table T-G-01: MPLP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Assessment Area</w:t>
            </w:r>
          </w:p>
        </w:tc>
        <w:tc>
          <w:tcPr>
            <w:tcW w:type="dxa" w:w="2400"/>
            <w:vAlign w:val="top"/>
            <w:shd w:fill="D9EAF7"/>
          </w:tcPr>
          <w:p>
            <w:pPr>
              <w:spacing w:after="0"/>
              <w:jc w:val="left"/>
            </w:pPr>
            <w:r>
              <w:rPr>
                <w:rFonts w:ascii="Arial" w:hAnsi="Arial"/>
                <w:b/>
                <w:sz w:val="11"/>
              </w:rPr>
              <w:t>Provisional RCCS Posture</w:t>
            </w:r>
          </w:p>
        </w:tc>
        <w:tc>
          <w:tcPr>
            <w:tcW w:type="dxa" w:w="2400"/>
            <w:vAlign w:val="top"/>
            <w:shd w:fill="D9EAF7"/>
          </w:tcPr>
          <w:p>
            <w:pPr>
              <w:spacing w:after="0"/>
              <w:jc w:val="left"/>
            </w:pPr>
            <w:r>
              <w:rPr>
                <w:rFonts w:ascii="Arial" w:hAnsi="Arial"/>
                <w:b/>
                <w:sz w:val="11"/>
              </w:rPr>
              <w:t>Provisional ALCS Posture</w:t>
            </w:r>
          </w:p>
        </w:tc>
        <w:tc>
          <w:tcPr>
            <w:tcW w:type="dxa" w:w="2400"/>
            <w:vAlign w:val="top"/>
            <w:shd w:fill="D9EAF7"/>
          </w:tcPr>
          <w:p>
            <w:pPr>
              <w:spacing w:after="0"/>
              <w:jc w:val="left"/>
            </w:pPr>
            <w:r>
              <w:rPr>
                <w:rFonts w:ascii="Arial" w:hAnsi="Arial"/>
                <w:b/>
                <w:sz w:val="11"/>
              </w:rPr>
              <w:t>Visible Evidence Type</w:t>
            </w:r>
          </w:p>
        </w:tc>
        <w:tc>
          <w:tcPr>
            <w:tcW w:type="dxa" w:w="2400"/>
            <w:vAlign w:val="top"/>
            <w:shd w:fill="D9EAF7"/>
            <w:textDirection w:val="lrTb"/>
          </w:tcPr>
          <w:p>
            <w:pPr>
              <w:spacing w:after="0"/>
              <w:jc w:val="left"/>
            </w:pPr>
            <w:r>
              <w:rPr>
                <w:rFonts w:ascii="Arial" w:hAnsi="Arial"/>
                <w:b/>
                <w:sz w:val="11"/>
              </w:rPr>
              <w:t>Main Lifecycle Gap</w:t>
            </w:r>
          </w:p>
        </w:tc>
        <w:tc>
          <w:tcPr>
            <w:tcW w:type="dxa" w:w="2400"/>
            <w:vAlign w:val="top"/>
            <w:shd w:fill="D9EAF7"/>
          </w:tcPr>
          <w:p>
            <w:pPr>
              <w:spacing w:after="0"/>
              <w:jc w:val="left"/>
            </w:pPr>
            <w:r>
              <w:rPr>
                <w:rFonts w:ascii="Arial" w:hAnsi="Arial"/>
                <w:b/>
                <w:sz w:val="11"/>
              </w:rPr>
              <w:t>Phase 1C Revalidation Need</w:t>
            </w:r>
          </w:p>
        </w:tc>
      </w:tr>
      <w:tr>
        <w:trPr>
          <w:cantSplit/>
        </w:trPr>
        <w:tc>
          <w:tcPr>
            <w:tcW w:type="dxa" w:w="2400"/>
            <w:vAlign w:val="top"/>
          </w:tcPr>
          <w:p>
            <w:pPr>
              <w:spacing w:after="0"/>
              <w:jc w:val="left"/>
            </w:pPr>
            <w:r>
              <w:rPr>
                <w:rFonts w:ascii="Arial" w:hAnsi="Arial"/>
                <w:b w:val="0"/>
                <w:sz w:val="11"/>
              </w:rPr>
              <w:t>Risk Management</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No formal risk assessment framework visible</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Data Governance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Data governance primitives require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Documentation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L2 (Protocol spec, GitHub)</w:t>
            </w:r>
          </w:p>
        </w:tc>
        <w:tc>
          <w:tcPr>
            <w:tcW w:type="dxa" w:w="2400"/>
            <w:vAlign w:val="top"/>
          </w:tcPr>
          <w:p>
            <w:pPr>
              <w:spacing w:after="0"/>
              <w:jc w:val="left"/>
            </w:pPr>
            <w:r>
              <w:rPr>
                <w:rFonts w:ascii="Arial" w:hAnsi="Arial"/>
                <w:b w:val="0"/>
                <w:sz w:val="11"/>
              </w:rPr>
              <w:t>Protocol documentation strong; implementation documentation varies</w:t>
            </w:r>
          </w:p>
        </w:tc>
        <w:tc>
          <w:tcPr>
            <w:tcW w:type="dxa" w:w="2400"/>
            <w:vAlign w:val="top"/>
          </w:tcPr>
          <w:p>
            <w:pPr>
              <w:spacing w:after="0"/>
              <w:jc w:val="left"/>
            </w:pPr>
            <w:r>
              <w:rPr>
                <w:rFonts w:ascii="Arial" w:hAnsi="Arial"/>
                <w:b w:val="0"/>
                <w:sz w:val="11"/>
              </w:rPr>
              <w:t>Revalidate protocol specification and implementation examples</w:t>
            </w:r>
          </w:p>
        </w:tc>
      </w:tr>
      <w:tr>
        <w:trPr>
          <w:cantSplit/>
        </w:trPr>
        <w:tc>
          <w:tcPr>
            <w:tcW w:type="dxa" w:w="2400"/>
            <w:vAlign w:val="top"/>
          </w:tcPr>
          <w:p>
            <w:pPr>
              <w:spacing w:after="0"/>
              <w:jc w:val="left"/>
            </w:pPr>
            <w:r>
              <w:rPr>
                <w:rFonts w:ascii="Arial" w:hAnsi="Arial"/>
                <w:b w:val="0"/>
                <w:sz w:val="11"/>
              </w:rPr>
              <w:t>Record-Keeping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Evidence pack structure visible; export/retention require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Transparency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Transparency primitives require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Human Oversight</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Human-role-to-MAS mapping visible in protocol; enforcement requires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Security</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Security primitives not protocol-level; require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Accountability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Responsibility mapping visible in protocol; tracking requires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Contestability</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Contestability primitives not protocol-level; require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Monitoring</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Monitoring primitives require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Human-Role-to-MAS Mapping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Protocol-level mapping visible; implementation varies</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Delegated Authority Boundary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Protocol-level boundary visible; enforcement requires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Agent-Human Role Distinction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Protocol-level distinction visible; implementation varies</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Accepted Outcome Compliance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Protocol-level outcome tracking visible; compliance enforcement requires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Tool-Action Liability Boundary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Protocol-level liability tracking visible; boundary enforcement requires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Responsibility Transfer</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Protocol-level transfer tracking visible; implementation varies</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Authority Drift Detection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Drift detection not protocol-level; requires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MAS Evidence Partitioning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Protocol-level evidence partitioning visible; storage/retrieval require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Cross-Project Reuse Compliance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Reuse tracking not protocol-level; requires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Privacy/GDPR Lifecycle Mapping</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Privacy primitives require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Privacy-Preserving Validation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Privacy-preserving validation not protocol-level; requires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Evidence Minimization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Minimization primitives require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Data Subject Rights vs Retention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Rights-retention conflict resolution not protocol-level; requires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Processor Chain Tracking</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Processor chain tracking not protocol-level; requires implementer integration</w:t>
            </w:r>
          </w:p>
        </w:tc>
        <w:tc>
          <w:tcPr>
            <w:tcW w:type="dxa" w:w="2400"/>
            <w:vAlign w:val="top"/>
          </w:tcPr>
          <w:p>
            <w:pPr>
              <w:spacing w:after="0"/>
              <w:jc w:val="left"/>
            </w:pPr>
            <w:r>
              <w:rPr>
                <w:rFonts w:ascii="Arial" w:hAnsi="Arial"/>
                <w:b w:val="0"/>
                <w:sz w:val="11"/>
              </w:rPr>
              <w:t>Revalidate protocol specification</w:t>
            </w:r>
          </w:p>
        </w:tc>
      </w:tr>
      <w:tr>
        <w:trPr>
          <w:cantSplit/>
        </w:trPr>
        <w:tc>
          <w:tcPr>
            <w:tcW w:type="dxa" w:w="2400"/>
            <w:vAlign w:val="top"/>
          </w:tcPr>
          <w:p>
            <w:pPr>
              <w:spacing w:after="0"/>
              <w:jc w:val="left"/>
            </w:pPr>
            <w:r>
              <w:rPr>
                <w:rFonts w:ascii="Arial" w:hAnsi="Arial"/>
                <w:b w:val="0"/>
                <w:sz w:val="11"/>
              </w:rPr>
              <w:t>Vendor/Model/Runtime Substitution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(Protocol spec)</w:t>
            </w:r>
          </w:p>
        </w:tc>
        <w:tc>
          <w:tcPr>
            <w:tcW w:type="dxa" w:w="2400"/>
            <w:vAlign w:val="top"/>
          </w:tcPr>
          <w:p>
            <w:pPr>
              <w:spacing w:after="0"/>
              <w:jc w:val="left"/>
            </w:pPr>
            <w:r>
              <w:rPr>
                <w:rFonts w:ascii="Arial" w:hAnsi="Arial"/>
                <w:b w:val="0"/>
                <w:sz w:val="11"/>
              </w:rPr>
              <w:t>Substitution conformance tracking requires implementer integration</w:t>
            </w:r>
          </w:p>
        </w:tc>
        <w:tc>
          <w:tcPr>
            <w:tcW w:type="dxa" w:w="2400"/>
            <w:vAlign w:val="top"/>
          </w:tcPr>
          <w:p>
            <w:pPr>
              <w:spacing w:after="0"/>
              <w:jc w:val="left"/>
            </w:pPr>
            <w:r>
              <w:rPr>
                <w:rFonts w:ascii="Arial" w:hAnsi="Arial"/>
                <w:b w:val="0"/>
                <w:sz w:val="11"/>
              </w:rPr>
              <w:t>Revalidate protocol specification</w:t>
            </w:r>
          </w:p>
        </w:tc>
      </w:tr>
    </w:tbl>
    <w:p>
      <w:pPr>
        <w:sectPr>
          <w:pgSz w:w="15840" w:h="12240" w:orient="landscape"/>
          <w:pgMar w:top="792" w:right="648" w:bottom="792" w:left="648" w:header="720" w:footer="720" w:gutter="0"/>
          <w:cols w:space="720"/>
          <w:docGrid w:linePitch="360"/>
        </w:sectPr>
      </w:pPr>
    </w:p>
    <w:p/>
    <w:p>
      <w:r>
        <w:t>MPLP Boundary Note:</w:t>
      </w:r>
    </w:p>
    <w:p/>
    <w:p>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
    <w:p>
      <w:pPr>
        <w:pStyle w:val="Heading3"/>
      </w:pPr>
      <w:r>
        <w:t>G.2.2 IBM watsonx.governance</w:t>
      </w:r>
    </w:p>
    <w:p/>
    <w:p>
      <w:pPr>
        <w:keepNext/>
      </w:pPr>
      <w:r>
        <w:rPr>
          <w:b/>
          <w:sz w:val="17"/>
        </w:rPr>
        <w:t>Table T-G-02: IBM watsonx.governance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Assessment Area</w:t>
            </w:r>
          </w:p>
        </w:tc>
        <w:tc>
          <w:tcPr>
            <w:tcW w:type="dxa" w:w="2400"/>
            <w:vAlign w:val="top"/>
            <w:shd w:fill="D9EAF7"/>
          </w:tcPr>
          <w:p>
            <w:pPr>
              <w:spacing w:after="0"/>
              <w:jc w:val="left"/>
            </w:pPr>
            <w:r>
              <w:rPr>
                <w:rFonts w:ascii="Arial" w:hAnsi="Arial"/>
                <w:b/>
                <w:sz w:val="11"/>
              </w:rPr>
              <w:t>Provisional RCCS Posture</w:t>
            </w:r>
          </w:p>
        </w:tc>
        <w:tc>
          <w:tcPr>
            <w:tcW w:type="dxa" w:w="2400"/>
            <w:vAlign w:val="top"/>
            <w:shd w:fill="D9EAF7"/>
          </w:tcPr>
          <w:p>
            <w:pPr>
              <w:spacing w:after="0"/>
              <w:jc w:val="left"/>
            </w:pPr>
            <w:r>
              <w:rPr>
                <w:rFonts w:ascii="Arial" w:hAnsi="Arial"/>
                <w:b/>
                <w:sz w:val="11"/>
              </w:rPr>
              <w:t>Provisional ALCS Posture</w:t>
            </w:r>
          </w:p>
        </w:tc>
        <w:tc>
          <w:tcPr>
            <w:tcW w:type="dxa" w:w="2400"/>
            <w:vAlign w:val="top"/>
            <w:shd w:fill="D9EAF7"/>
          </w:tcPr>
          <w:p>
            <w:pPr>
              <w:spacing w:after="0"/>
              <w:jc w:val="left"/>
            </w:pPr>
            <w:r>
              <w:rPr>
                <w:rFonts w:ascii="Arial" w:hAnsi="Arial"/>
                <w:b/>
                <w:sz w:val="11"/>
              </w:rPr>
              <w:t>Visible Evidence Type</w:t>
            </w:r>
          </w:p>
        </w:tc>
        <w:tc>
          <w:tcPr>
            <w:tcW w:type="dxa" w:w="2400"/>
            <w:vAlign w:val="top"/>
            <w:shd w:fill="D9EAF7"/>
            <w:textDirection w:val="lrTb"/>
          </w:tcPr>
          <w:p>
            <w:pPr>
              <w:spacing w:after="0"/>
              <w:jc w:val="left"/>
            </w:pPr>
            <w:r>
              <w:rPr>
                <w:rFonts w:ascii="Arial" w:hAnsi="Arial"/>
                <w:b/>
                <w:sz w:val="11"/>
              </w:rPr>
              <w:t>Main Lifecycle Gap</w:t>
            </w:r>
          </w:p>
        </w:tc>
        <w:tc>
          <w:tcPr>
            <w:tcW w:type="dxa" w:w="2400"/>
            <w:vAlign w:val="top"/>
            <w:shd w:fill="D9EAF7"/>
          </w:tcPr>
          <w:p>
            <w:pPr>
              <w:spacing w:after="0"/>
              <w:jc w:val="left"/>
            </w:pPr>
            <w:r>
              <w:rPr>
                <w:rFonts w:ascii="Arial" w:hAnsi="Arial"/>
                <w:b/>
                <w:sz w:val="11"/>
              </w:rPr>
              <w:t>Phase 1C Revalidation Need</w:t>
            </w:r>
          </w:p>
        </w:tc>
      </w:tr>
      <w:tr>
        <w:trPr>
          <w:cantSplit/>
        </w:trPr>
        <w:tc>
          <w:tcPr>
            <w:tcW w:type="dxa" w:w="2400"/>
            <w:vAlign w:val="top"/>
          </w:tcPr>
          <w:p>
            <w:pPr>
              <w:spacing w:after="0"/>
              <w:jc w:val="left"/>
            </w:pPr>
            <w:r>
              <w:rPr>
                <w:rFonts w:ascii="Arial" w:hAnsi="Arial"/>
                <w:b w:val="0"/>
                <w:sz w:val="11"/>
              </w:rPr>
              <w:t>Risk Management</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Risk assessment framework visible; AI-specific risk integration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Data Governance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Data governance framework visible; lifecycle integration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Documentation</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Model cards and factsheets visible; system cards require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Record-Keeping</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Audit records visible; evidence export capability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Transparency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Explainability tools visible; interpretability integration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Human Oversight</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Approval workflows visible; human-role-to-MAS mapping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Security</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Enterprise security controls visible; AI lifecycle integration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Accountability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Role assignment visible; responsibility tracking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Contestability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Dispute resolution primitives require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Monitoring</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Model monitoring visible; drift detection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Human-Role-to-MAS Mapping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Role definitions visible; MAS responsibility mapping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Delegated Authority Boundary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Authority boundary primitives require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Agent-Human Role Distinction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Role distinction visible; lifecycle integration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Accepted Outcome Compliance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Outcome compliance primitives require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Tool-Action Liability Boundary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Liability boundary primitives require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Responsibility Transfer</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Transfer tracking primitives require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Authority Drift Detection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Drift detection primitives require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MAS Evidence Partitioning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Evidence partitioning visible; MAS-specific partitioning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Cross-Project Reuse Compliance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Reuse compliance primitives require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Privacy/GDPR Lifecycle Mapping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Privacy controls visible; GDPR lifecycle mapping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Privacy-Preserving Validation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Privacy-preserving validation primitives require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Evidence Minimization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Data minimization visible; evidence minimization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Data Subject Rights vs Retention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Data subject rights visible; conflict resolution requires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Processor Chain Tracking</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Processor chain tracking primitives require validation</w:t>
            </w:r>
          </w:p>
        </w:tc>
        <w:tc>
          <w:tcPr>
            <w:tcW w:type="dxa" w:w="2400"/>
            <w:vAlign w:val="top"/>
          </w:tcPr>
          <w:p>
            <w:pPr>
              <w:spacing w:after="0"/>
              <w:jc w:val="left"/>
            </w:pPr>
            <w:r>
              <w:rPr>
                <w:rFonts w:ascii="Arial" w:hAnsi="Arial"/>
                <w:b w:val="0"/>
                <w:sz w:val="11"/>
              </w:rPr>
              <w:t>Revalidate IBM product documentation</w:t>
            </w:r>
          </w:p>
        </w:tc>
      </w:tr>
      <w:tr>
        <w:trPr>
          <w:cantSplit/>
        </w:trPr>
        <w:tc>
          <w:tcPr>
            <w:tcW w:type="dxa" w:w="2400"/>
            <w:vAlign w:val="top"/>
          </w:tcPr>
          <w:p>
            <w:pPr>
              <w:spacing w:after="0"/>
              <w:jc w:val="left"/>
            </w:pPr>
            <w:r>
              <w:rPr>
                <w:rFonts w:ascii="Arial" w:hAnsi="Arial"/>
                <w:b w:val="0"/>
                <w:sz w:val="11"/>
              </w:rPr>
              <w:t>Vendor/Model/Runtime Substitution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Model substitution visible; conformance tracking requires validation</w:t>
            </w:r>
          </w:p>
        </w:tc>
        <w:tc>
          <w:tcPr>
            <w:tcW w:type="dxa" w:w="2400"/>
            <w:vAlign w:val="top"/>
          </w:tcPr>
          <w:p>
            <w:pPr>
              <w:spacing w:after="0"/>
              <w:jc w:val="left"/>
            </w:pPr>
            <w:r>
              <w:rPr>
                <w:rFonts w:ascii="Arial" w:hAnsi="Arial"/>
                <w:b w:val="0"/>
                <w:sz w:val="11"/>
              </w:rPr>
              <w:t>Revalidate IBM product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
    <w:p>
      <w:pPr>
        <w:pStyle w:val="Heading3"/>
      </w:pPr>
      <w:r>
        <w:t>G.2.3 Microsoft Azure AI Foundry</w:t>
      </w:r>
    </w:p>
    <w:p/>
    <w:p>
      <w:pPr>
        <w:keepNext/>
      </w:pPr>
      <w:r>
        <w:rPr>
          <w:b/>
          <w:sz w:val="17"/>
        </w:rPr>
        <w:t>Table T-G-03: Microsoft Azure AI Foundry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Assessment Area</w:t>
            </w:r>
          </w:p>
        </w:tc>
        <w:tc>
          <w:tcPr>
            <w:tcW w:type="dxa" w:w="2400"/>
            <w:vAlign w:val="top"/>
            <w:shd w:fill="D9EAF7"/>
          </w:tcPr>
          <w:p>
            <w:pPr>
              <w:spacing w:after="0"/>
              <w:jc w:val="left"/>
            </w:pPr>
            <w:r>
              <w:rPr>
                <w:rFonts w:ascii="Arial" w:hAnsi="Arial"/>
                <w:b/>
                <w:sz w:val="11"/>
              </w:rPr>
              <w:t>Provisional RCCS Posture</w:t>
            </w:r>
          </w:p>
        </w:tc>
        <w:tc>
          <w:tcPr>
            <w:tcW w:type="dxa" w:w="2400"/>
            <w:vAlign w:val="top"/>
            <w:shd w:fill="D9EAF7"/>
          </w:tcPr>
          <w:p>
            <w:pPr>
              <w:spacing w:after="0"/>
              <w:jc w:val="left"/>
            </w:pPr>
            <w:r>
              <w:rPr>
                <w:rFonts w:ascii="Arial" w:hAnsi="Arial"/>
                <w:b/>
                <w:sz w:val="11"/>
              </w:rPr>
              <w:t>Provisional ALCS Posture</w:t>
            </w:r>
          </w:p>
        </w:tc>
        <w:tc>
          <w:tcPr>
            <w:tcW w:type="dxa" w:w="2400"/>
            <w:vAlign w:val="top"/>
            <w:shd w:fill="D9EAF7"/>
          </w:tcPr>
          <w:p>
            <w:pPr>
              <w:spacing w:after="0"/>
              <w:jc w:val="left"/>
            </w:pPr>
            <w:r>
              <w:rPr>
                <w:rFonts w:ascii="Arial" w:hAnsi="Arial"/>
                <w:b/>
                <w:sz w:val="11"/>
              </w:rPr>
              <w:t>Visible Evidence Type</w:t>
            </w:r>
          </w:p>
        </w:tc>
        <w:tc>
          <w:tcPr>
            <w:tcW w:type="dxa" w:w="2400"/>
            <w:vAlign w:val="top"/>
            <w:shd w:fill="D9EAF7"/>
            <w:textDirection w:val="lrTb"/>
          </w:tcPr>
          <w:p>
            <w:pPr>
              <w:spacing w:after="0"/>
              <w:jc w:val="left"/>
            </w:pPr>
            <w:r>
              <w:rPr>
                <w:rFonts w:ascii="Arial" w:hAnsi="Arial"/>
                <w:b/>
                <w:sz w:val="11"/>
              </w:rPr>
              <w:t>Main Lifecycle Gap</w:t>
            </w:r>
          </w:p>
        </w:tc>
        <w:tc>
          <w:tcPr>
            <w:tcW w:type="dxa" w:w="2400"/>
            <w:vAlign w:val="top"/>
            <w:shd w:fill="D9EAF7"/>
          </w:tcPr>
          <w:p>
            <w:pPr>
              <w:spacing w:after="0"/>
              <w:jc w:val="left"/>
            </w:pPr>
            <w:r>
              <w:rPr>
                <w:rFonts w:ascii="Arial" w:hAnsi="Arial"/>
                <w:b/>
                <w:sz w:val="11"/>
              </w:rPr>
              <w:t>Phase 1C Revalidation Need</w:t>
            </w:r>
          </w:p>
        </w:tc>
      </w:tr>
      <w:tr>
        <w:trPr>
          <w:cantSplit/>
        </w:trPr>
        <w:tc>
          <w:tcPr>
            <w:tcW w:type="dxa" w:w="2400"/>
            <w:vAlign w:val="top"/>
          </w:tcPr>
          <w:p>
            <w:pPr>
              <w:spacing w:after="0"/>
              <w:jc w:val="left"/>
            </w:pPr>
            <w:r>
              <w:rPr>
                <w:rFonts w:ascii="Arial" w:hAnsi="Arial"/>
                <w:b w:val="0"/>
                <w:sz w:val="11"/>
              </w:rPr>
              <w:t>Risk Management</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Risk monitoring visible; formal risk assessment framework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Data Governance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Data governance controls visible; lifecycle integration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Documentation</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Extensive documentation visible; model cards and system cards require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Record-Keeping</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Logging and audit records visible; evidence export capability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Transparency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Transparency tools visible; explainability integration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Human Oversight</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Human oversight workflows visible; human-role-to-MAS mapping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Security</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Enterprise security controls visible; AI lifecycle integration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Accountability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Role assignment visible; accountability tracking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Contestability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Escalation workflows visible; formal contestability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Monitoring</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Monitoring and metrics visible; drift detection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Human-Role-to-MAS Mapping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Role mapping visible; MAS responsibility mapping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Delegated Authority Boundary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Authority controls visible; boundary enforcement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Agent-Human Role Distinction</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Role distinction visible; lifecycle integration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Accepted Outcome Compliance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Outcome validation visible; compliance tracking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Tool-Action Liability Boundary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Action definitions visible; liability boundary tracking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Responsibility Transfer</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Workflow handoff visible; responsibility transfer tracking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Authority Drift Detection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Drift detection primitives require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MAS Evidence Partitioning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Evidence partitioning visible; MAS-specific partitioning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Cross-Project Reuse Compliance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Model versioning visible; reuse compliance tracking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Privacy/GDPR Lifecycle Mapping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Privacy controls visible; GDPR lifecycle mapping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Privacy-Preserving Validation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Privacy-preserving validation primitives require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Evidence Minimization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Log filtering visible; evidence minimization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Data Subject Rights vs Retention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Retention policies visible; conflict resolution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Processor Chain Tracking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Shared responsibility model visible; processor chain tracking requires validation</w:t>
            </w:r>
          </w:p>
        </w:tc>
        <w:tc>
          <w:tcPr>
            <w:tcW w:type="dxa" w:w="2400"/>
            <w:vAlign w:val="top"/>
          </w:tcPr>
          <w:p>
            <w:pPr>
              <w:spacing w:after="0"/>
              <w:jc w:val="left"/>
            </w:pPr>
            <w:r>
              <w:rPr>
                <w:rFonts w:ascii="Arial" w:hAnsi="Arial"/>
                <w:b w:val="0"/>
                <w:sz w:val="11"/>
              </w:rPr>
              <w:t>Revalidate Microsoft product documentation</w:t>
            </w:r>
          </w:p>
        </w:tc>
      </w:tr>
      <w:tr>
        <w:trPr>
          <w:cantSplit/>
        </w:trPr>
        <w:tc>
          <w:tcPr>
            <w:tcW w:type="dxa" w:w="2400"/>
            <w:vAlign w:val="top"/>
          </w:tcPr>
          <w:p>
            <w:pPr>
              <w:spacing w:after="0"/>
              <w:jc w:val="left"/>
            </w:pPr>
            <w:r>
              <w:rPr>
                <w:rFonts w:ascii="Arial" w:hAnsi="Arial"/>
                <w:b w:val="0"/>
                <w:sz w:val="11"/>
              </w:rPr>
              <w:t>Vendor/Model/Runtime Substitution</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Model selection and versioning visible; substitution conformance tracking requires validation</w:t>
            </w:r>
          </w:p>
        </w:tc>
        <w:tc>
          <w:tcPr>
            <w:tcW w:type="dxa" w:w="2400"/>
            <w:vAlign w:val="top"/>
          </w:tcPr>
          <w:p>
            <w:pPr>
              <w:spacing w:after="0"/>
              <w:jc w:val="left"/>
            </w:pPr>
            <w:r>
              <w:rPr>
                <w:rFonts w:ascii="Arial" w:hAnsi="Arial"/>
                <w:b w:val="0"/>
                <w:sz w:val="11"/>
              </w:rPr>
              <w:t>Revalidate Microsoft product documentation</w:t>
            </w:r>
          </w:p>
        </w:tc>
      </w:tr>
    </w:tbl>
    <w:p>
      <w:pPr>
        <w:sectPr>
          <w:pgSz w:w="15840" w:h="12240" w:orient="landscape"/>
          <w:pgMar w:top="792" w:right="648" w:bottom="792" w:left="648" w:header="720" w:footer="720" w:gutter="0"/>
          <w:cols w:space="720"/>
          <w:docGrid w:linePitch="360"/>
        </w:sectPr>
      </w:pPr>
    </w:p>
    <w:p/>
    <w:p>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
    <w:p>
      <w:pPr>
        <w:pStyle w:val="Heading3"/>
      </w:pPr>
      <w:r>
        <w:t>G.2.4 AWS Bedrock / Guardrails / AgentCore</w:t>
      </w:r>
    </w:p>
    <w:p/>
    <w:p>
      <w:pPr>
        <w:keepNext/>
      </w:pPr>
      <w:r>
        <w:rPr>
          <w:b/>
          <w:sz w:val="17"/>
        </w:rPr>
        <w:t>Table T-G-04: AWS Bedrock / Guardrails / AgentCore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Assessment Area</w:t>
            </w:r>
          </w:p>
        </w:tc>
        <w:tc>
          <w:tcPr>
            <w:tcW w:type="dxa" w:w="2400"/>
            <w:vAlign w:val="top"/>
            <w:shd w:fill="D9EAF7"/>
          </w:tcPr>
          <w:p>
            <w:pPr>
              <w:spacing w:after="0"/>
              <w:jc w:val="left"/>
            </w:pPr>
            <w:r>
              <w:rPr>
                <w:rFonts w:ascii="Arial" w:hAnsi="Arial"/>
                <w:b/>
                <w:sz w:val="11"/>
              </w:rPr>
              <w:t>Provisional RCCS Posture</w:t>
            </w:r>
          </w:p>
        </w:tc>
        <w:tc>
          <w:tcPr>
            <w:tcW w:type="dxa" w:w="2400"/>
            <w:vAlign w:val="top"/>
            <w:shd w:fill="D9EAF7"/>
          </w:tcPr>
          <w:p>
            <w:pPr>
              <w:spacing w:after="0"/>
              <w:jc w:val="left"/>
            </w:pPr>
            <w:r>
              <w:rPr>
                <w:rFonts w:ascii="Arial" w:hAnsi="Arial"/>
                <w:b/>
                <w:sz w:val="11"/>
              </w:rPr>
              <w:t>Provisional ALCS Posture</w:t>
            </w:r>
          </w:p>
        </w:tc>
        <w:tc>
          <w:tcPr>
            <w:tcW w:type="dxa" w:w="2400"/>
            <w:vAlign w:val="top"/>
            <w:shd w:fill="D9EAF7"/>
          </w:tcPr>
          <w:p>
            <w:pPr>
              <w:spacing w:after="0"/>
              <w:jc w:val="left"/>
            </w:pPr>
            <w:r>
              <w:rPr>
                <w:rFonts w:ascii="Arial" w:hAnsi="Arial"/>
                <w:b/>
                <w:sz w:val="11"/>
              </w:rPr>
              <w:t>Visible Evidence Type</w:t>
            </w:r>
          </w:p>
        </w:tc>
        <w:tc>
          <w:tcPr>
            <w:tcW w:type="dxa" w:w="2400"/>
            <w:vAlign w:val="top"/>
            <w:shd w:fill="D9EAF7"/>
            <w:textDirection w:val="lrTb"/>
          </w:tcPr>
          <w:p>
            <w:pPr>
              <w:spacing w:after="0"/>
              <w:jc w:val="left"/>
            </w:pPr>
            <w:r>
              <w:rPr>
                <w:rFonts w:ascii="Arial" w:hAnsi="Arial"/>
                <w:b/>
                <w:sz w:val="11"/>
              </w:rPr>
              <w:t>Main Lifecycle Gap</w:t>
            </w:r>
          </w:p>
        </w:tc>
        <w:tc>
          <w:tcPr>
            <w:tcW w:type="dxa" w:w="2400"/>
            <w:vAlign w:val="top"/>
            <w:shd w:fill="D9EAF7"/>
          </w:tcPr>
          <w:p>
            <w:pPr>
              <w:spacing w:after="0"/>
              <w:jc w:val="left"/>
            </w:pPr>
            <w:r>
              <w:rPr>
                <w:rFonts w:ascii="Arial" w:hAnsi="Arial"/>
                <w:b/>
                <w:sz w:val="11"/>
              </w:rPr>
              <w:t>Phase 1C Revalidation Need</w:t>
            </w:r>
          </w:p>
        </w:tc>
      </w:tr>
      <w:tr>
        <w:trPr>
          <w:cantSplit/>
        </w:trPr>
        <w:tc>
          <w:tcPr>
            <w:tcW w:type="dxa" w:w="2400"/>
            <w:vAlign w:val="top"/>
          </w:tcPr>
          <w:p>
            <w:pPr>
              <w:spacing w:after="0"/>
              <w:jc w:val="left"/>
            </w:pPr>
            <w:r>
              <w:rPr>
                <w:rFonts w:ascii="Arial" w:hAnsi="Arial"/>
                <w:b w:val="0"/>
                <w:sz w:val="11"/>
              </w:rPr>
              <w:t>Risk Management</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Guardrails visible; formal risk assessment framework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Data Governance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Data governance controls visible; lifecycle integration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Documentation</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Extensive AWS documentation visible; model cards and system cards require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Record-Keeping</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CloudWatch logging and audit records visible; evidence export capability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Transparency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Trace logs visible; explainability integration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Human Oversight</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Action group approval visible; human-role-to-MAS mapping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Security</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IAM integration and encryption visible; AI lifecycle security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Accountability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IAM roles visible; accountability tracking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Contestability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Contestability primitives require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Monitoring</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CloudWatch monitoring visible; drift detection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Human-Role-to-MAS Mapping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IAM role mapping visible; MAS responsibility mapping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Delegated Authority Boundary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Action group permissions visible; boundary enforcement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Agent-Human Role Distinction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Agent definitions and IAM roles visible; distinction mechanisms require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Accepted Outcome Compliance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Guardrails for outcome validation visible; compliance tracking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Tool-Action Liability Boundary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Action group definitions visible; liability boundary tracking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Responsibility Transfer</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Agent orchestration visible; responsibility transfer tracking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Authority Drift Detection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Drift detection primitives require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MAS Evidence Partitioning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Per-agent CloudWatch logs visible; MAS evidence partitioning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Cross-Project Reuse Compliance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Agent versioning visible; reuse compliance tracking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Privacy/GDPR Lifecycle Mapping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AWS compliance controls visible; GDPR lifecycle mapping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Privacy-Preserving Validation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Privacy-preserving validation primitives require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Evidence Minimization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Log filtering visible; evidence minimization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Data Subject Rights vs Retention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Retention policies visible; conflict resolution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Processor Chain Tracking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AWS shared responsibility model visible; processor chain tracking requires validation</w:t>
            </w:r>
          </w:p>
        </w:tc>
        <w:tc>
          <w:tcPr>
            <w:tcW w:type="dxa" w:w="2400"/>
            <w:vAlign w:val="top"/>
          </w:tcPr>
          <w:p>
            <w:pPr>
              <w:spacing w:after="0"/>
              <w:jc w:val="left"/>
            </w:pPr>
            <w:r>
              <w:rPr>
                <w:rFonts w:ascii="Arial" w:hAnsi="Arial"/>
                <w:b w:val="0"/>
                <w:sz w:val="11"/>
              </w:rPr>
              <w:t>Revalidate AWS product documentation</w:t>
            </w:r>
          </w:p>
        </w:tc>
      </w:tr>
      <w:tr>
        <w:trPr>
          <w:cantSplit/>
        </w:trPr>
        <w:tc>
          <w:tcPr>
            <w:tcW w:type="dxa" w:w="2400"/>
            <w:vAlign w:val="top"/>
          </w:tcPr>
          <w:p>
            <w:pPr>
              <w:spacing w:after="0"/>
              <w:jc w:val="left"/>
            </w:pPr>
            <w:r>
              <w:rPr>
                <w:rFonts w:ascii="Arial" w:hAnsi="Arial"/>
                <w:b w:val="0"/>
                <w:sz w:val="11"/>
              </w:rPr>
              <w:t>Vendor/Model/Runtime Substitution</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Model selection and versioning visible; substitution conformance tracking requires validation</w:t>
            </w:r>
          </w:p>
        </w:tc>
        <w:tc>
          <w:tcPr>
            <w:tcW w:type="dxa" w:w="2400"/>
            <w:vAlign w:val="top"/>
          </w:tcPr>
          <w:p>
            <w:pPr>
              <w:spacing w:after="0"/>
              <w:jc w:val="left"/>
            </w:pPr>
            <w:r>
              <w:rPr>
                <w:rFonts w:ascii="Arial" w:hAnsi="Arial"/>
                <w:b w:val="0"/>
                <w:sz w:val="11"/>
              </w:rPr>
              <w:t>Revalidate AWS product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
    <w:p>
      <w:pPr>
        <w:pStyle w:val="Heading3"/>
      </w:pPr>
      <w:r>
        <w:t>G.2.5 Google Vertex AI / ADK / Model Armor</w:t>
      </w:r>
    </w:p>
    <w:p/>
    <w:p>
      <w:pPr>
        <w:keepNext/>
      </w:pPr>
      <w:r>
        <w:rPr>
          <w:b/>
          <w:sz w:val="17"/>
        </w:rPr>
        <w:t>Table T-G-05: Google Vertex AI / ADK / Model Armor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Assessment Area</w:t>
            </w:r>
          </w:p>
        </w:tc>
        <w:tc>
          <w:tcPr>
            <w:tcW w:type="dxa" w:w="2400"/>
            <w:vAlign w:val="top"/>
            <w:shd w:fill="D9EAF7"/>
          </w:tcPr>
          <w:p>
            <w:pPr>
              <w:spacing w:after="0"/>
              <w:jc w:val="left"/>
            </w:pPr>
            <w:r>
              <w:rPr>
                <w:rFonts w:ascii="Arial" w:hAnsi="Arial"/>
                <w:b/>
                <w:sz w:val="11"/>
              </w:rPr>
              <w:t>Provisional RCCS Posture</w:t>
            </w:r>
          </w:p>
        </w:tc>
        <w:tc>
          <w:tcPr>
            <w:tcW w:type="dxa" w:w="2400"/>
            <w:vAlign w:val="top"/>
            <w:shd w:fill="D9EAF7"/>
          </w:tcPr>
          <w:p>
            <w:pPr>
              <w:spacing w:after="0"/>
              <w:jc w:val="left"/>
            </w:pPr>
            <w:r>
              <w:rPr>
                <w:rFonts w:ascii="Arial" w:hAnsi="Arial"/>
                <w:b/>
                <w:sz w:val="11"/>
              </w:rPr>
              <w:t>Provisional ALCS Posture</w:t>
            </w:r>
          </w:p>
        </w:tc>
        <w:tc>
          <w:tcPr>
            <w:tcW w:type="dxa" w:w="2400"/>
            <w:vAlign w:val="top"/>
            <w:shd w:fill="D9EAF7"/>
          </w:tcPr>
          <w:p>
            <w:pPr>
              <w:spacing w:after="0"/>
              <w:jc w:val="left"/>
            </w:pPr>
            <w:r>
              <w:rPr>
                <w:rFonts w:ascii="Arial" w:hAnsi="Arial"/>
                <w:b/>
                <w:sz w:val="11"/>
              </w:rPr>
              <w:t>Visible Evidence Type</w:t>
            </w:r>
          </w:p>
        </w:tc>
        <w:tc>
          <w:tcPr>
            <w:tcW w:type="dxa" w:w="2400"/>
            <w:vAlign w:val="top"/>
            <w:shd w:fill="D9EAF7"/>
            <w:textDirection w:val="lrTb"/>
          </w:tcPr>
          <w:p>
            <w:pPr>
              <w:spacing w:after="0"/>
              <w:jc w:val="left"/>
            </w:pPr>
            <w:r>
              <w:rPr>
                <w:rFonts w:ascii="Arial" w:hAnsi="Arial"/>
                <w:b/>
                <w:sz w:val="11"/>
              </w:rPr>
              <w:t>Main Lifecycle Gap</w:t>
            </w:r>
          </w:p>
        </w:tc>
        <w:tc>
          <w:tcPr>
            <w:tcW w:type="dxa" w:w="2400"/>
            <w:vAlign w:val="top"/>
            <w:shd w:fill="D9EAF7"/>
          </w:tcPr>
          <w:p>
            <w:pPr>
              <w:spacing w:after="0"/>
              <w:jc w:val="left"/>
            </w:pPr>
            <w:r>
              <w:rPr>
                <w:rFonts w:ascii="Arial" w:hAnsi="Arial"/>
                <w:b/>
                <w:sz w:val="11"/>
              </w:rPr>
              <w:t>Phase 1C Revalidation Need</w:t>
            </w:r>
          </w:p>
        </w:tc>
      </w:tr>
      <w:tr>
        <w:trPr>
          <w:cantSplit/>
        </w:trPr>
        <w:tc>
          <w:tcPr>
            <w:tcW w:type="dxa" w:w="2400"/>
            <w:vAlign w:val="top"/>
          </w:tcPr>
          <w:p>
            <w:pPr>
              <w:spacing w:after="0"/>
              <w:jc w:val="left"/>
            </w:pPr>
            <w:r>
              <w:rPr>
                <w:rFonts w:ascii="Arial" w:hAnsi="Arial"/>
                <w:b w:val="0"/>
                <w:sz w:val="11"/>
              </w:rPr>
              <w:t>Risk Management</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Model monitoring visible; formal risk assessment framework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Data Governance</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Data governance controls visible; lifecycle integration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Documentation</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Extensive Google Cloud documentation visible; model cards and system cards require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Record-Keeping</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Cloud Logging and audit records visible; evidence export capability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Transparency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Conversation logs visible; explainability integration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Human Oversight</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Human handoff visible; human-role-to-MAS mapping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Security</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IAM integration and encryption visible; AI lifecycle security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Accountability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IAM roles visible; accountability tracking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Contestability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Contestability primitives require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Monitoring</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Cloud Monitoring visible; drift detection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Human-Role-to-MAS Mapping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IAM role mapping visible; MAS responsibility mapping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Delegated Authority Boundary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Tool permissions visible; boundary enforcement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Agent-Human Role Distinction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Agent definitions and IAM roles visible; distinction mechanisms require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Accepted Outcome Compliance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Response validation visible; compliance tracking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Tool-Action Liability Boundary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Tool definitions visible; liability boundary tracking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Responsibility Transfer</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Agent orchestration visible; responsibility transfer tracking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Authority Drift Detection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Drift detection primitives require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MAS Evidence Partitioning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Per-agent Cloud Logging visible; MAS evidence partitioning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Cross-Project Reuse Compliance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Agent versioning visible; reuse compliance tracking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Privacy/GDPR Lifecycle Mapping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Google Cloud compliance controls visible; GDPR lifecycle mapping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Privacy-Preserving Validation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Privacy-preserving validation primitives require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Evidence Minimization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Log filtering visible; evidence minimization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Data Subject Rights vs Retention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Retention policies visible; conflict resolution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Processor Chain Tracking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Google Cloud shared responsibility model visible; processor chain tracking requires validation</w:t>
            </w:r>
          </w:p>
        </w:tc>
        <w:tc>
          <w:tcPr>
            <w:tcW w:type="dxa" w:w="2400"/>
            <w:vAlign w:val="top"/>
          </w:tcPr>
          <w:p>
            <w:pPr>
              <w:spacing w:after="0"/>
              <w:jc w:val="left"/>
            </w:pPr>
            <w:r>
              <w:rPr>
                <w:rFonts w:ascii="Arial" w:hAnsi="Arial"/>
                <w:b w:val="0"/>
                <w:sz w:val="11"/>
              </w:rPr>
              <w:t>Revalidate Google product documentation</w:t>
            </w:r>
          </w:p>
        </w:tc>
      </w:tr>
      <w:tr>
        <w:trPr>
          <w:cantSplit/>
        </w:trPr>
        <w:tc>
          <w:tcPr>
            <w:tcW w:type="dxa" w:w="2400"/>
            <w:vAlign w:val="top"/>
          </w:tcPr>
          <w:p>
            <w:pPr>
              <w:spacing w:after="0"/>
              <w:jc w:val="left"/>
            </w:pPr>
            <w:r>
              <w:rPr>
                <w:rFonts w:ascii="Arial" w:hAnsi="Arial"/>
                <w:b w:val="0"/>
                <w:sz w:val="11"/>
              </w:rPr>
              <w:t>Vendor/Model/Runtime Substitution</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Model selection and versioning visible; substitution conformance tracking requires validation</w:t>
            </w:r>
          </w:p>
        </w:tc>
        <w:tc>
          <w:tcPr>
            <w:tcW w:type="dxa" w:w="2400"/>
            <w:vAlign w:val="top"/>
          </w:tcPr>
          <w:p>
            <w:pPr>
              <w:spacing w:after="0"/>
              <w:jc w:val="left"/>
            </w:pPr>
            <w:r>
              <w:rPr>
                <w:rFonts w:ascii="Arial" w:hAnsi="Arial"/>
                <w:b w:val="0"/>
                <w:sz w:val="11"/>
              </w:rPr>
              <w:t>Revalidate Google product documentation</w:t>
            </w:r>
          </w:p>
        </w:tc>
      </w:tr>
    </w:tbl>
    <w:p>
      <w:pPr>
        <w:sectPr>
          <w:pgSz w:w="15840" w:h="12240" w:orient="landscape"/>
          <w:pgMar w:top="792" w:right="648" w:bottom="792" w:left="648" w:header="720" w:footer="720" w:gutter="0"/>
          <w:cols w:space="720"/>
          <w:docGrid w:linePitch="360"/>
        </w:sectPr>
      </w:pPr>
    </w:p>
    <w:p/>
    <w:p>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
    <w:p>
      <w:pPr>
        <w:pStyle w:val="Heading3"/>
      </w:pPr>
      <w:r>
        <w:t>G.2.6 LangGraph / LangSmith</w:t>
      </w:r>
    </w:p>
    <w:p/>
    <w:p>
      <w:pPr>
        <w:keepNext/>
      </w:pPr>
      <w:r>
        <w:rPr>
          <w:b/>
          <w:sz w:val="17"/>
        </w:rPr>
        <w:t>Table T-G-06: LangGraph / LangSmith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Assessment Area</w:t>
            </w:r>
          </w:p>
        </w:tc>
        <w:tc>
          <w:tcPr>
            <w:tcW w:type="dxa" w:w="2400"/>
            <w:vAlign w:val="top"/>
            <w:shd w:fill="D9EAF7"/>
          </w:tcPr>
          <w:p>
            <w:pPr>
              <w:spacing w:after="0"/>
              <w:jc w:val="left"/>
            </w:pPr>
            <w:r>
              <w:rPr>
                <w:rFonts w:ascii="Arial" w:hAnsi="Arial"/>
                <w:b/>
                <w:sz w:val="11"/>
              </w:rPr>
              <w:t>Provisional RCCS Posture</w:t>
            </w:r>
          </w:p>
        </w:tc>
        <w:tc>
          <w:tcPr>
            <w:tcW w:type="dxa" w:w="2400"/>
            <w:vAlign w:val="top"/>
            <w:shd w:fill="D9EAF7"/>
          </w:tcPr>
          <w:p>
            <w:pPr>
              <w:spacing w:after="0"/>
              <w:jc w:val="left"/>
            </w:pPr>
            <w:r>
              <w:rPr>
                <w:rFonts w:ascii="Arial" w:hAnsi="Arial"/>
                <w:b/>
                <w:sz w:val="11"/>
              </w:rPr>
              <w:t>Provisional ALCS Posture</w:t>
            </w:r>
          </w:p>
        </w:tc>
        <w:tc>
          <w:tcPr>
            <w:tcW w:type="dxa" w:w="2400"/>
            <w:vAlign w:val="top"/>
            <w:shd w:fill="D9EAF7"/>
          </w:tcPr>
          <w:p>
            <w:pPr>
              <w:spacing w:after="0"/>
              <w:jc w:val="left"/>
            </w:pPr>
            <w:r>
              <w:rPr>
                <w:rFonts w:ascii="Arial" w:hAnsi="Arial"/>
                <w:b/>
                <w:sz w:val="11"/>
              </w:rPr>
              <w:t>Visible Evidence Type</w:t>
            </w:r>
          </w:p>
        </w:tc>
        <w:tc>
          <w:tcPr>
            <w:tcW w:type="dxa" w:w="2400"/>
            <w:vAlign w:val="top"/>
            <w:shd w:fill="D9EAF7"/>
            <w:textDirection w:val="lrTb"/>
          </w:tcPr>
          <w:p>
            <w:pPr>
              <w:spacing w:after="0"/>
              <w:jc w:val="left"/>
            </w:pPr>
            <w:r>
              <w:rPr>
                <w:rFonts w:ascii="Arial" w:hAnsi="Arial"/>
                <w:b/>
                <w:sz w:val="11"/>
              </w:rPr>
              <w:t>Main Lifecycle Gap</w:t>
            </w:r>
          </w:p>
        </w:tc>
        <w:tc>
          <w:tcPr>
            <w:tcW w:type="dxa" w:w="2400"/>
            <w:vAlign w:val="top"/>
            <w:shd w:fill="D9EAF7"/>
          </w:tcPr>
          <w:p>
            <w:pPr>
              <w:spacing w:after="0"/>
              <w:jc w:val="left"/>
            </w:pPr>
            <w:r>
              <w:rPr>
                <w:rFonts w:ascii="Arial" w:hAnsi="Arial"/>
                <w:b/>
                <w:sz w:val="11"/>
              </w:rPr>
              <w:t>Phase 1C Revalidation Need</w:t>
            </w:r>
          </w:p>
        </w:tc>
      </w:tr>
      <w:tr>
        <w:trPr>
          <w:cantSplit/>
        </w:trPr>
        <w:tc>
          <w:tcPr>
            <w:tcW w:type="dxa" w:w="2400"/>
            <w:vAlign w:val="top"/>
          </w:tcPr>
          <w:p>
            <w:pPr>
              <w:spacing w:after="0"/>
              <w:jc w:val="left"/>
            </w:pPr>
            <w:r>
              <w:rPr>
                <w:rFonts w:ascii="Arial" w:hAnsi="Arial"/>
                <w:b w:val="0"/>
                <w:sz w:val="11"/>
              </w:rPr>
              <w:t>Risk Management</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Callback mechanisms visible; formal risk assessment framework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Data Governance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Data loaders visible; formal data governance framework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Documentation</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Extensive API documentation visible; model cards and system cards require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Record-Keeping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LangSmith tracing visible; formal audit trail and evidence export require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Transparency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Graph visualization visible; explainability integration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Human Oversight</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Human-in-the-loop via interrupts visible; formal oversight framework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Security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API key management visible; formal security framework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Accountability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Node naming visible; formal accountability tracking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Contestability</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Contestability primitives require implementer integration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Monitoring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LangSmith monitoring visible; drift detection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Human-Role-to-MAS Mapping</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Node definitions visible; formal human-role-to-MAS mapping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Delegated Authority Boundary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Tool definitions visible; formal boundary enforcement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Agent-Human Role Distinction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Node types visible; formal distinction mechanisms require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Accepted Outcome Compliance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Output validation visible; formal compliance tracking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Tool-Action Liability Boundary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Tool definitions visible; formal liability boundary tracking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Responsibility Transfer</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Graph edges visible; formal responsibility transfer tracking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Authority Drift Detection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Drift detection primitives require implementer integration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MAS Evidence Partitioning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LangSmith per-node tracing visible; formal MAS evidence partitioning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Cross-Project Reuse Compliance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Graph serialization visible; formal reuse compliance tracking requires validation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Privacy/GDPR Lifecycle Mapping</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Privacy/GDPR lifecycle mapping primitives require implementer integration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Privacy-Preserving Validation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Privacy-preserving validation primitives require implementer integration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Evidence Minimization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Evidence minimization primitives require implementer integration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Data Subject Rights vs Retention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Rights-retention conflict resolution primitives require implementer integration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Processor Chain Tracking</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Processor chain tracking primitives require implementer integration</w:t>
            </w:r>
          </w:p>
        </w:tc>
        <w:tc>
          <w:tcPr>
            <w:tcW w:type="dxa" w:w="2400"/>
            <w:vAlign w:val="top"/>
          </w:tcPr>
          <w:p>
            <w:pPr>
              <w:spacing w:after="0"/>
              <w:jc w:val="left"/>
            </w:pPr>
            <w:r>
              <w:rPr>
                <w:rFonts w:ascii="Arial" w:hAnsi="Arial"/>
                <w:b w:val="0"/>
                <w:sz w:val="11"/>
              </w:rPr>
              <w:t>Revalidate LangGraph/LangSmith documentation</w:t>
            </w:r>
          </w:p>
        </w:tc>
      </w:tr>
      <w:tr>
        <w:trPr>
          <w:cantSplit/>
        </w:trPr>
        <w:tc>
          <w:tcPr>
            <w:tcW w:type="dxa" w:w="2400"/>
            <w:vAlign w:val="top"/>
          </w:tcPr>
          <w:p>
            <w:pPr>
              <w:spacing w:after="0"/>
              <w:jc w:val="left"/>
            </w:pPr>
            <w:r>
              <w:rPr>
                <w:rFonts w:ascii="Arial" w:hAnsi="Arial"/>
                <w:b w:val="0"/>
                <w:sz w:val="11"/>
              </w:rPr>
              <w:t>Vendor/Model/Runtime Substitution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Model abstraction visible; formal substitution conformance tracking requires validation</w:t>
            </w:r>
          </w:p>
        </w:tc>
        <w:tc>
          <w:tcPr>
            <w:tcW w:type="dxa" w:w="2400"/>
            <w:vAlign w:val="top"/>
          </w:tcPr>
          <w:p>
            <w:pPr>
              <w:spacing w:after="0"/>
              <w:jc w:val="left"/>
            </w:pPr>
            <w:r>
              <w:rPr>
                <w:rFonts w:ascii="Arial" w:hAnsi="Arial"/>
                <w:b w:val="0"/>
                <w:sz w:val="11"/>
              </w:rPr>
              <w:t>Revalidate LangGraph/LangSmith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
    <w:p>
      <w:pPr>
        <w:pStyle w:val="Heading3"/>
      </w:pPr>
      <w:r>
        <w:t>G.2.7 OpenAI Agents SDK</w:t>
      </w:r>
    </w:p>
    <w:p/>
    <w:p>
      <w:pPr>
        <w:keepNext/>
      </w:pPr>
      <w:r>
        <w:rPr>
          <w:b/>
          <w:sz w:val="17"/>
        </w:rPr>
        <w:t>Table T-G-07: OpenAI Agents SDK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Assessment Area</w:t>
            </w:r>
          </w:p>
        </w:tc>
        <w:tc>
          <w:tcPr>
            <w:tcW w:type="dxa" w:w="2400"/>
            <w:vAlign w:val="top"/>
            <w:shd w:fill="D9EAF7"/>
          </w:tcPr>
          <w:p>
            <w:pPr>
              <w:spacing w:after="0"/>
              <w:jc w:val="left"/>
            </w:pPr>
            <w:r>
              <w:rPr>
                <w:rFonts w:ascii="Arial" w:hAnsi="Arial"/>
                <w:b/>
                <w:sz w:val="11"/>
              </w:rPr>
              <w:t>Provisional RCCS Posture</w:t>
            </w:r>
          </w:p>
        </w:tc>
        <w:tc>
          <w:tcPr>
            <w:tcW w:type="dxa" w:w="2400"/>
            <w:vAlign w:val="top"/>
            <w:shd w:fill="D9EAF7"/>
          </w:tcPr>
          <w:p>
            <w:pPr>
              <w:spacing w:after="0"/>
              <w:jc w:val="left"/>
            </w:pPr>
            <w:r>
              <w:rPr>
                <w:rFonts w:ascii="Arial" w:hAnsi="Arial"/>
                <w:b/>
                <w:sz w:val="11"/>
              </w:rPr>
              <w:t>Provisional ALCS Posture</w:t>
            </w:r>
          </w:p>
        </w:tc>
        <w:tc>
          <w:tcPr>
            <w:tcW w:type="dxa" w:w="2400"/>
            <w:vAlign w:val="top"/>
            <w:shd w:fill="D9EAF7"/>
          </w:tcPr>
          <w:p>
            <w:pPr>
              <w:spacing w:after="0"/>
              <w:jc w:val="left"/>
            </w:pPr>
            <w:r>
              <w:rPr>
                <w:rFonts w:ascii="Arial" w:hAnsi="Arial"/>
                <w:b/>
                <w:sz w:val="11"/>
              </w:rPr>
              <w:t>Visible Evidence Type</w:t>
            </w:r>
          </w:p>
        </w:tc>
        <w:tc>
          <w:tcPr>
            <w:tcW w:type="dxa" w:w="2400"/>
            <w:vAlign w:val="top"/>
            <w:shd w:fill="D9EAF7"/>
            <w:textDirection w:val="lrTb"/>
          </w:tcPr>
          <w:p>
            <w:pPr>
              <w:spacing w:after="0"/>
              <w:jc w:val="left"/>
            </w:pPr>
            <w:r>
              <w:rPr>
                <w:rFonts w:ascii="Arial" w:hAnsi="Arial"/>
                <w:b/>
                <w:sz w:val="11"/>
              </w:rPr>
              <w:t>Main Lifecycle Gap</w:t>
            </w:r>
          </w:p>
        </w:tc>
        <w:tc>
          <w:tcPr>
            <w:tcW w:type="dxa" w:w="2400"/>
            <w:vAlign w:val="top"/>
            <w:shd w:fill="D9EAF7"/>
          </w:tcPr>
          <w:p>
            <w:pPr>
              <w:spacing w:after="0"/>
              <w:jc w:val="left"/>
            </w:pPr>
            <w:r>
              <w:rPr>
                <w:rFonts w:ascii="Arial" w:hAnsi="Arial"/>
                <w:b/>
                <w:sz w:val="11"/>
              </w:rPr>
              <w:t>Phase 1C Revalidation Need</w:t>
            </w:r>
          </w:p>
        </w:tc>
      </w:tr>
      <w:tr>
        <w:trPr>
          <w:cantSplit/>
        </w:trPr>
        <w:tc>
          <w:tcPr>
            <w:tcW w:type="dxa" w:w="2400"/>
            <w:vAlign w:val="top"/>
          </w:tcPr>
          <w:p>
            <w:pPr>
              <w:spacing w:after="0"/>
              <w:jc w:val="left"/>
            </w:pPr>
            <w:r>
              <w:rPr>
                <w:rFonts w:ascii="Arial" w:hAnsi="Arial"/>
                <w:b w:val="0"/>
                <w:sz w:val="11"/>
              </w:rPr>
              <w:t>Risk Management</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Usage monitoring visible; formal risk assessment framework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Data Governance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File management visible; formal data governance framework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Documentation</w:t>
            </w:r>
          </w:p>
        </w:tc>
        <w:tc>
          <w:tcPr>
            <w:tcW w:type="dxa" w:w="2400"/>
            <w:vAlign w:val="top"/>
          </w:tcPr>
          <w:p>
            <w:pPr>
              <w:spacing w:after="0"/>
              <w:jc w:val="left"/>
            </w:pPr>
            <w:r>
              <w:rPr>
                <w:rFonts w:ascii="Arial" w:hAnsi="Arial"/>
                <w:b w:val="0"/>
                <w:sz w:val="11"/>
              </w:rPr>
              <w:t>Strong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Extensive API documentation and model cards visible; system cards require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Record-Keeping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Thread history visible; formal audit trail and evidence export require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Transparency</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Run steps visible; explainability integration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Human Oversight</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Function calling approval patterns visible; formal oversight framework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Security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API key management and SOC 2 compliance visible; formal AI lifecycle security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Accountability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Assistant naming visible; formal accountability tracking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Contestability</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Contestability primitives require implementer integration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Monitoring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Usage metrics visible; drift detection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Human-Role-to-MAS Mapping</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Function calling visible; formal human-role-to-MAS mapping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Delegated Authority Boundary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Function definitions visible; formal boundary enforcement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Agent-Human Role Distinction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Assistant/user message distinction visible; formal distinction mechanisms require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Accepted Outcome Compliance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Output validation visible; formal compliance tracking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Tool-Action Liability Boundary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Function calling visible; formal liability boundary tracking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Responsibility Transfer</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Thread management visible; formal responsibility transfer tracking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Authority Drift Detection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Drift detection primitives require implementer integration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MAS Evidence Partitioning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Per-thread history visible; formal MAS evidence partitioning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Cross-Project Reuse Compliance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Assistant definitions visible; formal reuse compliance tracking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Privacy/GDPR Lifecycle Mapping</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Data retention controls visible; formal GDPR lifecycle mapping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Privacy-Preserving Validation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Privacy-preserving validation primitives require implementer integration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Evidence Minimization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Evidence minimization primitives require implementer integration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Data Subject Rights vs Retention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Data deletion visible; formal conflict resolution requires validation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Processor Chain Tracking</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Processor chain tracking primitives require implementer integration</w:t>
            </w:r>
          </w:p>
        </w:tc>
        <w:tc>
          <w:tcPr>
            <w:tcW w:type="dxa" w:w="2400"/>
            <w:vAlign w:val="top"/>
          </w:tcPr>
          <w:p>
            <w:pPr>
              <w:spacing w:after="0"/>
              <w:jc w:val="left"/>
            </w:pPr>
            <w:r>
              <w:rPr>
                <w:rFonts w:ascii="Arial" w:hAnsi="Arial"/>
                <w:b w:val="0"/>
                <w:sz w:val="11"/>
              </w:rPr>
              <w:t>Revalidate OpenAI product documentation</w:t>
            </w:r>
          </w:p>
        </w:tc>
      </w:tr>
      <w:tr>
        <w:trPr>
          <w:cantSplit/>
        </w:trPr>
        <w:tc>
          <w:tcPr>
            <w:tcW w:type="dxa" w:w="2400"/>
            <w:vAlign w:val="top"/>
          </w:tcPr>
          <w:p>
            <w:pPr>
              <w:spacing w:after="0"/>
              <w:jc w:val="left"/>
            </w:pPr>
            <w:r>
              <w:rPr>
                <w:rFonts w:ascii="Arial" w:hAnsi="Arial"/>
                <w:b w:val="0"/>
                <w:sz w:val="11"/>
              </w:rPr>
              <w:t>Vendor/Model/Runtime Substitution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w:t>
            </w:r>
          </w:p>
        </w:tc>
        <w:tc>
          <w:tcPr>
            <w:tcW w:type="dxa" w:w="2400"/>
            <w:vAlign w:val="top"/>
          </w:tcPr>
          <w:p>
            <w:pPr>
              <w:spacing w:after="0"/>
              <w:jc w:val="left"/>
            </w:pPr>
            <w:r>
              <w:rPr>
                <w:rFonts w:ascii="Arial" w:hAnsi="Arial"/>
                <w:b w:val="0"/>
                <w:sz w:val="11"/>
              </w:rPr>
              <w:t>Model selection visible; formal substitution conformance tracking requires validation</w:t>
            </w:r>
          </w:p>
        </w:tc>
        <w:tc>
          <w:tcPr>
            <w:tcW w:type="dxa" w:w="2400"/>
            <w:vAlign w:val="top"/>
          </w:tcPr>
          <w:p>
            <w:pPr>
              <w:spacing w:after="0"/>
              <w:jc w:val="left"/>
            </w:pPr>
            <w:r>
              <w:rPr>
                <w:rFonts w:ascii="Arial" w:hAnsi="Arial"/>
                <w:b w:val="0"/>
                <w:sz w:val="11"/>
              </w:rPr>
              <w:t>Revalidate OpenAI product documentation</w:t>
            </w:r>
          </w:p>
        </w:tc>
      </w:tr>
    </w:tbl>
    <w:p>
      <w:pPr>
        <w:sectPr>
          <w:pgSz w:w="15840" w:h="12240" w:orient="landscape"/>
          <w:pgMar w:top="792" w:right="648" w:bottom="792" w:left="648" w:header="720" w:footer="720" w:gutter="0"/>
          <w:cols w:space="720"/>
          <w:docGrid w:linePitch="360"/>
        </w:sectPr>
      </w:pPr>
    </w:p>
    <w:p/>
    <w:p>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
    <w:p>
      <w:pPr>
        <w:pStyle w:val="Heading3"/>
      </w:pPr>
      <w:r>
        <w:t>G.2.8 CrewAI</w:t>
      </w:r>
    </w:p>
    <w:p/>
    <w:p>
      <w:pPr>
        <w:keepNext/>
      </w:pPr>
      <w:r>
        <w:rPr>
          <w:b/>
          <w:sz w:val="17"/>
        </w:rPr>
        <w:t>Table T-G-08: CrewAI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Assessment Area</w:t>
            </w:r>
          </w:p>
        </w:tc>
        <w:tc>
          <w:tcPr>
            <w:tcW w:type="dxa" w:w="2400"/>
            <w:vAlign w:val="top"/>
            <w:shd w:fill="D9EAF7"/>
          </w:tcPr>
          <w:p>
            <w:pPr>
              <w:spacing w:after="0"/>
              <w:jc w:val="left"/>
            </w:pPr>
            <w:r>
              <w:rPr>
                <w:rFonts w:ascii="Arial" w:hAnsi="Arial"/>
                <w:b/>
                <w:sz w:val="11"/>
              </w:rPr>
              <w:t>Provisional RCCS Posture</w:t>
            </w:r>
          </w:p>
        </w:tc>
        <w:tc>
          <w:tcPr>
            <w:tcW w:type="dxa" w:w="2400"/>
            <w:vAlign w:val="top"/>
            <w:shd w:fill="D9EAF7"/>
          </w:tcPr>
          <w:p>
            <w:pPr>
              <w:spacing w:after="0"/>
              <w:jc w:val="left"/>
            </w:pPr>
            <w:r>
              <w:rPr>
                <w:rFonts w:ascii="Arial" w:hAnsi="Arial"/>
                <w:b/>
                <w:sz w:val="11"/>
              </w:rPr>
              <w:t>Provisional ALCS Posture</w:t>
            </w:r>
          </w:p>
        </w:tc>
        <w:tc>
          <w:tcPr>
            <w:tcW w:type="dxa" w:w="2400"/>
            <w:vAlign w:val="top"/>
            <w:shd w:fill="D9EAF7"/>
          </w:tcPr>
          <w:p>
            <w:pPr>
              <w:spacing w:after="0"/>
              <w:jc w:val="left"/>
            </w:pPr>
            <w:r>
              <w:rPr>
                <w:rFonts w:ascii="Arial" w:hAnsi="Arial"/>
                <w:b/>
                <w:sz w:val="11"/>
              </w:rPr>
              <w:t>Visible Evidence Type</w:t>
            </w:r>
          </w:p>
        </w:tc>
        <w:tc>
          <w:tcPr>
            <w:tcW w:type="dxa" w:w="2400"/>
            <w:vAlign w:val="top"/>
            <w:shd w:fill="D9EAF7"/>
            <w:textDirection w:val="lrTb"/>
          </w:tcPr>
          <w:p>
            <w:pPr>
              <w:spacing w:after="0"/>
              <w:jc w:val="left"/>
            </w:pPr>
            <w:r>
              <w:rPr>
                <w:rFonts w:ascii="Arial" w:hAnsi="Arial"/>
                <w:b/>
                <w:sz w:val="11"/>
              </w:rPr>
              <w:t>Main Lifecycle Gap</w:t>
            </w:r>
          </w:p>
        </w:tc>
        <w:tc>
          <w:tcPr>
            <w:tcW w:type="dxa" w:w="2400"/>
            <w:vAlign w:val="top"/>
            <w:shd w:fill="D9EAF7"/>
          </w:tcPr>
          <w:p>
            <w:pPr>
              <w:spacing w:after="0"/>
              <w:jc w:val="left"/>
            </w:pPr>
            <w:r>
              <w:rPr>
                <w:rFonts w:ascii="Arial" w:hAnsi="Arial"/>
                <w:b/>
                <w:sz w:val="11"/>
              </w:rPr>
              <w:t>Phase 1C Revalidation Need</w:t>
            </w:r>
          </w:p>
        </w:tc>
      </w:tr>
      <w:tr>
        <w:trPr>
          <w:cantSplit/>
        </w:trPr>
        <w:tc>
          <w:tcPr>
            <w:tcW w:type="dxa" w:w="2400"/>
            <w:vAlign w:val="top"/>
          </w:tcPr>
          <w:p>
            <w:pPr>
              <w:spacing w:after="0"/>
              <w:jc w:val="left"/>
            </w:pPr>
            <w:r>
              <w:rPr>
                <w:rFonts w:ascii="Arial" w:hAnsi="Arial"/>
                <w:b w:val="0"/>
                <w:sz w:val="11"/>
              </w:rPr>
              <w:t>Risk Management</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Risk management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Data Governance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Data governance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Documentation</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Moderate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API documentation visible; model cards and system cards require validation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Record-Keeping</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Task execution logs visible; formal audit trail and evidence export require validation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Transparency</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Transparency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Human Oversight</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Human oversight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Security</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Security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Accountability</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Agent roles and task assignment visible; formal accountability tracking requires validation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Contestability</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Contestability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Monitoring</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Monitoring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Human-Role-to-MAS Mapping</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Agent roles and task delegation visible; formal human-role-to-MAS mapping requires validation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Delegated Authority Boundary</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Authority boundary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Agent-Human Role Distinction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Agent role definitions visible; formal distinction mechanisms require validation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Accepted Outcome Compliance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Outcome compliance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Tool-Action Liability Boundary</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Liability boundary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Responsibility Transfer</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Task delegation across agents visible; formal responsibility transfer tracking requires validation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Authority Drift Detection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Drift detection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MAS Evidence Partitioning</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Per-agent task logs visible; formal MAS evidence partitioning requires validation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Cross-Project Reuse Compliance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Reuse compliance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Privacy/GDPR Lifecycle Mapping</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Privacy/GDPR lifecycle mapping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Privacy-Preserving Validation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Privacy-preserving validation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Evidence Minimization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Evidence minimization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Data Subject Rights vs Retention</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Rights-retention conflict resolution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Processor Chain Tracking</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Weak / implementer-built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Processor chain tracking primitives require implementer integration</w:t>
            </w:r>
          </w:p>
        </w:tc>
        <w:tc>
          <w:tcPr>
            <w:tcW w:type="dxa" w:w="2400"/>
            <w:vAlign w:val="top"/>
          </w:tcPr>
          <w:p>
            <w:pPr>
              <w:spacing w:after="0"/>
              <w:jc w:val="left"/>
            </w:pPr>
            <w:r>
              <w:rPr>
                <w:rFonts w:ascii="Arial" w:hAnsi="Arial"/>
                <w:b w:val="0"/>
                <w:sz w:val="11"/>
              </w:rPr>
              <w:t>Revalidate CrewAI documentation</w:t>
            </w:r>
          </w:p>
        </w:tc>
      </w:tr>
      <w:tr>
        <w:trPr>
          <w:cantSplit/>
        </w:trPr>
        <w:tc>
          <w:tcPr>
            <w:tcW w:type="dxa" w:w="2400"/>
            <w:vAlign w:val="top"/>
          </w:tcPr>
          <w:p>
            <w:pPr>
              <w:spacing w:after="0"/>
              <w:jc w:val="left"/>
            </w:pPr>
            <w:r>
              <w:rPr>
                <w:rFonts w:ascii="Arial" w:hAnsi="Arial"/>
                <w:b w:val="0"/>
                <w:sz w:val="11"/>
              </w:rPr>
              <w:t>Vendor/Model/Runtime Substitution</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Partial provisional posture</w:t>
            </w:r>
          </w:p>
        </w:tc>
        <w:tc>
          <w:tcPr>
            <w:tcW w:type="dxa" w:w="2400"/>
            <w:vAlign w:val="top"/>
          </w:tcPr>
          <w:p>
            <w:pPr>
              <w:spacing w:after="0"/>
              <w:jc w:val="left"/>
            </w:pPr>
            <w:r>
              <w:rPr>
                <w:rFonts w:ascii="Arial" w:hAnsi="Arial"/>
                <w:b w:val="0"/>
                <w:sz w:val="11"/>
              </w:rPr>
              <w:t>L2 (Product docs, GitHub)</w:t>
            </w:r>
          </w:p>
        </w:tc>
        <w:tc>
          <w:tcPr>
            <w:tcW w:type="dxa" w:w="2400"/>
            <w:vAlign w:val="top"/>
          </w:tcPr>
          <w:p>
            <w:pPr>
              <w:spacing w:after="0"/>
              <w:jc w:val="left"/>
            </w:pPr>
            <w:r>
              <w:rPr>
                <w:rFonts w:ascii="Arial" w:hAnsi="Arial"/>
                <w:b w:val="0"/>
                <w:sz w:val="11"/>
              </w:rPr>
              <w:t>Model configuration visible; formal substitution conformance tracking requires validation</w:t>
            </w:r>
          </w:p>
        </w:tc>
        <w:tc>
          <w:tcPr>
            <w:tcW w:type="dxa" w:w="2400"/>
            <w:vAlign w:val="top"/>
          </w:tcPr>
          <w:p>
            <w:pPr>
              <w:spacing w:after="0"/>
              <w:jc w:val="left"/>
            </w:pPr>
            <w:r>
              <w:rPr>
                <w:rFonts w:ascii="Arial" w:hAnsi="Arial"/>
                <w:b w:val="0"/>
                <w:sz w:val="11"/>
              </w:rPr>
              <w:t>Revalidate CrewAI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
    <w:p>
      <w:pPr>
        <w:pStyle w:val="Heading2"/>
      </w:pPr>
      <w:r>
        <w:t>G.3 Cross-System Pattern Summary</w:t>
      </w:r>
    </w:p>
    <w:p/>
    <w:p>
      <w:pPr>
        <w:keepNext/>
      </w:pPr>
      <w:r>
        <w:rPr>
          <w:b/>
          <w:sz w:val="17"/>
        </w:rPr>
        <w:t>Table T-G-09: Cross-System Pattern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1"/>
              </w:rPr>
              <w:t>Pattern Area</w:t>
            </w:r>
          </w:p>
        </w:tc>
        <w:tc>
          <w:tcPr>
            <w:tcW w:type="dxa" w:w="2880"/>
            <w:vAlign w:val="top"/>
            <w:shd w:fill="D9EAF7"/>
          </w:tcPr>
          <w:p>
            <w:pPr>
              <w:spacing w:after="0"/>
              <w:jc w:val="left"/>
            </w:pPr>
            <w:r>
              <w:rPr>
                <w:rFonts w:ascii="Arial" w:hAnsi="Arial"/>
                <w:b/>
                <w:sz w:val="11"/>
              </w:rPr>
              <w:t>Observed Pattern</w:t>
            </w:r>
          </w:p>
        </w:tc>
        <w:tc>
          <w:tcPr>
            <w:tcW w:type="dxa" w:w="2880"/>
            <w:vAlign w:val="top"/>
            <w:shd w:fill="D9EAF7"/>
          </w:tcPr>
          <w:p>
            <w:pPr>
              <w:spacing w:after="0"/>
              <w:jc w:val="left"/>
            </w:pPr>
            <w:r>
              <w:rPr>
                <w:rFonts w:ascii="Arial" w:hAnsi="Arial"/>
                <w:b/>
                <w:sz w:val="11"/>
              </w:rPr>
              <w:t>Systems with More Visible Posture</w:t>
            </w:r>
          </w:p>
        </w:tc>
        <w:tc>
          <w:tcPr>
            <w:tcW w:type="dxa" w:w="2880"/>
            <w:vAlign w:val="top"/>
            <w:shd w:fill="D9EAF7"/>
          </w:tcPr>
          <w:p>
            <w:pPr>
              <w:spacing w:after="0"/>
              <w:jc w:val="left"/>
            </w:pPr>
            <w:r>
              <w:rPr>
                <w:rFonts w:ascii="Arial" w:hAnsi="Arial"/>
                <w:b/>
                <w:sz w:val="11"/>
              </w:rPr>
              <w:t>Systems with More Limited Visible Posture</w:t>
            </w:r>
          </w:p>
        </w:tc>
        <w:tc>
          <w:tcPr>
            <w:tcW w:type="dxa" w:w="2880"/>
            <w:vAlign w:val="top"/>
            <w:shd w:fill="D9EAF7"/>
          </w:tcPr>
          <w:p>
            <w:pPr>
              <w:spacing w:after="0"/>
              <w:jc w:val="left"/>
            </w:pPr>
            <w:r>
              <w:rPr>
                <w:rFonts w:ascii="Arial" w:hAnsi="Arial"/>
                <w:b/>
                <w:sz w:val="11"/>
              </w:rPr>
              <w:t>Phase 1C Validation Priority</w:t>
            </w:r>
          </w:p>
        </w:tc>
      </w:tr>
      <w:tr>
        <w:trPr>
          <w:cantSplit/>
        </w:trPr>
        <w:tc>
          <w:tcPr>
            <w:tcW w:type="dxa" w:w="2880"/>
            <w:vAlign w:val="top"/>
          </w:tcPr>
          <w:p>
            <w:pPr>
              <w:spacing w:after="0"/>
              <w:jc w:val="left"/>
            </w:pPr>
            <w:r>
              <w:rPr>
                <w:rFonts w:ascii="Arial" w:hAnsi="Arial"/>
                <w:b w:val="0"/>
                <w:sz w:val="11"/>
              </w:rPr>
              <w:t>RCCS Coverage</w:t>
            </w:r>
          </w:p>
        </w:tc>
        <w:tc>
          <w:tcPr>
            <w:tcW w:type="dxa" w:w="2880"/>
            <w:vAlign w:val="top"/>
          </w:tcPr>
          <w:p>
            <w:pPr>
              <w:spacing w:after="0"/>
              <w:jc w:val="left"/>
            </w:pPr>
            <w:r>
              <w:rPr>
                <w:rFonts w:ascii="Arial" w:hAnsi="Arial"/>
                <w:b w:val="0"/>
                <w:sz w:val="11"/>
              </w:rPr>
              <w:t>Enterprise cloud platforms show stronger RCCS provisional posture due to integrated monitoring, logging, security, and governance controls</w:t>
            </w:r>
          </w:p>
        </w:tc>
        <w:tc>
          <w:tcPr>
            <w:tcW w:type="dxa" w:w="2880"/>
            <w:vAlign w:val="top"/>
          </w:tcPr>
          <w:p>
            <w:pPr>
              <w:spacing w:after="0"/>
              <w:jc w:val="left"/>
            </w:pPr>
            <w:r>
              <w:rPr>
                <w:rFonts w:ascii="Arial" w:hAnsi="Arial"/>
                <w:b w:val="0"/>
                <w:sz w:val="11"/>
              </w:rPr>
              <w:t>Microsoft Azure AI Foundry, AWS Bedrock, Google Vertex AI, IBM watsonx.governance</w:t>
            </w:r>
          </w:p>
        </w:tc>
        <w:tc>
          <w:tcPr>
            <w:tcW w:type="dxa" w:w="2880"/>
            <w:vAlign w:val="top"/>
          </w:tcPr>
          <w:p>
            <w:pPr>
              <w:spacing w:after="0"/>
              <w:jc w:val="left"/>
            </w:pPr>
            <w:r>
              <w:rPr>
                <w:rFonts w:ascii="Arial" w:hAnsi="Arial"/>
                <w:b w:val="0"/>
                <w:sz w:val="11"/>
              </w:rPr>
              <w:t>CrewAI, LangGraph/LangSmith, OpenAI Agents SDK</w:t>
            </w:r>
          </w:p>
        </w:tc>
        <w:tc>
          <w:tcPr>
            <w:tcW w:type="dxa" w:w="2880"/>
            <w:vAlign w:val="top"/>
          </w:tcPr>
          <w:p>
            <w:pPr>
              <w:spacing w:after="0"/>
              <w:jc w:val="left"/>
            </w:pPr>
            <w:r>
              <w:rPr>
                <w:rFonts w:ascii="Arial" w:hAnsi="Arial"/>
                <w:b w:val="0"/>
                <w:sz w:val="11"/>
              </w:rPr>
              <w:t>Revalidate enterprise platform integration claims</w:t>
            </w:r>
          </w:p>
        </w:tc>
      </w:tr>
      <w:tr>
        <w:trPr>
          <w:cantSplit/>
        </w:trPr>
        <w:tc>
          <w:tcPr>
            <w:tcW w:type="dxa" w:w="2880"/>
            <w:vAlign w:val="top"/>
          </w:tcPr>
          <w:p>
            <w:pPr>
              <w:spacing w:after="0"/>
              <w:jc w:val="left"/>
            </w:pPr>
            <w:r>
              <w:rPr>
                <w:rFonts w:ascii="Arial" w:hAnsi="Arial"/>
                <w:b w:val="0"/>
                <w:sz w:val="11"/>
              </w:rPr>
              <w:t>ALCS Coverage</w:t>
            </w:r>
          </w:p>
        </w:tc>
        <w:tc>
          <w:tcPr>
            <w:tcW w:type="dxa" w:w="2880"/>
            <w:vAlign w:val="top"/>
          </w:tcPr>
          <w:p>
            <w:pPr>
              <w:spacing w:after="0"/>
              <w:jc w:val="left"/>
            </w:pPr>
            <w:r>
              <w:rPr>
                <w:rFonts w:ascii="Arial" w:hAnsi="Arial"/>
                <w:b w:val="0"/>
                <w:sz w:val="11"/>
              </w:rPr>
              <w:t>MPLP shows stronger visible ALCS provisional posture at protocol specification level; enterprise platforms show moderate visible posture; open-source frameworks show more limited visible posture</w:t>
            </w:r>
          </w:p>
        </w:tc>
        <w:tc>
          <w:tcPr>
            <w:tcW w:type="dxa" w:w="2880"/>
            <w:vAlign w:val="top"/>
          </w:tcPr>
          <w:p>
            <w:pPr>
              <w:spacing w:after="0"/>
              <w:jc w:val="left"/>
            </w:pPr>
            <w:r>
              <w:rPr>
                <w:rFonts w:ascii="Arial" w:hAnsi="Arial"/>
                <w:b w:val="0"/>
                <w:sz w:val="11"/>
              </w:rPr>
              <w:t>MPLP (protocol-level), Microsoft Azure AI Foundry, AWS Bedrock, Google Vertex AI</w:t>
            </w:r>
          </w:p>
        </w:tc>
        <w:tc>
          <w:tcPr>
            <w:tcW w:type="dxa" w:w="2880"/>
            <w:vAlign w:val="top"/>
          </w:tcPr>
          <w:p>
            <w:pPr>
              <w:spacing w:after="0"/>
              <w:jc w:val="left"/>
            </w:pPr>
            <w:r>
              <w:rPr>
                <w:rFonts w:ascii="Arial" w:hAnsi="Arial"/>
                <w:b w:val="0"/>
                <w:sz w:val="11"/>
              </w:rPr>
              <w:t>CrewAI, LangGraph/LangSmith, OpenAI Agents SDK</w:t>
            </w:r>
          </w:p>
        </w:tc>
        <w:tc>
          <w:tcPr>
            <w:tcW w:type="dxa" w:w="2880"/>
            <w:vAlign w:val="top"/>
          </w:tcPr>
          <w:p>
            <w:pPr>
              <w:spacing w:after="0"/>
              <w:jc w:val="left"/>
            </w:pPr>
            <w:r>
              <w:rPr>
                <w:rFonts w:ascii="Arial" w:hAnsi="Arial"/>
                <w:b w:val="0"/>
                <w:sz w:val="11"/>
              </w:rPr>
              <w:t>Revalidate MPLP protocol semantics and enterprise platform ALCS implementation</w:t>
            </w:r>
          </w:p>
        </w:tc>
      </w:tr>
      <w:tr>
        <w:trPr>
          <w:cantSplit/>
        </w:trPr>
        <w:tc>
          <w:tcPr>
            <w:tcW w:type="dxa" w:w="2880"/>
            <w:vAlign w:val="top"/>
          </w:tcPr>
          <w:p>
            <w:pPr>
              <w:spacing w:after="0"/>
              <w:jc w:val="left"/>
            </w:pPr>
            <w:r>
              <w:rPr>
                <w:rFonts w:ascii="Arial" w:hAnsi="Arial"/>
                <w:b w:val="0"/>
                <w:sz w:val="11"/>
              </w:rPr>
              <w:t>Documentation</w:t>
            </w:r>
          </w:p>
        </w:tc>
        <w:tc>
          <w:tcPr>
            <w:tcW w:type="dxa" w:w="2880"/>
            <w:vAlign w:val="top"/>
          </w:tcPr>
          <w:p>
            <w:pPr>
              <w:spacing w:after="0"/>
              <w:jc w:val="left"/>
            </w:pPr>
            <w:r>
              <w:rPr>
                <w:rFonts w:ascii="Arial" w:hAnsi="Arial"/>
                <w:b w:val="0"/>
                <w:sz w:val="11"/>
              </w:rPr>
              <w:t>All systems show strong to moderate documentation provisional posture; model cards and system cards require validation across all systems</w:t>
            </w:r>
          </w:p>
        </w:tc>
        <w:tc>
          <w:tcPr>
            <w:tcW w:type="dxa" w:w="2880"/>
            <w:vAlign w:val="top"/>
          </w:tcPr>
          <w:p>
            <w:pPr>
              <w:spacing w:after="0"/>
              <w:jc w:val="left"/>
            </w:pPr>
            <w:r>
              <w:rPr>
                <w:rFonts w:ascii="Arial" w:hAnsi="Arial"/>
                <w:b w:val="0"/>
                <w:sz w:val="11"/>
              </w:rPr>
              <w:t>All systems</w:t>
            </w:r>
          </w:p>
        </w:tc>
        <w:tc>
          <w:tcPr>
            <w:tcW w:type="dxa" w:w="2880"/>
            <w:vAlign w:val="top"/>
          </w:tcPr>
          <w:p>
            <w:pPr>
              <w:spacing w:after="0"/>
              <w:jc w:val="left"/>
            </w:pPr>
            <w:r>
              <w:rPr>
                <w:rFonts w:ascii="Arial" w:hAnsi="Arial"/>
                <w:b w:val="0"/>
                <w:sz w:val="11"/>
              </w:rPr>
              <w:t>None</w:t>
            </w:r>
          </w:p>
        </w:tc>
        <w:tc>
          <w:tcPr>
            <w:tcW w:type="dxa" w:w="2880"/>
            <w:vAlign w:val="top"/>
          </w:tcPr>
          <w:p>
            <w:pPr>
              <w:spacing w:after="0"/>
              <w:jc w:val="left"/>
            </w:pPr>
            <w:r>
              <w:rPr>
                <w:rFonts w:ascii="Arial" w:hAnsi="Arial"/>
                <w:b w:val="0"/>
                <w:sz w:val="11"/>
              </w:rPr>
              <w:t>Revalidate model card and system card availability</w:t>
            </w:r>
          </w:p>
        </w:tc>
      </w:tr>
      <w:tr>
        <w:trPr>
          <w:cantSplit/>
        </w:trPr>
        <w:tc>
          <w:tcPr>
            <w:tcW w:type="dxa" w:w="2880"/>
            <w:vAlign w:val="top"/>
          </w:tcPr>
          <w:p>
            <w:pPr>
              <w:spacing w:after="0"/>
              <w:jc w:val="left"/>
            </w:pPr>
            <w:r>
              <w:rPr>
                <w:rFonts w:ascii="Arial" w:hAnsi="Arial"/>
                <w:b w:val="0"/>
                <w:sz w:val="11"/>
              </w:rPr>
              <w:t>Record-Keeping</w:t>
            </w:r>
          </w:p>
        </w:tc>
        <w:tc>
          <w:tcPr>
            <w:tcW w:type="dxa" w:w="2880"/>
            <w:vAlign w:val="top"/>
          </w:tcPr>
          <w:p>
            <w:pPr>
              <w:spacing w:after="0"/>
              <w:jc w:val="left"/>
            </w:pPr>
            <w:r>
              <w:rPr>
                <w:rFonts w:ascii="Arial" w:hAnsi="Arial"/>
                <w:b w:val="0"/>
                <w:sz w:val="11"/>
              </w:rPr>
              <w:t>Enterprise platforms show strong record-keeping provisional posture with cloud logging integration; open-source frameworks show partial to moderate posture</w:t>
            </w:r>
          </w:p>
        </w:tc>
        <w:tc>
          <w:tcPr>
            <w:tcW w:type="dxa" w:w="2880"/>
            <w:vAlign w:val="top"/>
          </w:tcPr>
          <w:p>
            <w:pPr>
              <w:spacing w:after="0"/>
              <w:jc w:val="left"/>
            </w:pPr>
            <w:r>
              <w:rPr>
                <w:rFonts w:ascii="Arial" w:hAnsi="Arial"/>
                <w:b w:val="0"/>
                <w:sz w:val="11"/>
              </w:rPr>
              <w:t>Microsoft Azure AI Foundry, AWS Bedrock, Google Vertex AI, IBM watsonx.governance</w:t>
            </w:r>
          </w:p>
        </w:tc>
        <w:tc>
          <w:tcPr>
            <w:tcW w:type="dxa" w:w="2880"/>
            <w:vAlign w:val="top"/>
          </w:tcPr>
          <w:p>
            <w:pPr>
              <w:spacing w:after="0"/>
              <w:jc w:val="left"/>
            </w:pPr>
            <w:r>
              <w:rPr>
                <w:rFonts w:ascii="Arial" w:hAnsi="Arial"/>
                <w:b w:val="0"/>
                <w:sz w:val="11"/>
              </w:rPr>
              <w:t>CrewAI</w:t>
            </w:r>
          </w:p>
        </w:tc>
        <w:tc>
          <w:tcPr>
            <w:tcW w:type="dxa" w:w="2880"/>
            <w:vAlign w:val="top"/>
          </w:tcPr>
          <w:p>
            <w:pPr>
              <w:spacing w:after="0"/>
              <w:jc w:val="left"/>
            </w:pPr>
            <w:r>
              <w:rPr>
                <w:rFonts w:ascii="Arial" w:hAnsi="Arial"/>
                <w:b w:val="0"/>
                <w:sz w:val="11"/>
              </w:rPr>
              <w:t>Revalidate audit trail and evidence export capabilities</w:t>
            </w:r>
          </w:p>
        </w:tc>
      </w:tr>
      <w:tr>
        <w:trPr>
          <w:cantSplit/>
        </w:trPr>
        <w:tc>
          <w:tcPr>
            <w:tcW w:type="dxa" w:w="2880"/>
            <w:vAlign w:val="top"/>
          </w:tcPr>
          <w:p>
            <w:pPr>
              <w:spacing w:after="0"/>
              <w:jc w:val="left"/>
            </w:pPr>
            <w:r>
              <w:rPr>
                <w:rFonts w:ascii="Arial" w:hAnsi="Arial"/>
                <w:b w:val="0"/>
                <w:sz w:val="11"/>
              </w:rPr>
              <w:t>Human Oversight</w:t>
            </w:r>
          </w:p>
        </w:tc>
        <w:tc>
          <w:tcPr>
            <w:tcW w:type="dxa" w:w="2880"/>
            <w:vAlign w:val="top"/>
          </w:tcPr>
          <w:p>
            <w:pPr>
              <w:spacing w:after="0"/>
              <w:jc w:val="left"/>
            </w:pPr>
            <w:r>
              <w:rPr>
                <w:rFonts w:ascii="Arial" w:hAnsi="Arial"/>
                <w:b w:val="0"/>
                <w:sz w:val="11"/>
              </w:rPr>
              <w:t>Microsoft Azure AI Foundry shows stronger visible human oversight provisional posture; MPLP shows strong protocol-level posture; other systems show moderate to more limited visible posture</w:t>
            </w:r>
          </w:p>
        </w:tc>
        <w:tc>
          <w:tcPr>
            <w:tcW w:type="dxa" w:w="2880"/>
            <w:vAlign w:val="top"/>
          </w:tcPr>
          <w:p>
            <w:pPr>
              <w:spacing w:after="0"/>
              <w:jc w:val="left"/>
            </w:pPr>
            <w:r>
              <w:rPr>
                <w:rFonts w:ascii="Arial" w:hAnsi="Arial"/>
                <w:b w:val="0"/>
                <w:sz w:val="11"/>
              </w:rPr>
              <w:t>Microsoft Azure AI Foundry, MPLP (protocol-level)</w:t>
            </w:r>
          </w:p>
        </w:tc>
        <w:tc>
          <w:tcPr>
            <w:tcW w:type="dxa" w:w="2880"/>
            <w:vAlign w:val="top"/>
          </w:tcPr>
          <w:p>
            <w:pPr>
              <w:spacing w:after="0"/>
              <w:jc w:val="left"/>
            </w:pPr>
            <w:r>
              <w:rPr>
                <w:rFonts w:ascii="Arial" w:hAnsi="Arial"/>
                <w:b w:val="0"/>
                <w:sz w:val="11"/>
              </w:rPr>
              <w:t>CrewAI, LangGraph/LangSmith</w:t>
            </w:r>
          </w:p>
        </w:tc>
        <w:tc>
          <w:tcPr>
            <w:tcW w:type="dxa" w:w="2880"/>
            <w:vAlign w:val="top"/>
          </w:tcPr>
          <w:p>
            <w:pPr>
              <w:spacing w:after="0"/>
              <w:jc w:val="left"/>
            </w:pPr>
            <w:r>
              <w:rPr>
                <w:rFonts w:ascii="Arial" w:hAnsi="Arial"/>
                <w:b w:val="0"/>
                <w:sz w:val="11"/>
              </w:rPr>
              <w:t>Revalidate human-role-to-MAS mapping and oversight workflows</w:t>
            </w:r>
          </w:p>
        </w:tc>
      </w:tr>
      <w:tr>
        <w:trPr>
          <w:cantSplit/>
        </w:trPr>
        <w:tc>
          <w:tcPr>
            <w:tcW w:type="dxa" w:w="2880"/>
            <w:vAlign w:val="top"/>
          </w:tcPr>
          <w:p>
            <w:pPr>
              <w:spacing w:after="0"/>
              <w:jc w:val="left"/>
            </w:pPr>
            <w:r>
              <w:rPr>
                <w:rFonts w:ascii="Arial" w:hAnsi="Arial"/>
                <w:b w:val="0"/>
                <w:sz w:val="11"/>
              </w:rPr>
              <w:t>Security</w:t>
            </w:r>
          </w:p>
        </w:tc>
        <w:tc>
          <w:tcPr>
            <w:tcW w:type="dxa" w:w="2880"/>
            <w:vAlign w:val="top"/>
          </w:tcPr>
          <w:p>
            <w:pPr>
              <w:spacing w:after="0"/>
              <w:jc w:val="left"/>
            </w:pPr>
            <w:r>
              <w:rPr>
                <w:rFonts w:ascii="Arial" w:hAnsi="Arial"/>
                <w:b w:val="0"/>
                <w:sz w:val="11"/>
              </w:rPr>
              <w:t>Enterprise platforms show strong security provisional posture with IAM integration; open-source frameworks show weak to partial posture</w:t>
            </w:r>
          </w:p>
        </w:tc>
        <w:tc>
          <w:tcPr>
            <w:tcW w:type="dxa" w:w="2880"/>
            <w:vAlign w:val="top"/>
          </w:tcPr>
          <w:p>
            <w:pPr>
              <w:spacing w:after="0"/>
              <w:jc w:val="left"/>
            </w:pPr>
            <w:r>
              <w:rPr>
                <w:rFonts w:ascii="Arial" w:hAnsi="Arial"/>
                <w:b w:val="0"/>
                <w:sz w:val="11"/>
              </w:rPr>
              <w:t>Microsoft Azure AI Foundry, AWS Bedrock, Google Vertex AI, IBM watsonx.governance</w:t>
            </w:r>
          </w:p>
        </w:tc>
        <w:tc>
          <w:tcPr>
            <w:tcW w:type="dxa" w:w="2880"/>
            <w:vAlign w:val="top"/>
          </w:tcPr>
          <w:p>
            <w:pPr>
              <w:spacing w:after="0"/>
              <w:jc w:val="left"/>
            </w:pPr>
            <w:r>
              <w:rPr>
                <w:rFonts w:ascii="Arial" w:hAnsi="Arial"/>
                <w:b w:val="0"/>
                <w:sz w:val="11"/>
              </w:rPr>
              <w:t>CrewAI, LangGraph/LangSmith, OpenAI Agents SDK</w:t>
            </w:r>
          </w:p>
        </w:tc>
        <w:tc>
          <w:tcPr>
            <w:tcW w:type="dxa" w:w="2880"/>
            <w:vAlign w:val="top"/>
          </w:tcPr>
          <w:p>
            <w:pPr>
              <w:spacing w:after="0"/>
              <w:jc w:val="left"/>
            </w:pPr>
            <w:r>
              <w:rPr>
                <w:rFonts w:ascii="Arial" w:hAnsi="Arial"/>
                <w:b w:val="0"/>
                <w:sz w:val="11"/>
              </w:rPr>
              <w:t>Revalidate AI lifecycle security integration</w:t>
            </w:r>
          </w:p>
        </w:tc>
      </w:tr>
      <w:tr>
        <w:trPr>
          <w:cantSplit/>
        </w:trPr>
        <w:tc>
          <w:tcPr>
            <w:tcW w:type="dxa" w:w="2880"/>
            <w:vAlign w:val="top"/>
          </w:tcPr>
          <w:p>
            <w:pPr>
              <w:spacing w:after="0"/>
              <w:jc w:val="left"/>
            </w:pPr>
            <w:r>
              <w:rPr>
                <w:rFonts w:ascii="Arial" w:hAnsi="Arial"/>
                <w:b w:val="0"/>
                <w:sz w:val="11"/>
              </w:rPr>
              <w:t>Accountability</w:t>
            </w:r>
          </w:p>
        </w:tc>
        <w:tc>
          <w:tcPr>
            <w:tcW w:type="dxa" w:w="2880"/>
            <w:vAlign w:val="top"/>
          </w:tcPr>
          <w:p>
            <w:pPr>
              <w:spacing w:after="0"/>
              <w:jc w:val="left"/>
            </w:pPr>
            <w:r>
              <w:rPr>
                <w:rFonts w:ascii="Arial" w:hAnsi="Arial"/>
                <w:b w:val="0"/>
                <w:sz w:val="11"/>
              </w:rPr>
              <w:t>All systems show partial to moderate accountability provisional posture; formal accountability tracking requires validation across all systems</w:t>
            </w:r>
          </w:p>
        </w:tc>
        <w:tc>
          <w:tcPr>
            <w:tcW w:type="dxa" w:w="2880"/>
            <w:vAlign w:val="top"/>
          </w:tcPr>
          <w:p>
            <w:pPr>
              <w:spacing w:after="0"/>
              <w:jc w:val="left"/>
            </w:pPr>
            <w:r>
              <w:rPr>
                <w:rFonts w:ascii="Arial" w:hAnsi="Arial"/>
                <w:b w:val="0"/>
                <w:sz w:val="11"/>
              </w:rPr>
              <w:t>None</w:t>
            </w:r>
          </w:p>
        </w:tc>
        <w:tc>
          <w:tcPr>
            <w:tcW w:type="dxa" w:w="2880"/>
            <w:vAlign w:val="top"/>
          </w:tcPr>
          <w:p>
            <w:pPr>
              <w:spacing w:after="0"/>
              <w:jc w:val="left"/>
            </w:pPr>
            <w:r>
              <w:rPr>
                <w:rFonts w:ascii="Arial" w:hAnsi="Arial"/>
                <w:b w:val="0"/>
                <w:sz w:val="11"/>
              </w:rPr>
              <w:t>None</w:t>
            </w:r>
          </w:p>
        </w:tc>
        <w:tc>
          <w:tcPr>
            <w:tcW w:type="dxa" w:w="2880"/>
            <w:vAlign w:val="top"/>
          </w:tcPr>
          <w:p>
            <w:pPr>
              <w:spacing w:after="0"/>
              <w:jc w:val="left"/>
            </w:pPr>
            <w:r>
              <w:rPr>
                <w:rFonts w:ascii="Arial" w:hAnsi="Arial"/>
                <w:b w:val="0"/>
                <w:sz w:val="11"/>
              </w:rPr>
              <w:t>Revalidate accountability tracking mechanisms across all systems</w:t>
            </w:r>
          </w:p>
        </w:tc>
      </w:tr>
      <w:tr>
        <w:trPr>
          <w:cantSplit/>
        </w:trPr>
        <w:tc>
          <w:tcPr>
            <w:tcW w:type="dxa" w:w="2880"/>
            <w:vAlign w:val="top"/>
          </w:tcPr>
          <w:p>
            <w:pPr>
              <w:spacing w:after="0"/>
              <w:jc w:val="left"/>
            </w:pPr>
            <w:r>
              <w:rPr>
                <w:rFonts w:ascii="Arial" w:hAnsi="Arial"/>
                <w:b w:val="0"/>
                <w:sz w:val="11"/>
              </w:rPr>
              <w:t>Contestability</w:t>
            </w:r>
          </w:p>
        </w:tc>
        <w:tc>
          <w:tcPr>
            <w:tcW w:type="dxa" w:w="2880"/>
            <w:vAlign w:val="top"/>
          </w:tcPr>
          <w:p>
            <w:pPr>
              <w:spacing w:after="0"/>
              <w:jc w:val="left"/>
            </w:pPr>
            <w:r>
              <w:rPr>
                <w:rFonts w:ascii="Arial" w:hAnsi="Arial"/>
                <w:b w:val="0"/>
                <w:sz w:val="11"/>
              </w:rPr>
              <w:t>All systems show weak to partial contestability provisional posture; contestability primitives require implementer integration or validation</w:t>
            </w:r>
          </w:p>
        </w:tc>
        <w:tc>
          <w:tcPr>
            <w:tcW w:type="dxa" w:w="2880"/>
            <w:vAlign w:val="top"/>
          </w:tcPr>
          <w:p>
            <w:pPr>
              <w:spacing w:after="0"/>
              <w:jc w:val="left"/>
            </w:pPr>
            <w:r>
              <w:rPr>
                <w:rFonts w:ascii="Arial" w:hAnsi="Arial"/>
                <w:b w:val="0"/>
                <w:sz w:val="11"/>
              </w:rPr>
              <w:t>None</w:t>
            </w:r>
          </w:p>
        </w:tc>
        <w:tc>
          <w:tcPr>
            <w:tcW w:type="dxa" w:w="2880"/>
            <w:vAlign w:val="top"/>
          </w:tcPr>
          <w:p>
            <w:pPr>
              <w:spacing w:after="0"/>
              <w:jc w:val="left"/>
            </w:pPr>
            <w:r>
              <w:rPr>
                <w:rFonts w:ascii="Arial" w:hAnsi="Arial"/>
                <w:b w:val="0"/>
                <w:sz w:val="11"/>
              </w:rPr>
              <w:t>All systems</w:t>
            </w:r>
          </w:p>
        </w:tc>
        <w:tc>
          <w:tcPr>
            <w:tcW w:type="dxa" w:w="2880"/>
            <w:vAlign w:val="top"/>
          </w:tcPr>
          <w:p>
            <w:pPr>
              <w:spacing w:after="0"/>
              <w:jc w:val="left"/>
            </w:pPr>
            <w:r>
              <w:rPr>
                <w:rFonts w:ascii="Arial" w:hAnsi="Arial"/>
                <w:b w:val="0"/>
                <w:sz w:val="11"/>
              </w:rPr>
              <w:t>Revalidate contestability and dispute resolution mechanisms</w:t>
            </w:r>
          </w:p>
        </w:tc>
      </w:tr>
      <w:tr>
        <w:trPr>
          <w:cantSplit/>
        </w:trPr>
        <w:tc>
          <w:tcPr>
            <w:tcW w:type="dxa" w:w="2880"/>
            <w:vAlign w:val="top"/>
          </w:tcPr>
          <w:p>
            <w:pPr>
              <w:spacing w:after="0"/>
              <w:jc w:val="left"/>
            </w:pPr>
            <w:r>
              <w:rPr>
                <w:rFonts w:ascii="Arial" w:hAnsi="Arial"/>
                <w:b w:val="0"/>
                <w:sz w:val="11"/>
              </w:rPr>
              <w:t>Authority Drift Detection</w:t>
            </w:r>
          </w:p>
        </w:tc>
        <w:tc>
          <w:tcPr>
            <w:tcW w:type="dxa" w:w="2880"/>
            <w:vAlign w:val="top"/>
          </w:tcPr>
          <w:p>
            <w:pPr>
              <w:spacing w:after="0"/>
              <w:jc w:val="left"/>
            </w:pPr>
            <w:r>
              <w:rPr>
                <w:rFonts w:ascii="Arial" w:hAnsi="Arial"/>
                <w:b w:val="0"/>
                <w:sz w:val="11"/>
              </w:rPr>
              <w:t>All systems show weak to partial authority drift detection provisional posture; drift detection primitives require implementer integration or validation</w:t>
            </w:r>
          </w:p>
        </w:tc>
        <w:tc>
          <w:tcPr>
            <w:tcW w:type="dxa" w:w="2880"/>
            <w:vAlign w:val="top"/>
          </w:tcPr>
          <w:p>
            <w:pPr>
              <w:spacing w:after="0"/>
              <w:jc w:val="left"/>
            </w:pPr>
            <w:r>
              <w:rPr>
                <w:rFonts w:ascii="Arial" w:hAnsi="Arial"/>
                <w:b w:val="0"/>
                <w:sz w:val="11"/>
              </w:rPr>
              <w:t>None</w:t>
            </w:r>
          </w:p>
        </w:tc>
        <w:tc>
          <w:tcPr>
            <w:tcW w:type="dxa" w:w="2880"/>
            <w:vAlign w:val="top"/>
          </w:tcPr>
          <w:p>
            <w:pPr>
              <w:spacing w:after="0"/>
              <w:jc w:val="left"/>
            </w:pPr>
            <w:r>
              <w:rPr>
                <w:rFonts w:ascii="Arial" w:hAnsi="Arial"/>
                <w:b w:val="0"/>
                <w:sz w:val="11"/>
              </w:rPr>
              <w:t>All systems</w:t>
            </w:r>
          </w:p>
        </w:tc>
        <w:tc>
          <w:tcPr>
            <w:tcW w:type="dxa" w:w="2880"/>
            <w:vAlign w:val="top"/>
          </w:tcPr>
          <w:p>
            <w:pPr>
              <w:spacing w:after="0"/>
              <w:jc w:val="left"/>
            </w:pPr>
            <w:r>
              <w:rPr>
                <w:rFonts w:ascii="Arial" w:hAnsi="Arial"/>
                <w:b w:val="0"/>
                <w:sz w:val="11"/>
              </w:rPr>
              <w:t>Revalidate authority drift detection mechanisms</w:t>
            </w:r>
          </w:p>
        </w:tc>
      </w:tr>
      <w:tr>
        <w:trPr>
          <w:cantSplit/>
        </w:trPr>
        <w:tc>
          <w:tcPr>
            <w:tcW w:type="dxa" w:w="2880"/>
            <w:vAlign w:val="top"/>
          </w:tcPr>
          <w:p>
            <w:pPr>
              <w:spacing w:after="0"/>
              <w:jc w:val="left"/>
            </w:pPr>
            <w:r>
              <w:rPr>
                <w:rFonts w:ascii="Arial" w:hAnsi="Arial"/>
                <w:b w:val="0"/>
                <w:sz w:val="11"/>
              </w:rPr>
              <w:t>Privacy/GDPR Lifecycle Mapping</w:t>
            </w:r>
          </w:p>
        </w:tc>
        <w:tc>
          <w:tcPr>
            <w:tcW w:type="dxa" w:w="2880"/>
            <w:vAlign w:val="top"/>
          </w:tcPr>
          <w:p>
            <w:pPr>
              <w:spacing w:after="0"/>
              <w:jc w:val="left"/>
            </w:pPr>
            <w:r>
              <w:rPr>
                <w:rFonts w:ascii="Arial" w:hAnsi="Arial"/>
                <w:b w:val="0"/>
                <w:sz w:val="11"/>
              </w:rPr>
              <w:t>Enterprise platforms show moderate privacy provisional posture; open-source frameworks show more limited visible posture; formal GDPR lifecycle mapping requires validation</w:t>
            </w:r>
          </w:p>
        </w:tc>
        <w:tc>
          <w:tcPr>
            <w:tcW w:type="dxa" w:w="2880"/>
            <w:vAlign w:val="top"/>
          </w:tcPr>
          <w:p>
            <w:pPr>
              <w:spacing w:after="0"/>
              <w:jc w:val="left"/>
            </w:pPr>
            <w:r>
              <w:rPr>
                <w:rFonts w:ascii="Arial" w:hAnsi="Arial"/>
                <w:b w:val="0"/>
                <w:sz w:val="11"/>
              </w:rPr>
              <w:t>Microsoft Azure AI Foundry, AWS Bedrock, Google Vertex AI, IBM watsonx.governance</w:t>
            </w:r>
          </w:p>
        </w:tc>
        <w:tc>
          <w:tcPr>
            <w:tcW w:type="dxa" w:w="2880"/>
            <w:vAlign w:val="top"/>
          </w:tcPr>
          <w:p>
            <w:pPr>
              <w:spacing w:after="0"/>
              <w:jc w:val="left"/>
            </w:pPr>
            <w:r>
              <w:rPr>
                <w:rFonts w:ascii="Arial" w:hAnsi="Arial"/>
                <w:b w:val="0"/>
                <w:sz w:val="11"/>
              </w:rPr>
              <w:t>CrewAI, LangGraph/LangSmith, OpenAI Agents SDK</w:t>
            </w:r>
          </w:p>
        </w:tc>
        <w:tc>
          <w:tcPr>
            <w:tcW w:type="dxa" w:w="2880"/>
            <w:vAlign w:val="top"/>
          </w:tcPr>
          <w:p>
            <w:pPr>
              <w:spacing w:after="0"/>
              <w:jc w:val="left"/>
            </w:pPr>
            <w:r>
              <w:rPr>
                <w:rFonts w:ascii="Arial" w:hAnsi="Arial"/>
                <w:b w:val="0"/>
                <w:sz w:val="11"/>
              </w:rPr>
              <w:t>Revalidate GDPR lifecycle mapping mechanisms</w:t>
            </w:r>
          </w:p>
        </w:tc>
      </w:tr>
      <w:tr>
        <w:trPr>
          <w:cantSplit/>
        </w:trPr>
        <w:tc>
          <w:tcPr>
            <w:tcW w:type="dxa" w:w="2880"/>
            <w:vAlign w:val="top"/>
          </w:tcPr>
          <w:p>
            <w:pPr>
              <w:spacing w:after="0"/>
              <w:jc w:val="left"/>
            </w:pPr>
            <w:r>
              <w:rPr>
                <w:rFonts w:ascii="Arial" w:hAnsi="Arial"/>
                <w:b w:val="0"/>
                <w:sz w:val="11"/>
              </w:rPr>
              <w:t>Implementer-Built Gap</w:t>
            </w:r>
          </w:p>
        </w:tc>
        <w:tc>
          <w:tcPr>
            <w:tcW w:type="dxa" w:w="2880"/>
            <w:vAlign w:val="top"/>
          </w:tcPr>
          <w:p>
            <w:pPr>
              <w:spacing w:after="0"/>
              <w:jc w:val="left"/>
            </w:pPr>
            <w:r>
              <w:rPr>
                <w:rFonts w:ascii="Arial" w:hAnsi="Arial"/>
                <w:b w:val="0"/>
                <w:sz w:val="11"/>
              </w:rPr>
              <w:t>Open-source frameworks (CrewAI, LangGraph/LangSmith) show significant implementer-built gaps across multiple assessment areas; enterprise platforms show fewer gaps</w:t>
            </w:r>
          </w:p>
        </w:tc>
        <w:tc>
          <w:tcPr>
            <w:tcW w:type="dxa" w:w="2880"/>
            <w:vAlign w:val="top"/>
          </w:tcPr>
          <w:p>
            <w:pPr>
              <w:spacing w:after="0"/>
              <w:jc w:val="left"/>
            </w:pPr>
            <w:r>
              <w:rPr>
                <w:rFonts w:ascii="Arial" w:hAnsi="Arial"/>
                <w:b w:val="0"/>
                <w:sz w:val="11"/>
              </w:rPr>
              <w:t>Microsoft Azure AI Foundry, AWS Bedrock, Google Vertex AI, IBM watsonx.governance</w:t>
            </w:r>
          </w:p>
        </w:tc>
        <w:tc>
          <w:tcPr>
            <w:tcW w:type="dxa" w:w="2880"/>
            <w:vAlign w:val="top"/>
          </w:tcPr>
          <w:p>
            <w:pPr>
              <w:spacing w:after="0"/>
              <w:jc w:val="left"/>
            </w:pPr>
            <w:r>
              <w:rPr>
                <w:rFonts w:ascii="Arial" w:hAnsi="Arial"/>
                <w:b w:val="0"/>
                <w:sz w:val="11"/>
              </w:rPr>
              <w:t>CrewAI, LangGraph/LangSmith</w:t>
            </w:r>
          </w:p>
        </w:tc>
        <w:tc>
          <w:tcPr>
            <w:tcW w:type="dxa" w:w="2880"/>
            <w:vAlign w:val="top"/>
          </w:tcPr>
          <w:p>
            <w:pPr>
              <w:spacing w:after="0"/>
              <w:jc w:val="left"/>
            </w:pPr>
            <w:r>
              <w:rPr>
                <w:rFonts w:ascii="Arial" w:hAnsi="Arial"/>
                <w:b w:val="0"/>
                <w:sz w:val="11"/>
              </w:rPr>
              <w:t>Revalidate implementer-built vs platform-provided primitives</w:t>
            </w:r>
          </w:p>
        </w:tc>
      </w:tr>
    </w:tbl>
    <w:p>
      <w:pPr>
        <w:sectPr>
          <w:pgSz w:w="15840" w:h="12240" w:orient="landscape"/>
          <w:pgMar w:top="792" w:right="648" w:bottom="792" w:left="648" w:header="720" w:footer="720" w:gutter="0"/>
          <w:cols w:space="720"/>
          <w:docGrid w:linePitch="360"/>
        </w:sectPr>
      </w:pPr>
    </w:p>
    <w:p/>
    <w:p>
      <w:r>
        <w:t>Key Observations (Provisional):</w:t>
      </w:r>
    </w:p>
    <w:p/>
    <w:p>
      <w:r>
        <w:t>1. Enterprise platforms show stronger RCCS provisional posture due to integrated cloud platform capabilities (monitoring, logging, security, governance)</w:t>
      </w:r>
    </w:p>
    <w:p>
      <w:r>
        <w:t>2. MPLP shows stronger visible ALCS provisional posture at protocol specification level but requires implementer integration for operational deployment</w:t>
      </w:r>
    </w:p>
    <w:p>
      <w:r>
        <w:t>3. All systems show gaps in contestability and authority drift detection indicating industry-wide gaps in these capability primitives</w:t>
      </w:r>
    </w:p>
    <w:p>
      <w:r>
        <w:t>4. Open-source frameworks show significant implementer-built gaps requiring organizations to build additional governance layers</w:t>
      </w:r>
    </w:p>
    <w:p>
      <w:r>
        <w:t>5. All assessments are provisional and require Phase 1C source revalidation before finalization</w:t>
      </w:r>
    </w:p>
    <w:p/>
    <w:p>
      <w:r>
        <w:t>CRITICAL REMINDER: These patterns are provisional observations based on Phase 1B reconstruction evidence. Phase 1C source revalidation is required before patterns can be considered final. This is not a product ordering, procurement recommendation, or certification.</w:t>
      </w:r>
    </w:p>
    <w:p/>
    <w:p/>
    <w:p>
      <w:pPr>
        <w:pStyle w:val="Heading2"/>
      </w:pPr>
      <w:r>
        <w:t>G.4 Phase 1C Source Revalidation Note</w:t>
      </w:r>
    </w:p>
    <w:p/>
    <w:p>
      <w:r>
        <w:t>Appendix G has completed Phase 1C claim-level source binding and remains revalidated provisional.</w:t>
      </w:r>
    </w:p>
    <w:p/>
    <w:p>
      <w:r>
        <w:t>Remaining finalization scope:</w:t>
      </w:r>
    </w:p>
    <w:p/>
    <w:p>
      <w:r>
        <w:t>1. Pin exact source pages for each source-bound claim — Source entry points have been located, but some claims still need exact page-level citation pinning.</w:t>
      </w:r>
    </w:p>
    <w:p>
      <w:r>
        <w:t>2. Preserve L5 mapping discipline — Product documentation supporting adjacent platform features must not be treated as direct ALCS lifecycle responsibility-object proof.</w:t>
      </w:r>
    </w:p>
    <w:p>
      <w:r>
        <w:t>3. Retain no-score/no-ranking posture — Qualitative postures remain analytical and provisional.</w:t>
      </w:r>
    </w:p>
    <w:p>
      <w:r>
        <w:t>4. Perform final citation rendering QA in Phase 1D — No DOCX/PDF citation rendering has been generated in this phase.</w:t>
      </w:r>
    </w:p>
    <w:p/>
    <w:p>
      <w:r>
        <w:t>Systems not assessed in Appendix G:</w:t>
      </w:r>
    </w:p>
    <w:p/>
    <w:p>
      <w:r>
        <w:t>The following systems were mentioned in earlier phases but are not assessed in Appendix G. They may be considered for Phase 1C expansion or future versions:</w:t>
      </w:r>
    </w:p>
    <w:p/>
    <w:p>
      <w:pPr>
        <w:pStyle w:val="ListBullet"/>
      </w:pPr>
      <w:r>
        <w:t>LangChain (standalone framework; LangGraph/LangSmith assessed instead as representative LangChain ecosystem system)</w:t>
      </w:r>
    </w:p>
    <w:p>
      <w:pPr>
        <w:pStyle w:val="ListBullet"/>
      </w:pPr>
      <w:r>
        <w:t>AutoGen (not included in representative system set)</w:t>
      </w:r>
    </w:p>
    <w:p>
      <w:pPr>
        <w:pStyle w:val="ListBullet"/>
      </w:pPr>
      <w:r>
        <w:t>Semantic Kernel (not included in representative system set)</w:t>
      </w:r>
    </w:p>
    <w:p>
      <w:pPr>
        <w:pStyle w:val="ListBullet"/>
      </w:pPr>
      <w:r>
        <w:t>Microsoft Copilot Studio (Microsoft Azure AI Foundry assessed instead as representative Microsoft system)</w:t>
      </w:r>
    </w:p>
    <w:p>
      <w:pPr>
        <w:pStyle w:val="ListBullet"/>
      </w:pPr>
      <w:r>
        <w:t>Anthropic Claude API (not included in representative system set)</w:t>
      </w:r>
    </w:p>
    <w:p>
      <w:pPr>
        <w:pStyle w:val="ListBullet"/>
      </w:pPr>
      <w:r>
        <w:t>OpenAI Assistants API (OpenAI Agents SDK assessed instead as representative OpenAI system)</w:t>
      </w:r>
    </w:p>
    <w:p>
      <w:pPr>
        <w:pStyle w:val="ListBullet"/>
      </w:pPr>
      <w:r>
        <w:t>Amazon Bedrock Agents (AWS Bedrock / Guardrails / AgentCore assessed instead as comprehensive AWS system)</w:t>
      </w:r>
    </w:p>
    <w:p>
      <w:pPr>
        <w:pStyle w:val="ListBullet"/>
      </w:pPr>
      <w:r>
        <w:t>Google Vertex AI Agent Builder (Google Vertex AI / ADK / Model Armor assessed instead as comprehensive Google system)</w:t>
      </w:r>
    </w:p>
    <w:p/>
    <w:p>
      <w:r>
        <w:t>Validation Lab Note:</w:t>
      </w:r>
    </w:p>
    <w:p/>
    <w:p>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
    <w:p>
      <w:r>
        <w:t>End of Appendix G</w:t>
      </w:r>
    </w:p>
    <w:p/>
    <w:p>
      <w:r>
        <w:t>Appendix G Status: REVALIDATED PROVISIONAL (Phase 1C Follow-up) — Expanded System-by-System Assessment complete; 8 representative systems plus T-G-09 cross-system pattern summary included with qualitative provisional posture; official source entry points located and material claims source-bound, narrowed, or downgraded to L5 analytical interpretation; no scores, ordered comparisons, or procurement recommendations.</w:t>
      </w:r>
    </w:p>
    <w:p>
      <w:pPr>
        <w:pStyle w:val="Heading1"/>
      </w:pPr>
      <w:r>
        <w:t>Appendix H — Enterprise Procurement Scorecard</w:t>
      </w:r>
    </w:p>
    <w:p/>
    <w:p>
      <w:r>
        <w:t>Version: v0.3.2-FRC-R3</w:t>
      </w:r>
    </w:p>
    <w:p>
      <w:r>
        <w:t>Status: Filled</w:t>
      </w:r>
    </w:p>
    <w:p>
      <w:r>
        <w:t>Phase: 1B-10</w:t>
      </w:r>
    </w:p>
    <w:p/>
    <w:p/>
    <w:p>
      <w:pPr>
        <w:pStyle w:val="Heading2"/>
      </w:pPr>
      <w:r>
        <w:t>H.0 Procurement Boundary</w:t>
      </w:r>
    </w:p>
    <w:p/>
    <w:p>
      <w:r>
        <w:t>This appendix provides an enterprise procurement-oriented checklist and scorecard template for evaluating agentic AI systems using RCCS, ALCS, and lifecycle governance requirements.</w:t>
      </w:r>
    </w:p>
    <w:p/>
    <w:p>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
      <w:r>
        <w:t>The scorecard may reference RCCS and ALCS dimensions as analytical prompts. It must not be read as proof that a vendor, platform, protocol, or implementation is legally compliant, operationally effective, enterprise-ready, certified, or regulator-approved.</w:t>
      </w:r>
    </w:p>
    <w:p/>
    <w:p>
      <w:r>
        <w:t>Appendix G may be used only as an example of qualitative provisional assessment categories. Appendix G provisional postures must not be reused as vendor selection advice before Phase 1C source revalidation.</w:t>
      </w:r>
    </w:p>
    <w:p/>
    <w:p/>
    <w:p>
      <w:pPr>
        <w:pStyle w:val="Heading2"/>
      </w:pPr>
      <w:r>
        <w:t>H.1 How Enterprises Should Use This Scorecard</w:t>
      </w:r>
    </w:p>
    <w:p/>
    <w:p>
      <w:r>
        <w:t>Enterprises should use this scorecard during early diligence, request-for-information review, request-for-proposal design, architecture review, and internal governance review. The scorecard is intended to structure questions, evidence requests, and review boundaries.</w:t>
      </w:r>
    </w:p>
    <w:p/>
    <w:p>
      <w:r>
        <w:t>Recommended use sequence:</w:t>
      </w:r>
    </w:p>
    <w:p/>
    <w:p>
      <w:r>
        <w:t>1. Identify the intended agentic AI use case, deployment context, and lifecycle risk profile.</w:t>
      </w:r>
    </w:p>
    <w:p>
      <w:r>
        <w:t>2. Select the relevant RCCS and ALCS dimensions for that use case.</w:t>
      </w:r>
    </w:p>
    <w:p>
      <w:r>
        <w:t>3. Request evidence from vendors or implementation teams using the evidence request template.</w:t>
      </w:r>
    </w:p>
    <w:p>
      <w:r>
        <w:t>4. Record gaps, red flags, and unresolved assumptions.</w:t>
      </w:r>
    </w:p>
    <w:p>
      <w:r>
        <w:t>5. Escalate material gaps to legal, security, privacy, risk, procurement, and business owners.</w:t>
      </w:r>
    </w:p>
    <w:p>
      <w:r>
        <w:t>6. Defer final evidence interpretation to Phase 1C-style source validation or enterprise review.</w:t>
      </w:r>
    </w:p>
    <w:p/>
    <w:p>
      <w:r>
        <w:t>This appendix does not tell an enterprise which system to buy. It supports disciplined questioning and evidence collection.</w:t>
      </w:r>
    </w:p>
    <w:p/>
    <w:p/>
    <w:p>
      <w:pPr>
        <w:pStyle w:val="Heading2"/>
      </w:pPr>
      <w:r>
        <w:t>H.2 Procurement Due Diligence Questions</w:t>
      </w:r>
    </w:p>
    <w:p/>
    <w:p>
      <w:pPr>
        <w:keepNext/>
      </w:pPr>
      <w:r>
        <w:rPr>
          <w:b/>
          <w:sz w:val="17"/>
        </w:rPr>
        <w:t>Table T-H-01: Enterprise Procurement Scorecard</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Area</w:t>
            </w:r>
          </w:p>
        </w:tc>
        <w:tc>
          <w:tcPr>
            <w:tcW w:type="dxa" w:w="2400"/>
            <w:vAlign w:val="top"/>
            <w:shd w:fill="D9EAF7"/>
            <w:textDirection w:val="lrTb"/>
          </w:tcPr>
          <w:p>
            <w:pPr>
              <w:spacing w:after="0"/>
              <w:jc w:val="left"/>
            </w:pPr>
            <w:r>
              <w:rPr>
                <w:rFonts w:ascii="Arial" w:hAnsi="Arial"/>
                <w:b/>
                <w:sz w:val="11"/>
              </w:rPr>
              <w:t>Procurement Question</w:t>
            </w:r>
          </w:p>
        </w:tc>
        <w:tc>
          <w:tcPr>
            <w:tcW w:type="dxa" w:w="2400"/>
            <w:vAlign w:val="top"/>
            <w:shd w:fill="D9EAF7"/>
            <w:textDirection w:val="lrTb"/>
          </w:tcPr>
          <w:p>
            <w:pPr>
              <w:spacing w:after="0"/>
              <w:jc w:val="left"/>
            </w:pPr>
            <w:r>
              <w:rPr>
                <w:rFonts w:ascii="Arial" w:hAnsi="Arial"/>
                <w:b/>
                <w:sz w:val="11"/>
              </w:rPr>
              <w:t>Related RCCS/ALCS</w:t>
            </w:r>
          </w:p>
        </w:tc>
        <w:tc>
          <w:tcPr>
            <w:tcW w:type="dxa" w:w="2400"/>
            <w:vAlign w:val="top"/>
            <w:shd w:fill="D9EAF7"/>
          </w:tcPr>
          <w:p>
            <w:pPr>
              <w:spacing w:after="0"/>
              <w:jc w:val="left"/>
            </w:pPr>
            <w:r>
              <w:rPr>
                <w:rFonts w:ascii="Arial" w:hAnsi="Arial"/>
                <w:b/>
                <w:sz w:val="11"/>
              </w:rPr>
              <w:t>Required Vendor Evidence</w:t>
            </w:r>
          </w:p>
        </w:tc>
        <w:tc>
          <w:tcPr>
            <w:tcW w:type="dxa" w:w="2400"/>
            <w:vAlign w:val="top"/>
            <w:shd w:fill="D9EAF7"/>
            <w:textDirection w:val="lrTb"/>
          </w:tcPr>
          <w:p>
            <w:pPr>
              <w:spacing w:after="0"/>
              <w:jc w:val="left"/>
            </w:pPr>
            <w:r>
              <w:rPr>
                <w:rFonts w:ascii="Arial" w:hAnsi="Arial"/>
                <w:b/>
                <w:sz w:val="11"/>
              </w:rPr>
              <w:t>Red Flag</w:t>
            </w:r>
          </w:p>
        </w:tc>
        <w:tc>
          <w:tcPr>
            <w:tcW w:type="dxa" w:w="2400"/>
            <w:vAlign w:val="top"/>
            <w:shd w:fill="D9EAF7"/>
            <w:textDirection w:val="lrTb"/>
          </w:tcPr>
          <w:p>
            <w:pPr>
              <w:spacing w:after="0"/>
              <w:jc w:val="left"/>
            </w:pPr>
            <w:r>
              <w:rPr>
                <w:rFonts w:ascii="Arial" w:hAnsi="Arial"/>
                <w:b/>
                <w:sz w:val="11"/>
              </w:rPr>
              <w:t>Buyer Note</w:t>
            </w:r>
          </w:p>
        </w:tc>
      </w:tr>
      <w:tr>
        <w:trPr>
          <w:cantSplit/>
        </w:trPr>
        <w:tc>
          <w:tcPr>
            <w:tcW w:type="dxa" w:w="2400"/>
            <w:vAlign w:val="top"/>
          </w:tcPr>
          <w:p>
            <w:pPr>
              <w:spacing w:after="0"/>
              <w:jc w:val="left"/>
            </w:pPr>
            <w:r>
              <w:rPr>
                <w:rFonts w:ascii="Arial" w:hAnsi="Arial"/>
                <w:b w:val="0"/>
                <w:sz w:val="11"/>
              </w:rPr>
              <w:t>Governance scope</w:t>
            </w:r>
          </w:p>
        </w:tc>
        <w:tc>
          <w:tcPr>
            <w:tcW w:type="dxa" w:w="2400"/>
            <w:vAlign w:val="top"/>
          </w:tcPr>
          <w:p>
            <w:pPr>
              <w:spacing w:after="0"/>
              <w:jc w:val="left"/>
            </w:pPr>
            <w:r>
              <w:rPr>
                <w:rFonts w:ascii="Arial" w:hAnsi="Arial"/>
                <w:b w:val="0"/>
                <w:sz w:val="11"/>
              </w:rPr>
              <w:t>What agentic workflows, tools, models, and runtime components are covered by the governance controls?</w:t>
            </w:r>
          </w:p>
        </w:tc>
        <w:tc>
          <w:tcPr>
            <w:tcW w:type="dxa" w:w="2400"/>
            <w:vAlign w:val="top"/>
          </w:tcPr>
          <w:p>
            <w:pPr>
              <w:spacing w:after="0"/>
              <w:jc w:val="left"/>
            </w:pPr>
            <w:r>
              <w:rPr>
                <w:rFonts w:ascii="Arial" w:hAnsi="Arial"/>
                <w:b w:val="0"/>
                <w:sz w:val="11"/>
              </w:rPr>
              <w:t>RCCS-03, ALCS-15</w:t>
            </w:r>
          </w:p>
        </w:tc>
        <w:tc>
          <w:tcPr>
            <w:tcW w:type="dxa" w:w="2400"/>
            <w:vAlign w:val="top"/>
          </w:tcPr>
          <w:p>
            <w:pPr>
              <w:spacing w:after="0"/>
              <w:jc w:val="left"/>
            </w:pPr>
            <w:r>
              <w:rPr>
                <w:rFonts w:ascii="Arial" w:hAnsi="Arial"/>
                <w:b w:val="0"/>
                <w:sz w:val="11"/>
              </w:rPr>
              <w:t>Scope statement, architecture diagram, runtime inventory</w:t>
            </w:r>
          </w:p>
        </w:tc>
        <w:tc>
          <w:tcPr>
            <w:tcW w:type="dxa" w:w="2400"/>
            <w:vAlign w:val="top"/>
          </w:tcPr>
          <w:p>
            <w:pPr>
              <w:spacing w:after="0"/>
              <w:jc w:val="left"/>
            </w:pPr>
            <w:r>
              <w:rPr>
                <w:rFonts w:ascii="Arial" w:hAnsi="Arial"/>
                <w:b w:val="0"/>
                <w:sz w:val="11"/>
              </w:rPr>
              <w:t>Governance claims cover only model behavior while agent workflow remains undefined</w:t>
            </w:r>
          </w:p>
        </w:tc>
        <w:tc>
          <w:tcPr>
            <w:tcW w:type="dxa" w:w="2400"/>
            <w:vAlign w:val="top"/>
          </w:tcPr>
          <w:p>
            <w:pPr>
              <w:spacing w:after="0"/>
              <w:jc w:val="left"/>
            </w:pPr>
            <w:r>
              <w:rPr>
                <w:rFonts w:ascii="Arial" w:hAnsi="Arial"/>
                <w:b w:val="0"/>
                <w:sz w:val="11"/>
              </w:rPr>
              <w:t>Confirm whether controls apply to the full lifecycle, not only model invocation</w:t>
            </w:r>
          </w:p>
        </w:tc>
      </w:tr>
      <w:tr>
        <w:trPr>
          <w:cantSplit/>
        </w:trPr>
        <w:tc>
          <w:tcPr>
            <w:tcW w:type="dxa" w:w="2400"/>
            <w:vAlign w:val="top"/>
          </w:tcPr>
          <w:p>
            <w:pPr>
              <w:spacing w:after="0"/>
              <w:jc w:val="left"/>
            </w:pPr>
            <w:r>
              <w:rPr>
                <w:rFonts w:ascii="Arial" w:hAnsi="Arial"/>
                <w:b w:val="0"/>
                <w:sz w:val="11"/>
              </w:rPr>
              <w:t>Risk management</w:t>
            </w:r>
          </w:p>
        </w:tc>
        <w:tc>
          <w:tcPr>
            <w:tcW w:type="dxa" w:w="2400"/>
            <w:vAlign w:val="top"/>
          </w:tcPr>
          <w:p>
            <w:pPr>
              <w:spacing w:after="0"/>
              <w:jc w:val="left"/>
            </w:pPr>
            <w:r>
              <w:rPr>
                <w:rFonts w:ascii="Arial" w:hAnsi="Arial"/>
                <w:b w:val="0"/>
                <w:sz w:val="11"/>
              </w:rPr>
              <w:t>How are agentic risks identified, assessed, mitigated, and monitored over time?</w:t>
            </w:r>
          </w:p>
        </w:tc>
        <w:tc>
          <w:tcPr>
            <w:tcW w:type="dxa" w:w="2400"/>
            <w:vAlign w:val="top"/>
          </w:tcPr>
          <w:p>
            <w:pPr>
              <w:spacing w:after="0"/>
              <w:jc w:val="left"/>
            </w:pPr>
            <w:r>
              <w:rPr>
                <w:rFonts w:ascii="Arial" w:hAnsi="Arial"/>
                <w:b w:val="0"/>
                <w:sz w:val="11"/>
              </w:rPr>
              <w:t>RCCS-01, RCCS-10</w:t>
            </w:r>
          </w:p>
        </w:tc>
        <w:tc>
          <w:tcPr>
            <w:tcW w:type="dxa" w:w="2400"/>
            <w:vAlign w:val="top"/>
          </w:tcPr>
          <w:p>
            <w:pPr>
              <w:spacing w:after="0"/>
              <w:jc w:val="left"/>
            </w:pPr>
            <w:r>
              <w:rPr>
                <w:rFonts w:ascii="Arial" w:hAnsi="Arial"/>
                <w:b w:val="0"/>
                <w:sz w:val="11"/>
              </w:rPr>
              <w:t>Risk register template, monitoring policy, escalation workflow</w:t>
            </w:r>
          </w:p>
        </w:tc>
        <w:tc>
          <w:tcPr>
            <w:tcW w:type="dxa" w:w="2400"/>
            <w:vAlign w:val="top"/>
          </w:tcPr>
          <w:p>
            <w:pPr>
              <w:spacing w:after="0"/>
              <w:jc w:val="left"/>
            </w:pPr>
            <w:r>
              <w:rPr>
                <w:rFonts w:ascii="Arial" w:hAnsi="Arial"/>
                <w:b w:val="0"/>
                <w:sz w:val="11"/>
              </w:rPr>
              <w:t>Risk management is described only as a general platform feature</w:t>
            </w:r>
          </w:p>
        </w:tc>
        <w:tc>
          <w:tcPr>
            <w:tcW w:type="dxa" w:w="2400"/>
            <w:vAlign w:val="top"/>
          </w:tcPr>
          <w:p>
            <w:pPr>
              <w:spacing w:after="0"/>
              <w:jc w:val="left"/>
            </w:pPr>
            <w:r>
              <w:rPr>
                <w:rFonts w:ascii="Arial" w:hAnsi="Arial"/>
                <w:b w:val="0"/>
                <w:sz w:val="11"/>
              </w:rPr>
              <w:t>Require AI-agent-specific risk handling evidence</w:t>
            </w:r>
          </w:p>
        </w:tc>
      </w:tr>
      <w:tr>
        <w:trPr>
          <w:cantSplit/>
        </w:trPr>
        <w:tc>
          <w:tcPr>
            <w:tcW w:type="dxa" w:w="2400"/>
            <w:vAlign w:val="top"/>
          </w:tcPr>
          <w:p>
            <w:pPr>
              <w:spacing w:after="0"/>
              <w:jc w:val="left"/>
            </w:pPr>
            <w:r>
              <w:rPr>
                <w:rFonts w:ascii="Arial" w:hAnsi="Arial"/>
                <w:b w:val="0"/>
                <w:sz w:val="11"/>
              </w:rPr>
              <w:t>Data governance</w:t>
            </w:r>
          </w:p>
        </w:tc>
        <w:tc>
          <w:tcPr>
            <w:tcW w:type="dxa" w:w="2400"/>
            <w:vAlign w:val="top"/>
          </w:tcPr>
          <w:p>
            <w:pPr>
              <w:spacing w:after="0"/>
              <w:jc w:val="left"/>
            </w:pPr>
            <w:r>
              <w:rPr>
                <w:rFonts w:ascii="Arial" w:hAnsi="Arial"/>
                <w:b w:val="0"/>
                <w:sz w:val="11"/>
              </w:rPr>
              <w:t>How are input data, context data, generated evidence, and retained records governed?</w:t>
            </w:r>
          </w:p>
        </w:tc>
        <w:tc>
          <w:tcPr>
            <w:tcW w:type="dxa" w:w="2400"/>
            <w:vAlign w:val="top"/>
          </w:tcPr>
          <w:p>
            <w:pPr>
              <w:spacing w:after="0"/>
              <w:jc w:val="left"/>
            </w:pPr>
            <w:r>
              <w:rPr>
                <w:rFonts w:ascii="Arial" w:hAnsi="Arial"/>
                <w:b w:val="0"/>
                <w:sz w:val="11"/>
              </w:rPr>
              <w:t>RCCS-02, ALCS-10, ALCS-13</w:t>
            </w:r>
          </w:p>
        </w:tc>
        <w:tc>
          <w:tcPr>
            <w:tcW w:type="dxa" w:w="2400"/>
            <w:vAlign w:val="top"/>
          </w:tcPr>
          <w:p>
            <w:pPr>
              <w:spacing w:after="0"/>
              <w:jc w:val="left"/>
            </w:pPr>
            <w:r>
              <w:rPr>
                <w:rFonts w:ascii="Arial" w:hAnsi="Arial"/>
                <w:b w:val="0"/>
                <w:sz w:val="11"/>
              </w:rPr>
              <w:t>Data flow map, retention policy, access control description</w:t>
            </w:r>
          </w:p>
        </w:tc>
        <w:tc>
          <w:tcPr>
            <w:tcW w:type="dxa" w:w="2400"/>
            <w:vAlign w:val="top"/>
          </w:tcPr>
          <w:p>
            <w:pPr>
              <w:spacing w:after="0"/>
              <w:jc w:val="left"/>
            </w:pPr>
            <w:r>
              <w:rPr>
                <w:rFonts w:ascii="Arial" w:hAnsi="Arial"/>
                <w:b w:val="0"/>
                <w:sz w:val="11"/>
              </w:rPr>
              <w:t>Retention and deletion duties are described without lifecycle evidence handling</w:t>
            </w:r>
          </w:p>
        </w:tc>
        <w:tc>
          <w:tcPr>
            <w:tcW w:type="dxa" w:w="2400"/>
            <w:vAlign w:val="top"/>
          </w:tcPr>
          <w:p>
            <w:pPr>
              <w:spacing w:after="0"/>
              <w:jc w:val="left"/>
            </w:pPr>
            <w:r>
              <w:rPr>
                <w:rFonts w:ascii="Arial" w:hAnsi="Arial"/>
                <w:b w:val="0"/>
                <w:sz w:val="11"/>
              </w:rPr>
              <w:t>Verify privacy and retention conflicts during Phase 1C</w:t>
            </w:r>
          </w:p>
        </w:tc>
      </w:tr>
      <w:tr>
        <w:trPr>
          <w:cantSplit/>
        </w:trPr>
        <w:tc>
          <w:tcPr>
            <w:tcW w:type="dxa" w:w="2400"/>
            <w:vAlign w:val="top"/>
          </w:tcPr>
          <w:p>
            <w:pPr>
              <w:spacing w:after="0"/>
              <w:jc w:val="left"/>
            </w:pPr>
            <w:r>
              <w:rPr>
                <w:rFonts w:ascii="Arial" w:hAnsi="Arial"/>
                <w:b w:val="0"/>
                <w:sz w:val="11"/>
              </w:rPr>
              <w:t>Documentation</w:t>
            </w:r>
          </w:p>
        </w:tc>
        <w:tc>
          <w:tcPr>
            <w:tcW w:type="dxa" w:w="2400"/>
            <w:vAlign w:val="top"/>
          </w:tcPr>
          <w:p>
            <w:pPr>
              <w:spacing w:after="0"/>
              <w:jc w:val="left"/>
            </w:pPr>
            <w:r>
              <w:rPr>
                <w:rFonts w:ascii="Arial" w:hAnsi="Arial"/>
                <w:b w:val="0"/>
                <w:sz w:val="11"/>
              </w:rPr>
              <w:t>What documentation exists for model use, agent role, tool access, and deployment configuration?</w:t>
            </w:r>
          </w:p>
        </w:tc>
        <w:tc>
          <w:tcPr>
            <w:tcW w:type="dxa" w:w="2400"/>
            <w:vAlign w:val="top"/>
          </w:tcPr>
          <w:p>
            <w:pPr>
              <w:spacing w:after="0"/>
              <w:jc w:val="left"/>
            </w:pPr>
            <w:r>
              <w:rPr>
                <w:rFonts w:ascii="Arial" w:hAnsi="Arial"/>
                <w:b w:val="0"/>
                <w:sz w:val="11"/>
              </w:rPr>
              <w:t>RCCS-03, ALCS-03, ALCS-15</w:t>
            </w:r>
          </w:p>
        </w:tc>
        <w:tc>
          <w:tcPr>
            <w:tcW w:type="dxa" w:w="2400"/>
            <w:vAlign w:val="top"/>
          </w:tcPr>
          <w:p>
            <w:pPr>
              <w:spacing w:after="0"/>
              <w:jc w:val="left"/>
            </w:pPr>
            <w:r>
              <w:rPr>
                <w:rFonts w:ascii="Arial" w:hAnsi="Arial"/>
                <w:b w:val="0"/>
                <w:sz w:val="11"/>
              </w:rPr>
              <w:t>System card, model card, deployment record, configuration manifest</w:t>
            </w:r>
          </w:p>
        </w:tc>
        <w:tc>
          <w:tcPr>
            <w:tcW w:type="dxa" w:w="2400"/>
            <w:vAlign w:val="top"/>
          </w:tcPr>
          <w:p>
            <w:pPr>
              <w:spacing w:after="0"/>
              <w:jc w:val="left"/>
            </w:pPr>
            <w:r>
              <w:rPr>
                <w:rFonts w:ascii="Arial" w:hAnsi="Arial"/>
                <w:b w:val="0"/>
                <w:sz w:val="11"/>
              </w:rPr>
              <w:t>Documentation exists for models but not agents or tool actions</w:t>
            </w:r>
          </w:p>
        </w:tc>
        <w:tc>
          <w:tcPr>
            <w:tcW w:type="dxa" w:w="2400"/>
            <w:vAlign w:val="top"/>
          </w:tcPr>
          <w:p>
            <w:pPr>
              <w:spacing w:after="0"/>
              <w:jc w:val="left"/>
            </w:pPr>
            <w:r>
              <w:rPr>
                <w:rFonts w:ascii="Arial" w:hAnsi="Arial"/>
                <w:b w:val="0"/>
                <w:sz w:val="11"/>
              </w:rPr>
              <w:t>Separate model documentation from agent lifecycle documentation</w:t>
            </w:r>
          </w:p>
        </w:tc>
      </w:tr>
      <w:tr>
        <w:trPr>
          <w:cantSplit/>
        </w:trPr>
        <w:tc>
          <w:tcPr>
            <w:tcW w:type="dxa" w:w="2400"/>
            <w:vAlign w:val="top"/>
          </w:tcPr>
          <w:p>
            <w:pPr>
              <w:spacing w:after="0"/>
              <w:jc w:val="left"/>
            </w:pPr>
            <w:r>
              <w:rPr>
                <w:rFonts w:ascii="Arial" w:hAnsi="Arial"/>
                <w:b w:val="0"/>
                <w:sz w:val="11"/>
              </w:rPr>
              <w:t>Record keeping</w:t>
            </w:r>
          </w:p>
        </w:tc>
        <w:tc>
          <w:tcPr>
            <w:tcW w:type="dxa" w:w="2400"/>
            <w:vAlign w:val="top"/>
          </w:tcPr>
          <w:p>
            <w:pPr>
              <w:spacing w:after="0"/>
              <w:jc w:val="left"/>
            </w:pPr>
            <w:r>
              <w:rPr>
                <w:rFonts w:ascii="Arial" w:hAnsi="Arial"/>
                <w:b w:val="0"/>
                <w:sz w:val="11"/>
              </w:rPr>
              <w:t>What records are created for plans, tool actions, authority grants, evidence packs, reviews, and accepted outcomes?</w:t>
            </w:r>
          </w:p>
        </w:tc>
        <w:tc>
          <w:tcPr>
            <w:tcW w:type="dxa" w:w="2400"/>
            <w:vAlign w:val="top"/>
          </w:tcPr>
          <w:p>
            <w:pPr>
              <w:spacing w:after="0"/>
              <w:jc w:val="left"/>
            </w:pPr>
            <w:r>
              <w:rPr>
                <w:rFonts w:ascii="Arial" w:hAnsi="Arial"/>
                <w:b w:val="0"/>
                <w:sz w:val="11"/>
              </w:rPr>
              <w:t>RCCS-04, ALCS-08, ALCS-12</w:t>
            </w:r>
          </w:p>
        </w:tc>
        <w:tc>
          <w:tcPr>
            <w:tcW w:type="dxa" w:w="2400"/>
            <w:vAlign w:val="top"/>
          </w:tcPr>
          <w:p>
            <w:pPr>
              <w:spacing w:after="0"/>
              <w:jc w:val="left"/>
            </w:pPr>
            <w:r>
              <w:rPr>
                <w:rFonts w:ascii="Arial" w:hAnsi="Arial"/>
                <w:b w:val="0"/>
                <w:sz w:val="11"/>
              </w:rPr>
              <w:t>Log schema, evidence export sample, retention rule</w:t>
            </w:r>
          </w:p>
        </w:tc>
        <w:tc>
          <w:tcPr>
            <w:tcW w:type="dxa" w:w="2400"/>
            <w:vAlign w:val="top"/>
          </w:tcPr>
          <w:p>
            <w:pPr>
              <w:spacing w:after="0"/>
              <w:jc w:val="left"/>
            </w:pPr>
            <w:r>
              <w:rPr>
                <w:rFonts w:ascii="Arial" w:hAnsi="Arial"/>
                <w:b w:val="0"/>
                <w:sz w:val="11"/>
              </w:rPr>
              <w:t>Logs cannot be connected to lifecycle responsibility objects</w:t>
            </w:r>
          </w:p>
        </w:tc>
        <w:tc>
          <w:tcPr>
            <w:tcW w:type="dxa" w:w="2400"/>
            <w:vAlign w:val="top"/>
          </w:tcPr>
          <w:p>
            <w:pPr>
              <w:spacing w:after="0"/>
              <w:jc w:val="left"/>
            </w:pPr>
            <w:r>
              <w:rPr>
                <w:rFonts w:ascii="Arial" w:hAnsi="Arial"/>
                <w:b w:val="0"/>
                <w:sz w:val="11"/>
              </w:rPr>
              <w:t>Ask whether records are exportable and reviewable</w:t>
            </w:r>
          </w:p>
        </w:tc>
      </w:tr>
      <w:tr>
        <w:trPr>
          <w:cantSplit/>
        </w:trPr>
        <w:tc>
          <w:tcPr>
            <w:tcW w:type="dxa" w:w="2400"/>
            <w:vAlign w:val="top"/>
          </w:tcPr>
          <w:p>
            <w:pPr>
              <w:spacing w:after="0"/>
              <w:jc w:val="left"/>
            </w:pPr>
            <w:r>
              <w:rPr>
                <w:rFonts w:ascii="Arial" w:hAnsi="Arial"/>
                <w:b w:val="0"/>
                <w:sz w:val="11"/>
              </w:rPr>
              <w:t>Human oversight</w:t>
            </w:r>
          </w:p>
        </w:tc>
        <w:tc>
          <w:tcPr>
            <w:tcW w:type="dxa" w:w="2400"/>
            <w:vAlign w:val="top"/>
          </w:tcPr>
          <w:p>
            <w:pPr>
              <w:spacing w:after="0"/>
              <w:jc w:val="left"/>
            </w:pPr>
            <w:r>
              <w:rPr>
                <w:rFonts w:ascii="Arial" w:hAnsi="Arial"/>
                <w:b w:val="0"/>
                <w:sz w:val="11"/>
              </w:rPr>
              <w:t>How are human roles mapped to agent responsibilities, review points, and escalation authority?</w:t>
            </w:r>
          </w:p>
        </w:tc>
        <w:tc>
          <w:tcPr>
            <w:tcW w:type="dxa" w:w="2400"/>
            <w:vAlign w:val="top"/>
          </w:tcPr>
          <w:p>
            <w:pPr>
              <w:spacing w:after="0"/>
              <w:jc w:val="left"/>
            </w:pPr>
            <w:r>
              <w:rPr>
                <w:rFonts w:ascii="Arial" w:hAnsi="Arial"/>
                <w:b w:val="0"/>
                <w:sz w:val="11"/>
              </w:rPr>
              <w:t>RCCS-06, ALCS-01, ALCS-02</w:t>
            </w:r>
          </w:p>
        </w:tc>
        <w:tc>
          <w:tcPr>
            <w:tcW w:type="dxa" w:w="2400"/>
            <w:vAlign w:val="top"/>
          </w:tcPr>
          <w:p>
            <w:pPr>
              <w:spacing w:after="0"/>
              <w:jc w:val="left"/>
            </w:pPr>
            <w:r>
              <w:rPr>
                <w:rFonts w:ascii="Arial" w:hAnsi="Arial"/>
                <w:b w:val="0"/>
                <w:sz w:val="11"/>
              </w:rPr>
              <w:t>Responsibility matrix, review workflow, escalation rule</w:t>
            </w:r>
          </w:p>
        </w:tc>
        <w:tc>
          <w:tcPr>
            <w:tcW w:type="dxa" w:w="2400"/>
            <w:vAlign w:val="top"/>
          </w:tcPr>
          <w:p>
            <w:pPr>
              <w:spacing w:after="0"/>
              <w:jc w:val="left"/>
            </w:pPr>
            <w:r>
              <w:rPr>
                <w:rFonts w:ascii="Arial" w:hAnsi="Arial"/>
                <w:b w:val="0"/>
                <w:sz w:val="11"/>
              </w:rPr>
              <w:t>Human oversight is described as a generic approval button</w:t>
            </w:r>
          </w:p>
        </w:tc>
        <w:tc>
          <w:tcPr>
            <w:tcW w:type="dxa" w:w="2400"/>
            <w:vAlign w:val="top"/>
          </w:tcPr>
          <w:p>
            <w:pPr>
              <w:spacing w:after="0"/>
              <w:jc w:val="left"/>
            </w:pPr>
            <w:r>
              <w:rPr>
                <w:rFonts w:ascii="Arial" w:hAnsi="Arial"/>
                <w:b w:val="0"/>
                <w:sz w:val="11"/>
              </w:rPr>
              <w:t>Require role-to-responsibility mapping</w:t>
            </w:r>
          </w:p>
        </w:tc>
      </w:tr>
      <w:tr>
        <w:trPr>
          <w:cantSplit/>
        </w:trPr>
        <w:tc>
          <w:tcPr>
            <w:tcW w:type="dxa" w:w="2400"/>
            <w:vAlign w:val="top"/>
          </w:tcPr>
          <w:p>
            <w:pPr>
              <w:spacing w:after="0"/>
              <w:jc w:val="left"/>
            </w:pPr>
            <w:r>
              <w:rPr>
                <w:rFonts w:ascii="Arial" w:hAnsi="Arial"/>
                <w:b w:val="0"/>
                <w:sz w:val="11"/>
              </w:rPr>
              <w:t>Authority boundaries</w:t>
            </w:r>
          </w:p>
        </w:tc>
        <w:tc>
          <w:tcPr>
            <w:tcW w:type="dxa" w:w="2400"/>
            <w:vAlign w:val="top"/>
          </w:tcPr>
          <w:p>
            <w:pPr>
              <w:spacing w:after="0"/>
              <w:jc w:val="left"/>
            </w:pPr>
            <w:r>
              <w:rPr>
                <w:rFonts w:ascii="Arial" w:hAnsi="Arial"/>
                <w:b w:val="0"/>
                <w:sz w:val="11"/>
              </w:rPr>
              <w:t>How are delegated authority limits defined, enforced, and changed?</w:t>
            </w:r>
          </w:p>
        </w:tc>
        <w:tc>
          <w:tcPr>
            <w:tcW w:type="dxa" w:w="2400"/>
            <w:vAlign w:val="top"/>
          </w:tcPr>
          <w:p>
            <w:pPr>
              <w:spacing w:after="0"/>
              <w:jc w:val="left"/>
            </w:pPr>
            <w:r>
              <w:rPr>
                <w:rFonts w:ascii="Arial" w:hAnsi="Arial"/>
                <w:b w:val="0"/>
                <w:sz w:val="11"/>
              </w:rPr>
              <w:t>ALCS-02, ALCS-07</w:t>
            </w:r>
          </w:p>
        </w:tc>
        <w:tc>
          <w:tcPr>
            <w:tcW w:type="dxa" w:w="2400"/>
            <w:vAlign w:val="top"/>
          </w:tcPr>
          <w:p>
            <w:pPr>
              <w:spacing w:after="0"/>
              <w:jc w:val="left"/>
            </w:pPr>
            <w:r>
              <w:rPr>
                <w:rFonts w:ascii="Arial" w:hAnsi="Arial"/>
                <w:b w:val="0"/>
                <w:sz w:val="11"/>
              </w:rPr>
              <w:t>Authority policy, change log, exception workflow</w:t>
            </w:r>
          </w:p>
        </w:tc>
        <w:tc>
          <w:tcPr>
            <w:tcW w:type="dxa" w:w="2400"/>
            <w:vAlign w:val="top"/>
          </w:tcPr>
          <w:p>
            <w:pPr>
              <w:spacing w:after="0"/>
              <w:jc w:val="left"/>
            </w:pPr>
            <w:r>
              <w:rPr>
                <w:rFonts w:ascii="Arial" w:hAnsi="Arial"/>
                <w:b w:val="0"/>
                <w:sz w:val="11"/>
              </w:rPr>
              <w:t>Agents can acquire or use tools without visible authority boundaries</w:t>
            </w:r>
          </w:p>
        </w:tc>
        <w:tc>
          <w:tcPr>
            <w:tcW w:type="dxa" w:w="2400"/>
            <w:vAlign w:val="top"/>
          </w:tcPr>
          <w:p>
            <w:pPr>
              <w:spacing w:after="0"/>
              <w:jc w:val="left"/>
            </w:pPr>
            <w:r>
              <w:rPr>
                <w:rFonts w:ascii="Arial" w:hAnsi="Arial"/>
                <w:b w:val="0"/>
                <w:sz w:val="11"/>
              </w:rPr>
              <w:t>Require authority drift review before deployment</w:t>
            </w:r>
          </w:p>
        </w:tc>
      </w:tr>
      <w:tr>
        <w:trPr>
          <w:cantSplit/>
        </w:trPr>
        <w:tc>
          <w:tcPr>
            <w:tcW w:type="dxa" w:w="2400"/>
            <w:vAlign w:val="top"/>
          </w:tcPr>
          <w:p>
            <w:pPr>
              <w:spacing w:after="0"/>
              <w:jc w:val="left"/>
            </w:pPr>
            <w:r>
              <w:rPr>
                <w:rFonts w:ascii="Arial" w:hAnsi="Arial"/>
                <w:b w:val="0"/>
                <w:sz w:val="11"/>
              </w:rPr>
              <w:t>Tool action liability</w:t>
            </w:r>
          </w:p>
        </w:tc>
        <w:tc>
          <w:tcPr>
            <w:tcW w:type="dxa" w:w="2400"/>
            <w:vAlign w:val="top"/>
          </w:tcPr>
          <w:p>
            <w:pPr>
              <w:spacing w:after="0"/>
              <w:jc w:val="left"/>
            </w:pPr>
            <w:r>
              <w:rPr>
                <w:rFonts w:ascii="Arial" w:hAnsi="Arial"/>
                <w:b w:val="0"/>
                <w:sz w:val="11"/>
              </w:rPr>
              <w:t>How are tool calls, side effects, and responsibility transfers recorded?</w:t>
            </w:r>
          </w:p>
        </w:tc>
        <w:tc>
          <w:tcPr>
            <w:tcW w:type="dxa" w:w="2400"/>
            <w:vAlign w:val="top"/>
          </w:tcPr>
          <w:p>
            <w:pPr>
              <w:spacing w:after="0"/>
              <w:jc w:val="left"/>
            </w:pPr>
            <w:r>
              <w:rPr>
                <w:rFonts w:ascii="Arial" w:hAnsi="Arial"/>
                <w:b w:val="0"/>
                <w:sz w:val="11"/>
              </w:rPr>
              <w:t>ALCS-05, ALCS-06</w:t>
            </w:r>
          </w:p>
        </w:tc>
        <w:tc>
          <w:tcPr>
            <w:tcW w:type="dxa" w:w="2400"/>
            <w:vAlign w:val="top"/>
          </w:tcPr>
          <w:p>
            <w:pPr>
              <w:spacing w:after="0"/>
              <w:jc w:val="left"/>
            </w:pPr>
            <w:r>
              <w:rPr>
                <w:rFonts w:ascii="Arial" w:hAnsi="Arial"/>
                <w:b w:val="0"/>
                <w:sz w:val="11"/>
              </w:rPr>
              <w:t>Tool registry, action log schema, handoff record</w:t>
            </w:r>
          </w:p>
        </w:tc>
        <w:tc>
          <w:tcPr>
            <w:tcW w:type="dxa" w:w="2400"/>
            <w:vAlign w:val="top"/>
          </w:tcPr>
          <w:p>
            <w:pPr>
              <w:spacing w:after="0"/>
              <w:jc w:val="left"/>
            </w:pPr>
            <w:r>
              <w:rPr>
                <w:rFonts w:ascii="Arial" w:hAnsi="Arial"/>
                <w:b w:val="0"/>
                <w:sz w:val="11"/>
              </w:rPr>
              <w:t>Tool execution is visible but responsibility assignment is not</w:t>
            </w:r>
          </w:p>
        </w:tc>
        <w:tc>
          <w:tcPr>
            <w:tcW w:type="dxa" w:w="2400"/>
            <w:vAlign w:val="top"/>
          </w:tcPr>
          <w:p>
            <w:pPr>
              <w:spacing w:after="0"/>
              <w:jc w:val="left"/>
            </w:pPr>
            <w:r>
              <w:rPr>
                <w:rFonts w:ascii="Arial" w:hAnsi="Arial"/>
                <w:b w:val="0"/>
                <w:sz w:val="11"/>
              </w:rPr>
              <w:t>Require traceability from tool action to accountable review owner</w:t>
            </w:r>
          </w:p>
        </w:tc>
      </w:tr>
      <w:tr>
        <w:trPr>
          <w:cantSplit/>
        </w:trPr>
        <w:tc>
          <w:tcPr>
            <w:tcW w:type="dxa" w:w="2400"/>
            <w:vAlign w:val="top"/>
          </w:tcPr>
          <w:p>
            <w:pPr>
              <w:spacing w:after="0"/>
              <w:jc w:val="left"/>
            </w:pPr>
            <w:r>
              <w:rPr>
                <w:rFonts w:ascii="Arial" w:hAnsi="Arial"/>
                <w:b w:val="0"/>
                <w:sz w:val="11"/>
              </w:rPr>
              <w:t>Contestability and remediation</w:t>
            </w:r>
          </w:p>
        </w:tc>
        <w:tc>
          <w:tcPr>
            <w:tcW w:type="dxa" w:w="2400"/>
            <w:vAlign w:val="top"/>
          </w:tcPr>
          <w:p>
            <w:pPr>
              <w:spacing w:after="0"/>
              <w:jc w:val="left"/>
            </w:pPr>
            <w:r>
              <w:rPr>
                <w:rFonts w:ascii="Arial" w:hAnsi="Arial"/>
                <w:b w:val="0"/>
                <w:sz w:val="11"/>
              </w:rPr>
              <w:t>How can contested outputs, incidents, and remediation actions be recorded and closed?</w:t>
            </w:r>
          </w:p>
        </w:tc>
        <w:tc>
          <w:tcPr>
            <w:tcW w:type="dxa" w:w="2400"/>
            <w:vAlign w:val="top"/>
          </w:tcPr>
          <w:p>
            <w:pPr>
              <w:spacing w:after="0"/>
              <w:jc w:val="left"/>
            </w:pPr>
            <w:r>
              <w:rPr>
                <w:rFonts w:ascii="Arial" w:hAnsi="Arial"/>
                <w:b w:val="0"/>
                <w:sz w:val="11"/>
              </w:rPr>
              <w:t>RCCS-09, MRO-16</w:t>
            </w:r>
          </w:p>
        </w:tc>
        <w:tc>
          <w:tcPr>
            <w:tcW w:type="dxa" w:w="2400"/>
            <w:vAlign w:val="top"/>
          </w:tcPr>
          <w:p>
            <w:pPr>
              <w:spacing w:after="0"/>
              <w:jc w:val="left"/>
            </w:pPr>
            <w:r>
              <w:rPr>
                <w:rFonts w:ascii="Arial" w:hAnsi="Arial"/>
                <w:b w:val="0"/>
                <w:sz w:val="11"/>
              </w:rPr>
              <w:t>Dispute workflow, incident record, remediation closure template</w:t>
            </w:r>
          </w:p>
        </w:tc>
        <w:tc>
          <w:tcPr>
            <w:tcW w:type="dxa" w:w="2400"/>
            <w:vAlign w:val="top"/>
          </w:tcPr>
          <w:p>
            <w:pPr>
              <w:spacing w:after="0"/>
              <w:jc w:val="left"/>
            </w:pPr>
            <w:r>
              <w:rPr>
                <w:rFonts w:ascii="Arial" w:hAnsi="Arial"/>
                <w:b w:val="0"/>
                <w:sz w:val="11"/>
              </w:rPr>
              <w:t>No clear path for dispute intake or closure evidence</w:t>
            </w:r>
          </w:p>
        </w:tc>
        <w:tc>
          <w:tcPr>
            <w:tcW w:type="dxa" w:w="2400"/>
            <w:vAlign w:val="top"/>
          </w:tcPr>
          <w:p>
            <w:pPr>
              <w:spacing w:after="0"/>
              <w:jc w:val="left"/>
            </w:pPr>
            <w:r>
              <w:rPr>
                <w:rFonts w:ascii="Arial" w:hAnsi="Arial"/>
                <w:b w:val="0"/>
                <w:sz w:val="11"/>
              </w:rPr>
              <w:t>Align with enterprise incident and dispute processes</w:t>
            </w:r>
          </w:p>
        </w:tc>
      </w:tr>
      <w:tr>
        <w:trPr>
          <w:cantSplit/>
        </w:trPr>
        <w:tc>
          <w:tcPr>
            <w:tcW w:type="dxa" w:w="2400"/>
            <w:vAlign w:val="top"/>
          </w:tcPr>
          <w:p>
            <w:pPr>
              <w:spacing w:after="0"/>
              <w:jc w:val="left"/>
            </w:pPr>
            <w:r>
              <w:rPr>
                <w:rFonts w:ascii="Arial" w:hAnsi="Arial"/>
                <w:b w:val="0"/>
                <w:sz w:val="11"/>
              </w:rPr>
              <w:t>Vendor/model/runtime substitution</w:t>
            </w:r>
          </w:p>
        </w:tc>
        <w:tc>
          <w:tcPr>
            <w:tcW w:type="dxa" w:w="2400"/>
            <w:vAlign w:val="top"/>
          </w:tcPr>
          <w:p>
            <w:pPr>
              <w:spacing w:after="0"/>
              <w:jc w:val="left"/>
            </w:pPr>
            <w:r>
              <w:rPr>
                <w:rFonts w:ascii="Arial" w:hAnsi="Arial"/>
                <w:b w:val="0"/>
                <w:sz w:val="11"/>
              </w:rPr>
              <w:t>How are model, tool, vendor, and runtime changes evaluated before reuse or substitution?</w:t>
            </w:r>
          </w:p>
        </w:tc>
        <w:tc>
          <w:tcPr>
            <w:tcW w:type="dxa" w:w="2400"/>
            <w:vAlign w:val="top"/>
          </w:tcPr>
          <w:p>
            <w:pPr>
              <w:spacing w:after="0"/>
              <w:jc w:val="left"/>
            </w:pPr>
            <w:r>
              <w:rPr>
                <w:rFonts w:ascii="Arial" w:hAnsi="Arial"/>
                <w:b w:val="0"/>
                <w:sz w:val="11"/>
              </w:rPr>
              <w:t>ALCS-09, ALCS-15</w:t>
            </w:r>
          </w:p>
        </w:tc>
        <w:tc>
          <w:tcPr>
            <w:tcW w:type="dxa" w:w="2400"/>
            <w:vAlign w:val="top"/>
          </w:tcPr>
          <w:p>
            <w:pPr>
              <w:spacing w:after="0"/>
              <w:jc w:val="left"/>
            </w:pPr>
            <w:r>
              <w:rPr>
                <w:rFonts w:ascii="Arial" w:hAnsi="Arial"/>
                <w:b w:val="0"/>
                <w:sz w:val="11"/>
              </w:rPr>
              <w:t>Change approval record, substitution policy, version manifest</w:t>
            </w:r>
          </w:p>
        </w:tc>
        <w:tc>
          <w:tcPr>
            <w:tcW w:type="dxa" w:w="2400"/>
            <w:vAlign w:val="top"/>
          </w:tcPr>
          <w:p>
            <w:pPr>
              <w:spacing w:after="0"/>
              <w:jc w:val="left"/>
            </w:pPr>
            <w:r>
              <w:rPr>
                <w:rFonts w:ascii="Arial" w:hAnsi="Arial"/>
                <w:b w:val="0"/>
                <w:sz w:val="11"/>
              </w:rPr>
              <w:t>Substitution can occur without lifecycle impact review</w:t>
            </w:r>
          </w:p>
        </w:tc>
        <w:tc>
          <w:tcPr>
            <w:tcW w:type="dxa" w:w="2400"/>
            <w:vAlign w:val="top"/>
          </w:tcPr>
          <w:p>
            <w:pPr>
              <w:spacing w:after="0"/>
              <w:jc w:val="left"/>
            </w:pPr>
            <w:r>
              <w:rPr>
                <w:rFonts w:ascii="Arial" w:hAnsi="Arial"/>
                <w:b w:val="0"/>
                <w:sz w:val="11"/>
              </w:rPr>
              <w:t>Require substitution conformance evidence</w:t>
            </w:r>
          </w:p>
        </w:tc>
      </w:tr>
    </w:tbl>
    <w:p>
      <w:pPr>
        <w:sectPr>
          <w:pgSz w:w="12240" w:h="15840" w:orient="landscape"/>
          <w:pgMar w:top="792" w:right="648" w:bottom="792" w:left="648" w:header="720" w:footer="720" w:gutter="0"/>
          <w:cols w:space="720"/>
          <w:docGrid w:linePitch="360"/>
        </w:sectPr>
      </w:pPr>
    </w:p>
    <w:p/>
    <w:p/>
    <w:p>
      <w:pPr>
        <w:pStyle w:val="Heading2"/>
      </w:pPr>
      <w:r>
        <w:t>H.3 Lifecycle Governance Procurement Checklist</w:t>
      </w:r>
    </w:p>
    <w:p/>
    <w:p>
      <w:r>
        <w:t>The following checklist organizes lifecycle governance diligence. Buyers may adapt the checklist for internal approval gates, but should preserve the distinction between evidence request, evidence review, and final enterprise decision.</w:t>
      </w:r>
    </w:p>
    <w:p/>
    <w:p>
      <w:r>
        <w:t>Checklist areas:</w:t>
      </w:r>
    </w:p>
    <w:p/>
    <w:p>
      <w:r>
        <w:t>1. Lifecycle scope and system boundary</w:t>
      </w:r>
    </w:p>
    <w:p>
      <w:r>
        <w:t>2. Human role and responsibility mapping</w:t>
      </w:r>
    </w:p>
    <w:p>
      <w:r>
        <w:t>3. Delegated authority and tool boundary</w:t>
      </w:r>
    </w:p>
    <w:p>
      <w:r>
        <w:t>4. Evidence creation, retention, minimization, and export</w:t>
      </w:r>
    </w:p>
    <w:p>
      <w:r>
        <w:t>5. Privacy and data subject rights handling</w:t>
      </w:r>
    </w:p>
    <w:p>
      <w:r>
        <w:t>6. Monitoring, incident, dispute, and remediation closure</w:t>
      </w:r>
    </w:p>
    <w:p>
      <w:r>
        <w:t>7. Vendor, model, tool, and runtime substitution control</w:t>
      </w:r>
    </w:p>
    <w:p>
      <w:r>
        <w:t>8. Evidence level and source quality review</w:t>
      </w:r>
    </w:p>
    <w:p/>
    <w:p>
      <w:r>
        <w:t>The checklist should be completed by a cross-functional review group. Procurement alone should not decide lifecycle governance sufficiency.</w:t>
      </w:r>
    </w:p>
    <w:p/>
    <w:p/>
    <w:p>
      <w:pPr>
        <w:pStyle w:val="Heading2"/>
      </w:pPr>
      <w:r>
        <w:t>H.4 Evidence Request Template</w:t>
      </w:r>
    </w:p>
    <w:p/>
    <w:p>
      <w:pPr>
        <w:keepNext/>
      </w:pPr>
      <w:r>
        <w:rPr>
          <w:b/>
          <w:sz w:val="17"/>
        </w:rPr>
        <w:t>Table T-H-02: Vendor Evidence Request Template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1"/>
              </w:rPr>
              <w:t>Evidence Area</w:t>
            </w:r>
          </w:p>
        </w:tc>
        <w:tc>
          <w:tcPr>
            <w:tcW w:type="dxa" w:w="2880"/>
            <w:vAlign w:val="top"/>
            <w:shd w:fill="D9EAF7"/>
          </w:tcPr>
          <w:p>
            <w:pPr>
              <w:spacing w:after="0"/>
              <w:jc w:val="left"/>
            </w:pPr>
            <w:r>
              <w:rPr>
                <w:rFonts w:ascii="Arial" w:hAnsi="Arial"/>
                <w:b/>
                <w:sz w:val="11"/>
              </w:rPr>
              <w:t>Requested Artifact</w:t>
            </w:r>
          </w:p>
        </w:tc>
        <w:tc>
          <w:tcPr>
            <w:tcW w:type="dxa" w:w="2880"/>
            <w:vAlign w:val="top"/>
            <w:shd w:fill="D9EAF7"/>
          </w:tcPr>
          <w:p>
            <w:pPr>
              <w:spacing w:after="0"/>
              <w:jc w:val="left"/>
            </w:pPr>
            <w:r>
              <w:rPr>
                <w:rFonts w:ascii="Arial" w:hAnsi="Arial"/>
                <w:b/>
                <w:sz w:val="11"/>
              </w:rPr>
              <w:t>Minimum Acceptable Evidence</w:t>
            </w:r>
          </w:p>
        </w:tc>
        <w:tc>
          <w:tcPr>
            <w:tcW w:type="dxa" w:w="2880"/>
            <w:vAlign w:val="top"/>
            <w:shd w:fill="D9EAF7"/>
          </w:tcPr>
          <w:p>
            <w:pPr>
              <w:spacing w:after="0"/>
              <w:jc w:val="left"/>
            </w:pPr>
            <w:r>
              <w:rPr>
                <w:rFonts w:ascii="Arial" w:hAnsi="Arial"/>
                <w:b/>
                <w:sz w:val="11"/>
              </w:rPr>
              <w:t>Preferred Evidence</w:t>
            </w:r>
          </w:p>
        </w:tc>
        <w:tc>
          <w:tcPr>
            <w:tcW w:type="dxa" w:w="2880"/>
            <w:vAlign w:val="top"/>
            <w:shd w:fill="D9EAF7"/>
          </w:tcPr>
          <w:p>
            <w:pPr>
              <w:spacing w:after="0"/>
              <w:jc w:val="left"/>
            </w:pPr>
            <w:r>
              <w:rPr>
                <w:rFonts w:ascii="Arial" w:hAnsi="Arial"/>
                <w:b/>
                <w:sz w:val="11"/>
              </w:rPr>
              <w:t>Phase 1C Revalidation Note</w:t>
            </w:r>
          </w:p>
        </w:tc>
      </w:tr>
      <w:tr>
        <w:trPr>
          <w:cantSplit/>
        </w:trPr>
        <w:tc>
          <w:tcPr>
            <w:tcW w:type="dxa" w:w="2880"/>
            <w:vAlign w:val="top"/>
          </w:tcPr>
          <w:p>
            <w:pPr>
              <w:spacing w:after="0"/>
              <w:jc w:val="left"/>
            </w:pPr>
            <w:r>
              <w:rPr>
                <w:rFonts w:ascii="Arial" w:hAnsi="Arial"/>
                <w:b w:val="0"/>
                <w:sz w:val="11"/>
              </w:rPr>
              <w:t>System boundary</w:t>
            </w:r>
          </w:p>
        </w:tc>
        <w:tc>
          <w:tcPr>
            <w:tcW w:type="dxa" w:w="2880"/>
            <w:vAlign w:val="top"/>
          </w:tcPr>
          <w:p>
            <w:pPr>
              <w:spacing w:after="0"/>
              <w:jc w:val="left"/>
            </w:pPr>
            <w:r>
              <w:rPr>
                <w:rFonts w:ascii="Arial" w:hAnsi="Arial"/>
                <w:b w:val="0"/>
                <w:sz w:val="11"/>
              </w:rPr>
              <w:t>Product scope statement and deployment architecture</w:t>
            </w:r>
          </w:p>
        </w:tc>
        <w:tc>
          <w:tcPr>
            <w:tcW w:type="dxa" w:w="2880"/>
            <w:vAlign w:val="top"/>
          </w:tcPr>
          <w:p>
            <w:pPr>
              <w:spacing w:after="0"/>
              <w:jc w:val="left"/>
            </w:pPr>
            <w:r>
              <w:rPr>
                <w:rFonts w:ascii="Arial" w:hAnsi="Arial"/>
                <w:b w:val="0"/>
                <w:sz w:val="11"/>
              </w:rPr>
              <w:t>Official documentation or implementation description</w:t>
            </w:r>
          </w:p>
        </w:tc>
        <w:tc>
          <w:tcPr>
            <w:tcW w:type="dxa" w:w="2880"/>
            <w:vAlign w:val="top"/>
          </w:tcPr>
          <w:p>
            <w:pPr>
              <w:spacing w:after="0"/>
              <w:jc w:val="left"/>
            </w:pPr>
            <w:r>
              <w:rPr>
                <w:rFonts w:ascii="Arial" w:hAnsi="Arial"/>
                <w:b w:val="0"/>
                <w:sz w:val="11"/>
              </w:rPr>
              <w:t>Versioned architecture record tied to deployed configuration</w:t>
            </w:r>
          </w:p>
        </w:tc>
        <w:tc>
          <w:tcPr>
            <w:tcW w:type="dxa" w:w="2880"/>
            <w:vAlign w:val="top"/>
          </w:tcPr>
          <w:p>
            <w:pPr>
              <w:spacing w:after="0"/>
              <w:jc w:val="left"/>
            </w:pPr>
            <w:r>
              <w:rPr>
                <w:rFonts w:ascii="Arial" w:hAnsi="Arial"/>
                <w:b w:val="0"/>
                <w:sz w:val="11"/>
              </w:rPr>
              <w:t>Revalidate documentation currency in Phase 1C</w:t>
            </w:r>
          </w:p>
        </w:tc>
      </w:tr>
      <w:tr>
        <w:trPr>
          <w:cantSplit/>
        </w:trPr>
        <w:tc>
          <w:tcPr>
            <w:tcW w:type="dxa" w:w="2880"/>
            <w:vAlign w:val="top"/>
          </w:tcPr>
          <w:p>
            <w:pPr>
              <w:spacing w:after="0"/>
              <w:jc w:val="left"/>
            </w:pPr>
            <w:r>
              <w:rPr>
                <w:rFonts w:ascii="Arial" w:hAnsi="Arial"/>
                <w:b w:val="0"/>
                <w:sz w:val="11"/>
              </w:rPr>
              <w:t>Human responsibility</w:t>
            </w:r>
          </w:p>
        </w:tc>
        <w:tc>
          <w:tcPr>
            <w:tcW w:type="dxa" w:w="2880"/>
            <w:vAlign w:val="top"/>
          </w:tcPr>
          <w:p>
            <w:pPr>
              <w:spacing w:after="0"/>
              <w:jc w:val="left"/>
            </w:pPr>
            <w:r>
              <w:rPr>
                <w:rFonts w:ascii="Arial" w:hAnsi="Arial"/>
                <w:b w:val="0"/>
                <w:sz w:val="11"/>
              </w:rPr>
              <w:t>Role-to-responsibility mapping</w:t>
            </w:r>
          </w:p>
        </w:tc>
        <w:tc>
          <w:tcPr>
            <w:tcW w:type="dxa" w:w="2880"/>
            <w:vAlign w:val="top"/>
          </w:tcPr>
          <w:p>
            <w:pPr>
              <w:spacing w:after="0"/>
              <w:jc w:val="left"/>
            </w:pPr>
            <w:r>
              <w:rPr>
                <w:rFonts w:ascii="Arial" w:hAnsi="Arial"/>
                <w:b w:val="0"/>
                <w:sz w:val="11"/>
              </w:rPr>
              <w:t>Documented workflow or responsibility matrix</w:t>
            </w:r>
          </w:p>
        </w:tc>
        <w:tc>
          <w:tcPr>
            <w:tcW w:type="dxa" w:w="2880"/>
            <w:vAlign w:val="top"/>
          </w:tcPr>
          <w:p>
            <w:pPr>
              <w:spacing w:after="0"/>
              <w:jc w:val="left"/>
            </w:pPr>
            <w:r>
              <w:rPr>
                <w:rFonts w:ascii="Arial" w:hAnsi="Arial"/>
                <w:b w:val="0"/>
                <w:sz w:val="11"/>
              </w:rPr>
              <w:t>Evidence of review workflow execution and exception handling</w:t>
            </w:r>
          </w:p>
        </w:tc>
        <w:tc>
          <w:tcPr>
            <w:tcW w:type="dxa" w:w="2880"/>
            <w:vAlign w:val="top"/>
          </w:tcPr>
          <w:p>
            <w:pPr>
              <w:spacing w:after="0"/>
              <w:jc w:val="left"/>
            </w:pPr>
            <w:r>
              <w:rPr>
                <w:rFonts w:ascii="Arial" w:hAnsi="Arial"/>
                <w:b w:val="0"/>
                <w:sz w:val="11"/>
              </w:rPr>
              <w:t>Confirm mapping against active enterprise roles</w:t>
            </w:r>
          </w:p>
        </w:tc>
      </w:tr>
      <w:tr>
        <w:trPr>
          <w:cantSplit/>
        </w:trPr>
        <w:tc>
          <w:tcPr>
            <w:tcW w:type="dxa" w:w="2880"/>
            <w:vAlign w:val="top"/>
          </w:tcPr>
          <w:p>
            <w:pPr>
              <w:spacing w:after="0"/>
              <w:jc w:val="left"/>
            </w:pPr>
            <w:r>
              <w:rPr>
                <w:rFonts w:ascii="Arial" w:hAnsi="Arial"/>
                <w:b w:val="0"/>
                <w:sz w:val="11"/>
              </w:rPr>
              <w:t>Delegated authority</w:t>
            </w:r>
          </w:p>
        </w:tc>
        <w:tc>
          <w:tcPr>
            <w:tcW w:type="dxa" w:w="2880"/>
            <w:vAlign w:val="top"/>
          </w:tcPr>
          <w:p>
            <w:pPr>
              <w:spacing w:after="0"/>
              <w:jc w:val="left"/>
            </w:pPr>
            <w:r>
              <w:rPr>
                <w:rFonts w:ascii="Arial" w:hAnsi="Arial"/>
                <w:b w:val="0"/>
                <w:sz w:val="11"/>
              </w:rPr>
              <w:t>Authority policy and enforcement description</w:t>
            </w:r>
          </w:p>
        </w:tc>
        <w:tc>
          <w:tcPr>
            <w:tcW w:type="dxa" w:w="2880"/>
            <w:vAlign w:val="top"/>
          </w:tcPr>
          <w:p>
            <w:pPr>
              <w:spacing w:after="0"/>
              <w:jc w:val="left"/>
            </w:pPr>
            <w:r>
              <w:rPr>
                <w:rFonts w:ascii="Arial" w:hAnsi="Arial"/>
                <w:b w:val="0"/>
                <w:sz w:val="11"/>
              </w:rPr>
              <w:t>Product documentation or implementation policy</w:t>
            </w:r>
          </w:p>
        </w:tc>
        <w:tc>
          <w:tcPr>
            <w:tcW w:type="dxa" w:w="2880"/>
            <w:vAlign w:val="top"/>
          </w:tcPr>
          <w:p>
            <w:pPr>
              <w:spacing w:after="0"/>
              <w:jc w:val="left"/>
            </w:pPr>
            <w:r>
              <w:rPr>
                <w:rFonts w:ascii="Arial" w:hAnsi="Arial"/>
                <w:b w:val="0"/>
                <w:sz w:val="11"/>
              </w:rPr>
              <w:t>Validated operational artifact showing grant, denial, and change handling</w:t>
            </w:r>
          </w:p>
        </w:tc>
        <w:tc>
          <w:tcPr>
            <w:tcW w:type="dxa" w:w="2880"/>
            <w:vAlign w:val="top"/>
          </w:tcPr>
          <w:p>
            <w:pPr>
              <w:spacing w:after="0"/>
              <w:jc w:val="left"/>
            </w:pPr>
            <w:r>
              <w:rPr>
                <w:rFonts w:ascii="Arial" w:hAnsi="Arial"/>
                <w:b w:val="0"/>
                <w:sz w:val="11"/>
              </w:rPr>
              <w:t>Verify whether enforcement is built-in or implementer-defined</w:t>
            </w:r>
          </w:p>
        </w:tc>
      </w:tr>
      <w:tr>
        <w:trPr>
          <w:cantSplit/>
        </w:trPr>
        <w:tc>
          <w:tcPr>
            <w:tcW w:type="dxa" w:w="2880"/>
            <w:vAlign w:val="top"/>
          </w:tcPr>
          <w:p>
            <w:pPr>
              <w:spacing w:after="0"/>
              <w:jc w:val="left"/>
            </w:pPr>
            <w:r>
              <w:rPr>
                <w:rFonts w:ascii="Arial" w:hAnsi="Arial"/>
                <w:b w:val="0"/>
                <w:sz w:val="11"/>
              </w:rPr>
              <w:t>Tool actions</w:t>
            </w:r>
          </w:p>
        </w:tc>
        <w:tc>
          <w:tcPr>
            <w:tcW w:type="dxa" w:w="2880"/>
            <w:vAlign w:val="top"/>
          </w:tcPr>
          <w:p>
            <w:pPr>
              <w:spacing w:after="0"/>
              <w:jc w:val="left"/>
            </w:pPr>
            <w:r>
              <w:rPr>
                <w:rFonts w:ascii="Arial" w:hAnsi="Arial"/>
                <w:b w:val="0"/>
                <w:sz w:val="11"/>
              </w:rPr>
              <w:t>Tool registry and action record schema</w:t>
            </w:r>
          </w:p>
        </w:tc>
        <w:tc>
          <w:tcPr>
            <w:tcW w:type="dxa" w:w="2880"/>
            <w:vAlign w:val="top"/>
          </w:tcPr>
          <w:p>
            <w:pPr>
              <w:spacing w:after="0"/>
              <w:jc w:val="left"/>
            </w:pPr>
            <w:r>
              <w:rPr>
                <w:rFonts w:ascii="Arial" w:hAnsi="Arial"/>
                <w:b w:val="0"/>
                <w:sz w:val="11"/>
              </w:rPr>
              <w:t>Tool list and logging description</w:t>
            </w:r>
          </w:p>
        </w:tc>
        <w:tc>
          <w:tcPr>
            <w:tcW w:type="dxa" w:w="2880"/>
            <w:vAlign w:val="top"/>
          </w:tcPr>
          <w:p>
            <w:pPr>
              <w:spacing w:after="0"/>
              <w:jc w:val="left"/>
            </w:pPr>
            <w:r>
              <w:rPr>
                <w:rFonts w:ascii="Arial" w:hAnsi="Arial"/>
                <w:b w:val="0"/>
                <w:sz w:val="11"/>
              </w:rPr>
              <w:t>Exportable action records with accountability linkage</w:t>
            </w:r>
          </w:p>
        </w:tc>
        <w:tc>
          <w:tcPr>
            <w:tcW w:type="dxa" w:w="2880"/>
            <w:vAlign w:val="top"/>
          </w:tcPr>
          <w:p>
            <w:pPr>
              <w:spacing w:after="0"/>
              <w:jc w:val="left"/>
            </w:pPr>
            <w:r>
              <w:rPr>
                <w:rFonts w:ascii="Arial" w:hAnsi="Arial"/>
                <w:b w:val="0"/>
                <w:sz w:val="11"/>
              </w:rPr>
              <w:t>Validate record completeness before publication or adoption</w:t>
            </w:r>
          </w:p>
        </w:tc>
      </w:tr>
      <w:tr>
        <w:trPr>
          <w:cantSplit/>
        </w:trPr>
        <w:tc>
          <w:tcPr>
            <w:tcW w:type="dxa" w:w="2880"/>
            <w:vAlign w:val="top"/>
          </w:tcPr>
          <w:p>
            <w:pPr>
              <w:spacing w:after="0"/>
              <w:jc w:val="left"/>
            </w:pPr>
            <w:r>
              <w:rPr>
                <w:rFonts w:ascii="Arial" w:hAnsi="Arial"/>
                <w:b w:val="0"/>
                <w:sz w:val="11"/>
              </w:rPr>
              <w:t>Evidence handling</w:t>
            </w:r>
          </w:p>
        </w:tc>
        <w:tc>
          <w:tcPr>
            <w:tcW w:type="dxa" w:w="2880"/>
            <w:vAlign w:val="top"/>
          </w:tcPr>
          <w:p>
            <w:pPr>
              <w:spacing w:after="0"/>
              <w:jc w:val="left"/>
            </w:pPr>
            <w:r>
              <w:rPr>
                <w:rFonts w:ascii="Arial" w:hAnsi="Arial"/>
                <w:b w:val="0"/>
                <w:sz w:val="11"/>
              </w:rPr>
              <w:t>Evidence pack, log export, or audit record sample</w:t>
            </w:r>
          </w:p>
        </w:tc>
        <w:tc>
          <w:tcPr>
            <w:tcW w:type="dxa" w:w="2880"/>
            <w:vAlign w:val="top"/>
          </w:tcPr>
          <w:p>
            <w:pPr>
              <w:spacing w:after="0"/>
              <w:jc w:val="left"/>
            </w:pPr>
            <w:r>
              <w:rPr>
                <w:rFonts w:ascii="Arial" w:hAnsi="Arial"/>
                <w:b w:val="0"/>
                <w:sz w:val="11"/>
              </w:rPr>
              <w:t>Sample artifact with field definitions</w:t>
            </w:r>
          </w:p>
        </w:tc>
        <w:tc>
          <w:tcPr>
            <w:tcW w:type="dxa" w:w="2880"/>
            <w:vAlign w:val="top"/>
          </w:tcPr>
          <w:p>
            <w:pPr>
              <w:spacing w:after="0"/>
              <w:jc w:val="left"/>
            </w:pPr>
            <w:r>
              <w:rPr>
                <w:rFonts w:ascii="Arial" w:hAnsi="Arial"/>
                <w:b w:val="0"/>
                <w:sz w:val="11"/>
              </w:rPr>
              <w:t>Hashable or reviewable evidence artifact with minimization controls</w:t>
            </w:r>
          </w:p>
        </w:tc>
        <w:tc>
          <w:tcPr>
            <w:tcW w:type="dxa" w:w="2880"/>
            <w:vAlign w:val="top"/>
          </w:tcPr>
          <w:p>
            <w:pPr>
              <w:spacing w:after="0"/>
              <w:jc w:val="left"/>
            </w:pPr>
            <w:r>
              <w:rPr>
                <w:rFonts w:ascii="Arial" w:hAnsi="Arial"/>
                <w:b w:val="0"/>
                <w:sz w:val="11"/>
              </w:rPr>
              <w:t>Confirm no sensitive evidence over-disclosure</w:t>
            </w:r>
          </w:p>
        </w:tc>
      </w:tr>
      <w:tr>
        <w:trPr>
          <w:cantSplit/>
        </w:trPr>
        <w:tc>
          <w:tcPr>
            <w:tcW w:type="dxa" w:w="2880"/>
            <w:vAlign w:val="top"/>
          </w:tcPr>
          <w:p>
            <w:pPr>
              <w:spacing w:after="0"/>
              <w:jc w:val="left"/>
            </w:pPr>
            <w:r>
              <w:rPr>
                <w:rFonts w:ascii="Arial" w:hAnsi="Arial"/>
                <w:b w:val="0"/>
                <w:sz w:val="11"/>
              </w:rPr>
              <w:t>Privacy lifecycle</w:t>
            </w:r>
          </w:p>
        </w:tc>
        <w:tc>
          <w:tcPr>
            <w:tcW w:type="dxa" w:w="2880"/>
            <w:vAlign w:val="top"/>
          </w:tcPr>
          <w:p>
            <w:pPr>
              <w:spacing w:after="0"/>
              <w:jc w:val="left"/>
            </w:pPr>
            <w:r>
              <w:rPr>
                <w:rFonts w:ascii="Arial" w:hAnsi="Arial"/>
                <w:b w:val="0"/>
                <w:sz w:val="11"/>
              </w:rPr>
              <w:t>Data flow, retention, and deletion policy</w:t>
            </w:r>
          </w:p>
        </w:tc>
        <w:tc>
          <w:tcPr>
            <w:tcW w:type="dxa" w:w="2880"/>
            <w:vAlign w:val="top"/>
          </w:tcPr>
          <w:p>
            <w:pPr>
              <w:spacing w:after="0"/>
              <w:jc w:val="left"/>
            </w:pPr>
            <w:r>
              <w:rPr>
                <w:rFonts w:ascii="Arial" w:hAnsi="Arial"/>
                <w:b w:val="0"/>
                <w:sz w:val="11"/>
              </w:rPr>
              <w:t>Privacy documentation and retention statement</w:t>
            </w:r>
          </w:p>
        </w:tc>
        <w:tc>
          <w:tcPr>
            <w:tcW w:type="dxa" w:w="2880"/>
            <w:vAlign w:val="top"/>
          </w:tcPr>
          <w:p>
            <w:pPr>
              <w:spacing w:after="0"/>
              <w:jc w:val="left"/>
            </w:pPr>
            <w:r>
              <w:rPr>
                <w:rFonts w:ascii="Arial" w:hAnsi="Arial"/>
                <w:b w:val="0"/>
                <w:sz w:val="11"/>
              </w:rPr>
              <w:t>Mapped workflow for retention conflict and data subject request handling</w:t>
            </w:r>
          </w:p>
        </w:tc>
        <w:tc>
          <w:tcPr>
            <w:tcW w:type="dxa" w:w="2880"/>
            <w:vAlign w:val="top"/>
          </w:tcPr>
          <w:p>
            <w:pPr>
              <w:spacing w:after="0"/>
              <w:jc w:val="left"/>
            </w:pPr>
            <w:r>
              <w:rPr>
                <w:rFonts w:ascii="Arial" w:hAnsi="Arial"/>
                <w:b w:val="0"/>
                <w:sz w:val="11"/>
              </w:rPr>
              <w:t>Revalidate against current privacy requirements in Phase 1C</w:t>
            </w:r>
          </w:p>
        </w:tc>
      </w:tr>
      <w:tr>
        <w:trPr>
          <w:cantSplit/>
        </w:trPr>
        <w:tc>
          <w:tcPr>
            <w:tcW w:type="dxa" w:w="2880"/>
            <w:vAlign w:val="top"/>
          </w:tcPr>
          <w:p>
            <w:pPr>
              <w:spacing w:after="0"/>
              <w:jc w:val="left"/>
            </w:pPr>
            <w:r>
              <w:rPr>
                <w:rFonts w:ascii="Arial" w:hAnsi="Arial"/>
                <w:b w:val="0"/>
                <w:sz w:val="11"/>
              </w:rPr>
              <w:t>Monitoring</w:t>
            </w:r>
          </w:p>
        </w:tc>
        <w:tc>
          <w:tcPr>
            <w:tcW w:type="dxa" w:w="2880"/>
            <w:vAlign w:val="top"/>
          </w:tcPr>
          <w:p>
            <w:pPr>
              <w:spacing w:after="0"/>
              <w:jc w:val="left"/>
            </w:pPr>
            <w:r>
              <w:rPr>
                <w:rFonts w:ascii="Arial" w:hAnsi="Arial"/>
                <w:b w:val="0"/>
                <w:sz w:val="11"/>
              </w:rPr>
              <w:t>Monitoring dashboard or alert workflow</w:t>
            </w:r>
          </w:p>
        </w:tc>
        <w:tc>
          <w:tcPr>
            <w:tcW w:type="dxa" w:w="2880"/>
            <w:vAlign w:val="top"/>
          </w:tcPr>
          <w:p>
            <w:pPr>
              <w:spacing w:after="0"/>
              <w:jc w:val="left"/>
            </w:pPr>
            <w:r>
              <w:rPr>
                <w:rFonts w:ascii="Arial" w:hAnsi="Arial"/>
                <w:b w:val="0"/>
                <w:sz w:val="11"/>
              </w:rPr>
              <w:t>Monitoring documentation</w:t>
            </w:r>
          </w:p>
        </w:tc>
        <w:tc>
          <w:tcPr>
            <w:tcW w:type="dxa" w:w="2880"/>
            <w:vAlign w:val="top"/>
          </w:tcPr>
          <w:p>
            <w:pPr>
              <w:spacing w:after="0"/>
              <w:jc w:val="left"/>
            </w:pPr>
            <w:r>
              <w:rPr>
                <w:rFonts w:ascii="Arial" w:hAnsi="Arial"/>
                <w:b w:val="0"/>
                <w:sz w:val="11"/>
              </w:rPr>
              <w:t>Operational monitoring artifact tied to lifecycle risk events</w:t>
            </w:r>
          </w:p>
        </w:tc>
        <w:tc>
          <w:tcPr>
            <w:tcW w:type="dxa" w:w="2880"/>
            <w:vAlign w:val="top"/>
          </w:tcPr>
          <w:p>
            <w:pPr>
              <w:spacing w:after="0"/>
              <w:jc w:val="left"/>
            </w:pPr>
            <w:r>
              <w:rPr>
                <w:rFonts w:ascii="Arial" w:hAnsi="Arial"/>
                <w:b w:val="0"/>
                <w:sz w:val="11"/>
              </w:rPr>
              <w:t>Confirm monitoring covers agent lifecycle, not only model metrics</w:t>
            </w:r>
          </w:p>
        </w:tc>
      </w:tr>
      <w:tr>
        <w:trPr>
          <w:cantSplit/>
        </w:trPr>
        <w:tc>
          <w:tcPr>
            <w:tcW w:type="dxa" w:w="2880"/>
            <w:vAlign w:val="top"/>
          </w:tcPr>
          <w:p>
            <w:pPr>
              <w:spacing w:after="0"/>
              <w:jc w:val="left"/>
            </w:pPr>
            <w:r>
              <w:rPr>
                <w:rFonts w:ascii="Arial" w:hAnsi="Arial"/>
                <w:b w:val="0"/>
                <w:sz w:val="11"/>
              </w:rPr>
              <w:t>Substitution control</w:t>
            </w:r>
          </w:p>
        </w:tc>
        <w:tc>
          <w:tcPr>
            <w:tcW w:type="dxa" w:w="2880"/>
            <w:vAlign w:val="top"/>
          </w:tcPr>
          <w:p>
            <w:pPr>
              <w:spacing w:after="0"/>
              <w:jc w:val="left"/>
            </w:pPr>
            <w:r>
              <w:rPr>
                <w:rFonts w:ascii="Arial" w:hAnsi="Arial"/>
                <w:b w:val="0"/>
                <w:sz w:val="11"/>
              </w:rPr>
              <w:t>Versioning and change approval record</w:t>
            </w:r>
          </w:p>
        </w:tc>
        <w:tc>
          <w:tcPr>
            <w:tcW w:type="dxa" w:w="2880"/>
            <w:vAlign w:val="top"/>
          </w:tcPr>
          <w:p>
            <w:pPr>
              <w:spacing w:after="0"/>
              <w:jc w:val="left"/>
            </w:pPr>
            <w:r>
              <w:rPr>
                <w:rFonts w:ascii="Arial" w:hAnsi="Arial"/>
                <w:b w:val="0"/>
                <w:sz w:val="11"/>
              </w:rPr>
              <w:t>Change management description</w:t>
            </w:r>
          </w:p>
        </w:tc>
        <w:tc>
          <w:tcPr>
            <w:tcW w:type="dxa" w:w="2880"/>
            <w:vAlign w:val="top"/>
          </w:tcPr>
          <w:p>
            <w:pPr>
              <w:spacing w:after="0"/>
              <w:jc w:val="left"/>
            </w:pPr>
            <w:r>
              <w:rPr>
                <w:rFonts w:ascii="Arial" w:hAnsi="Arial"/>
                <w:b w:val="0"/>
                <w:sz w:val="11"/>
              </w:rPr>
              <w:t>Substitution review artifact covering vendor, model, runtime, and tool changes</w:t>
            </w:r>
          </w:p>
        </w:tc>
        <w:tc>
          <w:tcPr>
            <w:tcW w:type="dxa" w:w="2880"/>
            <w:vAlign w:val="top"/>
          </w:tcPr>
          <w:p>
            <w:pPr>
              <w:spacing w:after="0"/>
              <w:jc w:val="left"/>
            </w:pPr>
            <w:r>
              <w:rPr>
                <w:rFonts w:ascii="Arial" w:hAnsi="Arial"/>
                <w:b w:val="0"/>
                <w:sz w:val="11"/>
              </w:rPr>
              <w:t>Revalidate version history and current product state</w:t>
            </w:r>
          </w:p>
        </w:tc>
      </w:tr>
    </w:tbl>
    <w:p>
      <w:pPr>
        <w:sectPr>
          <w:pgSz w:w="15840" w:h="12240" w:orient="landscape"/>
          <w:pgMar w:top="792" w:right="648" w:bottom="792" w:left="648" w:header="720" w:footer="720" w:gutter="0"/>
          <w:cols w:space="720"/>
          <w:docGrid w:linePitch="360"/>
        </w:sectPr>
      </w:pPr>
    </w:p>
    <w:p/>
    <w:p/>
    <w:p>
      <w:pPr>
        <w:pStyle w:val="Heading2"/>
      </w:pPr>
      <w:r>
        <w:t>H.5 Red Flag and Negative Control Checklist</w:t>
      </w:r>
    </w:p>
    <w:p/>
    <w:p>
      <w:pPr>
        <w:keepNext/>
      </w:pPr>
      <w:r>
        <w:rPr>
          <w:b/>
          <w:sz w:val="17"/>
        </w:rPr>
        <w:t>Table T-H-03: Procurement Red Flag Checklist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1"/>
              </w:rPr>
              <w:t>Red Flag</w:t>
            </w:r>
          </w:p>
        </w:tc>
        <w:tc>
          <w:tcPr>
            <w:tcW w:type="dxa" w:w="2880"/>
            <w:vAlign w:val="top"/>
            <w:shd w:fill="D9EAF7"/>
          </w:tcPr>
          <w:p>
            <w:pPr>
              <w:spacing w:after="0"/>
              <w:jc w:val="left"/>
            </w:pPr>
            <w:r>
              <w:rPr>
                <w:rFonts w:ascii="Arial" w:hAnsi="Arial"/>
                <w:b/>
                <w:sz w:val="11"/>
              </w:rPr>
              <w:t>Why It Matters</w:t>
            </w:r>
          </w:p>
        </w:tc>
        <w:tc>
          <w:tcPr>
            <w:tcW w:type="dxa" w:w="2880"/>
            <w:vAlign w:val="top"/>
            <w:shd w:fill="D9EAF7"/>
          </w:tcPr>
          <w:p>
            <w:pPr>
              <w:spacing w:after="0"/>
              <w:jc w:val="left"/>
            </w:pPr>
            <w:r>
              <w:rPr>
                <w:rFonts w:ascii="Arial" w:hAnsi="Arial"/>
                <w:b/>
                <w:sz w:val="11"/>
              </w:rPr>
              <w:t>Related Lifecycle Risk</w:t>
            </w:r>
          </w:p>
        </w:tc>
        <w:tc>
          <w:tcPr>
            <w:tcW w:type="dxa" w:w="2880"/>
            <w:vAlign w:val="top"/>
            <w:shd w:fill="D9EAF7"/>
          </w:tcPr>
          <w:p>
            <w:pPr>
              <w:spacing w:after="0"/>
              <w:jc w:val="left"/>
            </w:pPr>
            <w:r>
              <w:rPr>
                <w:rFonts w:ascii="Arial" w:hAnsi="Arial"/>
                <w:b/>
                <w:sz w:val="11"/>
              </w:rPr>
              <w:t>Required Clarification</w:t>
            </w:r>
          </w:p>
        </w:tc>
        <w:tc>
          <w:tcPr>
            <w:tcW w:type="dxa" w:w="2880"/>
            <w:vAlign w:val="top"/>
            <w:shd w:fill="D9EAF7"/>
          </w:tcPr>
          <w:p>
            <w:pPr>
              <w:spacing w:after="0"/>
              <w:jc w:val="left"/>
            </w:pPr>
            <w:r>
              <w:rPr>
                <w:rFonts w:ascii="Arial" w:hAnsi="Arial"/>
                <w:b/>
                <w:sz w:val="11"/>
              </w:rPr>
              <w:t>Boundary</w:t>
            </w:r>
          </w:p>
        </w:tc>
      </w:tr>
      <w:tr>
        <w:trPr>
          <w:cantSplit/>
        </w:trPr>
        <w:tc>
          <w:tcPr>
            <w:tcW w:type="dxa" w:w="2880"/>
            <w:vAlign w:val="top"/>
          </w:tcPr>
          <w:p>
            <w:pPr>
              <w:spacing w:after="0"/>
              <w:jc w:val="left"/>
            </w:pPr>
            <w:r>
              <w:rPr>
                <w:rFonts w:ascii="Arial" w:hAnsi="Arial"/>
                <w:b w:val="0"/>
                <w:sz w:val="11"/>
              </w:rPr>
              <w:t>Governance evidence covers only model output</w:t>
            </w:r>
          </w:p>
        </w:tc>
        <w:tc>
          <w:tcPr>
            <w:tcW w:type="dxa" w:w="2880"/>
            <w:vAlign w:val="top"/>
          </w:tcPr>
          <w:p>
            <w:pPr>
              <w:spacing w:after="0"/>
              <w:jc w:val="left"/>
            </w:pPr>
            <w:r>
              <w:rPr>
                <w:rFonts w:ascii="Arial" w:hAnsi="Arial"/>
                <w:b w:val="0"/>
                <w:sz w:val="11"/>
              </w:rPr>
              <w:t>Agentic failures can arise from planning, delegation, tool use, or handoff</w:t>
            </w:r>
          </w:p>
        </w:tc>
        <w:tc>
          <w:tcPr>
            <w:tcW w:type="dxa" w:w="2880"/>
            <w:vAlign w:val="top"/>
          </w:tcPr>
          <w:p>
            <w:pPr>
              <w:spacing w:after="0"/>
              <w:jc w:val="left"/>
            </w:pPr>
            <w:r>
              <w:rPr>
                <w:rFonts w:ascii="Arial" w:hAnsi="Arial"/>
                <w:b w:val="0"/>
                <w:sz w:val="11"/>
              </w:rPr>
              <w:t>Model-centric review misses lifecycle responsibility gaps</w:t>
            </w:r>
          </w:p>
        </w:tc>
        <w:tc>
          <w:tcPr>
            <w:tcW w:type="dxa" w:w="2880"/>
            <w:vAlign w:val="top"/>
          </w:tcPr>
          <w:p>
            <w:pPr>
              <w:spacing w:after="0"/>
              <w:jc w:val="left"/>
            </w:pPr>
            <w:r>
              <w:rPr>
                <w:rFonts w:ascii="Arial" w:hAnsi="Arial"/>
                <w:b w:val="0"/>
                <w:sz w:val="11"/>
              </w:rPr>
              <w:t>Clarify whether lifecycle events are governed</w:t>
            </w:r>
          </w:p>
        </w:tc>
        <w:tc>
          <w:tcPr>
            <w:tcW w:type="dxa" w:w="2880"/>
            <w:vAlign w:val="top"/>
          </w:tcPr>
          <w:p>
            <w:pPr>
              <w:spacing w:after="0"/>
              <w:jc w:val="left"/>
            </w:pPr>
            <w:r>
              <w:rPr>
                <w:rFonts w:ascii="Arial" w:hAnsi="Arial"/>
                <w:b w:val="0"/>
                <w:sz w:val="11"/>
              </w:rPr>
              <w:t>Red flag does not prove non-compliance</w:t>
            </w:r>
          </w:p>
        </w:tc>
      </w:tr>
      <w:tr>
        <w:trPr>
          <w:cantSplit/>
        </w:trPr>
        <w:tc>
          <w:tcPr>
            <w:tcW w:type="dxa" w:w="2880"/>
            <w:vAlign w:val="top"/>
          </w:tcPr>
          <w:p>
            <w:pPr>
              <w:spacing w:after="0"/>
              <w:jc w:val="left"/>
            </w:pPr>
            <w:r>
              <w:rPr>
                <w:rFonts w:ascii="Arial" w:hAnsi="Arial"/>
                <w:b w:val="0"/>
                <w:sz w:val="11"/>
              </w:rPr>
              <w:t>Human oversight is described without role mapping</w:t>
            </w:r>
          </w:p>
        </w:tc>
        <w:tc>
          <w:tcPr>
            <w:tcW w:type="dxa" w:w="2880"/>
            <w:vAlign w:val="top"/>
          </w:tcPr>
          <w:p>
            <w:pPr>
              <w:spacing w:after="0"/>
              <w:jc w:val="left"/>
            </w:pPr>
            <w:r>
              <w:rPr>
                <w:rFonts w:ascii="Arial" w:hAnsi="Arial"/>
                <w:b w:val="0"/>
                <w:sz w:val="11"/>
              </w:rPr>
              <w:t>Oversight without responsibility mapping may not support accountability</w:t>
            </w:r>
          </w:p>
        </w:tc>
        <w:tc>
          <w:tcPr>
            <w:tcW w:type="dxa" w:w="2880"/>
            <w:vAlign w:val="top"/>
          </w:tcPr>
          <w:p>
            <w:pPr>
              <w:spacing w:after="0"/>
              <w:jc w:val="left"/>
            </w:pPr>
            <w:r>
              <w:rPr>
                <w:rFonts w:ascii="Arial" w:hAnsi="Arial"/>
                <w:b w:val="0"/>
                <w:sz w:val="11"/>
              </w:rPr>
              <w:t>Review duty unclear after agent action</w:t>
            </w:r>
          </w:p>
        </w:tc>
        <w:tc>
          <w:tcPr>
            <w:tcW w:type="dxa" w:w="2880"/>
            <w:vAlign w:val="top"/>
          </w:tcPr>
          <w:p>
            <w:pPr>
              <w:spacing w:after="0"/>
              <w:jc w:val="left"/>
            </w:pPr>
            <w:r>
              <w:rPr>
                <w:rFonts w:ascii="Arial" w:hAnsi="Arial"/>
                <w:b w:val="0"/>
                <w:sz w:val="11"/>
              </w:rPr>
              <w:t>Request role-to-responsibility artifact</w:t>
            </w:r>
          </w:p>
        </w:tc>
        <w:tc>
          <w:tcPr>
            <w:tcW w:type="dxa" w:w="2880"/>
            <w:vAlign w:val="top"/>
          </w:tcPr>
          <w:p>
            <w:pPr>
              <w:spacing w:after="0"/>
              <w:jc w:val="left"/>
            </w:pPr>
            <w:r>
              <w:rPr>
                <w:rFonts w:ascii="Arial" w:hAnsi="Arial"/>
                <w:b w:val="0"/>
                <w:sz w:val="11"/>
              </w:rPr>
              <w:t>Requires enterprise context review</w:t>
            </w:r>
          </w:p>
        </w:tc>
      </w:tr>
      <w:tr>
        <w:trPr>
          <w:cantSplit/>
        </w:trPr>
        <w:tc>
          <w:tcPr>
            <w:tcW w:type="dxa" w:w="2880"/>
            <w:vAlign w:val="top"/>
          </w:tcPr>
          <w:p>
            <w:pPr>
              <w:spacing w:after="0"/>
              <w:jc w:val="left"/>
            </w:pPr>
            <w:r>
              <w:rPr>
                <w:rFonts w:ascii="Arial" w:hAnsi="Arial"/>
                <w:b w:val="0"/>
                <w:sz w:val="11"/>
              </w:rPr>
              <w:t>Authority limits are not visible</w:t>
            </w:r>
          </w:p>
        </w:tc>
        <w:tc>
          <w:tcPr>
            <w:tcW w:type="dxa" w:w="2880"/>
            <w:vAlign w:val="top"/>
          </w:tcPr>
          <w:p>
            <w:pPr>
              <w:spacing w:after="0"/>
              <w:jc w:val="left"/>
            </w:pPr>
            <w:r>
              <w:rPr>
                <w:rFonts w:ascii="Arial" w:hAnsi="Arial"/>
                <w:b w:val="0"/>
                <w:sz w:val="11"/>
              </w:rPr>
              <w:t>Agents may operate beyond intended delegated scope</w:t>
            </w:r>
          </w:p>
        </w:tc>
        <w:tc>
          <w:tcPr>
            <w:tcW w:type="dxa" w:w="2880"/>
            <w:vAlign w:val="top"/>
          </w:tcPr>
          <w:p>
            <w:pPr>
              <w:spacing w:after="0"/>
              <w:jc w:val="left"/>
            </w:pPr>
            <w:r>
              <w:rPr>
                <w:rFonts w:ascii="Arial" w:hAnsi="Arial"/>
                <w:b w:val="0"/>
                <w:sz w:val="11"/>
              </w:rPr>
              <w:t>Authority drift and unauthorized tool use</w:t>
            </w:r>
          </w:p>
        </w:tc>
        <w:tc>
          <w:tcPr>
            <w:tcW w:type="dxa" w:w="2880"/>
            <w:vAlign w:val="top"/>
          </w:tcPr>
          <w:p>
            <w:pPr>
              <w:spacing w:after="0"/>
              <w:jc w:val="left"/>
            </w:pPr>
            <w:r>
              <w:rPr>
                <w:rFonts w:ascii="Arial" w:hAnsi="Arial"/>
                <w:b w:val="0"/>
                <w:sz w:val="11"/>
              </w:rPr>
              <w:t>Request authority boundary and enforcement evidence</w:t>
            </w:r>
          </w:p>
        </w:tc>
        <w:tc>
          <w:tcPr>
            <w:tcW w:type="dxa" w:w="2880"/>
            <w:vAlign w:val="top"/>
          </w:tcPr>
          <w:p>
            <w:pPr>
              <w:spacing w:after="0"/>
              <w:jc w:val="left"/>
            </w:pPr>
            <w:r>
              <w:rPr>
                <w:rFonts w:ascii="Arial" w:hAnsi="Arial"/>
                <w:b w:val="0"/>
                <w:sz w:val="11"/>
              </w:rPr>
              <w:t>Absence in public docs does not prove absence in product</w:t>
            </w:r>
          </w:p>
        </w:tc>
      </w:tr>
      <w:tr>
        <w:trPr>
          <w:cantSplit/>
        </w:trPr>
        <w:tc>
          <w:tcPr>
            <w:tcW w:type="dxa" w:w="2880"/>
            <w:vAlign w:val="top"/>
          </w:tcPr>
          <w:p>
            <w:pPr>
              <w:spacing w:after="0"/>
              <w:jc w:val="left"/>
            </w:pPr>
            <w:r>
              <w:rPr>
                <w:rFonts w:ascii="Arial" w:hAnsi="Arial"/>
                <w:b w:val="0"/>
                <w:sz w:val="11"/>
              </w:rPr>
              <w:t>Logs are not exportable or interpretable</w:t>
            </w:r>
          </w:p>
        </w:tc>
        <w:tc>
          <w:tcPr>
            <w:tcW w:type="dxa" w:w="2880"/>
            <w:vAlign w:val="top"/>
          </w:tcPr>
          <w:p>
            <w:pPr>
              <w:spacing w:after="0"/>
              <w:jc w:val="left"/>
            </w:pPr>
            <w:r>
              <w:rPr>
                <w:rFonts w:ascii="Arial" w:hAnsi="Arial"/>
                <w:b w:val="0"/>
                <w:sz w:val="11"/>
              </w:rPr>
              <w:t>Evidence may not support review, audit, or incident reconstruction</w:t>
            </w:r>
          </w:p>
        </w:tc>
        <w:tc>
          <w:tcPr>
            <w:tcW w:type="dxa" w:w="2880"/>
            <w:vAlign w:val="top"/>
          </w:tcPr>
          <w:p>
            <w:pPr>
              <w:spacing w:after="0"/>
              <w:jc w:val="left"/>
            </w:pPr>
            <w:r>
              <w:rPr>
                <w:rFonts w:ascii="Arial" w:hAnsi="Arial"/>
                <w:b w:val="0"/>
                <w:sz w:val="11"/>
              </w:rPr>
              <w:t>Evidence gap during dispute or remediation</w:t>
            </w:r>
          </w:p>
        </w:tc>
        <w:tc>
          <w:tcPr>
            <w:tcW w:type="dxa" w:w="2880"/>
            <w:vAlign w:val="top"/>
          </w:tcPr>
          <w:p>
            <w:pPr>
              <w:spacing w:after="0"/>
              <w:jc w:val="left"/>
            </w:pPr>
            <w:r>
              <w:rPr>
                <w:rFonts w:ascii="Arial" w:hAnsi="Arial"/>
                <w:b w:val="0"/>
                <w:sz w:val="11"/>
              </w:rPr>
              <w:t>Request export format and retention rule</w:t>
            </w:r>
          </w:p>
        </w:tc>
        <w:tc>
          <w:tcPr>
            <w:tcW w:type="dxa" w:w="2880"/>
            <w:vAlign w:val="top"/>
          </w:tcPr>
          <w:p>
            <w:pPr>
              <w:spacing w:after="0"/>
              <w:jc w:val="left"/>
            </w:pPr>
            <w:r>
              <w:rPr>
                <w:rFonts w:ascii="Arial" w:hAnsi="Arial"/>
                <w:b w:val="0"/>
                <w:sz w:val="11"/>
              </w:rPr>
              <w:t>Exportability must be tested in implementation context</w:t>
            </w:r>
          </w:p>
        </w:tc>
      </w:tr>
      <w:tr>
        <w:trPr>
          <w:cantSplit/>
        </w:trPr>
        <w:tc>
          <w:tcPr>
            <w:tcW w:type="dxa" w:w="2880"/>
            <w:vAlign w:val="top"/>
          </w:tcPr>
          <w:p>
            <w:pPr>
              <w:spacing w:after="0"/>
              <w:jc w:val="left"/>
            </w:pPr>
            <w:r>
              <w:rPr>
                <w:rFonts w:ascii="Arial" w:hAnsi="Arial"/>
                <w:b w:val="0"/>
                <w:sz w:val="11"/>
              </w:rPr>
              <w:t>Privacy retention conflict is not addressed</w:t>
            </w:r>
          </w:p>
        </w:tc>
        <w:tc>
          <w:tcPr>
            <w:tcW w:type="dxa" w:w="2880"/>
            <w:vAlign w:val="top"/>
          </w:tcPr>
          <w:p>
            <w:pPr>
              <w:spacing w:after="0"/>
              <w:jc w:val="left"/>
            </w:pPr>
            <w:r>
              <w:rPr>
                <w:rFonts w:ascii="Arial" w:hAnsi="Arial"/>
                <w:b w:val="0"/>
                <w:sz w:val="11"/>
              </w:rPr>
              <w:t>Evidence retention may conflict with privacy obligations</w:t>
            </w:r>
          </w:p>
        </w:tc>
        <w:tc>
          <w:tcPr>
            <w:tcW w:type="dxa" w:w="2880"/>
            <w:vAlign w:val="top"/>
          </w:tcPr>
          <w:p>
            <w:pPr>
              <w:spacing w:after="0"/>
              <w:jc w:val="left"/>
            </w:pPr>
            <w:r>
              <w:rPr>
                <w:rFonts w:ascii="Arial" w:hAnsi="Arial"/>
                <w:b w:val="0"/>
                <w:sz w:val="11"/>
              </w:rPr>
              <w:t>Data subject rights vs evidence retention conflict</w:t>
            </w:r>
          </w:p>
        </w:tc>
        <w:tc>
          <w:tcPr>
            <w:tcW w:type="dxa" w:w="2880"/>
            <w:vAlign w:val="top"/>
          </w:tcPr>
          <w:p>
            <w:pPr>
              <w:spacing w:after="0"/>
              <w:jc w:val="left"/>
            </w:pPr>
            <w:r>
              <w:rPr>
                <w:rFonts w:ascii="Arial" w:hAnsi="Arial"/>
                <w:b w:val="0"/>
                <w:sz w:val="11"/>
              </w:rPr>
              <w:t>Request retention conflict workflow</w:t>
            </w:r>
          </w:p>
        </w:tc>
        <w:tc>
          <w:tcPr>
            <w:tcW w:type="dxa" w:w="2880"/>
            <w:vAlign w:val="top"/>
          </w:tcPr>
          <w:p>
            <w:pPr>
              <w:spacing w:after="0"/>
              <w:jc w:val="left"/>
            </w:pPr>
            <w:r>
              <w:rPr>
                <w:rFonts w:ascii="Arial" w:hAnsi="Arial"/>
                <w:b w:val="0"/>
                <w:sz w:val="11"/>
              </w:rPr>
              <w:t>Legal interpretation remains outside this appendix</w:t>
            </w:r>
          </w:p>
        </w:tc>
      </w:tr>
      <w:tr>
        <w:trPr>
          <w:cantSplit/>
        </w:trPr>
        <w:tc>
          <w:tcPr>
            <w:tcW w:type="dxa" w:w="2880"/>
            <w:vAlign w:val="top"/>
          </w:tcPr>
          <w:p>
            <w:pPr>
              <w:spacing w:after="0"/>
              <w:jc w:val="left"/>
            </w:pPr>
            <w:r>
              <w:rPr>
                <w:rFonts w:ascii="Arial" w:hAnsi="Arial"/>
                <w:b w:val="0"/>
                <w:sz w:val="11"/>
              </w:rPr>
              <w:t>Vendor substitution lacks impact review</w:t>
            </w:r>
          </w:p>
        </w:tc>
        <w:tc>
          <w:tcPr>
            <w:tcW w:type="dxa" w:w="2880"/>
            <w:vAlign w:val="top"/>
          </w:tcPr>
          <w:p>
            <w:pPr>
              <w:spacing w:after="0"/>
              <w:jc w:val="left"/>
            </w:pPr>
            <w:r>
              <w:rPr>
                <w:rFonts w:ascii="Arial" w:hAnsi="Arial"/>
                <w:b w:val="0"/>
                <w:sz w:val="11"/>
              </w:rPr>
              <w:t>Model or runtime changes may change lifecycle risk</w:t>
            </w:r>
          </w:p>
        </w:tc>
        <w:tc>
          <w:tcPr>
            <w:tcW w:type="dxa" w:w="2880"/>
            <w:vAlign w:val="top"/>
          </w:tcPr>
          <w:p>
            <w:pPr>
              <w:spacing w:after="0"/>
              <w:jc w:val="left"/>
            </w:pPr>
            <w:r>
              <w:rPr>
                <w:rFonts w:ascii="Arial" w:hAnsi="Arial"/>
                <w:b w:val="0"/>
                <w:sz w:val="11"/>
              </w:rPr>
              <w:t>Reuse and substitution conformance gap</w:t>
            </w:r>
          </w:p>
        </w:tc>
        <w:tc>
          <w:tcPr>
            <w:tcW w:type="dxa" w:w="2880"/>
            <w:vAlign w:val="top"/>
          </w:tcPr>
          <w:p>
            <w:pPr>
              <w:spacing w:after="0"/>
              <w:jc w:val="left"/>
            </w:pPr>
            <w:r>
              <w:rPr>
                <w:rFonts w:ascii="Arial" w:hAnsi="Arial"/>
                <w:b w:val="0"/>
                <w:sz w:val="11"/>
              </w:rPr>
              <w:t>Request change review template</w:t>
            </w:r>
          </w:p>
        </w:tc>
        <w:tc>
          <w:tcPr>
            <w:tcW w:type="dxa" w:w="2880"/>
            <w:vAlign w:val="top"/>
          </w:tcPr>
          <w:p>
            <w:pPr>
              <w:spacing w:after="0"/>
              <w:jc w:val="left"/>
            </w:pPr>
            <w:r>
              <w:rPr>
                <w:rFonts w:ascii="Arial" w:hAnsi="Arial"/>
                <w:b w:val="0"/>
                <w:sz w:val="11"/>
              </w:rPr>
              <w:t>This checklist does not approve substitutions</w:t>
            </w:r>
          </w:p>
        </w:tc>
      </w:tr>
      <w:tr>
        <w:trPr>
          <w:cantSplit/>
        </w:trPr>
        <w:tc>
          <w:tcPr>
            <w:tcW w:type="dxa" w:w="2880"/>
            <w:vAlign w:val="top"/>
          </w:tcPr>
          <w:p>
            <w:pPr>
              <w:spacing w:after="0"/>
              <w:jc w:val="left"/>
            </w:pPr>
            <w:r>
              <w:rPr>
                <w:rFonts w:ascii="Arial" w:hAnsi="Arial"/>
                <w:b w:val="0"/>
                <w:sz w:val="11"/>
              </w:rPr>
              <w:t>Claims rely only on marketing material</w:t>
            </w:r>
          </w:p>
        </w:tc>
        <w:tc>
          <w:tcPr>
            <w:tcW w:type="dxa" w:w="2880"/>
            <w:vAlign w:val="top"/>
          </w:tcPr>
          <w:p>
            <w:pPr>
              <w:spacing w:after="0"/>
              <w:jc w:val="left"/>
            </w:pPr>
            <w:r>
              <w:rPr>
                <w:rFonts w:ascii="Arial" w:hAnsi="Arial"/>
                <w:b w:val="0"/>
                <w:sz w:val="11"/>
              </w:rPr>
              <w:t>Evidence confidence is lower than product docs or validated artifacts</w:t>
            </w:r>
          </w:p>
        </w:tc>
        <w:tc>
          <w:tcPr>
            <w:tcW w:type="dxa" w:w="2880"/>
            <w:vAlign w:val="top"/>
          </w:tcPr>
          <w:p>
            <w:pPr>
              <w:spacing w:after="0"/>
              <w:jc w:val="left"/>
            </w:pPr>
            <w:r>
              <w:rPr>
                <w:rFonts w:ascii="Arial" w:hAnsi="Arial"/>
                <w:b w:val="0"/>
                <w:sz w:val="11"/>
              </w:rPr>
              <w:t>Overstated capability posture</w:t>
            </w:r>
          </w:p>
        </w:tc>
        <w:tc>
          <w:tcPr>
            <w:tcW w:type="dxa" w:w="2880"/>
            <w:vAlign w:val="top"/>
          </w:tcPr>
          <w:p>
            <w:pPr>
              <w:spacing w:after="0"/>
              <w:jc w:val="left"/>
            </w:pPr>
            <w:r>
              <w:rPr>
                <w:rFonts w:ascii="Arial" w:hAnsi="Arial"/>
                <w:b w:val="0"/>
                <w:sz w:val="11"/>
              </w:rPr>
              <w:t>Request higher-confidence evidence</w:t>
            </w:r>
          </w:p>
        </w:tc>
        <w:tc>
          <w:tcPr>
            <w:tcW w:type="dxa" w:w="2880"/>
            <w:vAlign w:val="top"/>
          </w:tcPr>
          <w:p>
            <w:pPr>
              <w:spacing w:after="0"/>
              <w:jc w:val="left"/>
            </w:pPr>
            <w:r>
              <w:rPr>
                <w:rFonts w:ascii="Arial" w:hAnsi="Arial"/>
                <w:b w:val="0"/>
                <w:sz w:val="11"/>
              </w:rPr>
              <w:t>Evidence level must be recorded explicitly</w:t>
            </w:r>
          </w:p>
        </w:tc>
      </w:tr>
      <w:tr>
        <w:trPr>
          <w:cantSplit/>
        </w:trPr>
        <w:tc>
          <w:tcPr>
            <w:tcW w:type="dxa" w:w="2880"/>
            <w:vAlign w:val="top"/>
          </w:tcPr>
          <w:p>
            <w:pPr>
              <w:spacing w:after="0"/>
              <w:jc w:val="left"/>
            </w:pPr>
            <w:r>
              <w:rPr>
                <w:rFonts w:ascii="Arial" w:hAnsi="Arial"/>
                <w:b w:val="0"/>
                <w:sz w:val="11"/>
              </w:rPr>
              <w:t>Appendix G posture is treated as a purchase conclusion</w:t>
            </w:r>
          </w:p>
        </w:tc>
        <w:tc>
          <w:tcPr>
            <w:tcW w:type="dxa" w:w="2880"/>
            <w:vAlign w:val="top"/>
          </w:tcPr>
          <w:p>
            <w:pPr>
              <w:spacing w:after="0"/>
              <w:jc w:val="left"/>
            </w:pPr>
            <w:r>
              <w:rPr>
                <w:rFonts w:ascii="Arial" w:hAnsi="Arial"/>
                <w:b w:val="0"/>
                <w:sz w:val="11"/>
              </w:rPr>
              <w:t>Appendix G is provisional and not procurement advice</w:t>
            </w:r>
          </w:p>
        </w:tc>
        <w:tc>
          <w:tcPr>
            <w:tcW w:type="dxa" w:w="2880"/>
            <w:vAlign w:val="top"/>
          </w:tcPr>
          <w:p>
            <w:pPr>
              <w:spacing w:after="0"/>
              <w:jc w:val="left"/>
            </w:pPr>
            <w:r>
              <w:rPr>
                <w:rFonts w:ascii="Arial" w:hAnsi="Arial"/>
                <w:b w:val="0"/>
                <w:sz w:val="11"/>
              </w:rPr>
              <w:t>Premature selection based on unrevalidated source posture</w:t>
            </w:r>
          </w:p>
        </w:tc>
        <w:tc>
          <w:tcPr>
            <w:tcW w:type="dxa" w:w="2880"/>
            <w:vAlign w:val="top"/>
          </w:tcPr>
          <w:p>
            <w:pPr>
              <w:spacing w:after="0"/>
              <w:jc w:val="left"/>
            </w:pPr>
            <w:r>
              <w:rPr>
                <w:rFonts w:ascii="Arial" w:hAnsi="Arial"/>
                <w:b w:val="0"/>
                <w:sz w:val="11"/>
              </w:rPr>
              <w:t>Require Phase 1C revalidation before final use</w:t>
            </w:r>
          </w:p>
        </w:tc>
        <w:tc>
          <w:tcPr>
            <w:tcW w:type="dxa" w:w="2880"/>
            <w:vAlign w:val="top"/>
          </w:tcPr>
          <w:p>
            <w:pPr>
              <w:spacing w:after="0"/>
              <w:jc w:val="left"/>
            </w:pPr>
            <w:r>
              <w:rPr>
                <w:rFonts w:ascii="Arial" w:hAnsi="Arial"/>
                <w:b w:val="0"/>
                <w:sz w:val="11"/>
              </w:rPr>
              <w:t>Appendix G categories are illustrative only</w:t>
            </w:r>
          </w:p>
        </w:tc>
      </w:tr>
    </w:tbl>
    <w:p>
      <w:pPr>
        <w:sectPr>
          <w:pgSz w:w="12240" w:h="15840" w:orient="landscape"/>
          <w:pgMar w:top="792" w:right="648" w:bottom="792" w:left="648" w:header="720" w:footer="720" w:gutter="0"/>
          <w:cols w:space="720"/>
          <w:docGrid w:linePitch="360"/>
        </w:sectPr>
      </w:pPr>
    </w:p>
    <w:p/>
    <w:p/>
    <w:p>
      <w:pPr>
        <w:pStyle w:val="Heading2"/>
      </w:pPr>
      <w:r>
        <w:t>H.6 Procurement Decision Boundary</w:t>
      </w:r>
    </w:p>
    <w:p/>
    <w:p>
      <w:pPr>
        <w:keepNext/>
      </w:pPr>
      <w:r>
        <w:rPr>
          <w:b/>
          <w:sz w:val="17"/>
        </w:rPr>
        <w:t>Table T-H-04: Buyer Interpretation Boundary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shd w:fill="D9EAF7"/>
          </w:tcPr>
          <w:p>
            <w:pPr>
              <w:spacing w:after="0"/>
              <w:jc w:val="left"/>
            </w:pPr>
            <w:r>
              <w:rPr>
                <w:rFonts w:ascii="Arial" w:hAnsi="Arial"/>
                <w:b/>
                <w:sz w:val="11"/>
              </w:rPr>
              <w:t>Procurement Use</w:t>
            </w:r>
          </w:p>
        </w:tc>
        <w:tc>
          <w:tcPr>
            <w:tcW w:type="dxa" w:w="3600"/>
            <w:vAlign w:val="top"/>
            <w:shd w:fill="D9EAF7"/>
          </w:tcPr>
          <w:p>
            <w:pPr>
              <w:spacing w:after="0"/>
              <w:jc w:val="left"/>
            </w:pPr>
            <w:r>
              <w:rPr>
                <w:rFonts w:ascii="Arial" w:hAnsi="Arial"/>
                <w:b/>
                <w:sz w:val="11"/>
              </w:rPr>
              <w:t>What This Scorecard Supports</w:t>
            </w:r>
          </w:p>
        </w:tc>
        <w:tc>
          <w:tcPr>
            <w:tcW w:type="dxa" w:w="3600"/>
            <w:vAlign w:val="top"/>
            <w:shd w:fill="D9EAF7"/>
          </w:tcPr>
          <w:p>
            <w:pPr>
              <w:spacing w:after="0"/>
              <w:jc w:val="left"/>
            </w:pPr>
            <w:r>
              <w:rPr>
                <w:rFonts w:ascii="Arial" w:hAnsi="Arial"/>
                <w:b/>
                <w:sz w:val="11"/>
              </w:rPr>
              <w:t>What It Does Not Support</w:t>
            </w:r>
          </w:p>
        </w:tc>
        <w:tc>
          <w:tcPr>
            <w:tcW w:type="dxa" w:w="3600"/>
            <w:vAlign w:val="top"/>
            <w:shd w:fill="D9EAF7"/>
          </w:tcPr>
          <w:p>
            <w:pPr>
              <w:spacing w:after="0"/>
              <w:jc w:val="left"/>
            </w:pPr>
            <w:r>
              <w:rPr>
                <w:rFonts w:ascii="Arial" w:hAnsi="Arial"/>
                <w:b/>
                <w:sz w:val="11"/>
              </w:rPr>
              <w:t>Required Human Review</w:t>
            </w:r>
          </w:p>
        </w:tc>
      </w:tr>
      <w:tr>
        <w:trPr>
          <w:cantSplit/>
        </w:trPr>
        <w:tc>
          <w:tcPr>
            <w:tcW w:type="dxa" w:w="3600"/>
            <w:vAlign w:val="top"/>
          </w:tcPr>
          <w:p>
            <w:pPr>
              <w:spacing w:after="0"/>
              <w:jc w:val="left"/>
            </w:pPr>
            <w:r>
              <w:rPr>
                <w:rFonts w:ascii="Arial" w:hAnsi="Arial"/>
                <w:b w:val="0"/>
                <w:sz w:val="11"/>
              </w:rPr>
              <w:t>RFI/RFP design</w:t>
            </w:r>
          </w:p>
        </w:tc>
        <w:tc>
          <w:tcPr>
            <w:tcW w:type="dxa" w:w="3600"/>
            <w:vAlign w:val="top"/>
          </w:tcPr>
          <w:p>
            <w:pPr>
              <w:spacing w:after="0"/>
              <w:jc w:val="left"/>
            </w:pPr>
            <w:r>
              <w:rPr>
                <w:rFonts w:ascii="Arial" w:hAnsi="Arial"/>
                <w:b w:val="0"/>
                <w:sz w:val="11"/>
              </w:rPr>
              <w:t>Structured governance questions and evidence requests</w:t>
            </w:r>
          </w:p>
        </w:tc>
        <w:tc>
          <w:tcPr>
            <w:tcW w:type="dxa" w:w="3600"/>
            <w:vAlign w:val="top"/>
          </w:tcPr>
          <w:p>
            <w:pPr>
              <w:spacing w:after="0"/>
              <w:jc w:val="left"/>
            </w:pPr>
            <w:r>
              <w:rPr>
                <w:rFonts w:ascii="Arial" w:hAnsi="Arial"/>
                <w:b w:val="0"/>
                <w:sz w:val="11"/>
              </w:rPr>
              <w:t>Automatic vendor filtering or vendor ordering</w:t>
            </w:r>
          </w:p>
        </w:tc>
        <w:tc>
          <w:tcPr>
            <w:tcW w:type="dxa" w:w="3600"/>
            <w:vAlign w:val="top"/>
          </w:tcPr>
          <w:p>
            <w:pPr>
              <w:spacing w:after="0"/>
              <w:jc w:val="left"/>
            </w:pPr>
            <w:r>
              <w:rPr>
                <w:rFonts w:ascii="Arial" w:hAnsi="Arial"/>
                <w:b w:val="0"/>
                <w:sz w:val="11"/>
              </w:rPr>
              <w:t>Procurement, risk, legal, privacy, security</w:t>
            </w:r>
          </w:p>
        </w:tc>
      </w:tr>
      <w:tr>
        <w:trPr>
          <w:cantSplit/>
        </w:trPr>
        <w:tc>
          <w:tcPr>
            <w:tcW w:type="dxa" w:w="3600"/>
            <w:vAlign w:val="top"/>
          </w:tcPr>
          <w:p>
            <w:pPr>
              <w:spacing w:after="0"/>
              <w:jc w:val="left"/>
            </w:pPr>
            <w:r>
              <w:rPr>
                <w:rFonts w:ascii="Arial" w:hAnsi="Arial"/>
                <w:b w:val="0"/>
                <w:sz w:val="11"/>
              </w:rPr>
              <w:t>Architecture review</w:t>
            </w:r>
          </w:p>
        </w:tc>
        <w:tc>
          <w:tcPr>
            <w:tcW w:type="dxa" w:w="3600"/>
            <w:vAlign w:val="top"/>
          </w:tcPr>
          <w:p>
            <w:pPr>
              <w:spacing w:after="0"/>
              <w:jc w:val="left"/>
            </w:pPr>
            <w:r>
              <w:rPr>
                <w:rFonts w:ascii="Arial" w:hAnsi="Arial"/>
                <w:b w:val="0"/>
                <w:sz w:val="11"/>
              </w:rPr>
              <w:t>Identification of lifecycle governance evidence gaps</w:t>
            </w:r>
          </w:p>
        </w:tc>
        <w:tc>
          <w:tcPr>
            <w:tcW w:type="dxa" w:w="3600"/>
            <w:vAlign w:val="top"/>
          </w:tcPr>
          <w:p>
            <w:pPr>
              <w:spacing w:after="0"/>
              <w:jc w:val="left"/>
            </w:pPr>
            <w:r>
              <w:rPr>
                <w:rFonts w:ascii="Arial" w:hAnsi="Arial"/>
                <w:b w:val="0"/>
                <w:sz w:val="11"/>
              </w:rPr>
              <w:t>Proof of production readiness</w:t>
            </w:r>
          </w:p>
        </w:tc>
        <w:tc>
          <w:tcPr>
            <w:tcW w:type="dxa" w:w="3600"/>
            <w:vAlign w:val="top"/>
          </w:tcPr>
          <w:p>
            <w:pPr>
              <w:spacing w:after="0"/>
              <w:jc w:val="left"/>
            </w:pPr>
            <w:r>
              <w:rPr>
                <w:rFonts w:ascii="Arial" w:hAnsi="Arial"/>
                <w:b w:val="0"/>
                <w:sz w:val="11"/>
              </w:rPr>
              <w:t>Architecture, security, platform owner</w:t>
            </w:r>
          </w:p>
        </w:tc>
      </w:tr>
      <w:tr>
        <w:trPr>
          <w:cantSplit/>
        </w:trPr>
        <w:tc>
          <w:tcPr>
            <w:tcW w:type="dxa" w:w="3600"/>
            <w:vAlign w:val="top"/>
          </w:tcPr>
          <w:p>
            <w:pPr>
              <w:spacing w:after="0"/>
              <w:jc w:val="left"/>
            </w:pPr>
            <w:r>
              <w:rPr>
                <w:rFonts w:ascii="Arial" w:hAnsi="Arial"/>
                <w:b w:val="0"/>
                <w:sz w:val="11"/>
              </w:rPr>
              <w:t>Risk review</w:t>
            </w:r>
          </w:p>
        </w:tc>
        <w:tc>
          <w:tcPr>
            <w:tcW w:type="dxa" w:w="3600"/>
            <w:vAlign w:val="top"/>
          </w:tcPr>
          <w:p>
            <w:pPr>
              <w:spacing w:after="0"/>
              <w:jc w:val="left"/>
            </w:pPr>
            <w:r>
              <w:rPr>
                <w:rFonts w:ascii="Arial" w:hAnsi="Arial"/>
                <w:b w:val="0"/>
                <w:sz w:val="11"/>
              </w:rPr>
              <w:t>Mapping of visible evidence to RCCS/ALCS prompts</w:t>
            </w:r>
          </w:p>
        </w:tc>
        <w:tc>
          <w:tcPr>
            <w:tcW w:type="dxa" w:w="3600"/>
            <w:vAlign w:val="top"/>
          </w:tcPr>
          <w:p>
            <w:pPr>
              <w:spacing w:after="0"/>
              <w:jc w:val="left"/>
            </w:pPr>
            <w:r>
              <w:rPr>
                <w:rFonts w:ascii="Arial" w:hAnsi="Arial"/>
                <w:b w:val="0"/>
                <w:sz w:val="11"/>
              </w:rPr>
              <w:t>Legal compliance determination</w:t>
            </w:r>
          </w:p>
        </w:tc>
        <w:tc>
          <w:tcPr>
            <w:tcW w:type="dxa" w:w="3600"/>
            <w:vAlign w:val="top"/>
          </w:tcPr>
          <w:p>
            <w:pPr>
              <w:spacing w:after="0"/>
              <w:jc w:val="left"/>
            </w:pPr>
            <w:r>
              <w:rPr>
                <w:rFonts w:ascii="Arial" w:hAnsi="Arial"/>
                <w:b w:val="0"/>
                <w:sz w:val="11"/>
              </w:rPr>
              <w:t>Risk, legal, compliance</w:t>
            </w:r>
          </w:p>
        </w:tc>
      </w:tr>
      <w:tr>
        <w:trPr>
          <w:cantSplit/>
        </w:trPr>
        <w:tc>
          <w:tcPr>
            <w:tcW w:type="dxa" w:w="3600"/>
            <w:vAlign w:val="top"/>
          </w:tcPr>
          <w:p>
            <w:pPr>
              <w:spacing w:after="0"/>
              <w:jc w:val="left"/>
            </w:pPr>
            <w:r>
              <w:rPr>
                <w:rFonts w:ascii="Arial" w:hAnsi="Arial"/>
                <w:b w:val="0"/>
                <w:sz w:val="11"/>
              </w:rPr>
              <w:t>Privacy review</w:t>
            </w:r>
          </w:p>
        </w:tc>
        <w:tc>
          <w:tcPr>
            <w:tcW w:type="dxa" w:w="3600"/>
            <w:vAlign w:val="top"/>
          </w:tcPr>
          <w:p>
            <w:pPr>
              <w:spacing w:after="0"/>
              <w:jc w:val="left"/>
            </w:pPr>
            <w:r>
              <w:rPr>
                <w:rFonts w:ascii="Arial" w:hAnsi="Arial"/>
                <w:b w:val="0"/>
                <w:sz w:val="11"/>
              </w:rPr>
              <w:t>Identification of retention and data subject rights questions</w:t>
            </w:r>
          </w:p>
        </w:tc>
        <w:tc>
          <w:tcPr>
            <w:tcW w:type="dxa" w:w="3600"/>
            <w:vAlign w:val="top"/>
          </w:tcPr>
          <w:p>
            <w:pPr>
              <w:spacing w:after="0"/>
              <w:jc w:val="left"/>
            </w:pPr>
            <w:r>
              <w:rPr>
                <w:rFonts w:ascii="Arial" w:hAnsi="Arial"/>
                <w:b w:val="0"/>
                <w:sz w:val="11"/>
              </w:rPr>
              <w:t>Privacy law conclusion</w:t>
            </w:r>
          </w:p>
        </w:tc>
        <w:tc>
          <w:tcPr>
            <w:tcW w:type="dxa" w:w="3600"/>
            <w:vAlign w:val="top"/>
          </w:tcPr>
          <w:p>
            <w:pPr>
              <w:spacing w:after="0"/>
              <w:jc w:val="left"/>
            </w:pPr>
            <w:r>
              <w:rPr>
                <w:rFonts w:ascii="Arial" w:hAnsi="Arial"/>
                <w:b w:val="0"/>
                <w:sz w:val="11"/>
              </w:rPr>
              <w:t>Privacy, legal, data governance</w:t>
            </w:r>
          </w:p>
        </w:tc>
      </w:tr>
      <w:tr>
        <w:trPr>
          <w:cantSplit/>
        </w:trPr>
        <w:tc>
          <w:tcPr>
            <w:tcW w:type="dxa" w:w="3600"/>
            <w:vAlign w:val="top"/>
          </w:tcPr>
          <w:p>
            <w:pPr>
              <w:spacing w:after="0"/>
              <w:jc w:val="left"/>
            </w:pPr>
            <w:r>
              <w:rPr>
                <w:rFonts w:ascii="Arial" w:hAnsi="Arial"/>
                <w:b w:val="0"/>
                <w:sz w:val="11"/>
              </w:rPr>
              <w:t>Contract negotiation</w:t>
            </w:r>
          </w:p>
        </w:tc>
        <w:tc>
          <w:tcPr>
            <w:tcW w:type="dxa" w:w="3600"/>
            <w:vAlign w:val="top"/>
          </w:tcPr>
          <w:p>
            <w:pPr>
              <w:spacing w:after="0"/>
              <w:jc w:val="left"/>
            </w:pPr>
            <w:r>
              <w:rPr>
                <w:rFonts w:ascii="Arial" w:hAnsi="Arial"/>
                <w:b w:val="0"/>
                <w:sz w:val="11"/>
              </w:rPr>
              <w:t>Evidence requirements and control expectations</w:t>
            </w:r>
          </w:p>
        </w:tc>
        <w:tc>
          <w:tcPr>
            <w:tcW w:type="dxa" w:w="3600"/>
            <w:vAlign w:val="top"/>
          </w:tcPr>
          <w:p>
            <w:pPr>
              <w:spacing w:after="0"/>
              <w:jc w:val="left"/>
            </w:pPr>
            <w:r>
              <w:rPr>
                <w:rFonts w:ascii="Arial" w:hAnsi="Arial"/>
                <w:b w:val="0"/>
                <w:sz w:val="11"/>
              </w:rPr>
              <w:t>Contract sufficiency determination</w:t>
            </w:r>
          </w:p>
        </w:tc>
        <w:tc>
          <w:tcPr>
            <w:tcW w:type="dxa" w:w="3600"/>
            <w:vAlign w:val="top"/>
          </w:tcPr>
          <w:p>
            <w:pPr>
              <w:spacing w:after="0"/>
              <w:jc w:val="left"/>
            </w:pPr>
            <w:r>
              <w:rPr>
                <w:rFonts w:ascii="Arial" w:hAnsi="Arial"/>
                <w:b w:val="0"/>
                <w:sz w:val="11"/>
              </w:rPr>
              <w:t>Legal, procurement, business owner</w:t>
            </w:r>
          </w:p>
        </w:tc>
      </w:tr>
      <w:tr>
        <w:trPr>
          <w:cantSplit/>
        </w:trPr>
        <w:tc>
          <w:tcPr>
            <w:tcW w:type="dxa" w:w="3600"/>
            <w:vAlign w:val="top"/>
          </w:tcPr>
          <w:p>
            <w:pPr>
              <w:spacing w:after="0"/>
              <w:jc w:val="left"/>
            </w:pPr>
            <w:r>
              <w:rPr>
                <w:rFonts w:ascii="Arial" w:hAnsi="Arial"/>
                <w:b w:val="0"/>
                <w:sz w:val="11"/>
              </w:rPr>
              <w:t>Deployment gate</w:t>
            </w:r>
          </w:p>
        </w:tc>
        <w:tc>
          <w:tcPr>
            <w:tcW w:type="dxa" w:w="3600"/>
            <w:vAlign w:val="top"/>
          </w:tcPr>
          <w:p>
            <w:pPr>
              <w:spacing w:after="0"/>
              <w:jc w:val="left"/>
            </w:pPr>
            <w:r>
              <w:rPr>
                <w:rFonts w:ascii="Arial" w:hAnsi="Arial"/>
                <w:b w:val="0"/>
                <w:sz w:val="11"/>
              </w:rPr>
              <w:t>Checklist for unresolved assumptions</w:t>
            </w:r>
          </w:p>
        </w:tc>
        <w:tc>
          <w:tcPr>
            <w:tcW w:type="dxa" w:w="3600"/>
            <w:vAlign w:val="top"/>
          </w:tcPr>
          <w:p>
            <w:pPr>
              <w:spacing w:after="0"/>
              <w:jc w:val="left"/>
            </w:pPr>
            <w:r>
              <w:rPr>
                <w:rFonts w:ascii="Arial" w:hAnsi="Arial"/>
                <w:b w:val="0"/>
                <w:sz w:val="11"/>
              </w:rPr>
              <w:t>Certification or approval</w:t>
            </w:r>
          </w:p>
        </w:tc>
        <w:tc>
          <w:tcPr>
            <w:tcW w:type="dxa" w:w="3600"/>
            <w:vAlign w:val="top"/>
          </w:tcPr>
          <w:p>
            <w:pPr>
              <w:spacing w:after="0"/>
              <w:jc w:val="left"/>
            </w:pPr>
            <w:r>
              <w:rPr>
                <w:rFonts w:ascii="Arial" w:hAnsi="Arial"/>
                <w:b w:val="0"/>
                <w:sz w:val="11"/>
              </w:rPr>
              <w:t>Enterprise governance board or equivalent owner</w:t>
            </w:r>
          </w:p>
        </w:tc>
      </w:tr>
    </w:tbl>
    <w:p>
      <w:pPr>
        <w:sectPr>
          <w:pgSz w:w="15840" w:h="12240" w:orient="landscape"/>
          <w:pgMar w:top="792" w:right="648" w:bottom="792" w:left="648" w:header="720" w:footer="720" w:gutter="0"/>
          <w:cols w:space="720"/>
          <w:docGrid w:linePitch="360"/>
        </w:sectPr>
      </w:pPr>
    </w:p>
    <w:p/>
    <w:p>
      <w:r>
        <w:t>Procurement decisions remain enterprise decisions. This appendix helps buyers ask better questions; it does not replace accountable human judgment.</w:t>
      </w:r>
    </w:p>
    <w:p/>
    <w:p/>
    <w:p>
      <w:r>
        <w:t>End of Appendix H</w:t>
      </w:r>
    </w:p>
    <w:p>
      <w:pPr>
        <w:pStyle w:val="Heading1"/>
      </w:pPr>
      <w:r>
        <w:t>Appendix I — Source Audit and Revalidation Register</w:t>
      </w:r>
    </w:p>
    <w:p/>
    <w:p>
      <w:r>
        <w:t>Version: v0.3.2-FRC-R3</w:t>
      </w:r>
    </w:p>
    <w:p>
      <w:r>
        <w:t>Status: Filled — Phase 1C claim-level source binding applied</w:t>
      </w:r>
    </w:p>
    <w:p>
      <w:r>
        <w:t>Phase: 1B-10 / 1C Follow-up</w:t>
      </w:r>
    </w:p>
    <w:p/>
    <w:p/>
    <w:p>
      <w:pPr>
        <w:pStyle w:val="Heading2"/>
      </w:pPr>
      <w:r>
        <w:t>I.0 Source Audit Boundary</w:t>
      </w:r>
    </w:p>
    <w:p/>
    <w:p>
      <w:r>
        <w:t>This appendix provides a source audit register for Phase 1C and Phase 1D handoff. It tracks source classes, citation status, evidence level, claim-binding status, and required publication follow-up actions.</w:t>
      </w:r>
    </w:p>
    <w:p/>
    <w:p>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
      <w:r>
        <w:t>Source audit work in this appendix is procedural. Phase 1C follow-up completed source-entry and claim-disposition review; final publication still requires page-level citation pinning and DOCX/PDF citation rendering checks.</w:t>
      </w:r>
    </w:p>
    <w:p/>
    <w:p/>
    <w:p>
      <w:pPr>
        <w:pStyle w:val="Heading2"/>
      </w:pPr>
      <w:r>
        <w:t>I.1 Source Classes and Evidence Levels</w:t>
      </w:r>
    </w:p>
    <w:p/>
    <w:p>
      <w:r>
        <w:t>The source audit register uses the canonical evidence levels:</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r>
        <w:t>Evidence levels describe source confidence for analytical scoring. They do not make a source legally sufficient, current, complete, or operationally validated. Evidence levels may change during Phase 1C if source type, source currency, or claim support changes.</w:t>
      </w:r>
    </w:p>
    <w:p/>
    <w:p/>
    <w:p>
      <w:pPr>
        <w:pStyle w:val="Heading2"/>
      </w:pPr>
      <w:r>
        <w:t>I.2 Source Audit Register</w:t>
      </w:r>
    </w:p>
    <w:p/>
    <w:p>
      <w:pPr>
        <w:keepNext/>
      </w:pPr>
      <w:r>
        <w:rPr>
          <w:b/>
          <w:sz w:val="17"/>
        </w:rPr>
        <w:t>Table T-I-01: Source Audit Register</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rPr>
          <w:tblHeader w:val="true"/>
          <w:cantSplit/>
        </w:trPr>
        <w:tc>
          <w:tcPr>
            <w:tcW w:type="dxa" w:w="2057"/>
            <w:vAlign w:val="top"/>
            <w:shd w:fill="D9EAF7"/>
            <w:textDirection w:val="lrTb"/>
          </w:tcPr>
          <w:p>
            <w:pPr>
              <w:spacing w:after="0"/>
              <w:jc w:val="left"/>
            </w:pPr>
            <w:r>
              <w:rPr>
                <w:rFonts w:ascii="Arial" w:hAnsi="Arial"/>
                <w:b/>
                <w:sz w:val="11"/>
              </w:rPr>
              <w:t>Source ID</w:t>
            </w:r>
          </w:p>
        </w:tc>
        <w:tc>
          <w:tcPr>
            <w:tcW w:type="dxa" w:w="2057"/>
            <w:vAlign w:val="top"/>
            <w:shd w:fill="D9EAF7"/>
            <w:textDirection w:val="lrTb"/>
          </w:tcPr>
          <w:p>
            <w:pPr>
              <w:spacing w:after="0"/>
              <w:jc w:val="left"/>
            </w:pPr>
            <w:r>
              <w:rPr>
                <w:rFonts w:ascii="Arial" w:hAnsi="Arial"/>
                <w:b/>
                <w:sz w:val="11"/>
              </w:rPr>
              <w:t>Source Name</w:t>
            </w:r>
          </w:p>
        </w:tc>
        <w:tc>
          <w:tcPr>
            <w:tcW w:type="dxa" w:w="2057"/>
            <w:vAlign w:val="top"/>
            <w:shd w:fill="D9EAF7"/>
            <w:textDirection w:val="lrTb"/>
          </w:tcPr>
          <w:p>
            <w:pPr>
              <w:spacing w:after="0"/>
              <w:jc w:val="left"/>
            </w:pPr>
            <w:r>
              <w:rPr>
                <w:rFonts w:ascii="Arial" w:hAnsi="Arial"/>
                <w:b/>
                <w:sz w:val="11"/>
              </w:rPr>
              <w:t>Source Class</w:t>
            </w:r>
          </w:p>
        </w:tc>
        <w:tc>
          <w:tcPr>
            <w:tcW w:type="dxa" w:w="2057"/>
            <w:vAlign w:val="top"/>
            <w:shd w:fill="D9EAF7"/>
            <w:textDirection w:val="lrTb"/>
          </w:tcPr>
          <w:p>
            <w:pPr>
              <w:spacing w:after="0"/>
              <w:jc w:val="left"/>
            </w:pPr>
            <w:r>
              <w:rPr>
                <w:rFonts w:ascii="Arial" w:hAnsi="Arial"/>
                <w:b/>
                <w:sz w:val="11"/>
              </w:rPr>
              <w:t>Evidence Level</w:t>
            </w:r>
          </w:p>
        </w:tc>
        <w:tc>
          <w:tcPr>
            <w:tcW w:type="dxa" w:w="2057"/>
            <w:vAlign w:val="top"/>
            <w:shd w:fill="D9EAF7"/>
            <w:textDirection w:val="lrTb"/>
          </w:tcPr>
          <w:p>
            <w:pPr>
              <w:spacing w:after="0"/>
              <w:jc w:val="left"/>
            </w:pPr>
            <w:r>
              <w:rPr>
                <w:rFonts w:ascii="Arial" w:hAnsi="Arial"/>
                <w:b/>
                <w:sz w:val="11"/>
              </w:rPr>
              <w:t>Used In</w:t>
            </w:r>
          </w:p>
        </w:tc>
        <w:tc>
          <w:tcPr>
            <w:tcW w:type="dxa" w:w="2057"/>
            <w:vAlign w:val="top"/>
            <w:shd w:fill="D9EAF7"/>
            <w:textDirection w:val="lrTb"/>
          </w:tcPr>
          <w:p>
            <w:pPr>
              <w:spacing w:after="0"/>
              <w:jc w:val="left"/>
            </w:pPr>
            <w:r>
              <w:rPr>
                <w:rFonts w:ascii="Arial" w:hAnsi="Arial"/>
                <w:b/>
                <w:sz w:val="11"/>
              </w:rPr>
              <w:t>Current Status</w:t>
            </w:r>
          </w:p>
        </w:tc>
        <w:tc>
          <w:tcPr>
            <w:tcW w:type="dxa" w:w="2057"/>
            <w:vAlign w:val="top"/>
            <w:shd w:fill="D9EAF7"/>
            <w:textDirection w:val="lrTb"/>
          </w:tcPr>
          <w:p>
            <w:pPr>
              <w:spacing w:after="0"/>
              <w:jc w:val="left"/>
            </w:pPr>
            <w:r>
              <w:rPr>
                <w:rFonts w:ascii="Arial" w:hAnsi="Arial"/>
                <w:b/>
                <w:sz w:val="11"/>
              </w:rPr>
              <w:t>Phase 1C Action</w:t>
            </w:r>
          </w:p>
        </w:tc>
      </w:tr>
      <w:tr>
        <w:trPr>
          <w:cantSplit/>
        </w:trPr>
        <w:tc>
          <w:tcPr>
            <w:tcW w:type="dxa" w:w="2057"/>
            <w:vAlign w:val="top"/>
          </w:tcPr>
          <w:p>
            <w:pPr>
              <w:spacing w:after="0"/>
              <w:jc w:val="left"/>
            </w:pPr>
            <w:r>
              <w:rPr>
                <w:rFonts w:ascii="Arial" w:hAnsi="Arial"/>
                <w:b w:val="0"/>
                <w:sz w:val="11"/>
              </w:rPr>
              <w:t>EU-AI-ACT</w:t>
            </w:r>
          </w:p>
        </w:tc>
        <w:tc>
          <w:tcPr>
            <w:tcW w:type="dxa" w:w="2057"/>
            <w:vAlign w:val="top"/>
          </w:tcPr>
          <w:p>
            <w:pPr>
              <w:spacing w:after="0"/>
              <w:jc w:val="left"/>
            </w:pPr>
            <w:r>
              <w:rPr>
                <w:rFonts w:ascii="Arial" w:hAnsi="Arial"/>
                <w:b w:val="0"/>
                <w:sz w:val="11"/>
              </w:rPr>
              <w:t>EU AI Act articles referenced in baseline chapters</w:t>
            </w:r>
          </w:p>
        </w:tc>
        <w:tc>
          <w:tcPr>
            <w:tcW w:type="dxa" w:w="2057"/>
            <w:vAlign w:val="top"/>
          </w:tcPr>
          <w:p>
            <w:pPr>
              <w:spacing w:after="0"/>
              <w:jc w:val="left"/>
            </w:pPr>
            <w:r>
              <w:rPr>
                <w:rFonts w:ascii="Arial" w:hAnsi="Arial"/>
                <w:b w:val="0"/>
                <w:sz w:val="11"/>
              </w:rPr>
              <w:t>Legal / regulatory text</w:t>
            </w:r>
          </w:p>
        </w:tc>
        <w:tc>
          <w:tcPr>
            <w:tcW w:type="dxa" w:w="2057"/>
            <w:vAlign w:val="top"/>
          </w:tcPr>
          <w:p>
            <w:pPr>
              <w:spacing w:after="0"/>
              <w:jc w:val="left"/>
            </w:pPr>
            <w:r>
              <w:rPr>
                <w:rFonts w:ascii="Arial" w:hAnsi="Arial"/>
                <w:b w:val="0"/>
                <w:sz w:val="11"/>
              </w:rPr>
              <w:t>L1</w:t>
            </w:r>
          </w:p>
        </w:tc>
        <w:tc>
          <w:tcPr>
            <w:tcW w:type="dxa" w:w="2057"/>
            <w:vAlign w:val="top"/>
          </w:tcPr>
          <w:p>
            <w:pPr>
              <w:spacing w:after="0"/>
              <w:jc w:val="left"/>
            </w:pPr>
            <w:r>
              <w:rPr>
                <w:rFonts w:ascii="Arial" w:hAnsi="Arial"/>
                <w:b w:val="0"/>
                <w:sz w:val="11"/>
              </w:rPr>
              <w:t>Chapters 4, 7, 8, Appendices E/F</w:t>
            </w:r>
          </w:p>
        </w:tc>
        <w:tc>
          <w:tcPr>
            <w:tcW w:type="dxa" w:w="2057"/>
            <w:vAlign w:val="top"/>
          </w:tcPr>
          <w:p>
            <w:pPr>
              <w:spacing w:after="0"/>
              <w:jc w:val="left"/>
            </w:pPr>
            <w:r>
              <w:rPr>
                <w:rFonts w:ascii="Arial" w:hAnsi="Arial"/>
                <w:b w:val="0"/>
                <w:sz w:val="11"/>
              </w:rPr>
              <w:t>Referenced; citation rendering pending global check</w:t>
            </w:r>
          </w:p>
        </w:tc>
        <w:tc>
          <w:tcPr>
            <w:tcW w:type="dxa" w:w="2057"/>
            <w:vAlign w:val="top"/>
          </w:tcPr>
          <w:p>
            <w:pPr>
              <w:spacing w:after="0"/>
              <w:jc w:val="left"/>
            </w:pPr>
            <w:r>
              <w:rPr>
                <w:rFonts w:ascii="Arial" w:hAnsi="Arial"/>
                <w:b w:val="0"/>
                <w:sz w:val="11"/>
              </w:rPr>
              <w:t>Verify article references and citation formatting</w:t>
            </w:r>
          </w:p>
        </w:tc>
      </w:tr>
      <w:tr>
        <w:trPr>
          <w:cantSplit/>
        </w:trPr>
        <w:tc>
          <w:tcPr>
            <w:tcW w:type="dxa" w:w="2057"/>
            <w:vAlign w:val="top"/>
          </w:tcPr>
          <w:p>
            <w:pPr>
              <w:spacing w:after="0"/>
              <w:jc w:val="left"/>
            </w:pPr>
            <w:r>
              <w:rPr>
                <w:rFonts w:ascii="Arial" w:hAnsi="Arial"/>
                <w:b w:val="0"/>
                <w:sz w:val="11"/>
              </w:rPr>
              <w:t>GDPR</w:t>
            </w:r>
          </w:p>
        </w:tc>
        <w:tc>
          <w:tcPr>
            <w:tcW w:type="dxa" w:w="2057"/>
            <w:vAlign w:val="top"/>
          </w:tcPr>
          <w:p>
            <w:pPr>
              <w:spacing w:after="0"/>
              <w:jc w:val="left"/>
            </w:pPr>
            <w:r>
              <w:rPr>
                <w:rFonts w:ascii="Arial" w:hAnsi="Arial"/>
                <w:b w:val="0"/>
                <w:sz w:val="11"/>
              </w:rPr>
              <w:t>GDPR articles referenced in privacy and data governance sections</w:t>
            </w:r>
          </w:p>
        </w:tc>
        <w:tc>
          <w:tcPr>
            <w:tcW w:type="dxa" w:w="2057"/>
            <w:vAlign w:val="top"/>
          </w:tcPr>
          <w:p>
            <w:pPr>
              <w:spacing w:after="0"/>
              <w:jc w:val="left"/>
            </w:pPr>
            <w:r>
              <w:rPr>
                <w:rFonts w:ascii="Arial" w:hAnsi="Arial"/>
                <w:b w:val="0"/>
                <w:sz w:val="11"/>
              </w:rPr>
              <w:t>Legal / regulatory text</w:t>
            </w:r>
          </w:p>
        </w:tc>
        <w:tc>
          <w:tcPr>
            <w:tcW w:type="dxa" w:w="2057"/>
            <w:vAlign w:val="top"/>
          </w:tcPr>
          <w:p>
            <w:pPr>
              <w:spacing w:after="0"/>
              <w:jc w:val="left"/>
            </w:pPr>
            <w:r>
              <w:rPr>
                <w:rFonts w:ascii="Arial" w:hAnsi="Arial"/>
                <w:b w:val="0"/>
                <w:sz w:val="11"/>
              </w:rPr>
              <w:t>L1</w:t>
            </w:r>
          </w:p>
        </w:tc>
        <w:tc>
          <w:tcPr>
            <w:tcW w:type="dxa" w:w="2057"/>
            <w:vAlign w:val="top"/>
          </w:tcPr>
          <w:p>
            <w:pPr>
              <w:spacing w:after="0"/>
              <w:jc w:val="left"/>
            </w:pPr>
            <w:r>
              <w:rPr>
                <w:rFonts w:ascii="Arial" w:hAnsi="Arial"/>
                <w:b w:val="0"/>
                <w:sz w:val="11"/>
              </w:rPr>
              <w:t>Chapters 4, 6, 8, Appendices E/F</w:t>
            </w:r>
          </w:p>
        </w:tc>
        <w:tc>
          <w:tcPr>
            <w:tcW w:type="dxa" w:w="2057"/>
            <w:vAlign w:val="top"/>
          </w:tcPr>
          <w:p>
            <w:pPr>
              <w:spacing w:after="0"/>
              <w:jc w:val="left"/>
            </w:pPr>
            <w:r>
              <w:rPr>
                <w:rFonts w:ascii="Arial" w:hAnsi="Arial"/>
                <w:b w:val="0"/>
                <w:sz w:val="11"/>
              </w:rPr>
              <w:t>Referenced; citation rendering pending global check</w:t>
            </w:r>
          </w:p>
        </w:tc>
        <w:tc>
          <w:tcPr>
            <w:tcW w:type="dxa" w:w="2057"/>
            <w:vAlign w:val="top"/>
          </w:tcPr>
          <w:p>
            <w:pPr>
              <w:spacing w:after="0"/>
              <w:jc w:val="left"/>
            </w:pPr>
            <w:r>
              <w:rPr>
                <w:rFonts w:ascii="Arial" w:hAnsi="Arial"/>
                <w:b w:val="0"/>
                <w:sz w:val="11"/>
              </w:rPr>
              <w:t>Verify article references and privacy mapping language</w:t>
            </w:r>
          </w:p>
        </w:tc>
      </w:tr>
      <w:tr>
        <w:trPr>
          <w:cantSplit/>
        </w:trPr>
        <w:tc>
          <w:tcPr>
            <w:tcW w:type="dxa" w:w="2057"/>
            <w:vAlign w:val="top"/>
          </w:tcPr>
          <w:p>
            <w:pPr>
              <w:spacing w:after="0"/>
              <w:jc w:val="left"/>
            </w:pPr>
            <w:r>
              <w:rPr>
                <w:rFonts w:ascii="Arial" w:hAnsi="Arial"/>
                <w:b w:val="0"/>
                <w:sz w:val="11"/>
              </w:rPr>
              <w:t>NIST-AI-RMF</w:t>
            </w:r>
          </w:p>
        </w:tc>
        <w:tc>
          <w:tcPr>
            <w:tcW w:type="dxa" w:w="2057"/>
            <w:vAlign w:val="top"/>
          </w:tcPr>
          <w:p>
            <w:pPr>
              <w:spacing w:after="0"/>
              <w:jc w:val="left"/>
            </w:pPr>
            <w:r>
              <w:rPr>
                <w:rFonts w:ascii="Arial" w:hAnsi="Arial"/>
                <w:b w:val="0"/>
                <w:sz w:val="11"/>
              </w:rPr>
              <w:t>NIST AI RMF 1.0</w:t>
            </w:r>
          </w:p>
        </w:tc>
        <w:tc>
          <w:tcPr>
            <w:tcW w:type="dxa" w:w="2057"/>
            <w:vAlign w:val="top"/>
          </w:tcPr>
          <w:p>
            <w:pPr>
              <w:spacing w:after="0"/>
              <w:jc w:val="left"/>
            </w:pPr>
            <w:r>
              <w:rPr>
                <w:rFonts w:ascii="Arial" w:hAnsi="Arial"/>
                <w:b w:val="0"/>
                <w:sz w:val="11"/>
              </w:rPr>
              <w:t>Formal standard</w:t>
            </w:r>
          </w:p>
        </w:tc>
        <w:tc>
          <w:tcPr>
            <w:tcW w:type="dxa" w:w="2057"/>
            <w:vAlign w:val="top"/>
          </w:tcPr>
          <w:p>
            <w:pPr>
              <w:spacing w:after="0"/>
              <w:jc w:val="left"/>
            </w:pPr>
            <w:r>
              <w:rPr>
                <w:rFonts w:ascii="Arial" w:hAnsi="Arial"/>
                <w:b w:val="0"/>
                <w:sz w:val="11"/>
              </w:rPr>
              <w:t>L1</w:t>
            </w:r>
          </w:p>
        </w:tc>
        <w:tc>
          <w:tcPr>
            <w:tcW w:type="dxa" w:w="2057"/>
            <w:vAlign w:val="top"/>
          </w:tcPr>
          <w:p>
            <w:pPr>
              <w:spacing w:after="0"/>
              <w:jc w:val="left"/>
            </w:pPr>
            <w:r>
              <w:rPr>
                <w:rFonts w:ascii="Arial" w:hAnsi="Arial"/>
                <w:b w:val="0"/>
                <w:sz w:val="11"/>
              </w:rPr>
              <w:t>Chapter 4, RCCS security/risk mapping</w:t>
            </w:r>
          </w:p>
        </w:tc>
        <w:tc>
          <w:tcPr>
            <w:tcW w:type="dxa" w:w="2057"/>
            <w:vAlign w:val="top"/>
          </w:tcPr>
          <w:p>
            <w:pPr>
              <w:spacing w:after="0"/>
              <w:jc w:val="left"/>
            </w:pPr>
            <w:r>
              <w:rPr>
                <w:rFonts w:ascii="Arial" w:hAnsi="Arial"/>
                <w:b w:val="0"/>
                <w:sz w:val="11"/>
              </w:rPr>
              <w:t>Referenced; final citation check pending</w:t>
            </w:r>
          </w:p>
        </w:tc>
        <w:tc>
          <w:tcPr>
            <w:tcW w:type="dxa" w:w="2057"/>
            <w:vAlign w:val="top"/>
          </w:tcPr>
          <w:p>
            <w:pPr>
              <w:spacing w:after="0"/>
              <w:jc w:val="left"/>
            </w:pPr>
            <w:r>
              <w:rPr>
                <w:rFonts w:ascii="Arial" w:hAnsi="Arial"/>
                <w:b w:val="0"/>
                <w:sz w:val="11"/>
              </w:rPr>
              <w:t>Verify source coverage and citation formatting</w:t>
            </w:r>
          </w:p>
        </w:tc>
      </w:tr>
      <w:tr>
        <w:trPr>
          <w:cantSplit/>
        </w:trPr>
        <w:tc>
          <w:tcPr>
            <w:tcW w:type="dxa" w:w="2057"/>
            <w:vAlign w:val="top"/>
          </w:tcPr>
          <w:p>
            <w:pPr>
              <w:spacing w:after="0"/>
              <w:jc w:val="left"/>
            </w:pPr>
            <w:r>
              <w:rPr>
                <w:rFonts w:ascii="Arial" w:hAnsi="Arial"/>
                <w:b w:val="0"/>
                <w:sz w:val="11"/>
              </w:rPr>
              <w:t>ISO-IEC-42001</w:t>
            </w:r>
          </w:p>
        </w:tc>
        <w:tc>
          <w:tcPr>
            <w:tcW w:type="dxa" w:w="2057"/>
            <w:vAlign w:val="top"/>
          </w:tcPr>
          <w:p>
            <w:pPr>
              <w:spacing w:after="0"/>
              <w:jc w:val="left"/>
            </w:pPr>
            <w:r>
              <w:rPr>
                <w:rFonts w:ascii="Arial" w:hAnsi="Arial"/>
                <w:b w:val="0"/>
                <w:sz w:val="11"/>
              </w:rPr>
              <w:t>ISO/IEC 42001</w:t>
            </w:r>
          </w:p>
        </w:tc>
        <w:tc>
          <w:tcPr>
            <w:tcW w:type="dxa" w:w="2057"/>
            <w:vAlign w:val="top"/>
          </w:tcPr>
          <w:p>
            <w:pPr>
              <w:spacing w:after="0"/>
              <w:jc w:val="left"/>
            </w:pPr>
            <w:r>
              <w:rPr>
                <w:rFonts w:ascii="Arial" w:hAnsi="Arial"/>
                <w:b w:val="0"/>
                <w:sz w:val="11"/>
              </w:rPr>
              <w:t>Formal standard</w:t>
            </w:r>
          </w:p>
        </w:tc>
        <w:tc>
          <w:tcPr>
            <w:tcW w:type="dxa" w:w="2057"/>
            <w:vAlign w:val="top"/>
          </w:tcPr>
          <w:p>
            <w:pPr>
              <w:spacing w:after="0"/>
              <w:jc w:val="left"/>
            </w:pPr>
            <w:r>
              <w:rPr>
                <w:rFonts w:ascii="Arial" w:hAnsi="Arial"/>
                <w:b w:val="0"/>
                <w:sz w:val="11"/>
              </w:rPr>
              <w:t>L1</w:t>
            </w:r>
          </w:p>
        </w:tc>
        <w:tc>
          <w:tcPr>
            <w:tcW w:type="dxa" w:w="2057"/>
            <w:vAlign w:val="top"/>
          </w:tcPr>
          <w:p>
            <w:pPr>
              <w:spacing w:after="0"/>
              <w:jc w:val="left"/>
            </w:pPr>
            <w:r>
              <w:rPr>
                <w:rFonts w:ascii="Arial" w:hAnsi="Arial"/>
                <w:b w:val="0"/>
                <w:sz w:val="11"/>
              </w:rPr>
              <w:t>Chapter 4, management system baseline</w:t>
            </w:r>
          </w:p>
        </w:tc>
        <w:tc>
          <w:tcPr>
            <w:tcW w:type="dxa" w:w="2057"/>
            <w:vAlign w:val="top"/>
          </w:tcPr>
          <w:p>
            <w:pPr>
              <w:spacing w:after="0"/>
              <w:jc w:val="left"/>
            </w:pPr>
            <w:r>
              <w:rPr>
                <w:rFonts w:ascii="Arial" w:hAnsi="Arial"/>
                <w:b w:val="0"/>
                <w:sz w:val="11"/>
              </w:rPr>
              <w:t>Referenced; final citation check pending</w:t>
            </w:r>
          </w:p>
        </w:tc>
        <w:tc>
          <w:tcPr>
            <w:tcW w:type="dxa" w:w="2057"/>
            <w:vAlign w:val="top"/>
          </w:tcPr>
          <w:p>
            <w:pPr>
              <w:spacing w:after="0"/>
              <w:jc w:val="left"/>
            </w:pPr>
            <w:r>
              <w:rPr>
                <w:rFonts w:ascii="Arial" w:hAnsi="Arial"/>
                <w:b w:val="0"/>
                <w:sz w:val="11"/>
              </w:rPr>
              <w:t>Verify source coverage and citation formatting</w:t>
            </w:r>
          </w:p>
        </w:tc>
      </w:tr>
      <w:tr>
        <w:trPr>
          <w:cantSplit/>
        </w:trPr>
        <w:tc>
          <w:tcPr>
            <w:tcW w:type="dxa" w:w="2057"/>
            <w:vAlign w:val="top"/>
          </w:tcPr>
          <w:p>
            <w:pPr>
              <w:spacing w:after="0"/>
              <w:jc w:val="left"/>
            </w:pPr>
            <w:r>
              <w:rPr>
                <w:rFonts w:ascii="Arial" w:hAnsi="Arial"/>
                <w:b w:val="0"/>
                <w:sz w:val="11"/>
              </w:rPr>
              <w:t>IMDA-AGENTIC-AI</w:t>
            </w:r>
          </w:p>
        </w:tc>
        <w:tc>
          <w:tcPr>
            <w:tcW w:type="dxa" w:w="2057"/>
            <w:vAlign w:val="top"/>
          </w:tcPr>
          <w:p>
            <w:pPr>
              <w:spacing w:after="0"/>
              <w:jc w:val="left"/>
            </w:pPr>
            <w:r>
              <w:rPr>
                <w:rFonts w:ascii="Arial" w:hAnsi="Arial"/>
                <w:b w:val="0"/>
                <w:sz w:val="11"/>
              </w:rPr>
              <w:t>Singapore IMDA Model AI Governance Framework for Agentic AI</w:t>
            </w:r>
          </w:p>
        </w:tc>
        <w:tc>
          <w:tcPr>
            <w:tcW w:type="dxa" w:w="2057"/>
            <w:vAlign w:val="top"/>
          </w:tcPr>
          <w:p>
            <w:pPr>
              <w:spacing w:after="0"/>
              <w:jc w:val="left"/>
            </w:pPr>
            <w:r>
              <w:rPr>
                <w:rFonts w:ascii="Arial" w:hAnsi="Arial"/>
                <w:b w:val="0"/>
                <w:sz w:val="11"/>
              </w:rPr>
              <w:t>Formal governance framework</w:t>
            </w:r>
          </w:p>
        </w:tc>
        <w:tc>
          <w:tcPr>
            <w:tcW w:type="dxa" w:w="2057"/>
            <w:vAlign w:val="top"/>
          </w:tcPr>
          <w:p>
            <w:pPr>
              <w:spacing w:after="0"/>
              <w:jc w:val="left"/>
            </w:pPr>
            <w:r>
              <w:rPr>
                <w:rFonts w:ascii="Arial" w:hAnsi="Arial"/>
                <w:b w:val="0"/>
                <w:sz w:val="11"/>
              </w:rPr>
              <w:t>L1</w:t>
            </w:r>
          </w:p>
        </w:tc>
        <w:tc>
          <w:tcPr>
            <w:tcW w:type="dxa" w:w="2057"/>
            <w:vAlign w:val="top"/>
          </w:tcPr>
          <w:p>
            <w:pPr>
              <w:spacing w:after="0"/>
              <w:jc w:val="left"/>
            </w:pPr>
            <w:r>
              <w:rPr>
                <w:rFonts w:ascii="Arial" w:hAnsi="Arial"/>
                <w:b w:val="0"/>
                <w:sz w:val="11"/>
              </w:rPr>
              <w:t>Chapter 4 and comparative baseline</w:t>
            </w:r>
          </w:p>
        </w:tc>
        <w:tc>
          <w:tcPr>
            <w:tcW w:type="dxa" w:w="2057"/>
            <w:vAlign w:val="top"/>
          </w:tcPr>
          <w:p>
            <w:pPr>
              <w:spacing w:after="0"/>
              <w:jc w:val="left"/>
            </w:pPr>
            <w:r>
              <w:rPr>
                <w:rFonts w:ascii="Arial" w:hAnsi="Arial"/>
                <w:b w:val="0"/>
                <w:sz w:val="11"/>
              </w:rPr>
              <w:t>Referenced; final citation check pending</w:t>
            </w:r>
          </w:p>
        </w:tc>
        <w:tc>
          <w:tcPr>
            <w:tcW w:type="dxa" w:w="2057"/>
            <w:vAlign w:val="top"/>
          </w:tcPr>
          <w:p>
            <w:pPr>
              <w:spacing w:after="0"/>
              <w:jc w:val="left"/>
            </w:pPr>
            <w:r>
              <w:rPr>
                <w:rFonts w:ascii="Arial" w:hAnsi="Arial"/>
                <w:b w:val="0"/>
                <w:sz w:val="11"/>
              </w:rPr>
              <w:t>Verify citation details and framework naming</w:t>
            </w:r>
          </w:p>
        </w:tc>
      </w:tr>
      <w:tr>
        <w:trPr>
          <w:cantSplit/>
        </w:trPr>
        <w:tc>
          <w:tcPr>
            <w:tcW w:type="dxa" w:w="2057"/>
            <w:vAlign w:val="top"/>
          </w:tcPr>
          <w:p>
            <w:pPr>
              <w:spacing w:after="0"/>
              <w:jc w:val="left"/>
            </w:pPr>
            <w:r>
              <w:rPr>
                <w:rFonts w:ascii="Arial" w:hAnsi="Arial"/>
                <w:b w:val="0"/>
                <w:sz w:val="11"/>
              </w:rPr>
              <w:t>W3C-PROV</w:t>
            </w:r>
          </w:p>
        </w:tc>
        <w:tc>
          <w:tcPr>
            <w:tcW w:type="dxa" w:w="2057"/>
            <w:vAlign w:val="top"/>
          </w:tcPr>
          <w:p>
            <w:pPr>
              <w:spacing w:after="0"/>
              <w:jc w:val="left"/>
            </w:pPr>
            <w:r>
              <w:rPr>
                <w:rFonts w:ascii="Arial" w:hAnsi="Arial"/>
                <w:b w:val="0"/>
                <w:sz w:val="11"/>
              </w:rPr>
              <w:t>W3C PROV</w:t>
            </w:r>
          </w:p>
        </w:tc>
        <w:tc>
          <w:tcPr>
            <w:tcW w:type="dxa" w:w="2057"/>
            <w:vAlign w:val="top"/>
          </w:tcPr>
          <w:p>
            <w:pPr>
              <w:spacing w:after="0"/>
              <w:jc w:val="left"/>
            </w:pPr>
            <w:r>
              <w:rPr>
                <w:rFonts w:ascii="Arial" w:hAnsi="Arial"/>
                <w:b w:val="0"/>
                <w:sz w:val="11"/>
              </w:rPr>
              <w:t>Protocol / provenance standard</w:t>
            </w:r>
          </w:p>
        </w:tc>
        <w:tc>
          <w:tcPr>
            <w:tcW w:type="dxa" w:w="2057"/>
            <w:vAlign w:val="top"/>
          </w:tcPr>
          <w:p>
            <w:pPr>
              <w:spacing w:after="0"/>
              <w:jc w:val="left"/>
            </w:pPr>
            <w:r>
              <w:rPr>
                <w:rFonts w:ascii="Arial" w:hAnsi="Arial"/>
                <w:b w:val="0"/>
                <w:sz w:val="11"/>
              </w:rPr>
              <w:t>L1</w:t>
            </w:r>
          </w:p>
        </w:tc>
        <w:tc>
          <w:tcPr>
            <w:tcW w:type="dxa" w:w="2057"/>
            <w:vAlign w:val="top"/>
          </w:tcPr>
          <w:p>
            <w:pPr>
              <w:spacing w:after="0"/>
              <w:jc w:val="left"/>
            </w:pPr>
            <w:r>
              <w:rPr>
                <w:rFonts w:ascii="Arial" w:hAnsi="Arial"/>
                <w:b w:val="0"/>
                <w:sz w:val="11"/>
              </w:rPr>
              <w:t>Chapter 4, evidence/provenance framing</w:t>
            </w:r>
          </w:p>
        </w:tc>
        <w:tc>
          <w:tcPr>
            <w:tcW w:type="dxa" w:w="2057"/>
            <w:vAlign w:val="top"/>
          </w:tcPr>
          <w:p>
            <w:pPr>
              <w:spacing w:after="0"/>
              <w:jc w:val="left"/>
            </w:pPr>
            <w:r>
              <w:rPr>
                <w:rFonts w:ascii="Arial" w:hAnsi="Arial"/>
                <w:b w:val="0"/>
                <w:sz w:val="11"/>
              </w:rPr>
              <w:t>Referenced; final citation check pending</w:t>
            </w:r>
          </w:p>
        </w:tc>
        <w:tc>
          <w:tcPr>
            <w:tcW w:type="dxa" w:w="2057"/>
            <w:vAlign w:val="top"/>
          </w:tcPr>
          <w:p>
            <w:pPr>
              <w:spacing w:after="0"/>
              <w:jc w:val="left"/>
            </w:pPr>
            <w:r>
              <w:rPr>
                <w:rFonts w:ascii="Arial" w:hAnsi="Arial"/>
                <w:b w:val="0"/>
                <w:sz w:val="11"/>
              </w:rPr>
              <w:t>Verify citation details and relevance language</w:t>
            </w:r>
          </w:p>
        </w:tc>
      </w:tr>
      <w:tr>
        <w:trPr>
          <w:cantSplit/>
        </w:trPr>
        <w:tc>
          <w:tcPr>
            <w:tcW w:type="dxa" w:w="2057"/>
            <w:vAlign w:val="top"/>
          </w:tcPr>
          <w:p>
            <w:pPr>
              <w:spacing w:after="0"/>
              <w:jc w:val="left"/>
            </w:pPr>
            <w:r>
              <w:rPr>
                <w:rFonts w:ascii="Arial" w:hAnsi="Arial"/>
                <w:b w:val="0"/>
                <w:sz w:val="11"/>
              </w:rPr>
              <w:t>W3C-VC</w:t>
            </w:r>
          </w:p>
        </w:tc>
        <w:tc>
          <w:tcPr>
            <w:tcW w:type="dxa" w:w="2057"/>
            <w:vAlign w:val="top"/>
          </w:tcPr>
          <w:p>
            <w:pPr>
              <w:spacing w:after="0"/>
              <w:jc w:val="left"/>
            </w:pPr>
            <w:r>
              <w:rPr>
                <w:rFonts w:ascii="Arial" w:hAnsi="Arial"/>
                <w:b w:val="0"/>
                <w:sz w:val="11"/>
              </w:rPr>
              <w:t>W3C Verifiable Credentials</w:t>
            </w:r>
          </w:p>
        </w:tc>
        <w:tc>
          <w:tcPr>
            <w:tcW w:type="dxa" w:w="2057"/>
            <w:vAlign w:val="top"/>
          </w:tcPr>
          <w:p>
            <w:pPr>
              <w:spacing w:after="0"/>
              <w:jc w:val="left"/>
            </w:pPr>
            <w:r>
              <w:rPr>
                <w:rFonts w:ascii="Arial" w:hAnsi="Arial"/>
                <w:b w:val="0"/>
                <w:sz w:val="11"/>
              </w:rPr>
              <w:t>Protocol / evidence standard</w:t>
            </w:r>
          </w:p>
        </w:tc>
        <w:tc>
          <w:tcPr>
            <w:tcW w:type="dxa" w:w="2057"/>
            <w:vAlign w:val="top"/>
          </w:tcPr>
          <w:p>
            <w:pPr>
              <w:spacing w:after="0"/>
              <w:jc w:val="left"/>
            </w:pPr>
            <w:r>
              <w:rPr>
                <w:rFonts w:ascii="Arial" w:hAnsi="Arial"/>
                <w:b w:val="0"/>
                <w:sz w:val="11"/>
              </w:rPr>
              <w:t>L1</w:t>
            </w:r>
          </w:p>
        </w:tc>
        <w:tc>
          <w:tcPr>
            <w:tcW w:type="dxa" w:w="2057"/>
            <w:vAlign w:val="top"/>
          </w:tcPr>
          <w:p>
            <w:pPr>
              <w:spacing w:after="0"/>
              <w:jc w:val="left"/>
            </w:pPr>
            <w:r>
              <w:rPr>
                <w:rFonts w:ascii="Arial" w:hAnsi="Arial"/>
                <w:b w:val="0"/>
                <w:sz w:val="11"/>
              </w:rPr>
              <w:t>Chapter 4, evidence framing</w:t>
            </w:r>
          </w:p>
        </w:tc>
        <w:tc>
          <w:tcPr>
            <w:tcW w:type="dxa" w:w="2057"/>
            <w:vAlign w:val="top"/>
          </w:tcPr>
          <w:p>
            <w:pPr>
              <w:spacing w:after="0"/>
              <w:jc w:val="left"/>
            </w:pPr>
            <w:r>
              <w:rPr>
                <w:rFonts w:ascii="Arial" w:hAnsi="Arial"/>
                <w:b w:val="0"/>
                <w:sz w:val="11"/>
              </w:rPr>
              <w:t>Referenced; final citation check pending</w:t>
            </w:r>
          </w:p>
        </w:tc>
        <w:tc>
          <w:tcPr>
            <w:tcW w:type="dxa" w:w="2057"/>
            <w:vAlign w:val="top"/>
          </w:tcPr>
          <w:p>
            <w:pPr>
              <w:spacing w:after="0"/>
              <w:jc w:val="left"/>
            </w:pPr>
            <w:r>
              <w:rPr>
                <w:rFonts w:ascii="Arial" w:hAnsi="Arial"/>
                <w:b w:val="0"/>
                <w:sz w:val="11"/>
              </w:rPr>
              <w:t>Verify citation details and relevance language</w:t>
            </w:r>
          </w:p>
        </w:tc>
      </w:tr>
      <w:tr>
        <w:trPr>
          <w:cantSplit/>
        </w:trPr>
        <w:tc>
          <w:tcPr>
            <w:tcW w:type="dxa" w:w="2057"/>
            <w:vAlign w:val="top"/>
          </w:tcPr>
          <w:p>
            <w:pPr>
              <w:spacing w:after="0"/>
              <w:jc w:val="left"/>
            </w:pPr>
            <w:r>
              <w:rPr>
                <w:rFonts w:ascii="Arial" w:hAnsi="Arial"/>
                <w:b w:val="0"/>
                <w:sz w:val="11"/>
              </w:rPr>
              <w:t>MPLP-DOCS</w:t>
            </w:r>
          </w:p>
        </w:tc>
        <w:tc>
          <w:tcPr>
            <w:tcW w:type="dxa" w:w="2057"/>
            <w:vAlign w:val="top"/>
          </w:tcPr>
          <w:p>
            <w:pPr>
              <w:spacing w:after="0"/>
              <w:jc w:val="left"/>
            </w:pPr>
            <w:r>
              <w:rPr>
                <w:rFonts w:ascii="Arial" w:hAnsi="Arial"/>
                <w:b w:val="0"/>
                <w:sz w:val="11"/>
              </w:rPr>
              <w:t>MPLP documentation</w:t>
            </w:r>
          </w:p>
        </w:tc>
        <w:tc>
          <w:tcPr>
            <w:tcW w:type="dxa" w:w="2057"/>
            <w:vAlign w:val="top"/>
          </w:tcPr>
          <w:p>
            <w:pPr>
              <w:spacing w:after="0"/>
              <w:jc w:val="left"/>
            </w:pPr>
            <w:r>
              <w:rPr>
                <w:rFonts w:ascii="Arial" w:hAnsi="Arial"/>
                <w:b w:val="0"/>
                <w:sz w:val="11"/>
              </w:rPr>
              <w:t>Protocol documentation</w:t>
            </w:r>
          </w:p>
        </w:tc>
        <w:tc>
          <w:tcPr>
            <w:tcW w:type="dxa" w:w="2057"/>
            <w:vAlign w:val="top"/>
          </w:tcPr>
          <w:p>
            <w:pPr>
              <w:spacing w:after="0"/>
              <w:jc w:val="left"/>
            </w:pPr>
            <w:r>
              <w:rPr>
                <w:rFonts w:ascii="Arial" w:hAnsi="Arial"/>
                <w:b w:val="0"/>
                <w:sz w:val="11"/>
              </w:rPr>
              <w:t>L2/L5</w:t>
            </w:r>
          </w:p>
        </w:tc>
        <w:tc>
          <w:tcPr>
            <w:tcW w:type="dxa" w:w="2057"/>
            <w:vAlign w:val="top"/>
          </w:tcPr>
          <w:p>
            <w:pPr>
              <w:spacing w:after="0"/>
              <w:jc w:val="left"/>
            </w:pPr>
            <w:r>
              <w:rPr>
                <w:rFonts w:ascii="Arial" w:hAnsi="Arial"/>
                <w:b w:val="0"/>
                <w:sz w:val="11"/>
              </w:rPr>
              <w:t>Chapters 12, 13, Appendix G, claim register</w:t>
            </w:r>
          </w:p>
        </w:tc>
        <w:tc>
          <w:tcPr>
            <w:tcW w:type="dxa" w:w="2057"/>
            <w:vAlign w:val="top"/>
          </w:tcPr>
          <w:p>
            <w:pPr>
              <w:spacing w:after="0"/>
              <w:jc w:val="left"/>
            </w:pPr>
            <w:r>
              <w:rPr>
                <w:rFonts w:ascii="Arial" w:hAnsi="Arial"/>
                <w:b w:val="0"/>
                <w:sz w:val="11"/>
              </w:rPr>
              <w:t>Official docs entry point located; mapping remains analytical</w:t>
            </w:r>
          </w:p>
        </w:tc>
        <w:tc>
          <w:tcPr>
            <w:tcW w:type="dxa" w:w="2057"/>
            <w:vAlign w:val="top"/>
          </w:tcPr>
          <w:p>
            <w:pPr>
              <w:spacing w:after="0"/>
              <w:jc w:val="left"/>
            </w:pPr>
            <w:r>
              <w:rPr>
                <w:rFonts w:ascii="Arial" w:hAnsi="Arial"/>
                <w:b w:val="0"/>
                <w:sz w:val="11"/>
              </w:rPr>
              <w:t>Keep exact URL pinned; do not treat mapping as implementation proof</w:t>
            </w:r>
          </w:p>
        </w:tc>
      </w:tr>
      <w:tr>
        <w:trPr>
          <w:cantSplit/>
        </w:trPr>
        <w:tc>
          <w:tcPr>
            <w:tcW w:type="dxa" w:w="2057"/>
            <w:vAlign w:val="top"/>
          </w:tcPr>
          <w:p>
            <w:pPr>
              <w:spacing w:after="0"/>
              <w:jc w:val="left"/>
            </w:pPr>
            <w:r>
              <w:rPr>
                <w:rFonts w:ascii="Arial" w:hAnsi="Arial"/>
                <w:b w:val="0"/>
                <w:sz w:val="11"/>
              </w:rPr>
              <w:t>MPLP-SPEC</w:t>
            </w:r>
          </w:p>
        </w:tc>
        <w:tc>
          <w:tcPr>
            <w:tcW w:type="dxa" w:w="2057"/>
            <w:vAlign w:val="top"/>
          </w:tcPr>
          <w:p>
            <w:pPr>
              <w:spacing w:after="0"/>
              <w:jc w:val="left"/>
            </w:pPr>
            <w:r>
              <w:rPr>
                <w:rFonts w:ascii="Arial" w:hAnsi="Arial"/>
                <w:b w:val="0"/>
                <w:sz w:val="11"/>
              </w:rPr>
              <w:t>MPLP protocol specification</w:t>
            </w:r>
          </w:p>
        </w:tc>
        <w:tc>
          <w:tcPr>
            <w:tcW w:type="dxa" w:w="2057"/>
            <w:vAlign w:val="top"/>
          </w:tcPr>
          <w:p>
            <w:pPr>
              <w:spacing w:after="0"/>
              <w:jc w:val="left"/>
            </w:pPr>
            <w:r>
              <w:rPr>
                <w:rFonts w:ascii="Arial" w:hAnsi="Arial"/>
                <w:b w:val="0"/>
                <w:sz w:val="11"/>
              </w:rPr>
              <w:t>Protocol documentation</w:t>
            </w:r>
          </w:p>
        </w:tc>
        <w:tc>
          <w:tcPr>
            <w:tcW w:type="dxa" w:w="2057"/>
            <w:vAlign w:val="top"/>
          </w:tcPr>
          <w:p>
            <w:pPr>
              <w:spacing w:after="0"/>
              <w:jc w:val="left"/>
            </w:pPr>
            <w:r>
              <w:rPr>
                <w:rFonts w:ascii="Arial" w:hAnsi="Arial"/>
                <w:b w:val="0"/>
                <w:sz w:val="11"/>
              </w:rPr>
              <w:t>L2/L5</w:t>
            </w:r>
          </w:p>
        </w:tc>
        <w:tc>
          <w:tcPr>
            <w:tcW w:type="dxa" w:w="2057"/>
            <w:vAlign w:val="top"/>
          </w:tcPr>
          <w:p>
            <w:pPr>
              <w:spacing w:after="0"/>
              <w:jc w:val="left"/>
            </w:pPr>
            <w:r>
              <w:rPr>
                <w:rFonts w:ascii="Arial" w:hAnsi="Arial"/>
                <w:b w:val="0"/>
                <w:sz w:val="11"/>
              </w:rPr>
              <w:t>Chapters 12, 13, Appendix G, claim register</w:t>
            </w:r>
          </w:p>
        </w:tc>
        <w:tc>
          <w:tcPr>
            <w:tcW w:type="dxa" w:w="2057"/>
            <w:vAlign w:val="top"/>
          </w:tcPr>
          <w:p>
            <w:pPr>
              <w:spacing w:after="0"/>
              <w:jc w:val="left"/>
            </w:pPr>
            <w:r>
              <w:rPr>
                <w:rFonts w:ascii="Arial" w:hAnsi="Arial"/>
                <w:b w:val="0"/>
                <w:sz w:val="11"/>
              </w:rPr>
              <w:t>Source-bound through MPLP docs entry point</w:t>
            </w:r>
          </w:p>
        </w:tc>
        <w:tc>
          <w:tcPr>
            <w:tcW w:type="dxa" w:w="2057"/>
            <w:vAlign w:val="top"/>
          </w:tcPr>
          <w:p>
            <w:pPr>
              <w:spacing w:after="0"/>
              <w:jc w:val="left"/>
            </w:pPr>
            <w:r>
              <w:rPr>
                <w:rFonts w:ascii="Arial" w:hAnsi="Arial"/>
                <w:b w:val="0"/>
                <w:sz w:val="11"/>
              </w:rPr>
              <w:t>Validate version/citation rendering before publication</w:t>
            </w:r>
          </w:p>
        </w:tc>
      </w:tr>
      <w:tr>
        <w:trPr>
          <w:cantSplit/>
        </w:trPr>
        <w:tc>
          <w:tcPr>
            <w:tcW w:type="dxa" w:w="2057"/>
            <w:vAlign w:val="top"/>
          </w:tcPr>
          <w:p>
            <w:pPr>
              <w:spacing w:after="0"/>
              <w:jc w:val="left"/>
            </w:pPr>
            <w:r>
              <w:rPr>
                <w:rFonts w:ascii="Arial" w:hAnsi="Arial"/>
                <w:b w:val="0"/>
                <w:sz w:val="11"/>
              </w:rPr>
              <w:t>VALIDATION-LAB</w:t>
            </w:r>
          </w:p>
        </w:tc>
        <w:tc>
          <w:tcPr>
            <w:tcW w:type="dxa" w:w="2057"/>
            <w:vAlign w:val="top"/>
          </w:tcPr>
          <w:p>
            <w:pPr>
              <w:spacing w:after="0"/>
              <w:jc w:val="left"/>
            </w:pPr>
            <w:r>
              <w:rPr>
                <w:rFonts w:ascii="Arial" w:hAnsi="Arial"/>
                <w:b w:val="0"/>
                <w:sz w:val="11"/>
              </w:rPr>
              <w:t>Validation Lab methodology / public surface</w:t>
            </w:r>
          </w:p>
        </w:tc>
        <w:tc>
          <w:tcPr>
            <w:tcW w:type="dxa" w:w="2057"/>
            <w:vAlign w:val="top"/>
          </w:tcPr>
          <w:p>
            <w:pPr>
              <w:spacing w:after="0"/>
              <w:jc w:val="left"/>
            </w:pPr>
            <w:r>
              <w:rPr>
                <w:rFonts w:ascii="Arial" w:hAnsi="Arial"/>
                <w:b w:val="0"/>
                <w:sz w:val="11"/>
              </w:rPr>
              <w:t>Validation methodology source</w:t>
            </w:r>
          </w:p>
        </w:tc>
        <w:tc>
          <w:tcPr>
            <w:tcW w:type="dxa" w:w="2057"/>
            <w:vAlign w:val="top"/>
          </w:tcPr>
          <w:p>
            <w:pPr>
              <w:spacing w:after="0"/>
              <w:jc w:val="left"/>
            </w:pPr>
            <w:r>
              <w:rPr>
                <w:rFonts w:ascii="Arial" w:hAnsi="Arial"/>
                <w:b w:val="0"/>
                <w:sz w:val="11"/>
              </w:rPr>
              <w:t>L2/L5</w:t>
            </w:r>
          </w:p>
        </w:tc>
        <w:tc>
          <w:tcPr>
            <w:tcW w:type="dxa" w:w="2057"/>
            <w:vAlign w:val="top"/>
          </w:tcPr>
          <w:p>
            <w:pPr>
              <w:spacing w:after="0"/>
              <w:jc w:val="left"/>
            </w:pPr>
            <w:r>
              <w:rPr>
                <w:rFonts w:ascii="Arial" w:hAnsi="Arial"/>
                <w:b w:val="0"/>
                <w:sz w:val="11"/>
              </w:rPr>
              <w:t>Chapter 14, Appendix K, claim register</w:t>
            </w:r>
          </w:p>
        </w:tc>
        <w:tc>
          <w:tcPr>
            <w:tcW w:type="dxa" w:w="2057"/>
            <w:vAlign w:val="top"/>
          </w:tcPr>
          <w:p>
            <w:pPr>
              <w:spacing w:after="0"/>
              <w:jc w:val="left"/>
            </w:pPr>
            <w:r>
              <w:rPr>
                <w:rFonts w:ascii="Arial" w:hAnsi="Arial"/>
                <w:b w:val="0"/>
                <w:sz w:val="11"/>
              </w:rPr>
              <w:t>Public entry point located; methodology-specific support remains limited</w:t>
            </w:r>
          </w:p>
        </w:tc>
        <w:tc>
          <w:tcPr>
            <w:tcW w:type="dxa" w:w="2057"/>
            <w:vAlign w:val="top"/>
          </w:tcPr>
          <w:p>
            <w:pPr>
              <w:spacing w:after="0"/>
              <w:jc w:val="left"/>
            </w:pPr>
            <w:r>
              <w:rPr>
                <w:rFonts w:ascii="Arial" w:hAnsi="Arial"/>
                <w:b w:val="0"/>
                <w:sz w:val="11"/>
              </w:rPr>
              <w:t>Keep non-certifying boundary; add methodology-specific citation if available</w:t>
            </w:r>
          </w:p>
        </w:tc>
      </w:tr>
      <w:tr>
        <w:trPr>
          <w:cantSplit/>
        </w:trPr>
        <w:tc>
          <w:tcPr>
            <w:tcW w:type="dxa" w:w="2057"/>
            <w:vAlign w:val="top"/>
          </w:tcPr>
          <w:p>
            <w:pPr>
              <w:spacing w:after="0"/>
              <w:jc w:val="left"/>
            </w:pPr>
            <w:r>
              <w:rPr>
                <w:rFonts w:ascii="Arial" w:hAnsi="Arial"/>
                <w:b w:val="0"/>
                <w:sz w:val="11"/>
              </w:rPr>
              <w:t>IBM-WATSONX-GOV</w:t>
            </w:r>
          </w:p>
        </w:tc>
        <w:tc>
          <w:tcPr>
            <w:tcW w:type="dxa" w:w="2057"/>
            <w:vAlign w:val="top"/>
          </w:tcPr>
          <w:p>
            <w:pPr>
              <w:spacing w:after="0"/>
              <w:jc w:val="left"/>
            </w:pPr>
            <w:r>
              <w:rPr>
                <w:rFonts w:ascii="Arial" w:hAnsi="Arial"/>
                <w:b w:val="0"/>
                <w:sz w:val="11"/>
              </w:rPr>
              <w:t>IBM watsonx.governance documentation</w:t>
            </w:r>
          </w:p>
        </w:tc>
        <w:tc>
          <w:tcPr>
            <w:tcW w:type="dxa" w:w="2057"/>
            <w:vAlign w:val="top"/>
          </w:tcPr>
          <w:p>
            <w:pPr>
              <w:spacing w:after="0"/>
              <w:jc w:val="left"/>
            </w:pPr>
            <w:r>
              <w:rPr>
                <w:rFonts w:ascii="Arial" w:hAnsi="Arial"/>
                <w:b w:val="0"/>
                <w:sz w:val="11"/>
              </w:rPr>
              <w:t>Product documentation</w:t>
            </w:r>
          </w:p>
        </w:tc>
        <w:tc>
          <w:tcPr>
            <w:tcW w:type="dxa" w:w="2057"/>
            <w:vAlign w:val="top"/>
          </w:tcPr>
          <w:p>
            <w:pPr>
              <w:spacing w:after="0"/>
              <w:jc w:val="left"/>
            </w:pPr>
            <w:r>
              <w:rPr>
                <w:rFonts w:ascii="Arial" w:hAnsi="Arial"/>
                <w:b w:val="0"/>
                <w:sz w:val="11"/>
              </w:rPr>
              <w:t>L2/L5</w:t>
            </w:r>
          </w:p>
        </w:tc>
        <w:tc>
          <w:tcPr>
            <w:tcW w:type="dxa" w:w="2057"/>
            <w:vAlign w:val="top"/>
          </w:tcPr>
          <w:p>
            <w:pPr>
              <w:spacing w:after="0"/>
              <w:jc w:val="left"/>
            </w:pPr>
            <w:r>
              <w:rPr>
                <w:rFonts w:ascii="Arial" w:hAnsi="Arial"/>
                <w:b w:val="0"/>
                <w:sz w:val="11"/>
              </w:rPr>
              <w:t>Chapters 11, 12, Appendix G, claim register</w:t>
            </w:r>
          </w:p>
        </w:tc>
        <w:tc>
          <w:tcPr>
            <w:tcW w:type="dxa" w:w="2057"/>
            <w:vAlign w:val="top"/>
          </w:tcPr>
          <w:p>
            <w:pPr>
              <w:spacing w:after="0"/>
              <w:jc w:val="left"/>
            </w:pPr>
            <w:r>
              <w:rPr>
                <w:rFonts w:ascii="Arial" w:hAnsi="Arial"/>
                <w:b w:val="0"/>
                <w:sz w:val="11"/>
              </w:rPr>
              <w:t>Official entry points located; ALCS mappings remain L5 where not directly documented</w:t>
            </w:r>
          </w:p>
        </w:tc>
        <w:tc>
          <w:tcPr>
            <w:tcW w:type="dxa" w:w="2057"/>
            <w:vAlign w:val="top"/>
          </w:tcPr>
          <w:p>
            <w:pPr>
              <w:spacing w:after="0"/>
              <w:jc w:val="left"/>
            </w:pPr>
            <w:r>
              <w:rPr>
                <w:rFonts w:ascii="Arial" w:hAnsi="Arial"/>
                <w:b w:val="0"/>
                <w:sz w:val="11"/>
              </w:rPr>
              <w:t>Pin exact docs pages for final citation</w:t>
            </w:r>
          </w:p>
        </w:tc>
      </w:tr>
      <w:tr>
        <w:trPr>
          <w:cantSplit/>
        </w:trPr>
        <w:tc>
          <w:tcPr>
            <w:tcW w:type="dxa" w:w="2057"/>
            <w:vAlign w:val="top"/>
          </w:tcPr>
          <w:p>
            <w:pPr>
              <w:spacing w:after="0"/>
              <w:jc w:val="left"/>
            </w:pPr>
            <w:r>
              <w:rPr>
                <w:rFonts w:ascii="Arial" w:hAnsi="Arial"/>
                <w:b w:val="0"/>
                <w:sz w:val="11"/>
              </w:rPr>
              <w:t>MS-AZURE-FOUNDRY</w:t>
            </w:r>
          </w:p>
        </w:tc>
        <w:tc>
          <w:tcPr>
            <w:tcW w:type="dxa" w:w="2057"/>
            <w:vAlign w:val="top"/>
          </w:tcPr>
          <w:p>
            <w:pPr>
              <w:spacing w:after="0"/>
              <w:jc w:val="left"/>
            </w:pPr>
            <w:r>
              <w:rPr>
                <w:rFonts w:ascii="Arial" w:hAnsi="Arial"/>
                <w:b w:val="0"/>
                <w:sz w:val="11"/>
              </w:rPr>
              <w:t>Microsoft Azure AI Foundry documentation</w:t>
            </w:r>
          </w:p>
        </w:tc>
        <w:tc>
          <w:tcPr>
            <w:tcW w:type="dxa" w:w="2057"/>
            <w:vAlign w:val="top"/>
          </w:tcPr>
          <w:p>
            <w:pPr>
              <w:spacing w:after="0"/>
              <w:jc w:val="left"/>
            </w:pPr>
            <w:r>
              <w:rPr>
                <w:rFonts w:ascii="Arial" w:hAnsi="Arial"/>
                <w:b w:val="0"/>
                <w:sz w:val="11"/>
              </w:rPr>
              <w:t>Product documentation</w:t>
            </w:r>
          </w:p>
        </w:tc>
        <w:tc>
          <w:tcPr>
            <w:tcW w:type="dxa" w:w="2057"/>
            <w:vAlign w:val="top"/>
          </w:tcPr>
          <w:p>
            <w:pPr>
              <w:spacing w:after="0"/>
              <w:jc w:val="left"/>
            </w:pPr>
            <w:r>
              <w:rPr>
                <w:rFonts w:ascii="Arial" w:hAnsi="Arial"/>
                <w:b w:val="0"/>
                <w:sz w:val="11"/>
              </w:rPr>
              <w:t>L2/L5</w:t>
            </w:r>
          </w:p>
        </w:tc>
        <w:tc>
          <w:tcPr>
            <w:tcW w:type="dxa" w:w="2057"/>
            <w:vAlign w:val="top"/>
          </w:tcPr>
          <w:p>
            <w:pPr>
              <w:spacing w:after="0"/>
              <w:jc w:val="left"/>
            </w:pPr>
            <w:r>
              <w:rPr>
                <w:rFonts w:ascii="Arial" w:hAnsi="Arial"/>
                <w:b w:val="0"/>
                <w:sz w:val="11"/>
              </w:rPr>
              <w:t>Chapters 11, 12, Appendix G, claim register</w:t>
            </w:r>
          </w:p>
        </w:tc>
        <w:tc>
          <w:tcPr>
            <w:tcW w:type="dxa" w:w="2057"/>
            <w:vAlign w:val="top"/>
          </w:tcPr>
          <w:p>
            <w:pPr>
              <w:spacing w:after="0"/>
              <w:jc w:val="left"/>
            </w:pPr>
            <w:r>
              <w:rPr>
                <w:rFonts w:ascii="Arial" w:hAnsi="Arial"/>
                <w:b w:val="0"/>
                <w:sz w:val="11"/>
              </w:rPr>
              <w:t>Official entry point located; ALCS mappings remain L5 where not directly documented</w:t>
            </w:r>
          </w:p>
        </w:tc>
        <w:tc>
          <w:tcPr>
            <w:tcW w:type="dxa" w:w="2057"/>
            <w:vAlign w:val="top"/>
          </w:tcPr>
          <w:p>
            <w:pPr>
              <w:spacing w:after="0"/>
              <w:jc w:val="left"/>
            </w:pPr>
            <w:r>
              <w:rPr>
                <w:rFonts w:ascii="Arial" w:hAnsi="Arial"/>
                <w:b w:val="0"/>
                <w:sz w:val="11"/>
              </w:rPr>
              <w:t>Pin exact Microsoft Learn pages for final citation</w:t>
            </w:r>
          </w:p>
        </w:tc>
      </w:tr>
      <w:tr>
        <w:trPr>
          <w:cantSplit/>
        </w:trPr>
        <w:tc>
          <w:tcPr>
            <w:tcW w:type="dxa" w:w="2057"/>
            <w:vAlign w:val="top"/>
          </w:tcPr>
          <w:p>
            <w:pPr>
              <w:spacing w:after="0"/>
              <w:jc w:val="left"/>
            </w:pPr>
            <w:r>
              <w:rPr>
                <w:rFonts w:ascii="Arial" w:hAnsi="Arial"/>
                <w:b w:val="0"/>
                <w:sz w:val="11"/>
              </w:rPr>
              <w:t>AWS-BEDROCK-STACK</w:t>
            </w:r>
          </w:p>
        </w:tc>
        <w:tc>
          <w:tcPr>
            <w:tcW w:type="dxa" w:w="2057"/>
            <w:vAlign w:val="top"/>
          </w:tcPr>
          <w:p>
            <w:pPr>
              <w:spacing w:after="0"/>
              <w:jc w:val="left"/>
            </w:pPr>
            <w:r>
              <w:rPr>
                <w:rFonts w:ascii="Arial" w:hAnsi="Arial"/>
                <w:b w:val="0"/>
                <w:sz w:val="11"/>
              </w:rPr>
              <w:t>AWS Bedrock / Guardrails / AgentCore documentation</w:t>
            </w:r>
          </w:p>
        </w:tc>
        <w:tc>
          <w:tcPr>
            <w:tcW w:type="dxa" w:w="2057"/>
            <w:vAlign w:val="top"/>
          </w:tcPr>
          <w:p>
            <w:pPr>
              <w:spacing w:after="0"/>
              <w:jc w:val="left"/>
            </w:pPr>
            <w:r>
              <w:rPr>
                <w:rFonts w:ascii="Arial" w:hAnsi="Arial"/>
                <w:b w:val="0"/>
                <w:sz w:val="11"/>
              </w:rPr>
              <w:t>Product documentation</w:t>
            </w:r>
          </w:p>
        </w:tc>
        <w:tc>
          <w:tcPr>
            <w:tcW w:type="dxa" w:w="2057"/>
            <w:vAlign w:val="top"/>
          </w:tcPr>
          <w:p>
            <w:pPr>
              <w:spacing w:after="0"/>
              <w:jc w:val="left"/>
            </w:pPr>
            <w:r>
              <w:rPr>
                <w:rFonts w:ascii="Arial" w:hAnsi="Arial"/>
                <w:b w:val="0"/>
                <w:sz w:val="11"/>
              </w:rPr>
              <w:t>L2/L5</w:t>
            </w:r>
          </w:p>
        </w:tc>
        <w:tc>
          <w:tcPr>
            <w:tcW w:type="dxa" w:w="2057"/>
            <w:vAlign w:val="top"/>
          </w:tcPr>
          <w:p>
            <w:pPr>
              <w:spacing w:after="0"/>
              <w:jc w:val="left"/>
            </w:pPr>
            <w:r>
              <w:rPr>
                <w:rFonts w:ascii="Arial" w:hAnsi="Arial"/>
                <w:b w:val="0"/>
                <w:sz w:val="11"/>
              </w:rPr>
              <w:t>Chapters 11, 12, Appendix G, claim register</w:t>
            </w:r>
          </w:p>
        </w:tc>
        <w:tc>
          <w:tcPr>
            <w:tcW w:type="dxa" w:w="2057"/>
            <w:vAlign w:val="top"/>
          </w:tcPr>
          <w:p>
            <w:pPr>
              <w:spacing w:after="0"/>
              <w:jc w:val="left"/>
            </w:pPr>
            <w:r>
              <w:rPr>
                <w:rFonts w:ascii="Arial" w:hAnsi="Arial"/>
                <w:b w:val="0"/>
                <w:sz w:val="11"/>
              </w:rPr>
              <w:t>Official entry points located; ALCS mappings remain L5 where not directly documented</w:t>
            </w:r>
          </w:p>
        </w:tc>
        <w:tc>
          <w:tcPr>
            <w:tcW w:type="dxa" w:w="2057"/>
            <w:vAlign w:val="top"/>
          </w:tcPr>
          <w:p>
            <w:pPr>
              <w:spacing w:after="0"/>
              <w:jc w:val="left"/>
            </w:pPr>
            <w:r>
              <w:rPr>
                <w:rFonts w:ascii="Arial" w:hAnsi="Arial"/>
                <w:b w:val="0"/>
                <w:sz w:val="11"/>
              </w:rPr>
              <w:t>Pin exact AWS pages for final citation</w:t>
            </w:r>
          </w:p>
        </w:tc>
      </w:tr>
      <w:tr>
        <w:trPr>
          <w:cantSplit/>
        </w:trPr>
        <w:tc>
          <w:tcPr>
            <w:tcW w:type="dxa" w:w="2057"/>
            <w:vAlign w:val="top"/>
          </w:tcPr>
          <w:p>
            <w:pPr>
              <w:spacing w:after="0"/>
              <w:jc w:val="left"/>
            </w:pPr>
            <w:r>
              <w:rPr>
                <w:rFonts w:ascii="Arial" w:hAnsi="Arial"/>
                <w:b w:val="0"/>
                <w:sz w:val="11"/>
              </w:rPr>
              <w:t>GOOGLE-VERTEX-STACK</w:t>
            </w:r>
          </w:p>
        </w:tc>
        <w:tc>
          <w:tcPr>
            <w:tcW w:type="dxa" w:w="2057"/>
            <w:vAlign w:val="top"/>
          </w:tcPr>
          <w:p>
            <w:pPr>
              <w:spacing w:after="0"/>
              <w:jc w:val="left"/>
            </w:pPr>
            <w:r>
              <w:rPr>
                <w:rFonts w:ascii="Arial" w:hAnsi="Arial"/>
                <w:b w:val="0"/>
                <w:sz w:val="11"/>
              </w:rPr>
              <w:t>Google Vertex AI / ADK / Model Armor documentation</w:t>
            </w:r>
          </w:p>
        </w:tc>
        <w:tc>
          <w:tcPr>
            <w:tcW w:type="dxa" w:w="2057"/>
            <w:vAlign w:val="top"/>
          </w:tcPr>
          <w:p>
            <w:pPr>
              <w:spacing w:after="0"/>
              <w:jc w:val="left"/>
            </w:pPr>
            <w:r>
              <w:rPr>
                <w:rFonts w:ascii="Arial" w:hAnsi="Arial"/>
                <w:b w:val="0"/>
                <w:sz w:val="11"/>
              </w:rPr>
              <w:t>Product documentation</w:t>
            </w:r>
          </w:p>
        </w:tc>
        <w:tc>
          <w:tcPr>
            <w:tcW w:type="dxa" w:w="2057"/>
            <w:vAlign w:val="top"/>
          </w:tcPr>
          <w:p>
            <w:pPr>
              <w:spacing w:after="0"/>
              <w:jc w:val="left"/>
            </w:pPr>
            <w:r>
              <w:rPr>
                <w:rFonts w:ascii="Arial" w:hAnsi="Arial"/>
                <w:b w:val="0"/>
                <w:sz w:val="11"/>
              </w:rPr>
              <w:t>L2/L5</w:t>
            </w:r>
          </w:p>
        </w:tc>
        <w:tc>
          <w:tcPr>
            <w:tcW w:type="dxa" w:w="2057"/>
            <w:vAlign w:val="top"/>
          </w:tcPr>
          <w:p>
            <w:pPr>
              <w:spacing w:after="0"/>
              <w:jc w:val="left"/>
            </w:pPr>
            <w:r>
              <w:rPr>
                <w:rFonts w:ascii="Arial" w:hAnsi="Arial"/>
                <w:b w:val="0"/>
                <w:sz w:val="11"/>
              </w:rPr>
              <w:t>Chapters 11, 12, Appendix G, claim register</w:t>
            </w:r>
          </w:p>
        </w:tc>
        <w:tc>
          <w:tcPr>
            <w:tcW w:type="dxa" w:w="2057"/>
            <w:vAlign w:val="top"/>
          </w:tcPr>
          <w:p>
            <w:pPr>
              <w:spacing w:after="0"/>
              <w:jc w:val="left"/>
            </w:pPr>
            <w:r>
              <w:rPr>
                <w:rFonts w:ascii="Arial" w:hAnsi="Arial"/>
                <w:b w:val="0"/>
                <w:sz w:val="11"/>
              </w:rPr>
              <w:t>Official entry points located; ALCS mappings remain L5 where not directly documented</w:t>
            </w:r>
          </w:p>
        </w:tc>
        <w:tc>
          <w:tcPr>
            <w:tcW w:type="dxa" w:w="2057"/>
            <w:vAlign w:val="top"/>
          </w:tcPr>
          <w:p>
            <w:pPr>
              <w:spacing w:after="0"/>
              <w:jc w:val="left"/>
            </w:pPr>
            <w:r>
              <w:rPr>
                <w:rFonts w:ascii="Arial" w:hAnsi="Arial"/>
                <w:b w:val="0"/>
                <w:sz w:val="11"/>
              </w:rPr>
              <w:t>Pin exact Google pages for final citation</w:t>
            </w:r>
          </w:p>
        </w:tc>
      </w:tr>
      <w:tr>
        <w:trPr>
          <w:cantSplit/>
        </w:trPr>
        <w:tc>
          <w:tcPr>
            <w:tcW w:type="dxa" w:w="2057"/>
            <w:vAlign w:val="top"/>
          </w:tcPr>
          <w:p>
            <w:pPr>
              <w:spacing w:after="0"/>
              <w:jc w:val="left"/>
            </w:pPr>
            <w:r>
              <w:rPr>
                <w:rFonts w:ascii="Arial" w:hAnsi="Arial"/>
                <w:b w:val="0"/>
                <w:sz w:val="11"/>
              </w:rPr>
              <w:t>LANGGRAPH-LANGSMITH</w:t>
            </w:r>
          </w:p>
        </w:tc>
        <w:tc>
          <w:tcPr>
            <w:tcW w:type="dxa" w:w="2057"/>
            <w:vAlign w:val="top"/>
          </w:tcPr>
          <w:p>
            <w:pPr>
              <w:spacing w:after="0"/>
              <w:jc w:val="left"/>
            </w:pPr>
            <w:r>
              <w:rPr>
                <w:rFonts w:ascii="Arial" w:hAnsi="Arial"/>
                <w:b w:val="0"/>
                <w:sz w:val="11"/>
              </w:rPr>
              <w:t>LangGraph / LangSmith documentation</w:t>
            </w:r>
          </w:p>
        </w:tc>
        <w:tc>
          <w:tcPr>
            <w:tcW w:type="dxa" w:w="2057"/>
            <w:vAlign w:val="top"/>
          </w:tcPr>
          <w:p>
            <w:pPr>
              <w:spacing w:after="0"/>
              <w:jc w:val="left"/>
            </w:pPr>
            <w:r>
              <w:rPr>
                <w:rFonts w:ascii="Arial" w:hAnsi="Arial"/>
                <w:b w:val="0"/>
                <w:sz w:val="11"/>
              </w:rPr>
              <w:t>Product documentation / repository documentation</w:t>
            </w:r>
          </w:p>
        </w:tc>
        <w:tc>
          <w:tcPr>
            <w:tcW w:type="dxa" w:w="2057"/>
            <w:vAlign w:val="top"/>
          </w:tcPr>
          <w:p>
            <w:pPr>
              <w:spacing w:after="0"/>
              <w:jc w:val="left"/>
            </w:pPr>
            <w:r>
              <w:rPr>
                <w:rFonts w:ascii="Arial" w:hAnsi="Arial"/>
                <w:b w:val="0"/>
                <w:sz w:val="11"/>
              </w:rPr>
              <w:t>L2/L5</w:t>
            </w:r>
          </w:p>
        </w:tc>
        <w:tc>
          <w:tcPr>
            <w:tcW w:type="dxa" w:w="2057"/>
            <w:vAlign w:val="top"/>
          </w:tcPr>
          <w:p>
            <w:pPr>
              <w:spacing w:after="0"/>
              <w:jc w:val="left"/>
            </w:pPr>
            <w:r>
              <w:rPr>
                <w:rFonts w:ascii="Arial" w:hAnsi="Arial"/>
                <w:b w:val="0"/>
                <w:sz w:val="11"/>
              </w:rPr>
              <w:t>Chapters 11, 12, Appendix G, claim register</w:t>
            </w:r>
          </w:p>
        </w:tc>
        <w:tc>
          <w:tcPr>
            <w:tcW w:type="dxa" w:w="2057"/>
            <w:vAlign w:val="top"/>
          </w:tcPr>
          <w:p>
            <w:pPr>
              <w:spacing w:after="0"/>
              <w:jc w:val="left"/>
            </w:pPr>
            <w:r>
              <w:rPr>
                <w:rFonts w:ascii="Arial" w:hAnsi="Arial"/>
                <w:b w:val="0"/>
                <w:sz w:val="11"/>
              </w:rPr>
              <w:t>Official entry points located; ALCS mappings remain L5 where not directly documented</w:t>
            </w:r>
          </w:p>
        </w:tc>
        <w:tc>
          <w:tcPr>
            <w:tcW w:type="dxa" w:w="2057"/>
            <w:vAlign w:val="top"/>
          </w:tcPr>
          <w:p>
            <w:pPr>
              <w:spacing w:after="0"/>
              <w:jc w:val="left"/>
            </w:pPr>
            <w:r>
              <w:rPr>
                <w:rFonts w:ascii="Arial" w:hAnsi="Arial"/>
                <w:b w:val="0"/>
                <w:sz w:val="11"/>
              </w:rPr>
              <w:t>Pin exact LangChain docs pages for final citation</w:t>
            </w:r>
          </w:p>
        </w:tc>
      </w:tr>
      <w:tr>
        <w:trPr>
          <w:cantSplit/>
        </w:trPr>
        <w:tc>
          <w:tcPr>
            <w:tcW w:type="dxa" w:w="2057"/>
            <w:vAlign w:val="top"/>
          </w:tcPr>
          <w:p>
            <w:pPr>
              <w:spacing w:after="0"/>
              <w:jc w:val="left"/>
            </w:pPr>
            <w:r>
              <w:rPr>
                <w:rFonts w:ascii="Arial" w:hAnsi="Arial"/>
                <w:b w:val="0"/>
                <w:sz w:val="11"/>
              </w:rPr>
              <w:t>OPENAI-AGENTS-SDK</w:t>
            </w:r>
          </w:p>
        </w:tc>
        <w:tc>
          <w:tcPr>
            <w:tcW w:type="dxa" w:w="2057"/>
            <w:vAlign w:val="top"/>
          </w:tcPr>
          <w:p>
            <w:pPr>
              <w:spacing w:after="0"/>
              <w:jc w:val="left"/>
            </w:pPr>
            <w:r>
              <w:rPr>
                <w:rFonts w:ascii="Arial" w:hAnsi="Arial"/>
                <w:b w:val="0"/>
                <w:sz w:val="11"/>
              </w:rPr>
              <w:t>OpenAI Agents SDK documentation</w:t>
            </w:r>
          </w:p>
        </w:tc>
        <w:tc>
          <w:tcPr>
            <w:tcW w:type="dxa" w:w="2057"/>
            <w:vAlign w:val="top"/>
          </w:tcPr>
          <w:p>
            <w:pPr>
              <w:spacing w:after="0"/>
              <w:jc w:val="left"/>
            </w:pPr>
            <w:r>
              <w:rPr>
                <w:rFonts w:ascii="Arial" w:hAnsi="Arial"/>
                <w:b w:val="0"/>
                <w:sz w:val="11"/>
              </w:rPr>
              <w:t>Product documentation</w:t>
            </w:r>
          </w:p>
        </w:tc>
        <w:tc>
          <w:tcPr>
            <w:tcW w:type="dxa" w:w="2057"/>
            <w:vAlign w:val="top"/>
          </w:tcPr>
          <w:p>
            <w:pPr>
              <w:spacing w:after="0"/>
              <w:jc w:val="left"/>
            </w:pPr>
            <w:r>
              <w:rPr>
                <w:rFonts w:ascii="Arial" w:hAnsi="Arial"/>
                <w:b w:val="0"/>
                <w:sz w:val="11"/>
              </w:rPr>
              <w:t>L2/L5</w:t>
            </w:r>
          </w:p>
        </w:tc>
        <w:tc>
          <w:tcPr>
            <w:tcW w:type="dxa" w:w="2057"/>
            <w:vAlign w:val="top"/>
          </w:tcPr>
          <w:p>
            <w:pPr>
              <w:spacing w:after="0"/>
              <w:jc w:val="left"/>
            </w:pPr>
            <w:r>
              <w:rPr>
                <w:rFonts w:ascii="Arial" w:hAnsi="Arial"/>
                <w:b w:val="0"/>
                <w:sz w:val="11"/>
              </w:rPr>
              <w:t>Chapters 11, 12, Appendix G, claim register</w:t>
            </w:r>
          </w:p>
        </w:tc>
        <w:tc>
          <w:tcPr>
            <w:tcW w:type="dxa" w:w="2057"/>
            <w:vAlign w:val="top"/>
          </w:tcPr>
          <w:p>
            <w:pPr>
              <w:spacing w:after="0"/>
              <w:jc w:val="left"/>
            </w:pPr>
            <w:r>
              <w:rPr>
                <w:rFonts w:ascii="Arial" w:hAnsi="Arial"/>
                <w:b w:val="0"/>
                <w:sz w:val="11"/>
              </w:rPr>
              <w:t>SDK docs entry point located; platform guide access/rendering needs final check</w:t>
            </w:r>
          </w:p>
        </w:tc>
        <w:tc>
          <w:tcPr>
            <w:tcW w:type="dxa" w:w="2057"/>
            <w:vAlign w:val="top"/>
          </w:tcPr>
          <w:p>
            <w:pPr>
              <w:spacing w:after="0"/>
              <w:jc w:val="left"/>
            </w:pPr>
            <w:r>
              <w:rPr>
                <w:rFonts w:ascii="Arial" w:hAnsi="Arial"/>
                <w:b w:val="0"/>
                <w:sz w:val="11"/>
              </w:rPr>
              <w:t>Use accessible official SDK docs and perform final citation rendering check</w:t>
            </w:r>
          </w:p>
        </w:tc>
      </w:tr>
      <w:tr>
        <w:trPr>
          <w:cantSplit/>
        </w:trPr>
        <w:tc>
          <w:tcPr>
            <w:tcW w:type="dxa" w:w="2057"/>
            <w:vAlign w:val="top"/>
          </w:tcPr>
          <w:p>
            <w:pPr>
              <w:spacing w:after="0"/>
              <w:jc w:val="left"/>
            </w:pPr>
            <w:r>
              <w:rPr>
                <w:rFonts w:ascii="Arial" w:hAnsi="Arial"/>
                <w:b w:val="0"/>
                <w:sz w:val="11"/>
              </w:rPr>
              <w:t>CREWAI-DOCS</w:t>
            </w:r>
          </w:p>
        </w:tc>
        <w:tc>
          <w:tcPr>
            <w:tcW w:type="dxa" w:w="2057"/>
            <w:vAlign w:val="top"/>
          </w:tcPr>
          <w:p>
            <w:pPr>
              <w:spacing w:after="0"/>
              <w:jc w:val="left"/>
            </w:pPr>
            <w:r>
              <w:rPr>
                <w:rFonts w:ascii="Arial" w:hAnsi="Arial"/>
                <w:b w:val="0"/>
                <w:sz w:val="11"/>
              </w:rPr>
              <w:t>CrewAI documentation and repository references</w:t>
            </w:r>
          </w:p>
        </w:tc>
        <w:tc>
          <w:tcPr>
            <w:tcW w:type="dxa" w:w="2057"/>
            <w:vAlign w:val="top"/>
          </w:tcPr>
          <w:p>
            <w:pPr>
              <w:spacing w:after="0"/>
              <w:jc w:val="left"/>
            </w:pPr>
            <w:r>
              <w:rPr>
                <w:rFonts w:ascii="Arial" w:hAnsi="Arial"/>
                <w:b w:val="0"/>
                <w:sz w:val="11"/>
              </w:rPr>
              <w:t>Product documentation / repository documentation</w:t>
            </w:r>
          </w:p>
        </w:tc>
        <w:tc>
          <w:tcPr>
            <w:tcW w:type="dxa" w:w="2057"/>
            <w:vAlign w:val="top"/>
          </w:tcPr>
          <w:p>
            <w:pPr>
              <w:spacing w:after="0"/>
              <w:jc w:val="left"/>
            </w:pPr>
            <w:r>
              <w:rPr>
                <w:rFonts w:ascii="Arial" w:hAnsi="Arial"/>
                <w:b w:val="0"/>
                <w:sz w:val="11"/>
              </w:rPr>
              <w:t>L2/L5</w:t>
            </w:r>
          </w:p>
        </w:tc>
        <w:tc>
          <w:tcPr>
            <w:tcW w:type="dxa" w:w="2057"/>
            <w:vAlign w:val="top"/>
          </w:tcPr>
          <w:p>
            <w:pPr>
              <w:spacing w:after="0"/>
              <w:jc w:val="left"/>
            </w:pPr>
            <w:r>
              <w:rPr>
                <w:rFonts w:ascii="Arial" w:hAnsi="Arial"/>
                <w:b w:val="0"/>
                <w:sz w:val="11"/>
              </w:rPr>
              <w:t>Chapters 11, 12, Appendix G, claim register</w:t>
            </w:r>
          </w:p>
        </w:tc>
        <w:tc>
          <w:tcPr>
            <w:tcW w:type="dxa" w:w="2057"/>
            <w:vAlign w:val="top"/>
          </w:tcPr>
          <w:p>
            <w:pPr>
              <w:spacing w:after="0"/>
              <w:jc w:val="left"/>
            </w:pPr>
            <w:r>
              <w:rPr>
                <w:rFonts w:ascii="Arial" w:hAnsi="Arial"/>
                <w:b w:val="0"/>
                <w:sz w:val="11"/>
              </w:rPr>
              <w:t>Official docs and repository entry points located; ALCS mappings remain L5 where not directly documented</w:t>
            </w:r>
          </w:p>
        </w:tc>
        <w:tc>
          <w:tcPr>
            <w:tcW w:type="dxa" w:w="2057"/>
            <w:vAlign w:val="top"/>
          </w:tcPr>
          <w:p>
            <w:pPr>
              <w:spacing w:after="0"/>
              <w:jc w:val="left"/>
            </w:pPr>
            <w:r>
              <w:rPr>
                <w:rFonts w:ascii="Arial" w:hAnsi="Arial"/>
                <w:b w:val="0"/>
                <w:sz w:val="11"/>
              </w:rPr>
              <w:t>Pin exact CrewAI docs pages for final citation</w:t>
            </w:r>
          </w:p>
        </w:tc>
      </w:tr>
      <w:tr>
        <w:trPr>
          <w:cantSplit/>
        </w:trPr>
        <w:tc>
          <w:tcPr>
            <w:tcW w:type="dxa" w:w="2057"/>
            <w:vAlign w:val="top"/>
          </w:tcPr>
          <w:p>
            <w:pPr>
              <w:spacing w:after="0"/>
              <w:jc w:val="left"/>
            </w:pPr>
            <w:r>
              <w:rPr>
                <w:rFonts w:ascii="Arial" w:hAnsi="Arial"/>
                <w:b w:val="0"/>
                <w:sz w:val="11"/>
              </w:rPr>
              <w:t>CLAIM-EVIDENCE-REGISTER</w:t>
            </w:r>
          </w:p>
        </w:tc>
        <w:tc>
          <w:tcPr>
            <w:tcW w:type="dxa" w:w="2057"/>
            <w:vAlign w:val="top"/>
          </w:tcPr>
          <w:p>
            <w:pPr>
              <w:spacing w:after="0"/>
              <w:jc w:val="left"/>
            </w:pPr>
            <w:r>
              <w:rPr>
                <w:rFonts w:ascii="Arial" w:hAnsi="Arial"/>
                <w:b w:val="0"/>
                <w:sz w:val="11"/>
              </w:rPr>
              <w:t>Claim evidence register</w:t>
            </w:r>
          </w:p>
        </w:tc>
        <w:tc>
          <w:tcPr>
            <w:tcW w:type="dxa" w:w="2057"/>
            <w:vAlign w:val="top"/>
          </w:tcPr>
          <w:p>
            <w:pPr>
              <w:spacing w:after="0"/>
              <w:jc w:val="left"/>
            </w:pPr>
            <w:r>
              <w:rPr>
                <w:rFonts w:ascii="Arial" w:hAnsi="Arial"/>
                <w:b w:val="0"/>
                <w:sz w:val="11"/>
              </w:rPr>
              <w:t>Internal governance ledger</w:t>
            </w:r>
          </w:p>
        </w:tc>
        <w:tc>
          <w:tcPr>
            <w:tcW w:type="dxa" w:w="2057"/>
            <w:vAlign w:val="top"/>
          </w:tcPr>
          <w:p>
            <w:pPr>
              <w:spacing w:after="0"/>
              <w:jc w:val="left"/>
            </w:pPr>
            <w:r>
              <w:rPr>
                <w:rFonts w:ascii="Arial" w:hAnsi="Arial"/>
                <w:b w:val="0"/>
                <w:sz w:val="11"/>
              </w:rPr>
              <w:t>L5</w:t>
            </w:r>
          </w:p>
        </w:tc>
        <w:tc>
          <w:tcPr>
            <w:tcW w:type="dxa" w:w="2057"/>
            <w:vAlign w:val="top"/>
          </w:tcPr>
          <w:p>
            <w:pPr>
              <w:spacing w:after="0"/>
              <w:jc w:val="left"/>
            </w:pPr>
            <w:r>
              <w:rPr>
                <w:rFonts w:ascii="Arial" w:hAnsi="Arial"/>
                <w:b w:val="0"/>
                <w:sz w:val="11"/>
              </w:rPr>
              <w:t>Phase 1C follow-up</w:t>
            </w:r>
          </w:p>
        </w:tc>
        <w:tc>
          <w:tcPr>
            <w:tcW w:type="dxa" w:w="2057"/>
            <w:vAlign w:val="top"/>
          </w:tcPr>
          <w:p>
            <w:pPr>
              <w:spacing w:after="0"/>
              <w:jc w:val="left"/>
            </w:pPr>
            <w:r>
              <w:rPr>
                <w:rFonts w:ascii="Arial" w:hAnsi="Arial"/>
                <w:b w:val="0"/>
                <w:sz w:val="11"/>
              </w:rPr>
              <w:t>PHASE 1C CLAIM-LEVEL REVIEW COMPLETE — PROVISIONAL SOURCE BINDING</w:t>
            </w:r>
          </w:p>
        </w:tc>
        <w:tc>
          <w:tcPr>
            <w:tcW w:type="dxa" w:w="2057"/>
            <w:vAlign w:val="top"/>
          </w:tcPr>
          <w:p>
            <w:pPr>
              <w:spacing w:after="0"/>
              <w:jc w:val="left"/>
            </w:pPr>
            <w:r>
              <w:rPr>
                <w:rFonts w:ascii="Arial" w:hAnsi="Arial"/>
                <w:b w:val="0"/>
                <w:sz w:val="11"/>
              </w:rPr>
              <w:t>Maintain as source-to-claim audit ledger</w:t>
            </w:r>
          </w:p>
        </w:tc>
      </w:tr>
      <w:tr>
        <w:trPr>
          <w:cantSplit/>
        </w:trPr>
        <w:tc>
          <w:tcPr>
            <w:tcW w:type="dxa" w:w="2057"/>
            <w:vAlign w:val="top"/>
          </w:tcPr>
          <w:p>
            <w:pPr>
              <w:spacing w:after="0"/>
              <w:jc w:val="left"/>
            </w:pPr>
            <w:r>
              <w:rPr>
                <w:rFonts w:ascii="Arial" w:hAnsi="Arial"/>
                <w:b w:val="0"/>
                <w:sz w:val="11"/>
              </w:rPr>
              <w:t>CITATION-INVENTORY</w:t>
            </w:r>
          </w:p>
        </w:tc>
        <w:tc>
          <w:tcPr>
            <w:tcW w:type="dxa" w:w="2057"/>
            <w:vAlign w:val="top"/>
          </w:tcPr>
          <w:p>
            <w:pPr>
              <w:spacing w:after="0"/>
              <w:jc w:val="left"/>
            </w:pPr>
            <w:r>
              <w:rPr>
                <w:rFonts w:ascii="Arial" w:hAnsi="Arial"/>
                <w:b w:val="0"/>
                <w:sz w:val="11"/>
              </w:rPr>
              <w:t>Citation inventory ledger</w:t>
            </w:r>
          </w:p>
        </w:tc>
        <w:tc>
          <w:tcPr>
            <w:tcW w:type="dxa" w:w="2057"/>
            <w:vAlign w:val="top"/>
          </w:tcPr>
          <w:p>
            <w:pPr>
              <w:spacing w:after="0"/>
              <w:jc w:val="left"/>
            </w:pPr>
            <w:r>
              <w:rPr>
                <w:rFonts w:ascii="Arial" w:hAnsi="Arial"/>
                <w:b w:val="0"/>
                <w:sz w:val="11"/>
              </w:rPr>
              <w:t>Internal governance ledger</w:t>
            </w:r>
          </w:p>
        </w:tc>
        <w:tc>
          <w:tcPr>
            <w:tcW w:type="dxa" w:w="2057"/>
            <w:vAlign w:val="top"/>
          </w:tcPr>
          <w:p>
            <w:pPr>
              <w:spacing w:after="0"/>
              <w:jc w:val="left"/>
            </w:pPr>
            <w:r>
              <w:rPr>
                <w:rFonts w:ascii="Arial" w:hAnsi="Arial"/>
                <w:b w:val="0"/>
                <w:sz w:val="11"/>
              </w:rPr>
              <w:t>L5</w:t>
            </w:r>
          </w:p>
        </w:tc>
        <w:tc>
          <w:tcPr>
            <w:tcW w:type="dxa" w:w="2057"/>
            <w:vAlign w:val="top"/>
          </w:tcPr>
          <w:p>
            <w:pPr>
              <w:spacing w:after="0"/>
              <w:jc w:val="left"/>
            </w:pPr>
            <w:r>
              <w:rPr>
                <w:rFonts w:ascii="Arial" w:hAnsi="Arial"/>
                <w:b w:val="0"/>
                <w:sz w:val="11"/>
              </w:rPr>
              <w:t>Appendix C, Appendix I</w:t>
            </w:r>
          </w:p>
        </w:tc>
        <w:tc>
          <w:tcPr>
            <w:tcW w:type="dxa" w:w="2057"/>
            <w:vAlign w:val="top"/>
          </w:tcPr>
          <w:p>
            <w:pPr>
              <w:spacing w:after="0"/>
              <w:jc w:val="left"/>
            </w:pPr>
            <w:r>
              <w:rPr>
                <w:rFonts w:ascii="Arial" w:hAnsi="Arial"/>
                <w:b w:val="0"/>
                <w:sz w:val="11"/>
              </w:rPr>
              <w:t>PHASE 1C CLAIM-LEVEL REVIEWED — PROVISIONAL SOURCE BINDING COMPLETE</w:t>
            </w:r>
          </w:p>
        </w:tc>
        <w:tc>
          <w:tcPr>
            <w:tcW w:type="dxa" w:w="2057"/>
            <w:vAlign w:val="top"/>
          </w:tcPr>
          <w:p>
            <w:pPr>
              <w:spacing w:after="0"/>
              <w:jc w:val="left"/>
            </w:pPr>
            <w:r>
              <w:rPr>
                <w:rFonts w:ascii="Arial" w:hAnsi="Arial"/>
                <w:b w:val="0"/>
                <w:sz w:val="11"/>
              </w:rPr>
              <w:t>Final page-level citation pinning remains before publication</w:t>
            </w:r>
          </w:p>
        </w:tc>
      </w:tr>
      <w:tr>
        <w:trPr>
          <w:cantSplit/>
        </w:trPr>
        <w:tc>
          <w:tcPr>
            <w:tcW w:type="dxa" w:w="2057"/>
            <w:vAlign w:val="top"/>
          </w:tcPr>
          <w:p>
            <w:pPr>
              <w:spacing w:after="0"/>
              <w:jc w:val="left"/>
            </w:pPr>
            <w:r>
              <w:rPr>
                <w:rFonts w:ascii="Arial" w:hAnsi="Arial"/>
                <w:b w:val="0"/>
                <w:sz w:val="11"/>
              </w:rPr>
              <w:t>SOURCE-COVERAGE-MATRIX</w:t>
            </w:r>
          </w:p>
        </w:tc>
        <w:tc>
          <w:tcPr>
            <w:tcW w:type="dxa" w:w="2057"/>
            <w:vAlign w:val="top"/>
          </w:tcPr>
          <w:p>
            <w:pPr>
              <w:spacing w:after="0"/>
              <w:jc w:val="left"/>
            </w:pPr>
            <w:r>
              <w:rPr>
                <w:rFonts w:ascii="Arial" w:hAnsi="Arial"/>
                <w:b w:val="0"/>
                <w:sz w:val="11"/>
              </w:rPr>
              <w:t>Source coverage matrix</w:t>
            </w:r>
          </w:p>
        </w:tc>
        <w:tc>
          <w:tcPr>
            <w:tcW w:type="dxa" w:w="2057"/>
            <w:vAlign w:val="top"/>
          </w:tcPr>
          <w:p>
            <w:pPr>
              <w:spacing w:after="0"/>
              <w:jc w:val="left"/>
            </w:pPr>
            <w:r>
              <w:rPr>
                <w:rFonts w:ascii="Arial" w:hAnsi="Arial"/>
                <w:b w:val="0"/>
                <w:sz w:val="11"/>
              </w:rPr>
              <w:t>Internal governance ledger</w:t>
            </w:r>
          </w:p>
        </w:tc>
        <w:tc>
          <w:tcPr>
            <w:tcW w:type="dxa" w:w="2057"/>
            <w:vAlign w:val="top"/>
          </w:tcPr>
          <w:p>
            <w:pPr>
              <w:spacing w:after="0"/>
              <w:jc w:val="left"/>
            </w:pPr>
            <w:r>
              <w:rPr>
                <w:rFonts w:ascii="Arial" w:hAnsi="Arial"/>
                <w:b w:val="0"/>
                <w:sz w:val="11"/>
              </w:rPr>
              <w:t>L5</w:t>
            </w:r>
          </w:p>
        </w:tc>
        <w:tc>
          <w:tcPr>
            <w:tcW w:type="dxa" w:w="2057"/>
            <w:vAlign w:val="top"/>
          </w:tcPr>
          <w:p>
            <w:pPr>
              <w:spacing w:after="0"/>
              <w:jc w:val="left"/>
            </w:pPr>
            <w:r>
              <w:rPr>
                <w:rFonts w:ascii="Arial" w:hAnsi="Arial"/>
                <w:b w:val="0"/>
                <w:sz w:val="11"/>
              </w:rPr>
              <w:t>Appendix I, Phase 1C carryover</w:t>
            </w:r>
          </w:p>
        </w:tc>
        <w:tc>
          <w:tcPr>
            <w:tcW w:type="dxa" w:w="2057"/>
            <w:vAlign w:val="top"/>
          </w:tcPr>
          <w:p>
            <w:pPr>
              <w:spacing w:after="0"/>
              <w:jc w:val="left"/>
            </w:pPr>
            <w:r>
              <w:rPr>
                <w:rFonts w:ascii="Arial" w:hAnsi="Arial"/>
                <w:b w:val="0"/>
                <w:sz w:val="11"/>
              </w:rPr>
              <w:t>PHASE 1C CLAIM-LEVEL REVIEWED — PROVISIONAL SOURCE BINDING COMPLETE</w:t>
            </w:r>
          </w:p>
        </w:tc>
        <w:tc>
          <w:tcPr>
            <w:tcW w:type="dxa" w:w="2057"/>
            <w:vAlign w:val="top"/>
          </w:tcPr>
          <w:p>
            <w:pPr>
              <w:spacing w:after="0"/>
              <w:jc w:val="left"/>
            </w:pPr>
            <w:r>
              <w:rPr>
                <w:rFonts w:ascii="Arial" w:hAnsi="Arial"/>
                <w:b w:val="0"/>
                <w:sz w:val="11"/>
              </w:rPr>
              <w:t>Final citation rendering and page-level source pinning remain before publication</w:t>
            </w:r>
          </w:p>
        </w:tc>
      </w:tr>
    </w:tbl>
    <w:p>
      <w:pPr>
        <w:sectPr>
          <w:pgSz w:w="12240" w:h="15840" w:orient="landscape"/>
          <w:pgMar w:top="792" w:right="648" w:bottom="792" w:left="648" w:header="720" w:footer="720" w:gutter="0"/>
          <w:cols w:space="720"/>
          <w:docGrid w:linePitch="360"/>
        </w:sectPr>
      </w:pPr>
    </w:p>
    <w:p/>
    <w:p/>
    <w:p>
      <w:pPr>
        <w:pStyle w:val="Heading2"/>
      </w:pPr>
      <w:r>
        <w:t>I.3 Phase 1C Revalidation Workflow</w:t>
      </w:r>
    </w:p>
    <w:p/>
    <w:p>
      <w:r>
        <w:t>Phase 1C source revalidation should follow a controlled workflow:</w:t>
      </w:r>
    </w:p>
    <w:p/>
    <w:p>
      <w:r>
        <w:t>1. Freeze the active Markdown source set for validation.</w:t>
      </w:r>
    </w:p>
    <w:p>
      <w:r>
        <w:t>2. Confirm the citation inventory status and source coverage matrix status.</w:t>
      </w:r>
    </w:p>
    <w:p>
      <w:r>
        <w:t>3. Verify each L1 legal or standards citation for citation rendering and relevance.</w:t>
      </w:r>
    </w:p>
    <w:p>
      <w:r>
        <w:t>4. Revalidate every L2 product documentation source for currency, scope, and claim support.</w:t>
      </w:r>
    </w:p>
    <w:p>
      <w:r>
        <w:t>5. Confirm MPLP documentation and Validation Lab URL placeholders.</w:t>
      </w:r>
    </w:p>
    <w:p>
      <w:r>
        <w:t>6. Reclassify evidence levels only when documentation supports the change.</w:t>
      </w:r>
    </w:p>
    <w:p>
      <w:r>
        <w:t>7. Record all source changes and unresolved gaps in Appendix I or a Phase 1C validation report.</w:t>
      </w:r>
    </w:p>
    <w:p/>
    <w:p>
      <w:r>
        <w:t>Phase 1C follow-up completed the claim-level review path at source-entry and claim-disposition level. It did not convert L2 documentation into audit proof or final vendor assessment evidence.</w:t>
      </w:r>
    </w:p>
    <w:p/>
    <w:p/>
    <w:p>
      <w:pPr>
        <w:pStyle w:val="Heading2"/>
      </w:pPr>
      <w:r>
        <w:t>I.4 URL and Citation Verification Queue</w:t>
      </w:r>
    </w:p>
    <w:p/>
    <w:p>
      <w:pPr>
        <w:keepNext/>
      </w:pPr>
      <w:r>
        <w:rPr>
          <w:b/>
          <w:sz w:val="17"/>
        </w:rPr>
        <w:t>Table T-I-02: URL Verification Queue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Source ID</w:t>
            </w:r>
          </w:p>
        </w:tc>
        <w:tc>
          <w:tcPr>
            <w:tcW w:type="dxa" w:w="2400"/>
            <w:vAlign w:val="top"/>
            <w:shd w:fill="D9EAF7"/>
            <w:textDirection w:val="lrTb"/>
          </w:tcPr>
          <w:p>
            <w:pPr>
              <w:spacing w:after="0"/>
              <w:jc w:val="left"/>
            </w:pPr>
            <w:r>
              <w:rPr>
                <w:rFonts w:ascii="Arial" w:hAnsi="Arial"/>
                <w:b/>
                <w:sz w:val="11"/>
              </w:rPr>
              <w:t>URL / Placeholder</w:t>
            </w:r>
          </w:p>
        </w:tc>
        <w:tc>
          <w:tcPr>
            <w:tcW w:type="dxa" w:w="2400"/>
            <w:vAlign w:val="top"/>
            <w:shd w:fill="D9EAF7"/>
            <w:textDirection w:val="lrTb"/>
          </w:tcPr>
          <w:p>
            <w:pPr>
              <w:spacing w:after="0"/>
              <w:jc w:val="left"/>
            </w:pPr>
            <w:r>
              <w:rPr>
                <w:rFonts w:ascii="Arial" w:hAnsi="Arial"/>
                <w:b/>
                <w:sz w:val="11"/>
              </w:rPr>
              <w:t>Used In</w:t>
            </w:r>
          </w:p>
        </w:tc>
        <w:tc>
          <w:tcPr>
            <w:tcW w:type="dxa" w:w="2400"/>
            <w:vAlign w:val="top"/>
            <w:shd w:fill="D9EAF7"/>
            <w:textDirection w:val="lrTb"/>
          </w:tcPr>
          <w:p>
            <w:pPr>
              <w:spacing w:after="0"/>
              <w:jc w:val="left"/>
            </w:pPr>
            <w:r>
              <w:rPr>
                <w:rFonts w:ascii="Arial" w:hAnsi="Arial"/>
                <w:b/>
                <w:sz w:val="11"/>
              </w:rPr>
              <w:t>Verification Need</w:t>
            </w:r>
          </w:p>
        </w:tc>
        <w:tc>
          <w:tcPr>
            <w:tcW w:type="dxa" w:w="2400"/>
            <w:vAlign w:val="top"/>
            <w:shd w:fill="D9EAF7"/>
            <w:textDirection w:val="lrTb"/>
          </w:tcPr>
          <w:p>
            <w:pPr>
              <w:spacing w:after="0"/>
              <w:jc w:val="left"/>
            </w:pPr>
            <w:r>
              <w:rPr>
                <w:rFonts w:ascii="Arial" w:hAnsi="Arial"/>
                <w:b/>
                <w:sz w:val="11"/>
              </w:rPr>
              <w:t>Priority</w:t>
            </w:r>
          </w:p>
        </w:tc>
        <w:tc>
          <w:tcPr>
            <w:tcW w:type="dxa" w:w="2400"/>
            <w:vAlign w:val="top"/>
            <w:shd w:fill="D9EAF7"/>
            <w:textDirection w:val="lrTb"/>
          </w:tcPr>
          <w:p>
            <w:pPr>
              <w:spacing w:after="0"/>
              <w:jc w:val="left"/>
            </w:pPr>
            <w:r>
              <w:rPr>
                <w:rFonts w:ascii="Arial" w:hAnsi="Arial"/>
                <w:b/>
                <w:sz w:val="11"/>
              </w:rPr>
              <w:t>Notes</w:t>
            </w:r>
          </w:p>
        </w:tc>
      </w:tr>
      <w:tr>
        <w:trPr>
          <w:cantSplit/>
        </w:trPr>
        <w:tc>
          <w:tcPr>
            <w:tcW w:type="dxa" w:w="2400"/>
            <w:vAlign w:val="top"/>
          </w:tcPr>
          <w:p>
            <w:pPr>
              <w:spacing w:after="0"/>
              <w:jc w:val="left"/>
            </w:pPr>
            <w:r>
              <w:rPr>
                <w:rFonts w:ascii="Arial" w:hAnsi="Arial"/>
                <w:b w:val="0"/>
                <w:sz w:val="11"/>
              </w:rPr>
              <w:t>MPLP-DOCS</w:t>
            </w:r>
          </w:p>
        </w:tc>
        <w:tc>
          <w:tcPr>
            <w:tcW w:type="dxa" w:w="2400"/>
            <w:vAlign w:val="top"/>
          </w:tcPr>
          <w:p>
            <w:pPr>
              <w:spacing w:after="0"/>
              <w:jc w:val="left"/>
            </w:pPr>
            <w:r>
              <w:rPr>
                <w:rFonts w:ascii="Arial" w:hAnsi="Arial"/>
                <w:b w:val="0"/>
                <w:sz w:val="11"/>
              </w:rPr>
              <w:t>Placeholder in citation inventory</w:t>
            </w:r>
          </w:p>
        </w:tc>
        <w:tc>
          <w:tcPr>
            <w:tcW w:type="dxa" w:w="2400"/>
            <w:vAlign w:val="top"/>
          </w:tcPr>
          <w:p>
            <w:pPr>
              <w:spacing w:after="0"/>
              <w:jc w:val="left"/>
            </w:pPr>
            <w:r>
              <w:rPr>
                <w:rFonts w:ascii="Arial" w:hAnsi="Arial"/>
                <w:b w:val="0"/>
                <w:sz w:val="11"/>
              </w:rPr>
              <w:t>Chapters 12, 13, Appendix G</w:t>
            </w:r>
          </w:p>
        </w:tc>
        <w:tc>
          <w:tcPr>
            <w:tcW w:type="dxa" w:w="2400"/>
            <w:vAlign w:val="top"/>
          </w:tcPr>
          <w:p>
            <w:pPr>
              <w:spacing w:after="0"/>
              <w:jc w:val="left"/>
            </w:pPr>
            <w:r>
              <w:rPr>
                <w:rFonts w:ascii="Arial" w:hAnsi="Arial"/>
                <w:b w:val="0"/>
                <w:sz w:val="11"/>
              </w:rPr>
              <w:t>Validate URL, source currency, and protocol documentation scope</w:t>
            </w:r>
          </w:p>
        </w:tc>
        <w:tc>
          <w:tcPr>
            <w:tcW w:type="dxa" w:w="2400"/>
            <w:vAlign w:val="top"/>
          </w:tcPr>
          <w:p>
            <w:pPr>
              <w:spacing w:after="0"/>
              <w:jc w:val="left"/>
            </w:pPr>
            <w:r>
              <w:rPr>
                <w:rFonts w:ascii="Arial" w:hAnsi="Arial"/>
                <w:b w:val="0"/>
                <w:sz w:val="11"/>
              </w:rPr>
              <w:t>High</w:t>
            </w:r>
          </w:p>
        </w:tc>
        <w:tc>
          <w:tcPr>
            <w:tcW w:type="dxa" w:w="2400"/>
            <w:vAlign w:val="top"/>
          </w:tcPr>
          <w:p>
            <w:pPr>
              <w:spacing w:after="0"/>
              <w:jc w:val="left"/>
            </w:pPr>
            <w:r>
              <w:rPr>
                <w:rFonts w:ascii="Arial" w:hAnsi="Arial"/>
                <w:b w:val="0"/>
                <w:sz w:val="11"/>
              </w:rPr>
              <w:t>Canonical Phase 1C carryover item</w:t>
            </w:r>
          </w:p>
        </w:tc>
      </w:tr>
      <w:tr>
        <w:trPr>
          <w:cantSplit/>
        </w:trPr>
        <w:tc>
          <w:tcPr>
            <w:tcW w:type="dxa" w:w="2400"/>
            <w:vAlign w:val="top"/>
          </w:tcPr>
          <w:p>
            <w:pPr>
              <w:spacing w:after="0"/>
              <w:jc w:val="left"/>
            </w:pPr>
            <w:r>
              <w:rPr>
                <w:rFonts w:ascii="Arial" w:hAnsi="Arial"/>
                <w:b w:val="0"/>
                <w:sz w:val="11"/>
              </w:rPr>
              <w:t>MPLP-SPEC</w:t>
            </w:r>
          </w:p>
        </w:tc>
        <w:tc>
          <w:tcPr>
            <w:tcW w:type="dxa" w:w="2400"/>
            <w:vAlign w:val="top"/>
          </w:tcPr>
          <w:p>
            <w:pPr>
              <w:spacing w:after="0"/>
              <w:jc w:val="left"/>
            </w:pPr>
            <w:r>
              <w:rPr>
                <w:rFonts w:ascii="Arial" w:hAnsi="Arial"/>
                <w:b w:val="0"/>
                <w:sz w:val="11"/>
              </w:rPr>
              <w:t>Placeholder in citation inventory</w:t>
            </w:r>
          </w:p>
        </w:tc>
        <w:tc>
          <w:tcPr>
            <w:tcW w:type="dxa" w:w="2400"/>
            <w:vAlign w:val="top"/>
          </w:tcPr>
          <w:p>
            <w:pPr>
              <w:spacing w:after="0"/>
              <w:jc w:val="left"/>
            </w:pPr>
            <w:r>
              <w:rPr>
                <w:rFonts w:ascii="Arial" w:hAnsi="Arial"/>
                <w:b w:val="0"/>
                <w:sz w:val="11"/>
              </w:rPr>
              <w:t>Chapters 12, 13, Appendix G</w:t>
            </w:r>
          </w:p>
        </w:tc>
        <w:tc>
          <w:tcPr>
            <w:tcW w:type="dxa" w:w="2400"/>
            <w:vAlign w:val="top"/>
          </w:tcPr>
          <w:p>
            <w:pPr>
              <w:spacing w:after="0"/>
              <w:jc w:val="left"/>
            </w:pPr>
            <w:r>
              <w:rPr>
                <w:rFonts w:ascii="Arial" w:hAnsi="Arial"/>
                <w:b w:val="0"/>
                <w:sz w:val="11"/>
              </w:rPr>
              <w:t>Validate specification URL and version</w:t>
            </w:r>
          </w:p>
        </w:tc>
        <w:tc>
          <w:tcPr>
            <w:tcW w:type="dxa" w:w="2400"/>
            <w:vAlign w:val="top"/>
          </w:tcPr>
          <w:p>
            <w:pPr>
              <w:spacing w:after="0"/>
              <w:jc w:val="left"/>
            </w:pPr>
            <w:r>
              <w:rPr>
                <w:rFonts w:ascii="Arial" w:hAnsi="Arial"/>
                <w:b w:val="0"/>
                <w:sz w:val="11"/>
              </w:rPr>
              <w:t>High</w:t>
            </w:r>
          </w:p>
        </w:tc>
        <w:tc>
          <w:tcPr>
            <w:tcW w:type="dxa" w:w="2400"/>
            <w:vAlign w:val="top"/>
          </w:tcPr>
          <w:p>
            <w:pPr>
              <w:spacing w:after="0"/>
              <w:jc w:val="left"/>
            </w:pPr>
            <w:r>
              <w:rPr>
                <w:rFonts w:ascii="Arial" w:hAnsi="Arial"/>
                <w:b w:val="0"/>
                <w:sz w:val="11"/>
              </w:rPr>
              <w:t>Do not treat protocol mapping as implementation proof</w:t>
            </w:r>
          </w:p>
        </w:tc>
      </w:tr>
      <w:tr>
        <w:trPr>
          <w:cantSplit/>
        </w:trPr>
        <w:tc>
          <w:tcPr>
            <w:tcW w:type="dxa" w:w="2400"/>
            <w:vAlign w:val="top"/>
          </w:tcPr>
          <w:p>
            <w:pPr>
              <w:spacing w:after="0"/>
              <w:jc w:val="left"/>
            </w:pPr>
            <w:r>
              <w:rPr>
                <w:rFonts w:ascii="Arial" w:hAnsi="Arial"/>
                <w:b w:val="0"/>
                <w:sz w:val="11"/>
              </w:rPr>
              <w:t>VALIDATION-LAB</w:t>
            </w:r>
          </w:p>
        </w:tc>
        <w:tc>
          <w:tcPr>
            <w:tcW w:type="dxa" w:w="2400"/>
            <w:vAlign w:val="top"/>
          </w:tcPr>
          <w:p>
            <w:pPr>
              <w:spacing w:after="0"/>
              <w:jc w:val="left"/>
            </w:pPr>
            <w:r>
              <w:rPr>
                <w:rFonts w:ascii="Arial" w:hAnsi="Arial"/>
                <w:b w:val="0"/>
                <w:sz w:val="11"/>
              </w:rPr>
              <w:t>Placeholder in citation inventory</w:t>
            </w:r>
          </w:p>
        </w:tc>
        <w:tc>
          <w:tcPr>
            <w:tcW w:type="dxa" w:w="2400"/>
            <w:vAlign w:val="top"/>
          </w:tcPr>
          <w:p>
            <w:pPr>
              <w:spacing w:after="0"/>
              <w:jc w:val="left"/>
            </w:pPr>
            <w:r>
              <w:rPr>
                <w:rFonts w:ascii="Arial" w:hAnsi="Arial"/>
                <w:b w:val="0"/>
                <w:sz w:val="11"/>
              </w:rPr>
              <w:t>Chapter 14, Appendix K</w:t>
            </w:r>
          </w:p>
        </w:tc>
        <w:tc>
          <w:tcPr>
            <w:tcW w:type="dxa" w:w="2400"/>
            <w:vAlign w:val="top"/>
          </w:tcPr>
          <w:p>
            <w:pPr>
              <w:spacing w:after="0"/>
              <w:jc w:val="left"/>
            </w:pPr>
            <w:r>
              <w:rPr>
                <w:rFonts w:ascii="Arial" w:hAnsi="Arial"/>
                <w:b w:val="0"/>
                <w:sz w:val="11"/>
              </w:rPr>
              <w:t>Validate URL and non-certifying methodology boundary</w:t>
            </w:r>
          </w:p>
        </w:tc>
        <w:tc>
          <w:tcPr>
            <w:tcW w:type="dxa" w:w="2400"/>
            <w:vAlign w:val="top"/>
          </w:tcPr>
          <w:p>
            <w:pPr>
              <w:spacing w:after="0"/>
              <w:jc w:val="left"/>
            </w:pPr>
            <w:r>
              <w:rPr>
                <w:rFonts w:ascii="Arial" w:hAnsi="Arial"/>
                <w:b w:val="0"/>
                <w:sz w:val="11"/>
              </w:rPr>
              <w:t>High</w:t>
            </w:r>
          </w:p>
        </w:tc>
        <w:tc>
          <w:tcPr>
            <w:tcW w:type="dxa" w:w="2400"/>
            <w:vAlign w:val="top"/>
          </w:tcPr>
          <w:p>
            <w:pPr>
              <w:spacing w:after="0"/>
              <w:jc w:val="left"/>
            </w:pPr>
            <w:r>
              <w:rPr>
                <w:rFonts w:ascii="Arial" w:hAnsi="Arial"/>
                <w:b w:val="0"/>
                <w:sz w:val="11"/>
              </w:rPr>
              <w:t>Canonical Phase 1C carryover item</w:t>
            </w:r>
          </w:p>
        </w:tc>
      </w:tr>
      <w:tr>
        <w:trPr>
          <w:cantSplit/>
        </w:trPr>
        <w:tc>
          <w:tcPr>
            <w:tcW w:type="dxa" w:w="2400"/>
            <w:vAlign w:val="top"/>
          </w:tcPr>
          <w:p>
            <w:pPr>
              <w:spacing w:after="0"/>
              <w:jc w:val="left"/>
            </w:pPr>
            <w:r>
              <w:rPr>
                <w:rFonts w:ascii="Arial" w:hAnsi="Arial"/>
                <w:b w:val="0"/>
                <w:sz w:val="11"/>
              </w:rPr>
              <w:t>IBM-WATSONX-GOV</w:t>
            </w:r>
          </w:p>
        </w:tc>
        <w:tc>
          <w:tcPr>
            <w:tcW w:type="dxa" w:w="2400"/>
            <w:vAlign w:val="top"/>
          </w:tcPr>
          <w:p>
            <w:pPr>
              <w:spacing w:after="0"/>
              <w:jc w:val="left"/>
            </w:pPr>
            <w:r>
              <w:rPr>
                <w:rFonts w:ascii="Arial" w:hAnsi="Arial"/>
                <w:b w:val="0"/>
                <w:sz w:val="11"/>
              </w:rPr>
              <w:t>Placeholder in citation inventory</w:t>
            </w:r>
          </w:p>
        </w:tc>
        <w:tc>
          <w:tcPr>
            <w:tcW w:type="dxa" w:w="2400"/>
            <w:vAlign w:val="top"/>
          </w:tcPr>
          <w:p>
            <w:pPr>
              <w:spacing w:after="0"/>
              <w:jc w:val="left"/>
            </w:pPr>
            <w:r>
              <w:rPr>
                <w:rFonts w:ascii="Arial" w:hAnsi="Arial"/>
                <w:b w:val="0"/>
                <w:sz w:val="11"/>
              </w:rPr>
              <w:t>Chapters 11, 12, Appendix G</w:t>
            </w:r>
          </w:p>
        </w:tc>
        <w:tc>
          <w:tcPr>
            <w:tcW w:type="dxa" w:w="2400"/>
            <w:vAlign w:val="top"/>
          </w:tcPr>
          <w:p>
            <w:pPr>
              <w:spacing w:after="0"/>
              <w:jc w:val="left"/>
            </w:pPr>
            <w:r>
              <w:rPr>
                <w:rFonts w:ascii="Arial" w:hAnsi="Arial"/>
                <w:b w:val="0"/>
                <w:sz w:val="11"/>
              </w:rPr>
              <w:t>Validate official documentation URL and current product scope</w:t>
            </w:r>
          </w:p>
        </w:tc>
        <w:tc>
          <w:tcPr>
            <w:tcW w:type="dxa" w:w="2400"/>
            <w:vAlign w:val="top"/>
          </w:tcPr>
          <w:p>
            <w:pPr>
              <w:spacing w:after="0"/>
              <w:jc w:val="left"/>
            </w:pPr>
            <w:r>
              <w:rPr>
                <w:rFonts w:ascii="Arial" w:hAnsi="Arial"/>
                <w:b w:val="0"/>
                <w:sz w:val="11"/>
              </w:rPr>
              <w:t>High</w:t>
            </w:r>
          </w:p>
        </w:tc>
        <w:tc>
          <w:tcPr>
            <w:tcW w:type="dxa" w:w="2400"/>
            <w:vAlign w:val="top"/>
          </w:tcPr>
          <w:p>
            <w:pPr>
              <w:spacing w:after="0"/>
              <w:jc w:val="left"/>
            </w:pPr>
            <w:r>
              <w:rPr>
                <w:rFonts w:ascii="Arial" w:hAnsi="Arial"/>
                <w:b w:val="0"/>
                <w:sz w:val="11"/>
              </w:rPr>
              <w:t>L2 product docs remain provisional</w:t>
            </w:r>
          </w:p>
        </w:tc>
      </w:tr>
      <w:tr>
        <w:trPr>
          <w:cantSplit/>
        </w:trPr>
        <w:tc>
          <w:tcPr>
            <w:tcW w:type="dxa" w:w="2400"/>
            <w:vAlign w:val="top"/>
          </w:tcPr>
          <w:p>
            <w:pPr>
              <w:spacing w:after="0"/>
              <w:jc w:val="left"/>
            </w:pPr>
            <w:r>
              <w:rPr>
                <w:rFonts w:ascii="Arial" w:hAnsi="Arial"/>
                <w:b w:val="0"/>
                <w:sz w:val="11"/>
              </w:rPr>
              <w:t>MS-AZURE-FOUNDRY</w:t>
            </w:r>
          </w:p>
        </w:tc>
        <w:tc>
          <w:tcPr>
            <w:tcW w:type="dxa" w:w="2400"/>
            <w:vAlign w:val="top"/>
          </w:tcPr>
          <w:p>
            <w:pPr>
              <w:spacing w:after="0"/>
              <w:jc w:val="left"/>
            </w:pPr>
            <w:r>
              <w:rPr>
                <w:rFonts w:ascii="Arial" w:hAnsi="Arial"/>
                <w:b w:val="0"/>
                <w:sz w:val="11"/>
              </w:rPr>
              <w:t>Placeholder in citation inventory</w:t>
            </w:r>
          </w:p>
        </w:tc>
        <w:tc>
          <w:tcPr>
            <w:tcW w:type="dxa" w:w="2400"/>
            <w:vAlign w:val="top"/>
          </w:tcPr>
          <w:p>
            <w:pPr>
              <w:spacing w:after="0"/>
              <w:jc w:val="left"/>
            </w:pPr>
            <w:r>
              <w:rPr>
                <w:rFonts w:ascii="Arial" w:hAnsi="Arial"/>
                <w:b w:val="0"/>
                <w:sz w:val="11"/>
              </w:rPr>
              <w:t>Chapters 11, 12, Appendix G</w:t>
            </w:r>
          </w:p>
        </w:tc>
        <w:tc>
          <w:tcPr>
            <w:tcW w:type="dxa" w:w="2400"/>
            <w:vAlign w:val="top"/>
          </w:tcPr>
          <w:p>
            <w:pPr>
              <w:spacing w:after="0"/>
              <w:jc w:val="left"/>
            </w:pPr>
            <w:r>
              <w:rPr>
                <w:rFonts w:ascii="Arial" w:hAnsi="Arial"/>
                <w:b w:val="0"/>
                <w:sz w:val="11"/>
              </w:rPr>
              <w:t>Validate official documentation URL and current product scope</w:t>
            </w:r>
          </w:p>
        </w:tc>
        <w:tc>
          <w:tcPr>
            <w:tcW w:type="dxa" w:w="2400"/>
            <w:vAlign w:val="top"/>
          </w:tcPr>
          <w:p>
            <w:pPr>
              <w:spacing w:after="0"/>
              <w:jc w:val="left"/>
            </w:pPr>
            <w:r>
              <w:rPr>
                <w:rFonts w:ascii="Arial" w:hAnsi="Arial"/>
                <w:b w:val="0"/>
                <w:sz w:val="11"/>
              </w:rPr>
              <w:t>High</w:t>
            </w:r>
          </w:p>
        </w:tc>
        <w:tc>
          <w:tcPr>
            <w:tcW w:type="dxa" w:w="2400"/>
            <w:vAlign w:val="top"/>
          </w:tcPr>
          <w:p>
            <w:pPr>
              <w:spacing w:after="0"/>
              <w:jc w:val="left"/>
            </w:pPr>
            <w:r>
              <w:rPr>
                <w:rFonts w:ascii="Arial" w:hAnsi="Arial"/>
                <w:b w:val="0"/>
                <w:sz w:val="11"/>
              </w:rPr>
              <w:t>L2 product docs remain provisional</w:t>
            </w:r>
          </w:p>
        </w:tc>
      </w:tr>
      <w:tr>
        <w:trPr>
          <w:cantSplit/>
        </w:trPr>
        <w:tc>
          <w:tcPr>
            <w:tcW w:type="dxa" w:w="2400"/>
            <w:vAlign w:val="top"/>
          </w:tcPr>
          <w:p>
            <w:pPr>
              <w:spacing w:after="0"/>
              <w:jc w:val="left"/>
            </w:pPr>
            <w:r>
              <w:rPr>
                <w:rFonts w:ascii="Arial" w:hAnsi="Arial"/>
                <w:b w:val="0"/>
                <w:sz w:val="11"/>
              </w:rPr>
              <w:t>AWS-BEDROCK-STACK</w:t>
            </w:r>
          </w:p>
        </w:tc>
        <w:tc>
          <w:tcPr>
            <w:tcW w:type="dxa" w:w="2400"/>
            <w:vAlign w:val="top"/>
          </w:tcPr>
          <w:p>
            <w:pPr>
              <w:spacing w:after="0"/>
              <w:jc w:val="left"/>
            </w:pPr>
            <w:r>
              <w:rPr>
                <w:rFonts w:ascii="Arial" w:hAnsi="Arial"/>
                <w:b w:val="0"/>
                <w:sz w:val="11"/>
              </w:rPr>
              <w:t>Placeholder in citation inventory</w:t>
            </w:r>
          </w:p>
        </w:tc>
        <w:tc>
          <w:tcPr>
            <w:tcW w:type="dxa" w:w="2400"/>
            <w:vAlign w:val="top"/>
          </w:tcPr>
          <w:p>
            <w:pPr>
              <w:spacing w:after="0"/>
              <w:jc w:val="left"/>
            </w:pPr>
            <w:r>
              <w:rPr>
                <w:rFonts w:ascii="Arial" w:hAnsi="Arial"/>
                <w:b w:val="0"/>
                <w:sz w:val="11"/>
              </w:rPr>
              <w:t>Chapters 11, 12, Appendix G</w:t>
            </w:r>
          </w:p>
        </w:tc>
        <w:tc>
          <w:tcPr>
            <w:tcW w:type="dxa" w:w="2400"/>
            <w:vAlign w:val="top"/>
          </w:tcPr>
          <w:p>
            <w:pPr>
              <w:spacing w:after="0"/>
              <w:jc w:val="left"/>
            </w:pPr>
            <w:r>
              <w:rPr>
                <w:rFonts w:ascii="Arial" w:hAnsi="Arial"/>
                <w:b w:val="0"/>
                <w:sz w:val="11"/>
              </w:rPr>
              <w:t>Validate official documentation URLs and current product scope</w:t>
            </w:r>
          </w:p>
        </w:tc>
        <w:tc>
          <w:tcPr>
            <w:tcW w:type="dxa" w:w="2400"/>
            <w:vAlign w:val="top"/>
          </w:tcPr>
          <w:p>
            <w:pPr>
              <w:spacing w:after="0"/>
              <w:jc w:val="left"/>
            </w:pPr>
            <w:r>
              <w:rPr>
                <w:rFonts w:ascii="Arial" w:hAnsi="Arial"/>
                <w:b w:val="0"/>
                <w:sz w:val="11"/>
              </w:rPr>
              <w:t>High</w:t>
            </w:r>
          </w:p>
        </w:tc>
        <w:tc>
          <w:tcPr>
            <w:tcW w:type="dxa" w:w="2400"/>
            <w:vAlign w:val="top"/>
          </w:tcPr>
          <w:p>
            <w:pPr>
              <w:spacing w:after="0"/>
              <w:jc w:val="left"/>
            </w:pPr>
            <w:r>
              <w:rPr>
                <w:rFonts w:ascii="Arial" w:hAnsi="Arial"/>
                <w:b w:val="0"/>
                <w:sz w:val="11"/>
              </w:rPr>
              <w:t>Includes Bedrock, Guardrails, and AgentCore references</w:t>
            </w:r>
          </w:p>
        </w:tc>
      </w:tr>
      <w:tr>
        <w:trPr>
          <w:cantSplit/>
        </w:trPr>
        <w:tc>
          <w:tcPr>
            <w:tcW w:type="dxa" w:w="2400"/>
            <w:vAlign w:val="top"/>
          </w:tcPr>
          <w:p>
            <w:pPr>
              <w:spacing w:after="0"/>
              <w:jc w:val="left"/>
            </w:pPr>
            <w:r>
              <w:rPr>
                <w:rFonts w:ascii="Arial" w:hAnsi="Arial"/>
                <w:b w:val="0"/>
                <w:sz w:val="11"/>
              </w:rPr>
              <w:t>GOOGLE-VERTEX-STACK</w:t>
            </w:r>
          </w:p>
        </w:tc>
        <w:tc>
          <w:tcPr>
            <w:tcW w:type="dxa" w:w="2400"/>
            <w:vAlign w:val="top"/>
          </w:tcPr>
          <w:p>
            <w:pPr>
              <w:spacing w:after="0"/>
              <w:jc w:val="left"/>
            </w:pPr>
            <w:r>
              <w:rPr>
                <w:rFonts w:ascii="Arial" w:hAnsi="Arial"/>
                <w:b w:val="0"/>
                <w:sz w:val="11"/>
              </w:rPr>
              <w:t>Placeholder in citation inventory</w:t>
            </w:r>
          </w:p>
        </w:tc>
        <w:tc>
          <w:tcPr>
            <w:tcW w:type="dxa" w:w="2400"/>
            <w:vAlign w:val="top"/>
          </w:tcPr>
          <w:p>
            <w:pPr>
              <w:spacing w:after="0"/>
              <w:jc w:val="left"/>
            </w:pPr>
            <w:r>
              <w:rPr>
                <w:rFonts w:ascii="Arial" w:hAnsi="Arial"/>
                <w:b w:val="0"/>
                <w:sz w:val="11"/>
              </w:rPr>
              <w:t>Chapters 11, 12, Appendix G</w:t>
            </w:r>
          </w:p>
        </w:tc>
        <w:tc>
          <w:tcPr>
            <w:tcW w:type="dxa" w:w="2400"/>
            <w:vAlign w:val="top"/>
          </w:tcPr>
          <w:p>
            <w:pPr>
              <w:spacing w:after="0"/>
              <w:jc w:val="left"/>
            </w:pPr>
            <w:r>
              <w:rPr>
                <w:rFonts w:ascii="Arial" w:hAnsi="Arial"/>
                <w:b w:val="0"/>
                <w:sz w:val="11"/>
              </w:rPr>
              <w:t>Validate official documentation URLs and current product scope</w:t>
            </w:r>
          </w:p>
        </w:tc>
        <w:tc>
          <w:tcPr>
            <w:tcW w:type="dxa" w:w="2400"/>
            <w:vAlign w:val="top"/>
          </w:tcPr>
          <w:p>
            <w:pPr>
              <w:spacing w:after="0"/>
              <w:jc w:val="left"/>
            </w:pPr>
            <w:r>
              <w:rPr>
                <w:rFonts w:ascii="Arial" w:hAnsi="Arial"/>
                <w:b w:val="0"/>
                <w:sz w:val="11"/>
              </w:rPr>
              <w:t>High</w:t>
            </w:r>
          </w:p>
        </w:tc>
        <w:tc>
          <w:tcPr>
            <w:tcW w:type="dxa" w:w="2400"/>
            <w:vAlign w:val="top"/>
          </w:tcPr>
          <w:p>
            <w:pPr>
              <w:spacing w:after="0"/>
              <w:jc w:val="left"/>
            </w:pPr>
            <w:r>
              <w:rPr>
                <w:rFonts w:ascii="Arial" w:hAnsi="Arial"/>
                <w:b w:val="0"/>
                <w:sz w:val="11"/>
              </w:rPr>
              <w:t>Includes Vertex AI, ADK, and Model Armor references</w:t>
            </w:r>
          </w:p>
        </w:tc>
      </w:tr>
      <w:tr>
        <w:trPr>
          <w:cantSplit/>
        </w:trPr>
        <w:tc>
          <w:tcPr>
            <w:tcW w:type="dxa" w:w="2400"/>
            <w:vAlign w:val="top"/>
          </w:tcPr>
          <w:p>
            <w:pPr>
              <w:spacing w:after="0"/>
              <w:jc w:val="left"/>
            </w:pPr>
            <w:r>
              <w:rPr>
                <w:rFonts w:ascii="Arial" w:hAnsi="Arial"/>
                <w:b w:val="0"/>
                <w:sz w:val="11"/>
              </w:rPr>
              <w:t>LANGGRAPH-LANGSMITH</w:t>
            </w:r>
          </w:p>
        </w:tc>
        <w:tc>
          <w:tcPr>
            <w:tcW w:type="dxa" w:w="2400"/>
            <w:vAlign w:val="top"/>
          </w:tcPr>
          <w:p>
            <w:pPr>
              <w:spacing w:after="0"/>
              <w:jc w:val="left"/>
            </w:pPr>
            <w:r>
              <w:rPr>
                <w:rFonts w:ascii="Arial" w:hAnsi="Arial"/>
                <w:b w:val="0"/>
                <w:sz w:val="11"/>
              </w:rPr>
              <w:t>Placeholder in citation inventory</w:t>
            </w:r>
          </w:p>
        </w:tc>
        <w:tc>
          <w:tcPr>
            <w:tcW w:type="dxa" w:w="2400"/>
            <w:vAlign w:val="top"/>
          </w:tcPr>
          <w:p>
            <w:pPr>
              <w:spacing w:after="0"/>
              <w:jc w:val="left"/>
            </w:pPr>
            <w:r>
              <w:rPr>
                <w:rFonts w:ascii="Arial" w:hAnsi="Arial"/>
                <w:b w:val="0"/>
                <w:sz w:val="11"/>
              </w:rPr>
              <w:t>Chapters 11, 12, Appendix G</w:t>
            </w:r>
          </w:p>
        </w:tc>
        <w:tc>
          <w:tcPr>
            <w:tcW w:type="dxa" w:w="2400"/>
            <w:vAlign w:val="top"/>
          </w:tcPr>
          <w:p>
            <w:pPr>
              <w:spacing w:after="0"/>
              <w:jc w:val="left"/>
            </w:pPr>
            <w:r>
              <w:rPr>
                <w:rFonts w:ascii="Arial" w:hAnsi="Arial"/>
                <w:b w:val="0"/>
                <w:sz w:val="11"/>
              </w:rPr>
              <w:t>Validate documentation and repository references</w:t>
            </w:r>
          </w:p>
        </w:tc>
        <w:tc>
          <w:tcPr>
            <w:tcW w:type="dxa" w:w="2400"/>
            <w:vAlign w:val="top"/>
          </w:tcPr>
          <w:p>
            <w:pPr>
              <w:spacing w:after="0"/>
              <w:jc w:val="left"/>
            </w:pPr>
            <w:r>
              <w:rPr>
                <w:rFonts w:ascii="Arial" w:hAnsi="Arial"/>
                <w:b w:val="0"/>
                <w:sz w:val="11"/>
              </w:rPr>
              <w:t>High</w:t>
            </w:r>
          </w:p>
        </w:tc>
        <w:tc>
          <w:tcPr>
            <w:tcW w:type="dxa" w:w="2400"/>
            <w:vAlign w:val="top"/>
          </w:tcPr>
          <w:p>
            <w:pPr>
              <w:spacing w:after="0"/>
              <w:jc w:val="left"/>
            </w:pPr>
            <w:r>
              <w:rPr>
                <w:rFonts w:ascii="Arial" w:hAnsi="Arial"/>
                <w:b w:val="0"/>
                <w:sz w:val="11"/>
              </w:rPr>
              <w:t>Confirm current framework/documentation names</w:t>
            </w:r>
          </w:p>
        </w:tc>
      </w:tr>
      <w:tr>
        <w:trPr>
          <w:cantSplit/>
        </w:trPr>
        <w:tc>
          <w:tcPr>
            <w:tcW w:type="dxa" w:w="2400"/>
            <w:vAlign w:val="top"/>
          </w:tcPr>
          <w:p>
            <w:pPr>
              <w:spacing w:after="0"/>
              <w:jc w:val="left"/>
            </w:pPr>
            <w:r>
              <w:rPr>
                <w:rFonts w:ascii="Arial" w:hAnsi="Arial"/>
                <w:b w:val="0"/>
                <w:sz w:val="11"/>
              </w:rPr>
              <w:t>OPENAI-AGENTS-SDK</w:t>
            </w:r>
          </w:p>
        </w:tc>
        <w:tc>
          <w:tcPr>
            <w:tcW w:type="dxa" w:w="2400"/>
            <w:vAlign w:val="top"/>
          </w:tcPr>
          <w:p>
            <w:pPr>
              <w:spacing w:after="0"/>
              <w:jc w:val="left"/>
            </w:pPr>
            <w:r>
              <w:rPr>
                <w:rFonts w:ascii="Arial" w:hAnsi="Arial"/>
                <w:b w:val="0"/>
                <w:sz w:val="11"/>
              </w:rPr>
              <w:t>Placeholder in citation inventory</w:t>
            </w:r>
          </w:p>
        </w:tc>
        <w:tc>
          <w:tcPr>
            <w:tcW w:type="dxa" w:w="2400"/>
            <w:vAlign w:val="top"/>
          </w:tcPr>
          <w:p>
            <w:pPr>
              <w:spacing w:after="0"/>
              <w:jc w:val="left"/>
            </w:pPr>
            <w:r>
              <w:rPr>
                <w:rFonts w:ascii="Arial" w:hAnsi="Arial"/>
                <w:b w:val="0"/>
                <w:sz w:val="11"/>
              </w:rPr>
              <w:t>Chapters 11, 12, Appendix G</w:t>
            </w:r>
          </w:p>
        </w:tc>
        <w:tc>
          <w:tcPr>
            <w:tcW w:type="dxa" w:w="2400"/>
            <w:vAlign w:val="top"/>
          </w:tcPr>
          <w:p>
            <w:pPr>
              <w:spacing w:after="0"/>
              <w:jc w:val="left"/>
            </w:pPr>
            <w:r>
              <w:rPr>
                <w:rFonts w:ascii="Arial" w:hAnsi="Arial"/>
                <w:b w:val="0"/>
                <w:sz w:val="11"/>
              </w:rPr>
              <w:t>Validate official documentation URL and current SDK scope</w:t>
            </w:r>
          </w:p>
        </w:tc>
        <w:tc>
          <w:tcPr>
            <w:tcW w:type="dxa" w:w="2400"/>
            <w:vAlign w:val="top"/>
          </w:tcPr>
          <w:p>
            <w:pPr>
              <w:spacing w:after="0"/>
              <w:jc w:val="left"/>
            </w:pPr>
            <w:r>
              <w:rPr>
                <w:rFonts w:ascii="Arial" w:hAnsi="Arial"/>
                <w:b w:val="0"/>
                <w:sz w:val="11"/>
              </w:rPr>
              <w:t>High</w:t>
            </w:r>
          </w:p>
        </w:tc>
        <w:tc>
          <w:tcPr>
            <w:tcW w:type="dxa" w:w="2400"/>
            <w:vAlign w:val="top"/>
          </w:tcPr>
          <w:p>
            <w:pPr>
              <w:spacing w:after="0"/>
              <w:jc w:val="left"/>
            </w:pPr>
            <w:r>
              <w:rPr>
                <w:rFonts w:ascii="Arial" w:hAnsi="Arial"/>
                <w:b w:val="0"/>
                <w:sz w:val="11"/>
              </w:rPr>
              <w:t>Do not add new product claims during verification</w:t>
            </w:r>
          </w:p>
        </w:tc>
      </w:tr>
      <w:tr>
        <w:trPr>
          <w:cantSplit/>
        </w:trPr>
        <w:tc>
          <w:tcPr>
            <w:tcW w:type="dxa" w:w="2400"/>
            <w:vAlign w:val="top"/>
          </w:tcPr>
          <w:p>
            <w:pPr>
              <w:spacing w:after="0"/>
              <w:jc w:val="left"/>
            </w:pPr>
            <w:r>
              <w:rPr>
                <w:rFonts w:ascii="Arial" w:hAnsi="Arial"/>
                <w:b w:val="0"/>
                <w:sz w:val="11"/>
              </w:rPr>
              <w:t>CREWAI-DOCS</w:t>
            </w:r>
          </w:p>
        </w:tc>
        <w:tc>
          <w:tcPr>
            <w:tcW w:type="dxa" w:w="2400"/>
            <w:vAlign w:val="top"/>
          </w:tcPr>
          <w:p>
            <w:pPr>
              <w:spacing w:after="0"/>
              <w:jc w:val="left"/>
            </w:pPr>
            <w:r>
              <w:rPr>
                <w:rFonts w:ascii="Arial" w:hAnsi="Arial"/>
                <w:b w:val="0"/>
                <w:sz w:val="11"/>
              </w:rPr>
              <w:t>Placeholder in citation inventory</w:t>
            </w:r>
          </w:p>
        </w:tc>
        <w:tc>
          <w:tcPr>
            <w:tcW w:type="dxa" w:w="2400"/>
            <w:vAlign w:val="top"/>
          </w:tcPr>
          <w:p>
            <w:pPr>
              <w:spacing w:after="0"/>
              <w:jc w:val="left"/>
            </w:pPr>
            <w:r>
              <w:rPr>
                <w:rFonts w:ascii="Arial" w:hAnsi="Arial"/>
                <w:b w:val="0"/>
                <w:sz w:val="11"/>
              </w:rPr>
              <w:t>Chapters 11, 12, Appendix G</w:t>
            </w:r>
          </w:p>
        </w:tc>
        <w:tc>
          <w:tcPr>
            <w:tcW w:type="dxa" w:w="2400"/>
            <w:vAlign w:val="top"/>
          </w:tcPr>
          <w:p>
            <w:pPr>
              <w:spacing w:after="0"/>
              <w:jc w:val="left"/>
            </w:pPr>
            <w:r>
              <w:rPr>
                <w:rFonts w:ascii="Arial" w:hAnsi="Arial"/>
                <w:b w:val="0"/>
                <w:sz w:val="11"/>
              </w:rPr>
              <w:t>Validate documentation and repository references</w:t>
            </w:r>
          </w:p>
        </w:tc>
        <w:tc>
          <w:tcPr>
            <w:tcW w:type="dxa" w:w="2400"/>
            <w:vAlign w:val="top"/>
          </w:tcPr>
          <w:p>
            <w:pPr>
              <w:spacing w:after="0"/>
              <w:jc w:val="left"/>
            </w:pPr>
            <w:r>
              <w:rPr>
                <w:rFonts w:ascii="Arial" w:hAnsi="Arial"/>
                <w:b w:val="0"/>
                <w:sz w:val="11"/>
              </w:rPr>
              <w:t>High</w:t>
            </w:r>
          </w:p>
        </w:tc>
        <w:tc>
          <w:tcPr>
            <w:tcW w:type="dxa" w:w="2400"/>
            <w:vAlign w:val="top"/>
          </w:tcPr>
          <w:p>
            <w:pPr>
              <w:spacing w:after="0"/>
              <w:jc w:val="left"/>
            </w:pPr>
            <w:r>
              <w:rPr>
                <w:rFonts w:ascii="Arial" w:hAnsi="Arial"/>
                <w:b w:val="0"/>
                <w:sz w:val="11"/>
              </w:rPr>
              <w:t>Confirm current documentation scope</w:t>
            </w:r>
          </w:p>
        </w:tc>
      </w:tr>
      <w:tr>
        <w:trPr>
          <w:cantSplit/>
        </w:trPr>
        <w:tc>
          <w:tcPr>
            <w:tcW w:type="dxa" w:w="2400"/>
            <w:vAlign w:val="top"/>
          </w:tcPr>
          <w:p>
            <w:pPr>
              <w:spacing w:after="0"/>
              <w:jc w:val="left"/>
            </w:pPr>
            <w:r>
              <w:rPr>
                <w:rFonts w:ascii="Arial" w:hAnsi="Arial"/>
                <w:b w:val="0"/>
                <w:sz w:val="11"/>
              </w:rPr>
              <w:t>L1-LEGAL-STANDARDS</w:t>
            </w:r>
          </w:p>
        </w:tc>
        <w:tc>
          <w:tcPr>
            <w:tcW w:type="dxa" w:w="2400"/>
            <w:vAlign w:val="top"/>
          </w:tcPr>
          <w:p>
            <w:pPr>
              <w:spacing w:after="0"/>
              <w:jc w:val="left"/>
            </w:pPr>
            <w:r>
              <w:rPr>
                <w:rFonts w:ascii="Arial" w:hAnsi="Arial"/>
                <w:b w:val="0"/>
                <w:sz w:val="11"/>
              </w:rPr>
              <w:t>Citation placeholders / reference notes</w:t>
            </w:r>
          </w:p>
        </w:tc>
        <w:tc>
          <w:tcPr>
            <w:tcW w:type="dxa" w:w="2400"/>
            <w:vAlign w:val="top"/>
          </w:tcPr>
          <w:p>
            <w:pPr>
              <w:spacing w:after="0"/>
              <w:jc w:val="left"/>
            </w:pPr>
            <w:r>
              <w:rPr>
                <w:rFonts w:ascii="Arial" w:hAnsi="Arial"/>
                <w:b w:val="0"/>
                <w:sz w:val="11"/>
              </w:rPr>
              <w:t>Chapters 4, 7, 8, Appendices E/F</w:t>
            </w:r>
          </w:p>
        </w:tc>
        <w:tc>
          <w:tcPr>
            <w:tcW w:type="dxa" w:w="2400"/>
            <w:vAlign w:val="top"/>
          </w:tcPr>
          <w:p>
            <w:pPr>
              <w:spacing w:after="0"/>
              <w:jc w:val="left"/>
            </w:pPr>
            <w:r>
              <w:rPr>
                <w:rFonts w:ascii="Arial" w:hAnsi="Arial"/>
                <w:b w:val="0"/>
                <w:sz w:val="11"/>
              </w:rPr>
              <w:t>Verify citation rendering and article/standard references</w:t>
            </w:r>
          </w:p>
        </w:tc>
        <w:tc>
          <w:tcPr>
            <w:tcW w:type="dxa" w:w="2400"/>
            <w:vAlign w:val="top"/>
          </w:tcPr>
          <w:p>
            <w:pPr>
              <w:spacing w:after="0"/>
              <w:jc w:val="left"/>
            </w:pPr>
            <w:r>
              <w:rPr>
                <w:rFonts w:ascii="Arial" w:hAnsi="Arial"/>
                <w:b w:val="0"/>
                <w:sz w:val="11"/>
              </w:rPr>
              <w:t>Medium</w:t>
            </w:r>
          </w:p>
        </w:tc>
        <w:tc>
          <w:tcPr>
            <w:tcW w:type="dxa" w:w="2400"/>
            <w:vAlign w:val="top"/>
          </w:tcPr>
          <w:p>
            <w:pPr>
              <w:spacing w:after="0"/>
              <w:jc w:val="left"/>
            </w:pPr>
            <w:r>
              <w:rPr>
                <w:rFonts w:ascii="Arial" w:hAnsi="Arial"/>
                <w:b w:val="0"/>
                <w:sz w:val="11"/>
              </w:rPr>
              <w:t>Does not change legal interpretation</w:t>
            </w:r>
          </w:p>
        </w:tc>
      </w:tr>
      <w:tr>
        <w:trPr>
          <w:cantSplit/>
        </w:trPr>
        <w:tc>
          <w:tcPr>
            <w:tcW w:type="dxa" w:w="2400"/>
            <w:vAlign w:val="top"/>
          </w:tcPr>
          <w:p>
            <w:pPr>
              <w:spacing w:after="0"/>
              <w:jc w:val="left"/>
            </w:pPr>
            <w:r>
              <w:rPr>
                <w:rFonts w:ascii="Arial" w:hAnsi="Arial"/>
                <w:b w:val="0"/>
                <w:sz w:val="11"/>
              </w:rPr>
              <w:t>FIGURE-TABLE-REFERENCES</w:t>
            </w:r>
          </w:p>
        </w:tc>
        <w:tc>
          <w:tcPr>
            <w:tcW w:type="dxa" w:w="2400"/>
            <w:vAlign w:val="top"/>
          </w:tcPr>
          <w:p>
            <w:pPr>
              <w:spacing w:after="0"/>
              <w:jc w:val="left"/>
            </w:pPr>
            <w:r>
              <w:rPr>
                <w:rFonts w:ascii="Arial" w:hAnsi="Arial"/>
                <w:b w:val="0"/>
                <w:sz w:val="11"/>
              </w:rPr>
              <w:t>Internal references</w:t>
            </w:r>
          </w:p>
        </w:tc>
        <w:tc>
          <w:tcPr>
            <w:tcW w:type="dxa" w:w="2400"/>
            <w:vAlign w:val="top"/>
          </w:tcPr>
          <w:p>
            <w:pPr>
              <w:spacing w:after="0"/>
              <w:jc w:val="left"/>
            </w:pPr>
            <w:r>
              <w:rPr>
                <w:rFonts w:ascii="Arial" w:hAnsi="Arial"/>
                <w:b w:val="0"/>
                <w:sz w:val="11"/>
              </w:rPr>
              <w:t>Entire source</w:t>
            </w:r>
          </w:p>
        </w:tc>
        <w:tc>
          <w:tcPr>
            <w:tcW w:type="dxa" w:w="2400"/>
            <w:vAlign w:val="top"/>
          </w:tcPr>
          <w:p>
            <w:pPr>
              <w:spacing w:after="0"/>
              <w:jc w:val="left"/>
            </w:pPr>
            <w:r>
              <w:rPr>
                <w:rFonts w:ascii="Arial" w:hAnsi="Arial"/>
                <w:b w:val="0"/>
                <w:sz w:val="11"/>
              </w:rPr>
              <w:t>Verify table and figure references render correctly</w:t>
            </w:r>
          </w:p>
        </w:tc>
        <w:tc>
          <w:tcPr>
            <w:tcW w:type="dxa" w:w="2400"/>
            <w:vAlign w:val="top"/>
          </w:tcPr>
          <w:p>
            <w:pPr>
              <w:spacing w:after="0"/>
              <w:jc w:val="left"/>
            </w:pPr>
            <w:r>
              <w:rPr>
                <w:rFonts w:ascii="Arial" w:hAnsi="Arial"/>
                <w:b w:val="0"/>
                <w:sz w:val="11"/>
              </w:rPr>
              <w:t>Medium</w:t>
            </w:r>
          </w:p>
        </w:tc>
        <w:tc>
          <w:tcPr>
            <w:tcW w:type="dxa" w:w="2400"/>
            <w:vAlign w:val="top"/>
          </w:tcPr>
          <w:p>
            <w:pPr>
              <w:spacing w:after="0"/>
              <w:jc w:val="left"/>
            </w:pPr>
            <w:r>
              <w:rPr>
                <w:rFonts w:ascii="Arial" w:hAnsi="Arial"/>
                <w:b w:val="0"/>
                <w:sz w:val="11"/>
              </w:rPr>
              <w:t>Coordinate with Phase 1D layout QA</w:t>
            </w:r>
          </w:p>
        </w:tc>
      </w:tr>
    </w:tbl>
    <w:p>
      <w:pPr>
        <w:sectPr>
          <w:pgSz w:w="15840" w:h="12240" w:orient="landscape"/>
          <w:pgMar w:top="792" w:right="648" w:bottom="792" w:left="648" w:header="720" w:footer="720" w:gutter="0"/>
          <w:cols w:space="720"/>
          <w:docGrid w:linePitch="360"/>
        </w:sectPr>
      </w:pPr>
    </w:p>
    <w:p/>
    <w:p>
      <w:r>
        <w:t>Phase 1C follow-up located or validated official source entry points for the high-priority L2 groups. Final page-level citation pinning and DOCX/PDF citation rendering remain Phase 1D/publication-candidate tasks.</w:t>
      </w:r>
    </w:p>
    <w:p/>
    <w:p/>
    <w:p>
      <w:pPr>
        <w:pStyle w:val="Heading2"/>
      </w:pPr>
      <w:r>
        <w:t>I.5 Evidence Level Reclassification Rules</w:t>
      </w:r>
    </w:p>
    <w:p/>
    <w:p>
      <w:pPr>
        <w:keepNext/>
      </w:pPr>
      <w:r>
        <w:rPr>
          <w:b/>
          <w:sz w:val="17"/>
        </w:rPr>
        <w:t>Table T-I-03: Evidence Level Reclassification Rules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1"/>
              </w:rPr>
              <w:t>Current Level</w:t>
            </w:r>
          </w:p>
        </w:tc>
        <w:tc>
          <w:tcPr>
            <w:tcW w:type="dxa" w:w="2880"/>
            <w:vAlign w:val="top"/>
            <w:shd w:fill="D9EAF7"/>
          </w:tcPr>
          <w:p>
            <w:pPr>
              <w:spacing w:after="0"/>
              <w:jc w:val="left"/>
            </w:pPr>
            <w:r>
              <w:rPr>
                <w:rFonts w:ascii="Arial" w:hAnsi="Arial"/>
                <w:b/>
                <w:sz w:val="11"/>
              </w:rPr>
              <w:t>Trigger for Reclassification</w:t>
            </w:r>
          </w:p>
        </w:tc>
        <w:tc>
          <w:tcPr>
            <w:tcW w:type="dxa" w:w="2880"/>
            <w:vAlign w:val="top"/>
            <w:shd w:fill="D9EAF7"/>
          </w:tcPr>
          <w:p>
            <w:pPr>
              <w:spacing w:after="0"/>
              <w:jc w:val="left"/>
            </w:pPr>
            <w:r>
              <w:rPr>
                <w:rFonts w:ascii="Arial" w:hAnsi="Arial"/>
                <w:b/>
                <w:sz w:val="11"/>
              </w:rPr>
              <w:t>New Level</w:t>
            </w:r>
          </w:p>
        </w:tc>
        <w:tc>
          <w:tcPr>
            <w:tcW w:type="dxa" w:w="2880"/>
            <w:vAlign w:val="top"/>
            <w:shd w:fill="D9EAF7"/>
          </w:tcPr>
          <w:p>
            <w:pPr>
              <w:spacing w:after="0"/>
              <w:jc w:val="left"/>
            </w:pPr>
            <w:r>
              <w:rPr>
                <w:rFonts w:ascii="Arial" w:hAnsi="Arial"/>
                <w:b/>
                <w:sz w:val="11"/>
              </w:rPr>
              <w:t>Required Documentation</w:t>
            </w:r>
          </w:p>
        </w:tc>
        <w:tc>
          <w:tcPr>
            <w:tcW w:type="dxa" w:w="2880"/>
            <w:vAlign w:val="top"/>
            <w:shd w:fill="D9EAF7"/>
          </w:tcPr>
          <w:p>
            <w:pPr>
              <w:spacing w:after="0"/>
              <w:jc w:val="left"/>
            </w:pPr>
            <w:r>
              <w:rPr>
                <w:rFonts w:ascii="Arial" w:hAnsi="Arial"/>
                <w:b/>
                <w:sz w:val="11"/>
              </w:rPr>
              <w:t>Reviewer Note</w:t>
            </w:r>
          </w:p>
        </w:tc>
      </w:tr>
      <w:tr>
        <w:trPr>
          <w:cantSplit/>
        </w:trPr>
        <w:tc>
          <w:tcPr>
            <w:tcW w:type="dxa" w:w="2880"/>
            <w:vAlign w:val="top"/>
          </w:tcPr>
          <w:p>
            <w:pPr>
              <w:spacing w:after="0"/>
              <w:jc w:val="left"/>
            </w:pPr>
            <w:r>
              <w:rPr>
                <w:rFonts w:ascii="Arial" w:hAnsi="Arial"/>
                <w:b w:val="0"/>
                <w:sz w:val="11"/>
              </w:rPr>
              <w:t>L5 author inference</w:t>
            </w:r>
          </w:p>
        </w:tc>
        <w:tc>
          <w:tcPr>
            <w:tcW w:type="dxa" w:w="2880"/>
            <w:vAlign w:val="top"/>
          </w:tcPr>
          <w:p>
            <w:pPr>
              <w:spacing w:after="0"/>
              <w:jc w:val="left"/>
            </w:pPr>
            <w:r>
              <w:rPr>
                <w:rFonts w:ascii="Arial" w:hAnsi="Arial"/>
                <w:b w:val="0"/>
                <w:sz w:val="11"/>
              </w:rPr>
              <w:t>Official product documentation directly supports the claim</w:t>
            </w:r>
          </w:p>
        </w:tc>
        <w:tc>
          <w:tcPr>
            <w:tcW w:type="dxa" w:w="2880"/>
            <w:vAlign w:val="top"/>
          </w:tcPr>
          <w:p>
            <w:pPr>
              <w:spacing w:after="0"/>
              <w:jc w:val="left"/>
            </w:pPr>
            <w:r>
              <w:rPr>
                <w:rFonts w:ascii="Arial" w:hAnsi="Arial"/>
                <w:b w:val="0"/>
                <w:sz w:val="11"/>
              </w:rPr>
              <w:t>L2</w:t>
            </w:r>
          </w:p>
        </w:tc>
        <w:tc>
          <w:tcPr>
            <w:tcW w:type="dxa" w:w="2880"/>
            <w:vAlign w:val="top"/>
          </w:tcPr>
          <w:p>
            <w:pPr>
              <w:spacing w:after="0"/>
              <w:jc w:val="left"/>
            </w:pPr>
            <w:r>
              <w:rPr>
                <w:rFonts w:ascii="Arial" w:hAnsi="Arial"/>
                <w:b w:val="0"/>
                <w:sz w:val="11"/>
              </w:rPr>
              <w:t>Source URL, publication/access date, quoted claim summary, mapped claim location</w:t>
            </w:r>
          </w:p>
        </w:tc>
        <w:tc>
          <w:tcPr>
            <w:tcW w:type="dxa" w:w="2880"/>
            <w:vAlign w:val="top"/>
          </w:tcPr>
          <w:p>
            <w:pPr>
              <w:spacing w:after="0"/>
              <w:jc w:val="left"/>
            </w:pPr>
            <w:r>
              <w:rPr>
                <w:rFonts w:ascii="Arial" w:hAnsi="Arial"/>
                <w:b w:val="0"/>
                <w:sz w:val="11"/>
              </w:rPr>
              <w:t>Do not reclassify based on assumption</w:t>
            </w:r>
          </w:p>
        </w:tc>
      </w:tr>
      <w:tr>
        <w:trPr>
          <w:cantSplit/>
        </w:trPr>
        <w:tc>
          <w:tcPr>
            <w:tcW w:type="dxa" w:w="2880"/>
            <w:vAlign w:val="top"/>
          </w:tcPr>
          <w:p>
            <w:pPr>
              <w:spacing w:after="0"/>
              <w:jc w:val="left"/>
            </w:pPr>
            <w:r>
              <w:rPr>
                <w:rFonts w:ascii="Arial" w:hAnsi="Arial"/>
                <w:b w:val="0"/>
                <w:sz w:val="11"/>
              </w:rPr>
              <w:t>L4 vendor claim</w:t>
            </w:r>
          </w:p>
        </w:tc>
        <w:tc>
          <w:tcPr>
            <w:tcW w:type="dxa" w:w="2880"/>
            <w:vAlign w:val="top"/>
          </w:tcPr>
          <w:p>
            <w:pPr>
              <w:spacing w:after="0"/>
              <w:jc w:val="left"/>
            </w:pPr>
            <w:r>
              <w:rPr>
                <w:rFonts w:ascii="Arial" w:hAnsi="Arial"/>
                <w:b w:val="0"/>
                <w:sz w:val="11"/>
              </w:rPr>
              <w:t>Claim is found in official technical documentation with implementation detail</w:t>
            </w:r>
          </w:p>
        </w:tc>
        <w:tc>
          <w:tcPr>
            <w:tcW w:type="dxa" w:w="2880"/>
            <w:vAlign w:val="top"/>
          </w:tcPr>
          <w:p>
            <w:pPr>
              <w:spacing w:after="0"/>
              <w:jc w:val="left"/>
            </w:pPr>
            <w:r>
              <w:rPr>
                <w:rFonts w:ascii="Arial" w:hAnsi="Arial"/>
                <w:b w:val="0"/>
                <w:sz w:val="11"/>
              </w:rPr>
              <w:t>L2</w:t>
            </w:r>
          </w:p>
        </w:tc>
        <w:tc>
          <w:tcPr>
            <w:tcW w:type="dxa" w:w="2880"/>
            <w:vAlign w:val="top"/>
          </w:tcPr>
          <w:p>
            <w:pPr>
              <w:spacing w:after="0"/>
              <w:jc w:val="left"/>
            </w:pPr>
            <w:r>
              <w:rPr>
                <w:rFonts w:ascii="Arial" w:hAnsi="Arial"/>
                <w:b w:val="0"/>
                <w:sz w:val="11"/>
              </w:rPr>
              <w:t>Official documentation reference and implementation detail</w:t>
            </w:r>
          </w:p>
        </w:tc>
        <w:tc>
          <w:tcPr>
            <w:tcW w:type="dxa" w:w="2880"/>
            <w:vAlign w:val="top"/>
          </w:tcPr>
          <w:p>
            <w:pPr>
              <w:spacing w:after="0"/>
              <w:jc w:val="left"/>
            </w:pPr>
            <w:r>
              <w:rPr>
                <w:rFonts w:ascii="Arial" w:hAnsi="Arial"/>
                <w:b w:val="0"/>
                <w:sz w:val="11"/>
              </w:rPr>
              <w:t>Marketing-only material remains L4</w:t>
            </w:r>
          </w:p>
        </w:tc>
      </w:tr>
      <w:tr>
        <w:trPr>
          <w:cantSplit/>
        </w:trPr>
        <w:tc>
          <w:tcPr>
            <w:tcW w:type="dxa" w:w="2880"/>
            <w:vAlign w:val="top"/>
          </w:tcPr>
          <w:p>
            <w:pPr>
              <w:spacing w:after="0"/>
              <w:jc w:val="left"/>
            </w:pPr>
            <w:r>
              <w:rPr>
                <w:rFonts w:ascii="Arial" w:hAnsi="Arial"/>
                <w:b w:val="0"/>
                <w:sz w:val="11"/>
              </w:rPr>
              <w:t>L2 product documentation</w:t>
            </w:r>
          </w:p>
        </w:tc>
        <w:tc>
          <w:tcPr>
            <w:tcW w:type="dxa" w:w="2880"/>
            <w:vAlign w:val="top"/>
          </w:tcPr>
          <w:p>
            <w:pPr>
              <w:spacing w:after="0"/>
              <w:jc w:val="left"/>
            </w:pPr>
            <w:r>
              <w:rPr>
                <w:rFonts w:ascii="Arial" w:hAnsi="Arial"/>
                <w:b w:val="0"/>
                <w:sz w:val="11"/>
              </w:rPr>
              <w:t>Documentation no longer exists, changed materially, or no longer supports the claim</w:t>
            </w:r>
          </w:p>
        </w:tc>
        <w:tc>
          <w:tcPr>
            <w:tcW w:type="dxa" w:w="2880"/>
            <w:vAlign w:val="top"/>
          </w:tcPr>
          <w:p>
            <w:pPr>
              <w:spacing w:after="0"/>
              <w:jc w:val="left"/>
            </w:pPr>
            <w:r>
              <w:rPr>
                <w:rFonts w:ascii="Arial" w:hAnsi="Arial"/>
                <w:b w:val="0"/>
                <w:sz w:val="11"/>
              </w:rPr>
              <w:t>L4 or L5</w:t>
            </w:r>
          </w:p>
        </w:tc>
        <w:tc>
          <w:tcPr>
            <w:tcW w:type="dxa" w:w="2880"/>
            <w:vAlign w:val="top"/>
          </w:tcPr>
          <w:p>
            <w:pPr>
              <w:spacing w:after="0"/>
              <w:jc w:val="left"/>
            </w:pPr>
            <w:r>
              <w:rPr>
                <w:rFonts w:ascii="Arial" w:hAnsi="Arial"/>
                <w:b w:val="0"/>
                <w:sz w:val="11"/>
              </w:rPr>
              <w:t>Change note, archived pointer if available, unsupported claim record</w:t>
            </w:r>
          </w:p>
        </w:tc>
        <w:tc>
          <w:tcPr>
            <w:tcW w:type="dxa" w:w="2880"/>
            <w:vAlign w:val="top"/>
          </w:tcPr>
          <w:p>
            <w:pPr>
              <w:spacing w:after="0"/>
              <w:jc w:val="left"/>
            </w:pPr>
            <w:r>
              <w:rPr>
                <w:rFonts w:ascii="Arial" w:hAnsi="Arial"/>
                <w:b w:val="0"/>
                <w:sz w:val="11"/>
              </w:rPr>
              <w:t>Downgrade evidence rather than preserving stale confidence</w:t>
            </w:r>
          </w:p>
        </w:tc>
      </w:tr>
      <w:tr>
        <w:trPr>
          <w:cantSplit/>
        </w:trPr>
        <w:tc>
          <w:tcPr>
            <w:tcW w:type="dxa" w:w="2880"/>
            <w:vAlign w:val="top"/>
          </w:tcPr>
          <w:p>
            <w:pPr>
              <w:spacing w:after="0"/>
              <w:jc w:val="left"/>
            </w:pPr>
            <w:r>
              <w:rPr>
                <w:rFonts w:ascii="Arial" w:hAnsi="Arial"/>
                <w:b w:val="0"/>
                <w:sz w:val="11"/>
              </w:rPr>
              <w:t>L2 product documentation</w:t>
            </w:r>
          </w:p>
        </w:tc>
        <w:tc>
          <w:tcPr>
            <w:tcW w:type="dxa" w:w="2880"/>
            <w:vAlign w:val="top"/>
          </w:tcPr>
          <w:p>
            <w:pPr>
              <w:spacing w:after="0"/>
              <w:jc w:val="left"/>
            </w:pPr>
            <w:r>
              <w:rPr>
                <w:rFonts w:ascii="Arial" w:hAnsi="Arial"/>
                <w:b w:val="0"/>
                <w:sz w:val="11"/>
              </w:rPr>
              <w:t>Third-party audit report validates implementation detail</w:t>
            </w:r>
          </w:p>
        </w:tc>
        <w:tc>
          <w:tcPr>
            <w:tcW w:type="dxa" w:w="2880"/>
            <w:vAlign w:val="top"/>
          </w:tcPr>
          <w:p>
            <w:pPr>
              <w:spacing w:after="0"/>
              <w:jc w:val="left"/>
            </w:pPr>
            <w:r>
              <w:rPr>
                <w:rFonts w:ascii="Arial" w:hAnsi="Arial"/>
                <w:b w:val="0"/>
                <w:sz w:val="11"/>
              </w:rPr>
              <w:t>L3</w:t>
            </w:r>
          </w:p>
        </w:tc>
        <w:tc>
          <w:tcPr>
            <w:tcW w:type="dxa" w:w="2880"/>
            <w:vAlign w:val="top"/>
          </w:tcPr>
          <w:p>
            <w:pPr>
              <w:spacing w:after="0"/>
              <w:jc w:val="left"/>
            </w:pPr>
            <w:r>
              <w:rPr>
                <w:rFonts w:ascii="Arial" w:hAnsi="Arial"/>
                <w:b w:val="0"/>
                <w:sz w:val="11"/>
              </w:rPr>
              <w:t>Audit report reference, scope, date, and control mapping</w:t>
            </w:r>
          </w:p>
        </w:tc>
        <w:tc>
          <w:tcPr>
            <w:tcW w:type="dxa" w:w="2880"/>
            <w:vAlign w:val="top"/>
          </w:tcPr>
          <w:p>
            <w:pPr>
              <w:spacing w:after="0"/>
              <w:jc w:val="left"/>
            </w:pPr>
            <w:r>
              <w:rPr>
                <w:rFonts w:ascii="Arial" w:hAnsi="Arial"/>
                <w:b w:val="0"/>
                <w:sz w:val="11"/>
              </w:rPr>
              <w:t>Audit scope must match claim scope</w:t>
            </w:r>
          </w:p>
        </w:tc>
      </w:tr>
      <w:tr>
        <w:trPr>
          <w:cantSplit/>
        </w:trPr>
        <w:tc>
          <w:tcPr>
            <w:tcW w:type="dxa" w:w="2880"/>
            <w:vAlign w:val="top"/>
          </w:tcPr>
          <w:p>
            <w:pPr>
              <w:spacing w:after="0"/>
              <w:jc w:val="left"/>
            </w:pPr>
            <w:r>
              <w:rPr>
                <w:rFonts w:ascii="Arial" w:hAnsi="Arial"/>
                <w:b w:val="0"/>
                <w:sz w:val="11"/>
              </w:rPr>
              <w:t>L3 audit report</w:t>
            </w:r>
          </w:p>
        </w:tc>
        <w:tc>
          <w:tcPr>
            <w:tcW w:type="dxa" w:w="2880"/>
            <w:vAlign w:val="top"/>
          </w:tcPr>
          <w:p>
            <w:pPr>
              <w:spacing w:after="0"/>
              <w:jc w:val="left"/>
            </w:pPr>
            <w:r>
              <w:rPr>
                <w:rFonts w:ascii="Arial" w:hAnsi="Arial"/>
                <w:b w:val="0"/>
                <w:sz w:val="11"/>
              </w:rPr>
              <w:t>Audit scope does not cover the claim or is not accessible</w:t>
            </w:r>
          </w:p>
        </w:tc>
        <w:tc>
          <w:tcPr>
            <w:tcW w:type="dxa" w:w="2880"/>
            <w:vAlign w:val="top"/>
          </w:tcPr>
          <w:p>
            <w:pPr>
              <w:spacing w:after="0"/>
              <w:jc w:val="left"/>
            </w:pPr>
            <w:r>
              <w:rPr>
                <w:rFonts w:ascii="Arial" w:hAnsi="Arial"/>
                <w:b w:val="0"/>
                <w:sz w:val="11"/>
              </w:rPr>
              <w:t>L4 or L5</w:t>
            </w:r>
          </w:p>
        </w:tc>
        <w:tc>
          <w:tcPr>
            <w:tcW w:type="dxa" w:w="2880"/>
            <w:vAlign w:val="top"/>
          </w:tcPr>
          <w:p>
            <w:pPr>
              <w:spacing w:after="0"/>
              <w:jc w:val="left"/>
            </w:pPr>
            <w:r>
              <w:rPr>
                <w:rFonts w:ascii="Arial" w:hAnsi="Arial"/>
                <w:b w:val="0"/>
                <w:sz w:val="11"/>
              </w:rPr>
              <w:t>Gap explanation and reviewer note</w:t>
            </w:r>
          </w:p>
        </w:tc>
        <w:tc>
          <w:tcPr>
            <w:tcW w:type="dxa" w:w="2880"/>
            <w:vAlign w:val="top"/>
          </w:tcPr>
          <w:p>
            <w:pPr>
              <w:spacing w:after="0"/>
              <w:jc w:val="left"/>
            </w:pPr>
            <w:r>
              <w:rPr>
                <w:rFonts w:ascii="Arial" w:hAnsi="Arial"/>
                <w:b w:val="0"/>
                <w:sz w:val="11"/>
              </w:rPr>
              <w:t>Do not infer coverage from report existence</w:t>
            </w:r>
          </w:p>
        </w:tc>
      </w:tr>
      <w:tr>
        <w:trPr>
          <w:cantSplit/>
        </w:trPr>
        <w:tc>
          <w:tcPr>
            <w:tcW w:type="dxa" w:w="2880"/>
            <w:vAlign w:val="top"/>
          </w:tcPr>
          <w:p>
            <w:pPr>
              <w:spacing w:after="0"/>
              <w:jc w:val="left"/>
            </w:pPr>
            <w:r>
              <w:rPr>
                <w:rFonts w:ascii="Arial" w:hAnsi="Arial"/>
                <w:b w:val="0"/>
                <w:sz w:val="11"/>
              </w:rPr>
              <w:t>L1 legal text</w:t>
            </w:r>
          </w:p>
        </w:tc>
        <w:tc>
          <w:tcPr>
            <w:tcW w:type="dxa" w:w="2880"/>
            <w:vAlign w:val="top"/>
          </w:tcPr>
          <w:p>
            <w:pPr>
              <w:spacing w:after="0"/>
              <w:jc w:val="left"/>
            </w:pPr>
            <w:r>
              <w:rPr>
                <w:rFonts w:ascii="Arial" w:hAnsi="Arial"/>
                <w:b w:val="0"/>
                <w:sz w:val="11"/>
              </w:rPr>
              <w:t>Legal text establishes regulatory baseline but not system implementation</w:t>
            </w:r>
          </w:p>
        </w:tc>
        <w:tc>
          <w:tcPr>
            <w:tcW w:type="dxa" w:w="2880"/>
            <w:vAlign w:val="top"/>
          </w:tcPr>
          <w:p>
            <w:pPr>
              <w:spacing w:after="0"/>
              <w:jc w:val="left"/>
            </w:pPr>
            <w:r>
              <w:rPr>
                <w:rFonts w:ascii="Arial" w:hAnsi="Arial"/>
                <w:b w:val="0"/>
                <w:sz w:val="11"/>
              </w:rPr>
              <w:t>L1 for baseline only</w:t>
            </w:r>
          </w:p>
        </w:tc>
        <w:tc>
          <w:tcPr>
            <w:tcW w:type="dxa" w:w="2880"/>
            <w:vAlign w:val="top"/>
          </w:tcPr>
          <w:p>
            <w:pPr>
              <w:spacing w:after="0"/>
              <w:jc w:val="left"/>
            </w:pPr>
            <w:r>
              <w:rPr>
                <w:rFonts w:ascii="Arial" w:hAnsi="Arial"/>
                <w:b w:val="0"/>
                <w:sz w:val="11"/>
              </w:rPr>
              <w:t>Citation and claim boundary note</w:t>
            </w:r>
          </w:p>
        </w:tc>
        <w:tc>
          <w:tcPr>
            <w:tcW w:type="dxa" w:w="2880"/>
            <w:vAlign w:val="top"/>
          </w:tcPr>
          <w:p>
            <w:pPr>
              <w:spacing w:after="0"/>
              <w:jc w:val="left"/>
            </w:pPr>
            <w:r>
              <w:rPr>
                <w:rFonts w:ascii="Arial" w:hAnsi="Arial"/>
                <w:b w:val="0"/>
                <w:sz w:val="11"/>
              </w:rPr>
              <w:t>Do not use legal text alone as implementation evidence</w:t>
            </w:r>
          </w:p>
        </w:tc>
      </w:tr>
      <w:tr>
        <w:trPr>
          <w:cantSplit/>
        </w:trPr>
        <w:tc>
          <w:tcPr>
            <w:tcW w:type="dxa" w:w="2880"/>
            <w:vAlign w:val="top"/>
          </w:tcPr>
          <w:p>
            <w:pPr>
              <w:spacing w:after="0"/>
              <w:jc w:val="left"/>
            </w:pPr>
            <w:r>
              <w:rPr>
                <w:rFonts w:ascii="Arial" w:hAnsi="Arial"/>
                <w:b w:val="0"/>
                <w:sz w:val="11"/>
              </w:rPr>
              <w:t>Any level</w:t>
            </w:r>
          </w:p>
        </w:tc>
        <w:tc>
          <w:tcPr>
            <w:tcW w:type="dxa" w:w="2880"/>
            <w:vAlign w:val="top"/>
          </w:tcPr>
          <w:p>
            <w:pPr>
              <w:spacing w:after="0"/>
              <w:jc w:val="left"/>
            </w:pPr>
            <w:r>
              <w:rPr>
                <w:rFonts w:ascii="Arial" w:hAnsi="Arial"/>
                <w:b w:val="0"/>
                <w:sz w:val="11"/>
              </w:rPr>
              <w:t>Source is unverifiable during Phase 1C</w:t>
            </w:r>
          </w:p>
        </w:tc>
        <w:tc>
          <w:tcPr>
            <w:tcW w:type="dxa" w:w="2880"/>
            <w:vAlign w:val="top"/>
          </w:tcPr>
          <w:p>
            <w:pPr>
              <w:spacing w:after="0"/>
              <w:jc w:val="left"/>
            </w:pPr>
            <w:r>
              <w:rPr>
                <w:rFonts w:ascii="Arial" w:hAnsi="Arial"/>
                <w:b w:val="0"/>
                <w:sz w:val="11"/>
              </w:rPr>
              <w:t>Lower confidence level or unresolved</w:t>
            </w:r>
          </w:p>
        </w:tc>
        <w:tc>
          <w:tcPr>
            <w:tcW w:type="dxa" w:w="2880"/>
            <w:vAlign w:val="top"/>
          </w:tcPr>
          <w:p>
            <w:pPr>
              <w:spacing w:after="0"/>
              <w:jc w:val="left"/>
            </w:pPr>
            <w:r>
              <w:rPr>
                <w:rFonts w:ascii="Arial" w:hAnsi="Arial"/>
                <w:b w:val="0"/>
                <w:sz w:val="11"/>
              </w:rPr>
              <w:t>Verification attempt log and unresolved issue record</w:t>
            </w:r>
          </w:p>
        </w:tc>
        <w:tc>
          <w:tcPr>
            <w:tcW w:type="dxa" w:w="2880"/>
            <w:vAlign w:val="top"/>
          </w:tcPr>
          <w:p>
            <w:pPr>
              <w:spacing w:after="0"/>
              <w:jc w:val="left"/>
            </w:pPr>
            <w:r>
              <w:rPr>
                <w:rFonts w:ascii="Arial" w:hAnsi="Arial"/>
                <w:b w:val="0"/>
                <w:sz w:val="11"/>
              </w:rPr>
              <w:t>Preserve uncertainty explicitly</w:t>
            </w:r>
          </w:p>
        </w:tc>
      </w:tr>
    </w:tbl>
    <w:p>
      <w:pPr>
        <w:sectPr>
          <w:pgSz w:w="12240" w:h="15840" w:orient="landscape"/>
          <w:pgMar w:top="792" w:right="648" w:bottom="792" w:left="648" w:header="720" w:footer="720" w:gutter="0"/>
          <w:cols w:space="720"/>
          <w:docGrid w:linePitch="360"/>
        </w:sectPr>
      </w:pPr>
    </w:p>
    <w:p/>
    <w:p/>
    <w:p>
      <w:pPr>
        <w:pStyle w:val="Heading2"/>
      </w:pPr>
      <w:r>
        <w:t>I.6 Source Coverage Matrix Validation Note</w:t>
      </w:r>
    </w:p>
    <w:p/>
    <w:p>
      <w:pPr>
        <w:keepNext/>
      </w:pPr>
      <w:r>
        <w:rPr>
          <w:b/>
          <w:sz w:val="17"/>
        </w:rPr>
        <w:t>Table T-I-04: Source Coverage Matrix Validation Checklist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1"/>
              </w:rPr>
              <w:t>Coverage Area</w:t>
            </w:r>
          </w:p>
        </w:tc>
        <w:tc>
          <w:tcPr>
            <w:tcW w:type="dxa" w:w="2880"/>
            <w:vAlign w:val="top"/>
            <w:shd w:fill="D9EAF7"/>
          </w:tcPr>
          <w:p>
            <w:pPr>
              <w:spacing w:after="0"/>
              <w:jc w:val="left"/>
            </w:pPr>
            <w:r>
              <w:rPr>
                <w:rFonts w:ascii="Arial" w:hAnsi="Arial"/>
                <w:b/>
                <w:sz w:val="11"/>
              </w:rPr>
              <w:t>Expected Source Type</w:t>
            </w:r>
          </w:p>
        </w:tc>
        <w:tc>
          <w:tcPr>
            <w:tcW w:type="dxa" w:w="2880"/>
            <w:vAlign w:val="top"/>
            <w:shd w:fill="D9EAF7"/>
          </w:tcPr>
          <w:p>
            <w:pPr>
              <w:spacing w:after="0"/>
              <w:jc w:val="left"/>
            </w:pPr>
            <w:r>
              <w:rPr>
                <w:rFonts w:ascii="Arial" w:hAnsi="Arial"/>
                <w:b/>
                <w:sz w:val="11"/>
              </w:rPr>
              <w:t>Current Status</w:t>
            </w:r>
          </w:p>
        </w:tc>
        <w:tc>
          <w:tcPr>
            <w:tcW w:type="dxa" w:w="2880"/>
            <w:vAlign w:val="top"/>
            <w:shd w:fill="D9EAF7"/>
          </w:tcPr>
          <w:p>
            <w:pPr>
              <w:spacing w:after="0"/>
              <w:jc w:val="left"/>
            </w:pPr>
            <w:r>
              <w:rPr>
                <w:rFonts w:ascii="Arial" w:hAnsi="Arial"/>
                <w:b/>
                <w:sz w:val="11"/>
              </w:rPr>
              <w:t>Gap</w:t>
            </w:r>
          </w:p>
        </w:tc>
        <w:tc>
          <w:tcPr>
            <w:tcW w:type="dxa" w:w="2880"/>
            <w:vAlign w:val="top"/>
            <w:shd w:fill="D9EAF7"/>
          </w:tcPr>
          <w:p>
            <w:pPr>
              <w:spacing w:after="0"/>
              <w:jc w:val="left"/>
            </w:pPr>
            <w:r>
              <w:rPr>
                <w:rFonts w:ascii="Arial" w:hAnsi="Arial"/>
                <w:b/>
                <w:sz w:val="11"/>
              </w:rPr>
              <w:t>Phase 1C Action</w:t>
            </w:r>
          </w:p>
        </w:tc>
      </w:tr>
      <w:tr>
        <w:trPr>
          <w:cantSplit/>
        </w:trPr>
        <w:tc>
          <w:tcPr>
            <w:tcW w:type="dxa" w:w="2880"/>
            <w:vAlign w:val="top"/>
          </w:tcPr>
          <w:p>
            <w:pPr>
              <w:spacing w:after="0"/>
              <w:jc w:val="left"/>
            </w:pPr>
            <w:r>
              <w:rPr>
                <w:rFonts w:ascii="Arial" w:hAnsi="Arial"/>
                <w:b w:val="0"/>
                <w:sz w:val="11"/>
              </w:rPr>
              <w:t>Legal baseline claims</w:t>
            </w:r>
          </w:p>
        </w:tc>
        <w:tc>
          <w:tcPr>
            <w:tcW w:type="dxa" w:w="2880"/>
            <w:vAlign w:val="top"/>
          </w:tcPr>
          <w:p>
            <w:pPr>
              <w:spacing w:after="0"/>
              <w:jc w:val="left"/>
            </w:pPr>
            <w:r>
              <w:rPr>
                <w:rFonts w:ascii="Arial" w:hAnsi="Arial"/>
                <w:b w:val="0"/>
                <w:sz w:val="11"/>
              </w:rPr>
              <w:t>L1 legal / regulatory text</w:t>
            </w:r>
          </w:p>
        </w:tc>
        <w:tc>
          <w:tcPr>
            <w:tcW w:type="dxa" w:w="2880"/>
            <w:vAlign w:val="top"/>
          </w:tcPr>
          <w:p>
            <w:pPr>
              <w:spacing w:after="0"/>
              <w:jc w:val="left"/>
            </w:pPr>
            <w:r>
              <w:rPr>
                <w:rFonts w:ascii="Arial" w:hAnsi="Arial"/>
                <w:b w:val="0"/>
                <w:sz w:val="11"/>
              </w:rPr>
              <w:t>Referenced in baseline chapters</w:t>
            </w:r>
          </w:p>
        </w:tc>
        <w:tc>
          <w:tcPr>
            <w:tcW w:type="dxa" w:w="2880"/>
            <w:vAlign w:val="top"/>
          </w:tcPr>
          <w:p>
            <w:pPr>
              <w:spacing w:after="0"/>
              <w:jc w:val="left"/>
            </w:pPr>
            <w:r>
              <w:rPr>
                <w:rFonts w:ascii="Arial" w:hAnsi="Arial"/>
                <w:b w:val="0"/>
                <w:sz w:val="11"/>
              </w:rPr>
              <w:t>Citation rendering and article mapping not globally validated</w:t>
            </w:r>
          </w:p>
        </w:tc>
        <w:tc>
          <w:tcPr>
            <w:tcW w:type="dxa" w:w="2880"/>
            <w:vAlign w:val="top"/>
          </w:tcPr>
          <w:p>
            <w:pPr>
              <w:spacing w:after="0"/>
              <w:jc w:val="left"/>
            </w:pPr>
            <w:r>
              <w:rPr>
                <w:rFonts w:ascii="Arial" w:hAnsi="Arial"/>
                <w:b w:val="0"/>
                <w:sz w:val="11"/>
              </w:rPr>
              <w:t>Verify all legal citations and claim boundaries</w:t>
            </w:r>
          </w:p>
        </w:tc>
      </w:tr>
      <w:tr>
        <w:trPr>
          <w:cantSplit/>
        </w:trPr>
        <w:tc>
          <w:tcPr>
            <w:tcW w:type="dxa" w:w="2880"/>
            <w:vAlign w:val="top"/>
          </w:tcPr>
          <w:p>
            <w:pPr>
              <w:spacing w:after="0"/>
              <w:jc w:val="left"/>
            </w:pPr>
            <w:r>
              <w:rPr>
                <w:rFonts w:ascii="Arial" w:hAnsi="Arial"/>
                <w:b w:val="0"/>
                <w:sz w:val="11"/>
              </w:rPr>
              <w:t>Standards baseline claims</w:t>
            </w:r>
          </w:p>
        </w:tc>
        <w:tc>
          <w:tcPr>
            <w:tcW w:type="dxa" w:w="2880"/>
            <w:vAlign w:val="top"/>
          </w:tcPr>
          <w:p>
            <w:pPr>
              <w:spacing w:after="0"/>
              <w:jc w:val="left"/>
            </w:pPr>
            <w:r>
              <w:rPr>
                <w:rFonts w:ascii="Arial" w:hAnsi="Arial"/>
                <w:b w:val="0"/>
                <w:sz w:val="11"/>
              </w:rPr>
              <w:t>L1 formal standards</w:t>
            </w:r>
          </w:p>
        </w:tc>
        <w:tc>
          <w:tcPr>
            <w:tcW w:type="dxa" w:w="2880"/>
            <w:vAlign w:val="top"/>
          </w:tcPr>
          <w:p>
            <w:pPr>
              <w:spacing w:after="0"/>
              <w:jc w:val="left"/>
            </w:pPr>
            <w:r>
              <w:rPr>
                <w:rFonts w:ascii="Arial" w:hAnsi="Arial"/>
                <w:b w:val="0"/>
                <w:sz w:val="11"/>
              </w:rPr>
              <w:t>Referenced in baseline chapters</w:t>
            </w:r>
          </w:p>
        </w:tc>
        <w:tc>
          <w:tcPr>
            <w:tcW w:type="dxa" w:w="2880"/>
            <w:vAlign w:val="top"/>
          </w:tcPr>
          <w:p>
            <w:pPr>
              <w:spacing w:after="0"/>
              <w:jc w:val="left"/>
            </w:pPr>
            <w:r>
              <w:rPr>
                <w:rFonts w:ascii="Arial" w:hAnsi="Arial"/>
                <w:b w:val="0"/>
                <w:sz w:val="11"/>
              </w:rPr>
              <w:t>Citation rendering and standard references not globally validated</w:t>
            </w:r>
          </w:p>
        </w:tc>
        <w:tc>
          <w:tcPr>
            <w:tcW w:type="dxa" w:w="2880"/>
            <w:vAlign w:val="top"/>
          </w:tcPr>
          <w:p>
            <w:pPr>
              <w:spacing w:after="0"/>
              <w:jc w:val="left"/>
            </w:pPr>
            <w:r>
              <w:rPr>
                <w:rFonts w:ascii="Arial" w:hAnsi="Arial"/>
                <w:b w:val="0"/>
                <w:sz w:val="11"/>
              </w:rPr>
              <w:t>Verify all standards citations</w:t>
            </w:r>
          </w:p>
        </w:tc>
      </w:tr>
      <w:tr>
        <w:trPr>
          <w:cantSplit/>
        </w:trPr>
        <w:tc>
          <w:tcPr>
            <w:tcW w:type="dxa" w:w="2880"/>
            <w:vAlign w:val="top"/>
          </w:tcPr>
          <w:p>
            <w:pPr>
              <w:spacing w:after="0"/>
              <w:jc w:val="left"/>
            </w:pPr>
            <w:r>
              <w:rPr>
                <w:rFonts w:ascii="Arial" w:hAnsi="Arial"/>
                <w:b w:val="0"/>
                <w:sz w:val="11"/>
              </w:rPr>
              <w:t>Product capability claims</w:t>
            </w:r>
          </w:p>
        </w:tc>
        <w:tc>
          <w:tcPr>
            <w:tcW w:type="dxa" w:w="2880"/>
            <w:vAlign w:val="top"/>
          </w:tcPr>
          <w:p>
            <w:pPr>
              <w:spacing w:after="0"/>
              <w:jc w:val="left"/>
            </w:pPr>
            <w:r>
              <w:rPr>
                <w:rFonts w:ascii="Arial" w:hAnsi="Arial"/>
                <w:b w:val="0"/>
                <w:sz w:val="11"/>
              </w:rPr>
              <w:t>L2 product documentation plus L5 mapping where needed</w:t>
            </w:r>
          </w:p>
        </w:tc>
        <w:tc>
          <w:tcPr>
            <w:tcW w:type="dxa" w:w="2880"/>
            <w:vAlign w:val="top"/>
          </w:tcPr>
          <w:p>
            <w:pPr>
              <w:spacing w:after="0"/>
              <w:jc w:val="left"/>
            </w:pPr>
            <w:r>
              <w:rPr>
                <w:rFonts w:ascii="Arial" w:hAnsi="Arial"/>
                <w:b w:val="0"/>
                <w:sz w:val="11"/>
              </w:rPr>
              <w:t>Claim-level source binding applied</w:t>
            </w:r>
          </w:p>
        </w:tc>
        <w:tc>
          <w:tcPr>
            <w:tcW w:type="dxa" w:w="2880"/>
            <w:vAlign w:val="top"/>
          </w:tcPr>
          <w:p>
            <w:pPr>
              <w:spacing w:after="0"/>
              <w:jc w:val="left"/>
            </w:pPr>
            <w:r>
              <w:rPr>
                <w:rFonts w:ascii="Arial" w:hAnsi="Arial"/>
                <w:b w:val="0"/>
                <w:sz w:val="11"/>
              </w:rPr>
              <w:t>Exact page-level citation pinning remains for final publication</w:t>
            </w:r>
          </w:p>
        </w:tc>
        <w:tc>
          <w:tcPr>
            <w:tcW w:type="dxa" w:w="2880"/>
            <w:vAlign w:val="top"/>
          </w:tcPr>
          <w:p>
            <w:pPr>
              <w:spacing w:after="0"/>
              <w:jc w:val="left"/>
            </w:pPr>
            <w:r>
              <w:rPr>
                <w:rFonts w:ascii="Arial" w:hAnsi="Arial"/>
                <w:b w:val="0"/>
                <w:sz w:val="11"/>
              </w:rPr>
              <w:t>Preserve narrowed claims and L5 downgrades during publication QA</w:t>
            </w:r>
          </w:p>
        </w:tc>
      </w:tr>
      <w:tr>
        <w:trPr>
          <w:cantSplit/>
        </w:trPr>
        <w:tc>
          <w:tcPr>
            <w:tcW w:type="dxa" w:w="2880"/>
            <w:vAlign w:val="top"/>
          </w:tcPr>
          <w:p>
            <w:pPr>
              <w:spacing w:after="0"/>
              <w:jc w:val="left"/>
            </w:pPr>
            <w:r>
              <w:rPr>
                <w:rFonts w:ascii="Arial" w:hAnsi="Arial"/>
                <w:b w:val="0"/>
                <w:sz w:val="11"/>
              </w:rPr>
              <w:t>MPLP protocol mapping</w:t>
            </w:r>
          </w:p>
        </w:tc>
        <w:tc>
          <w:tcPr>
            <w:tcW w:type="dxa" w:w="2880"/>
            <w:vAlign w:val="top"/>
          </w:tcPr>
          <w:p>
            <w:pPr>
              <w:spacing w:after="0"/>
              <w:jc w:val="left"/>
            </w:pPr>
            <w:r>
              <w:rPr>
                <w:rFonts w:ascii="Arial" w:hAnsi="Arial"/>
                <w:b w:val="0"/>
                <w:sz w:val="11"/>
              </w:rPr>
              <w:t>L2 protocol docs plus disclosed author relationship</w:t>
            </w:r>
          </w:p>
        </w:tc>
        <w:tc>
          <w:tcPr>
            <w:tcW w:type="dxa" w:w="2880"/>
            <w:vAlign w:val="top"/>
          </w:tcPr>
          <w:p>
            <w:pPr>
              <w:spacing w:after="0"/>
              <w:jc w:val="left"/>
            </w:pPr>
            <w:r>
              <w:rPr>
                <w:rFonts w:ascii="Arial" w:hAnsi="Arial"/>
                <w:b w:val="0"/>
                <w:sz w:val="11"/>
              </w:rPr>
              <w:t>Official docs entry point located; mapping remains L2 + L5</w:t>
            </w:r>
          </w:p>
        </w:tc>
        <w:tc>
          <w:tcPr>
            <w:tcW w:type="dxa" w:w="2880"/>
            <w:vAlign w:val="top"/>
          </w:tcPr>
          <w:p>
            <w:pPr>
              <w:spacing w:after="0"/>
              <w:jc w:val="left"/>
            </w:pPr>
            <w:r>
              <w:rPr>
                <w:rFonts w:ascii="Arial" w:hAnsi="Arial"/>
                <w:b w:val="0"/>
                <w:sz w:val="11"/>
              </w:rPr>
              <w:t>Version/citation rendering still requires final proofing</w:t>
            </w:r>
          </w:p>
        </w:tc>
        <w:tc>
          <w:tcPr>
            <w:tcW w:type="dxa" w:w="2880"/>
            <w:vAlign w:val="top"/>
          </w:tcPr>
          <w:p>
            <w:pPr>
              <w:spacing w:after="0"/>
              <w:jc w:val="left"/>
            </w:pPr>
            <w:r>
              <w:rPr>
                <w:rFonts w:ascii="Arial" w:hAnsi="Arial"/>
                <w:b w:val="0"/>
                <w:sz w:val="11"/>
              </w:rPr>
              <w:t>Preserve conflict-of-interest and implementation-proof boundary</w:t>
            </w:r>
          </w:p>
        </w:tc>
      </w:tr>
      <w:tr>
        <w:trPr>
          <w:cantSplit/>
        </w:trPr>
        <w:tc>
          <w:tcPr>
            <w:tcW w:type="dxa" w:w="2880"/>
            <w:vAlign w:val="top"/>
          </w:tcPr>
          <w:p>
            <w:pPr>
              <w:spacing w:after="0"/>
              <w:jc w:val="left"/>
            </w:pPr>
            <w:r>
              <w:rPr>
                <w:rFonts w:ascii="Arial" w:hAnsi="Arial"/>
                <w:b w:val="0"/>
                <w:sz w:val="11"/>
              </w:rPr>
              <w:t>Validation Lab discussion</w:t>
            </w:r>
          </w:p>
        </w:tc>
        <w:tc>
          <w:tcPr>
            <w:tcW w:type="dxa" w:w="2880"/>
            <w:vAlign w:val="top"/>
          </w:tcPr>
          <w:p>
            <w:pPr>
              <w:spacing w:after="0"/>
              <w:jc w:val="left"/>
            </w:pPr>
            <w:r>
              <w:rPr>
                <w:rFonts w:ascii="Arial" w:hAnsi="Arial"/>
                <w:b w:val="0"/>
                <w:sz w:val="11"/>
              </w:rPr>
              <w:t>L2 public entry point plus L5 methodology interpretation</w:t>
            </w:r>
          </w:p>
        </w:tc>
        <w:tc>
          <w:tcPr>
            <w:tcW w:type="dxa" w:w="2880"/>
            <w:vAlign w:val="top"/>
          </w:tcPr>
          <w:p>
            <w:pPr>
              <w:spacing w:after="0"/>
              <w:jc w:val="left"/>
            </w:pPr>
            <w:r>
              <w:rPr>
                <w:rFonts w:ascii="Arial" w:hAnsi="Arial"/>
                <w:b w:val="0"/>
                <w:sz w:val="11"/>
              </w:rPr>
              <w:t>Public entry point located; methodology-specific support remains boundary-limited</w:t>
            </w:r>
          </w:p>
        </w:tc>
        <w:tc>
          <w:tcPr>
            <w:tcW w:type="dxa" w:w="2880"/>
            <w:vAlign w:val="top"/>
          </w:tcPr>
          <w:p>
            <w:pPr>
              <w:spacing w:after="0"/>
              <w:jc w:val="left"/>
            </w:pPr>
            <w:r>
              <w:rPr>
                <w:rFonts w:ascii="Arial" w:hAnsi="Arial"/>
                <w:b w:val="0"/>
                <w:sz w:val="11"/>
              </w:rPr>
              <w:t>Exact methodology citation may remain unresolved</w:t>
            </w:r>
          </w:p>
        </w:tc>
        <w:tc>
          <w:tcPr>
            <w:tcW w:type="dxa" w:w="2880"/>
            <w:vAlign w:val="top"/>
          </w:tcPr>
          <w:p>
            <w:pPr>
              <w:spacing w:after="0"/>
              <w:jc w:val="left"/>
            </w:pPr>
            <w:r>
              <w:rPr>
                <w:rFonts w:ascii="Arial" w:hAnsi="Arial"/>
                <w:b w:val="0"/>
                <w:sz w:val="11"/>
              </w:rPr>
              <w:t>Keep non-certifying boundary and do not promote methodology claims</w:t>
            </w:r>
          </w:p>
        </w:tc>
      </w:tr>
      <w:tr>
        <w:trPr>
          <w:cantSplit/>
        </w:trPr>
        <w:tc>
          <w:tcPr>
            <w:tcW w:type="dxa" w:w="2880"/>
            <w:vAlign w:val="top"/>
          </w:tcPr>
          <w:p>
            <w:pPr>
              <w:spacing w:after="0"/>
              <w:jc w:val="left"/>
            </w:pPr>
            <w:r>
              <w:rPr>
                <w:rFonts w:ascii="Arial" w:hAnsi="Arial"/>
                <w:b w:val="0"/>
                <w:sz w:val="11"/>
              </w:rPr>
              <w:t>Appendix G provisional assessments</w:t>
            </w:r>
          </w:p>
        </w:tc>
        <w:tc>
          <w:tcPr>
            <w:tcW w:type="dxa" w:w="2880"/>
            <w:vAlign w:val="top"/>
          </w:tcPr>
          <w:p>
            <w:pPr>
              <w:spacing w:after="0"/>
              <w:jc w:val="left"/>
            </w:pPr>
            <w:r>
              <w:rPr>
                <w:rFonts w:ascii="Arial" w:hAnsi="Arial"/>
                <w:b w:val="0"/>
                <w:sz w:val="11"/>
              </w:rPr>
              <w:t>L2 product docs and L5 inference</w:t>
            </w:r>
          </w:p>
        </w:tc>
        <w:tc>
          <w:tcPr>
            <w:tcW w:type="dxa" w:w="2880"/>
            <w:vAlign w:val="top"/>
          </w:tcPr>
          <w:p>
            <w:pPr>
              <w:spacing w:after="0"/>
              <w:jc w:val="left"/>
            </w:pPr>
            <w:r>
              <w:rPr>
                <w:rFonts w:ascii="Arial" w:hAnsi="Arial"/>
                <w:b w:val="0"/>
                <w:sz w:val="11"/>
              </w:rPr>
              <w:t>Revalidated provisional</w:t>
            </w:r>
          </w:p>
        </w:tc>
        <w:tc>
          <w:tcPr>
            <w:tcW w:type="dxa" w:w="2880"/>
            <w:vAlign w:val="top"/>
          </w:tcPr>
          <w:p>
            <w:pPr>
              <w:spacing w:after="0"/>
              <w:jc w:val="left"/>
            </w:pPr>
            <w:r>
              <w:rPr>
                <w:rFonts w:ascii="Arial" w:hAnsi="Arial"/>
                <w:b w:val="0"/>
                <w:sz w:val="11"/>
              </w:rPr>
              <w:t>Final assessment remains non-final and non-ranking</w:t>
            </w:r>
          </w:p>
        </w:tc>
        <w:tc>
          <w:tcPr>
            <w:tcW w:type="dxa" w:w="2880"/>
            <w:vAlign w:val="top"/>
          </w:tcPr>
          <w:p>
            <w:pPr>
              <w:spacing w:after="0"/>
              <w:jc w:val="left"/>
            </w:pPr>
            <w:r>
              <w:rPr>
                <w:rFonts w:ascii="Arial" w:hAnsi="Arial"/>
                <w:b w:val="0"/>
                <w:sz w:val="11"/>
              </w:rPr>
              <w:t>Preserve no-score/no-ranking posture and page-level citation needs</w:t>
            </w:r>
          </w:p>
        </w:tc>
      </w:tr>
      <w:tr>
        <w:trPr>
          <w:cantSplit/>
        </w:trPr>
        <w:tc>
          <w:tcPr>
            <w:tcW w:type="dxa" w:w="2880"/>
            <w:vAlign w:val="top"/>
          </w:tcPr>
          <w:p>
            <w:pPr>
              <w:spacing w:after="0"/>
              <w:jc w:val="left"/>
            </w:pPr>
            <w:r>
              <w:rPr>
                <w:rFonts w:ascii="Arial" w:hAnsi="Arial"/>
                <w:b w:val="0"/>
                <w:sz w:val="11"/>
              </w:rPr>
              <w:t>Citation inventory</w:t>
            </w:r>
          </w:p>
        </w:tc>
        <w:tc>
          <w:tcPr>
            <w:tcW w:type="dxa" w:w="2880"/>
            <w:vAlign w:val="top"/>
          </w:tcPr>
          <w:p>
            <w:pPr>
              <w:spacing w:after="0"/>
              <w:jc w:val="left"/>
            </w:pPr>
            <w:r>
              <w:rPr>
                <w:rFonts w:ascii="Arial" w:hAnsi="Arial"/>
                <w:b w:val="0"/>
                <w:sz w:val="11"/>
              </w:rPr>
              <w:t>Internal ledger</w:t>
            </w:r>
          </w:p>
        </w:tc>
        <w:tc>
          <w:tcPr>
            <w:tcW w:type="dxa" w:w="2880"/>
            <w:vAlign w:val="top"/>
          </w:tcPr>
          <w:p>
            <w:pPr>
              <w:spacing w:after="0"/>
              <w:jc w:val="left"/>
            </w:pPr>
            <w:r>
              <w:rPr>
                <w:rFonts w:ascii="Arial" w:hAnsi="Arial"/>
                <w:b w:val="0"/>
                <w:sz w:val="11"/>
              </w:rPr>
              <w:t>PHASE 1C CLAIM-LEVEL REVIEWED — PROVISIONAL SOURCE BINDING COMPLETE</w:t>
            </w:r>
          </w:p>
        </w:tc>
        <w:tc>
          <w:tcPr>
            <w:tcW w:type="dxa" w:w="2880"/>
            <w:vAlign w:val="top"/>
          </w:tcPr>
          <w:p>
            <w:pPr>
              <w:spacing w:after="0"/>
              <w:jc w:val="left"/>
            </w:pPr>
            <w:r>
              <w:rPr>
                <w:rFonts w:ascii="Arial" w:hAnsi="Arial"/>
                <w:b w:val="0"/>
                <w:sz w:val="11"/>
              </w:rPr>
              <w:t>Exact citation pages and rendering not yet verified</w:t>
            </w:r>
          </w:p>
        </w:tc>
        <w:tc>
          <w:tcPr>
            <w:tcW w:type="dxa" w:w="2880"/>
            <w:vAlign w:val="top"/>
          </w:tcPr>
          <w:p>
            <w:pPr>
              <w:spacing w:after="0"/>
              <w:jc w:val="left"/>
            </w:pPr>
            <w:r>
              <w:rPr>
                <w:rFonts w:ascii="Arial" w:hAnsi="Arial"/>
                <w:b w:val="0"/>
                <w:sz w:val="11"/>
              </w:rPr>
              <w:t>Pin page-level citations before publication candidate</w:t>
            </w:r>
          </w:p>
        </w:tc>
      </w:tr>
      <w:tr>
        <w:trPr>
          <w:cantSplit/>
        </w:trPr>
        <w:tc>
          <w:tcPr>
            <w:tcW w:type="dxa" w:w="2880"/>
            <w:vAlign w:val="top"/>
          </w:tcPr>
          <w:p>
            <w:pPr>
              <w:spacing w:after="0"/>
              <w:jc w:val="left"/>
            </w:pPr>
            <w:r>
              <w:rPr>
                <w:rFonts w:ascii="Arial" w:hAnsi="Arial"/>
                <w:b w:val="0"/>
                <w:sz w:val="11"/>
              </w:rPr>
              <w:t>Source coverage matrix</w:t>
            </w:r>
          </w:p>
        </w:tc>
        <w:tc>
          <w:tcPr>
            <w:tcW w:type="dxa" w:w="2880"/>
            <w:vAlign w:val="top"/>
          </w:tcPr>
          <w:p>
            <w:pPr>
              <w:spacing w:after="0"/>
              <w:jc w:val="left"/>
            </w:pPr>
            <w:r>
              <w:rPr>
                <w:rFonts w:ascii="Arial" w:hAnsi="Arial"/>
                <w:b w:val="0"/>
                <w:sz w:val="11"/>
              </w:rPr>
              <w:t>Internal ledger</w:t>
            </w:r>
          </w:p>
        </w:tc>
        <w:tc>
          <w:tcPr>
            <w:tcW w:type="dxa" w:w="2880"/>
            <w:vAlign w:val="top"/>
          </w:tcPr>
          <w:p>
            <w:pPr>
              <w:spacing w:after="0"/>
              <w:jc w:val="left"/>
            </w:pPr>
            <w:r>
              <w:rPr>
                <w:rFonts w:ascii="Arial" w:hAnsi="Arial"/>
                <w:b w:val="0"/>
                <w:sz w:val="11"/>
              </w:rPr>
              <w:t>PHASE 1C CLAIM-LEVEL REVIEWED — PROVISIONAL SOURCE BINDING COMPLETE</w:t>
            </w:r>
          </w:p>
        </w:tc>
        <w:tc>
          <w:tcPr>
            <w:tcW w:type="dxa" w:w="2880"/>
            <w:vAlign w:val="top"/>
          </w:tcPr>
          <w:p>
            <w:pPr>
              <w:spacing w:after="0"/>
              <w:jc w:val="left"/>
            </w:pPr>
            <w:r>
              <w:rPr>
                <w:rFonts w:ascii="Arial" w:hAnsi="Arial"/>
                <w:b w:val="0"/>
                <w:sz w:val="11"/>
              </w:rPr>
              <w:t>Citation rendering and claim-label preservation not yet verified</w:t>
            </w:r>
          </w:p>
        </w:tc>
        <w:tc>
          <w:tcPr>
            <w:tcW w:type="dxa" w:w="2880"/>
            <w:vAlign w:val="top"/>
          </w:tcPr>
          <w:p>
            <w:pPr>
              <w:spacing w:after="0"/>
              <w:jc w:val="left"/>
            </w:pPr>
            <w:r>
              <w:rPr>
                <w:rFonts w:ascii="Arial" w:hAnsi="Arial"/>
                <w:b w:val="0"/>
                <w:sz w:val="11"/>
              </w:rPr>
              <w:t>Verify source labels during Phase 1D/publication QA</w:t>
            </w:r>
          </w:p>
        </w:tc>
      </w:tr>
    </w:tbl>
    <w:p>
      <w:pPr>
        <w:sectPr>
          <w:pgSz w:w="15840" w:h="12240" w:orient="landscape"/>
          <w:pgMar w:top="792" w:right="648" w:bottom="792" w:left="648" w:header="720" w:footer="720" w:gutter="0"/>
          <w:cols w:space="720"/>
          <w:docGrid w:linePitch="360"/>
        </w:sectPr>
      </w:pPr>
    </w:p>
    <w:p/>
    <w:p>
      <w:r>
        <w:t>The source coverage matrix has been updated during Phase 1C as a coverage ledger and during Phase 1C follow-up as a claim-level source-binding ledger. Final publication still requires page-level citation pinning and rendering QA. Appendix G remains revalidated provisional, not final.</w:t>
      </w:r>
    </w:p>
    <w:p/>
    <w:p/>
    <w:p>
      <w:r>
        <w:t>End of Appendix I</w:t>
      </w:r>
    </w:p>
    <w:p>
      <w:pPr>
        <w:pStyle w:val="Heading1"/>
      </w:pPr>
      <w:r>
        <w:t>Appendix J — v0.3.2 Gap Closure Coverage Matrix</w:t>
      </w:r>
    </w:p>
    <w:p/>
    <w:p>
      <w:r>
        <w:t>Version: v0.3.2-FRC-R3</w:t>
      </w:r>
    </w:p>
    <w:p>
      <w:r>
        <w:t>Status: Filled — Phase 1C claim-level source binding applied</w:t>
      </w:r>
    </w:p>
    <w:p>
      <w:r>
        <w:t>Phase: 1B-10 / 1C Follow-up</w:t>
      </w:r>
    </w:p>
    <w:p/>
    <w:p/>
    <w:p>
      <w:pPr>
        <w:pStyle w:val="Heading2"/>
      </w:pPr>
      <w:r>
        <w:t>J.0 Gap Closure Boundary</w:t>
      </w:r>
    </w:p>
    <w:p/>
    <w:p>
      <w:r>
        <w:t>This appendix provides a governance closure matrix showing how known v0.3.1/v0.3.2 reconstruction gaps were addressed, structurally closed, corrected by later patch, or deferred to Phase 1C or Phase 1D.</w:t>
      </w:r>
    </w:p>
    <w:p/>
    <w:p>
      <w:r>
        <w:t>This appendix does not claim that all issues are fully resolved. It distinguishes content closure from source validation, editorial cleanup, and publication layout QA.</w:t>
      </w:r>
    </w:p>
    <w:p/>
    <w:p>
      <w:r>
        <w:t>Closure status values:</w:t>
      </w:r>
    </w:p>
    <w:p/>
    <w:p>
      <w:pPr>
        <w:pStyle w:val="ListBullet"/>
      </w:pPr>
      <w:r>
        <w:t>Closed</w:t>
      </w:r>
    </w:p>
    <w:p>
      <w:pPr>
        <w:pStyle w:val="ListBullet"/>
      </w:pPr>
      <w:r>
        <w:t>Structurally Closed</w:t>
      </w:r>
    </w:p>
    <w:p>
      <w:pPr>
        <w:pStyle w:val="ListBullet"/>
      </w:pPr>
      <w:r>
        <w:t>Corrected by Later Patch</w:t>
      </w:r>
    </w:p>
    <w:p>
      <w:pPr>
        <w:pStyle w:val="ListBullet"/>
      </w:pPr>
      <w:r>
        <w:t>Deferred to Phase 1C</w:t>
      </w:r>
    </w:p>
    <w:p>
      <w:pPr>
        <w:pStyle w:val="ListBullet"/>
      </w:pPr>
      <w:r>
        <w:t>Deferred to Phase 1D</w:t>
      </w:r>
    </w:p>
    <w:p>
      <w:pPr>
        <w:pStyle w:val="ListBullet"/>
      </w:pPr>
      <w:r>
        <w:t>Candidate Issue to Verify</w:t>
      </w:r>
    </w:p>
    <w:p/>
    <w:p/>
    <w:p>
      <w:pPr>
        <w:pStyle w:val="Heading2"/>
      </w:pPr>
      <w:r>
        <w:t>J.1 Gap Categories</w:t>
      </w:r>
    </w:p>
    <w:p/>
    <w:p>
      <w:r>
        <w:t>Gap categories used in this appendix:</w:t>
      </w:r>
    </w:p>
    <w:p/>
    <w:p>
      <w:r>
        <w:t>1. Content reconstruction gaps: Missing chapters, appendices, tables, or required sections.</w:t>
      </w:r>
    </w:p>
    <w:p>
      <w:r>
        <w:t>2. Methodology consistency gaps: Evidence multipliers, scoring formulas, score-5 wording, and composite weights.</w:t>
      </w:r>
    </w:p>
    <w:p>
      <w:r>
        <w:t>3. Boundary discipline gaps: Overclaim risk, vendor ordering, certification implication, legal compliance implication, and procurement misuse.</w:t>
      </w:r>
    </w:p>
    <w:p>
      <w:r>
        <w:t>4. Source governance gaps: Citation inventory status, L2 documentation revalidation, evidence level annotation, URL validation, and source coverage matrix validation.</w:t>
      </w:r>
    </w:p>
    <w:p>
      <w:pPr>
        <w:spacing w:before="160" w:after="80"/>
        <w:jc w:val="center"/>
      </w:pPr>
      <w:r>
        <w:rPr>
          <w:b/>
          <w:color w:val="1F4E79"/>
          <w:sz w:val="18"/>
        </w:rPr>
        <w:t>5. Layout and publication gaps: Wide-table handling, figure numbering, captions, page breaks, and final DOCX/PDF QA.</w:t>
      </w:r>
    </w:p>
    <w:p/>
    <w:p/>
    <w:p>
      <w:pPr>
        <w:pStyle w:val="Heading2"/>
      </w:pPr>
      <w:r>
        <w:t>J.2 Phase 1B Gap Closure Matrix</w:t>
      </w:r>
    </w:p>
    <w:p/>
    <w:p>
      <w:pPr>
        <w:keepNext/>
      </w:pPr>
      <w:r>
        <w:rPr>
          <w:b/>
          <w:sz w:val="17"/>
        </w:rPr>
        <w:t>Table T-J-01: v0.3.2 Gap Closure Coverage Matrix</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shd w:fill="D9EAF7"/>
            <w:textDirection w:val="lrTb"/>
          </w:tcPr>
          <w:p>
            <w:pPr>
              <w:spacing w:after="0"/>
              <w:jc w:val="left"/>
            </w:pPr>
            <w:r>
              <w:rPr>
                <w:rFonts w:ascii="Arial" w:hAnsi="Arial"/>
                <w:b/>
                <w:sz w:val="11"/>
              </w:rPr>
              <w:t>Gap ID</w:t>
            </w:r>
          </w:p>
        </w:tc>
        <w:tc>
          <w:tcPr>
            <w:tcW w:type="dxa" w:w="2400"/>
            <w:vAlign w:val="top"/>
            <w:shd w:fill="D9EAF7"/>
            <w:textDirection w:val="lrTb"/>
          </w:tcPr>
          <w:p>
            <w:pPr>
              <w:spacing w:after="0"/>
              <w:jc w:val="left"/>
            </w:pPr>
            <w:r>
              <w:rPr>
                <w:rFonts w:ascii="Arial" w:hAnsi="Arial"/>
                <w:b/>
                <w:sz w:val="11"/>
              </w:rPr>
              <w:t>Gap Description</w:t>
            </w:r>
          </w:p>
        </w:tc>
        <w:tc>
          <w:tcPr>
            <w:tcW w:type="dxa" w:w="2400"/>
            <w:vAlign w:val="top"/>
            <w:shd w:fill="D9EAF7"/>
            <w:textDirection w:val="lrTb"/>
          </w:tcPr>
          <w:p>
            <w:pPr>
              <w:spacing w:after="0"/>
              <w:jc w:val="left"/>
            </w:pPr>
            <w:r>
              <w:rPr>
                <w:rFonts w:ascii="Arial" w:hAnsi="Arial"/>
                <w:b/>
                <w:sz w:val="11"/>
              </w:rPr>
              <w:t>Origin Phase</w:t>
            </w:r>
          </w:p>
        </w:tc>
        <w:tc>
          <w:tcPr>
            <w:tcW w:type="dxa" w:w="2400"/>
            <w:vAlign w:val="top"/>
            <w:shd w:fill="D9EAF7"/>
            <w:textDirection w:val="lrTb"/>
          </w:tcPr>
          <w:p>
            <w:pPr>
              <w:spacing w:after="0"/>
              <w:jc w:val="left"/>
            </w:pPr>
            <w:r>
              <w:rPr>
                <w:rFonts w:ascii="Arial" w:hAnsi="Arial"/>
                <w:b/>
                <w:sz w:val="11"/>
              </w:rPr>
              <w:t>Closure Status</w:t>
            </w:r>
          </w:p>
        </w:tc>
        <w:tc>
          <w:tcPr>
            <w:tcW w:type="dxa" w:w="2400"/>
            <w:vAlign w:val="top"/>
            <w:shd w:fill="D9EAF7"/>
            <w:textDirection w:val="lrTb"/>
          </w:tcPr>
          <w:p>
            <w:pPr>
              <w:spacing w:after="0"/>
              <w:jc w:val="left"/>
            </w:pPr>
            <w:r>
              <w:rPr>
                <w:rFonts w:ascii="Arial" w:hAnsi="Arial"/>
                <w:b/>
                <w:sz w:val="11"/>
              </w:rPr>
              <w:t>Closure Evidence</w:t>
            </w:r>
          </w:p>
        </w:tc>
        <w:tc>
          <w:tcPr>
            <w:tcW w:type="dxa" w:w="2400"/>
            <w:vAlign w:val="top"/>
            <w:shd w:fill="D9EAF7"/>
            <w:textDirection w:val="lrTb"/>
          </w:tcPr>
          <w:p>
            <w:pPr>
              <w:spacing w:after="0"/>
              <w:jc w:val="left"/>
            </w:pPr>
            <w:r>
              <w:rPr>
                <w:rFonts w:ascii="Arial" w:hAnsi="Arial"/>
                <w:b/>
                <w:sz w:val="11"/>
              </w:rPr>
              <w:t>Remaining Action</w:t>
            </w:r>
          </w:p>
        </w:tc>
      </w:tr>
      <w:tr>
        <w:trPr>
          <w:cantSplit/>
        </w:trPr>
        <w:tc>
          <w:tcPr>
            <w:tcW w:type="dxa" w:w="2400"/>
            <w:vAlign w:val="top"/>
          </w:tcPr>
          <w:p>
            <w:pPr>
              <w:spacing w:after="0"/>
              <w:jc w:val="left"/>
            </w:pPr>
            <w:r>
              <w:rPr>
                <w:rFonts w:ascii="Arial" w:hAnsi="Arial"/>
                <w:b w:val="0"/>
                <w:sz w:val="11"/>
              </w:rPr>
              <w:t>G-J-01</w:t>
            </w:r>
          </w:p>
        </w:tc>
        <w:tc>
          <w:tcPr>
            <w:tcW w:type="dxa" w:w="2400"/>
            <w:vAlign w:val="top"/>
          </w:tcPr>
          <w:p>
            <w:pPr>
              <w:spacing w:after="0"/>
              <w:jc w:val="left"/>
            </w:pPr>
            <w:r>
              <w:rPr>
                <w:rFonts w:ascii="Arial" w:hAnsi="Arial"/>
                <w:b w:val="0"/>
                <w:sz w:val="11"/>
              </w:rPr>
              <w:t>R2 PDF/DOCX reconstruction introduced layout and extraction instability</w:t>
            </w:r>
          </w:p>
        </w:tc>
        <w:tc>
          <w:tcPr>
            <w:tcW w:type="dxa" w:w="2400"/>
            <w:vAlign w:val="top"/>
          </w:tcPr>
          <w:p>
            <w:pPr>
              <w:spacing w:after="0"/>
              <w:jc w:val="left"/>
            </w:pPr>
            <w:r>
              <w:rPr>
                <w:rFonts w:ascii="Arial" w:hAnsi="Arial"/>
                <w:b w:val="0"/>
                <w:sz w:val="11"/>
              </w:rPr>
              <w:t>R2 carryover</w:t>
            </w:r>
          </w:p>
        </w:tc>
        <w:tc>
          <w:tcPr>
            <w:tcW w:type="dxa" w:w="2400"/>
            <w:vAlign w:val="top"/>
          </w:tcPr>
          <w:p>
            <w:pPr>
              <w:spacing w:after="0"/>
              <w:jc w:val="left"/>
            </w:pPr>
            <w:r>
              <w:rPr>
                <w:rFonts w:ascii="Arial" w:hAnsi="Arial"/>
                <w:b w:val="0"/>
                <w:sz w:val="11"/>
              </w:rPr>
              <w:t>Structurally Closed</w:t>
            </w:r>
          </w:p>
        </w:tc>
        <w:tc>
          <w:tcPr>
            <w:tcW w:type="dxa" w:w="2400"/>
            <w:vAlign w:val="top"/>
          </w:tcPr>
          <w:p>
            <w:pPr>
              <w:spacing w:after="0"/>
              <w:jc w:val="left"/>
            </w:pPr>
            <w:r>
              <w:rPr>
                <w:rFonts w:ascii="Arial" w:hAnsi="Arial"/>
                <w:b w:val="0"/>
                <w:sz w:val="11"/>
              </w:rPr>
              <w:t>Markdown-first reconstruction strategy adopted in Phase 1A</w:t>
            </w:r>
          </w:p>
        </w:tc>
        <w:tc>
          <w:tcPr>
            <w:tcW w:type="dxa" w:w="2400"/>
            <w:vAlign w:val="top"/>
          </w:tcPr>
          <w:p>
            <w:pPr>
              <w:spacing w:after="0"/>
              <w:jc w:val="left"/>
            </w:pPr>
            <w:r>
              <w:rPr>
                <w:rFonts w:ascii="Arial" w:hAnsi="Arial"/>
                <w:b w:val="0"/>
                <w:sz w:val="11"/>
              </w:rPr>
              <w:t>Phase 1D publication QA remains</w:t>
            </w:r>
          </w:p>
        </w:tc>
      </w:tr>
      <w:tr>
        <w:trPr>
          <w:cantSplit/>
        </w:trPr>
        <w:tc>
          <w:tcPr>
            <w:tcW w:type="dxa" w:w="2400"/>
            <w:vAlign w:val="top"/>
          </w:tcPr>
          <w:p>
            <w:pPr>
              <w:spacing w:after="0"/>
              <w:jc w:val="left"/>
            </w:pPr>
            <w:r>
              <w:rPr>
                <w:rFonts w:ascii="Arial" w:hAnsi="Arial"/>
                <w:b w:val="0"/>
                <w:sz w:val="11"/>
              </w:rPr>
              <w:t>G-J-02</w:t>
            </w:r>
          </w:p>
        </w:tc>
        <w:tc>
          <w:tcPr>
            <w:tcW w:type="dxa" w:w="2400"/>
            <w:vAlign w:val="top"/>
          </w:tcPr>
          <w:p>
            <w:pPr>
              <w:spacing w:after="0"/>
              <w:jc w:val="left"/>
            </w:pPr>
            <w:r>
              <w:rPr>
                <w:rFonts w:ascii="Arial" w:hAnsi="Arial"/>
                <w:b w:val="0"/>
                <w:sz w:val="11"/>
              </w:rPr>
              <w:t>Body chapters 1-18 incomplete in clean source</w:t>
            </w:r>
          </w:p>
        </w:tc>
        <w:tc>
          <w:tcPr>
            <w:tcW w:type="dxa" w:w="2400"/>
            <w:vAlign w:val="top"/>
          </w:tcPr>
          <w:p>
            <w:pPr>
              <w:spacing w:after="0"/>
              <w:jc w:val="left"/>
            </w:pPr>
            <w:r>
              <w:rPr>
                <w:rFonts w:ascii="Arial" w:hAnsi="Arial"/>
                <w:b w:val="0"/>
                <w:sz w:val="11"/>
              </w:rPr>
              <w:t>Phase 1A/1B</w:t>
            </w:r>
          </w:p>
        </w:tc>
        <w:tc>
          <w:tcPr>
            <w:tcW w:type="dxa" w:w="2400"/>
            <w:vAlign w:val="top"/>
          </w:tcPr>
          <w:p>
            <w:pPr>
              <w:spacing w:after="0"/>
              <w:jc w:val="left"/>
            </w:pPr>
            <w:r>
              <w:rPr>
                <w:rFonts w:ascii="Arial" w:hAnsi="Arial"/>
                <w:b w:val="0"/>
                <w:sz w:val="11"/>
              </w:rPr>
              <w:t>Closed</w:t>
            </w:r>
          </w:p>
        </w:tc>
        <w:tc>
          <w:tcPr>
            <w:tcW w:type="dxa" w:w="2400"/>
            <w:vAlign w:val="top"/>
          </w:tcPr>
          <w:p>
            <w:pPr>
              <w:spacing w:after="0"/>
              <w:jc w:val="left"/>
            </w:pPr>
            <w:r>
              <w:rPr>
                <w:rFonts w:ascii="Arial" w:hAnsi="Arial"/>
                <w:b w:val="0"/>
                <w:sz w:val="11"/>
              </w:rPr>
              <w:t>Chapters 1-18 filled across Phase 1A and Phase 1B-1 through 1B-7</w:t>
            </w:r>
          </w:p>
        </w:tc>
        <w:tc>
          <w:tcPr>
            <w:tcW w:type="dxa" w:w="2400"/>
            <w:vAlign w:val="top"/>
          </w:tcPr>
          <w:p>
            <w:pPr>
              <w:spacing w:after="0"/>
              <w:jc w:val="left"/>
            </w:pPr>
            <w:r>
              <w:rPr>
                <w:rFonts w:ascii="Arial" w:hAnsi="Arial"/>
                <w:b w:val="0"/>
                <w:sz w:val="11"/>
              </w:rPr>
              <w:t>Phase 1C editorial consistency check</w:t>
            </w:r>
          </w:p>
        </w:tc>
      </w:tr>
      <w:tr>
        <w:trPr>
          <w:cantSplit/>
        </w:trPr>
        <w:tc>
          <w:tcPr>
            <w:tcW w:type="dxa" w:w="2400"/>
            <w:vAlign w:val="top"/>
          </w:tcPr>
          <w:p>
            <w:pPr>
              <w:spacing w:after="0"/>
              <w:jc w:val="left"/>
            </w:pPr>
            <w:r>
              <w:rPr>
                <w:rFonts w:ascii="Arial" w:hAnsi="Arial"/>
                <w:b w:val="0"/>
                <w:sz w:val="11"/>
              </w:rPr>
              <w:t>G-J-03</w:t>
            </w:r>
          </w:p>
        </w:tc>
        <w:tc>
          <w:tcPr>
            <w:tcW w:type="dxa" w:w="2400"/>
            <w:vAlign w:val="top"/>
          </w:tcPr>
          <w:p>
            <w:pPr>
              <w:spacing w:after="0"/>
              <w:jc w:val="left"/>
            </w:pPr>
            <w:r>
              <w:rPr>
                <w:rFonts w:ascii="Arial" w:hAnsi="Arial"/>
                <w:b w:val="0"/>
                <w:sz w:val="11"/>
              </w:rPr>
              <w:t>Appendices A-D missing from clean source</w:t>
            </w:r>
          </w:p>
        </w:tc>
        <w:tc>
          <w:tcPr>
            <w:tcW w:type="dxa" w:w="2400"/>
            <w:vAlign w:val="top"/>
          </w:tcPr>
          <w:p>
            <w:pPr>
              <w:spacing w:after="0"/>
              <w:jc w:val="left"/>
            </w:pPr>
            <w:r>
              <w:rPr>
                <w:rFonts w:ascii="Arial" w:hAnsi="Arial"/>
                <w:b w:val="0"/>
                <w:sz w:val="11"/>
              </w:rPr>
              <w:t>Phase 1B-8</w:t>
            </w:r>
          </w:p>
        </w:tc>
        <w:tc>
          <w:tcPr>
            <w:tcW w:type="dxa" w:w="2400"/>
            <w:vAlign w:val="top"/>
          </w:tcPr>
          <w:p>
            <w:pPr>
              <w:spacing w:after="0"/>
              <w:jc w:val="left"/>
            </w:pPr>
            <w:r>
              <w:rPr>
                <w:rFonts w:ascii="Arial" w:hAnsi="Arial"/>
                <w:b w:val="0"/>
                <w:sz w:val="11"/>
              </w:rPr>
              <w:t>Corrected by Later Patch</w:t>
            </w:r>
          </w:p>
        </w:tc>
        <w:tc>
          <w:tcPr>
            <w:tcW w:type="dxa" w:w="2400"/>
            <w:vAlign w:val="top"/>
          </w:tcPr>
          <w:p>
            <w:pPr>
              <w:spacing w:after="0"/>
              <w:jc w:val="left"/>
            </w:pPr>
            <w:r>
              <w:rPr>
                <w:rFonts w:ascii="Arial" w:hAnsi="Arial"/>
                <w:b w:val="0"/>
                <w:sz w:val="11"/>
              </w:rPr>
              <w:t>Appendices A-D filled and corrected by Phase 1B-8C</w:t>
            </w:r>
          </w:p>
        </w:tc>
        <w:tc>
          <w:tcPr>
            <w:tcW w:type="dxa" w:w="2400"/>
            <w:vAlign w:val="top"/>
          </w:tcPr>
          <w:p>
            <w:pPr>
              <w:spacing w:after="0"/>
              <w:jc w:val="left"/>
            </w:pPr>
            <w:r>
              <w:rPr>
                <w:rFonts w:ascii="Arial" w:hAnsi="Arial"/>
                <w:b w:val="0"/>
                <w:sz w:val="11"/>
              </w:rPr>
              <w:t>Phase 1C source and layout validation</w:t>
            </w:r>
          </w:p>
        </w:tc>
      </w:tr>
      <w:tr>
        <w:trPr>
          <w:cantSplit/>
        </w:trPr>
        <w:tc>
          <w:tcPr>
            <w:tcW w:type="dxa" w:w="2400"/>
            <w:vAlign w:val="top"/>
          </w:tcPr>
          <w:p>
            <w:pPr>
              <w:spacing w:after="0"/>
              <w:jc w:val="left"/>
            </w:pPr>
            <w:r>
              <w:rPr>
                <w:rFonts w:ascii="Arial" w:hAnsi="Arial"/>
                <w:b w:val="0"/>
                <w:sz w:val="11"/>
              </w:rPr>
              <w:t>G-J-04</w:t>
            </w:r>
          </w:p>
        </w:tc>
        <w:tc>
          <w:tcPr>
            <w:tcW w:type="dxa" w:w="2400"/>
            <w:vAlign w:val="top"/>
          </w:tcPr>
          <w:p>
            <w:pPr>
              <w:spacing w:after="0"/>
              <w:jc w:val="left"/>
            </w:pPr>
            <w:r>
              <w:rPr>
                <w:rFonts w:ascii="Arial" w:hAnsi="Arial"/>
                <w:b w:val="0"/>
                <w:sz w:val="11"/>
              </w:rPr>
              <w:t>Appendix B evidence multipliers and composite weights inconsistent with canonical method</w:t>
            </w:r>
          </w:p>
        </w:tc>
        <w:tc>
          <w:tcPr>
            <w:tcW w:type="dxa" w:w="2400"/>
            <w:vAlign w:val="top"/>
          </w:tcPr>
          <w:p>
            <w:pPr>
              <w:spacing w:after="0"/>
              <w:jc w:val="left"/>
            </w:pPr>
            <w:r>
              <w:rPr>
                <w:rFonts w:ascii="Arial" w:hAnsi="Arial"/>
                <w:b w:val="0"/>
                <w:sz w:val="11"/>
              </w:rPr>
              <w:t>Phase 1B-8</w:t>
            </w:r>
          </w:p>
        </w:tc>
        <w:tc>
          <w:tcPr>
            <w:tcW w:type="dxa" w:w="2400"/>
            <w:vAlign w:val="top"/>
          </w:tcPr>
          <w:p>
            <w:pPr>
              <w:spacing w:after="0"/>
              <w:jc w:val="left"/>
            </w:pPr>
            <w:r>
              <w:rPr>
                <w:rFonts w:ascii="Arial" w:hAnsi="Arial"/>
                <w:b w:val="0"/>
                <w:sz w:val="11"/>
              </w:rPr>
              <w:t>Corrected by Later Patch</w:t>
            </w:r>
          </w:p>
        </w:tc>
        <w:tc>
          <w:tcPr>
            <w:tcW w:type="dxa" w:w="2400"/>
            <w:vAlign w:val="top"/>
          </w:tcPr>
          <w:p>
            <w:pPr>
              <w:spacing w:after="0"/>
              <w:jc w:val="left"/>
            </w:pPr>
            <w:r>
              <w:rPr>
                <w:rFonts w:ascii="Arial" w:hAnsi="Arial"/>
                <w:b w:val="0"/>
                <w:sz w:val="11"/>
              </w:rPr>
              <w:t>Phase 1B-8C methodology correction</w:t>
            </w:r>
          </w:p>
        </w:tc>
        <w:tc>
          <w:tcPr>
            <w:tcW w:type="dxa" w:w="2400"/>
            <w:vAlign w:val="top"/>
          </w:tcPr>
          <w:p>
            <w:pPr>
              <w:spacing w:after="0"/>
              <w:jc w:val="left"/>
            </w:pPr>
            <w:r>
              <w:rPr>
                <w:rFonts w:ascii="Arial" w:hAnsi="Arial"/>
                <w:b w:val="0"/>
                <w:sz w:val="11"/>
              </w:rPr>
              <w:t>Verify in Phase 1C global consistency pass</w:t>
            </w:r>
          </w:p>
        </w:tc>
      </w:tr>
      <w:tr>
        <w:trPr>
          <w:cantSplit/>
        </w:trPr>
        <w:tc>
          <w:tcPr>
            <w:tcW w:type="dxa" w:w="2400"/>
            <w:vAlign w:val="top"/>
          </w:tcPr>
          <w:p>
            <w:pPr>
              <w:spacing w:after="0"/>
              <w:jc w:val="left"/>
            </w:pPr>
            <w:r>
              <w:rPr>
                <w:rFonts w:ascii="Arial" w:hAnsi="Arial"/>
                <w:b w:val="0"/>
                <w:sz w:val="11"/>
              </w:rPr>
              <w:t>G-J-05</w:t>
            </w:r>
          </w:p>
        </w:tc>
        <w:tc>
          <w:tcPr>
            <w:tcW w:type="dxa" w:w="2400"/>
            <w:vAlign w:val="top"/>
          </w:tcPr>
          <w:p>
            <w:pPr>
              <w:spacing w:after="0"/>
              <w:jc w:val="left"/>
            </w:pPr>
            <w:r>
              <w:rPr>
                <w:rFonts w:ascii="Arial" w:hAnsi="Arial"/>
                <w:b w:val="0"/>
                <w:sz w:val="11"/>
              </w:rPr>
              <w:t>Appendix A compliance-sounding field values risked overclaim</w:t>
            </w:r>
          </w:p>
        </w:tc>
        <w:tc>
          <w:tcPr>
            <w:tcW w:type="dxa" w:w="2400"/>
            <w:vAlign w:val="top"/>
          </w:tcPr>
          <w:p>
            <w:pPr>
              <w:spacing w:after="0"/>
              <w:jc w:val="left"/>
            </w:pPr>
            <w:r>
              <w:rPr>
                <w:rFonts w:ascii="Arial" w:hAnsi="Arial"/>
                <w:b w:val="0"/>
                <w:sz w:val="11"/>
              </w:rPr>
              <w:t>Phase 1B-8</w:t>
            </w:r>
          </w:p>
        </w:tc>
        <w:tc>
          <w:tcPr>
            <w:tcW w:type="dxa" w:w="2400"/>
            <w:vAlign w:val="top"/>
          </w:tcPr>
          <w:p>
            <w:pPr>
              <w:spacing w:after="0"/>
              <w:jc w:val="left"/>
            </w:pPr>
            <w:r>
              <w:rPr>
                <w:rFonts w:ascii="Arial" w:hAnsi="Arial"/>
                <w:b w:val="0"/>
                <w:sz w:val="11"/>
              </w:rPr>
              <w:t>Corrected by Later Patch</w:t>
            </w:r>
          </w:p>
        </w:tc>
        <w:tc>
          <w:tcPr>
            <w:tcW w:type="dxa" w:w="2400"/>
            <w:vAlign w:val="top"/>
          </w:tcPr>
          <w:p>
            <w:pPr>
              <w:spacing w:after="0"/>
              <w:jc w:val="left"/>
            </w:pPr>
            <w:r>
              <w:rPr>
                <w:rFonts w:ascii="Arial" w:hAnsi="Arial"/>
                <w:b w:val="0"/>
                <w:sz w:val="11"/>
              </w:rPr>
              <w:t>Phase 1B-8C neutralized field values</w:t>
            </w:r>
          </w:p>
        </w:tc>
        <w:tc>
          <w:tcPr>
            <w:tcW w:type="dxa" w:w="2400"/>
            <w:vAlign w:val="top"/>
          </w:tcPr>
          <w:p>
            <w:pPr>
              <w:spacing w:after="0"/>
              <w:jc w:val="left"/>
            </w:pPr>
            <w:r>
              <w:rPr>
                <w:rFonts w:ascii="Arial" w:hAnsi="Arial"/>
                <w:b w:val="0"/>
                <w:sz w:val="11"/>
              </w:rPr>
              <w:t>Verify templates in Phase 1C</w:t>
            </w:r>
          </w:p>
        </w:tc>
      </w:tr>
      <w:tr>
        <w:trPr>
          <w:cantSplit/>
        </w:trPr>
        <w:tc>
          <w:tcPr>
            <w:tcW w:type="dxa" w:w="2400"/>
            <w:vAlign w:val="top"/>
          </w:tcPr>
          <w:p>
            <w:pPr>
              <w:spacing w:after="0"/>
              <w:jc w:val="left"/>
            </w:pPr>
            <w:r>
              <w:rPr>
                <w:rFonts w:ascii="Arial" w:hAnsi="Arial"/>
                <w:b w:val="0"/>
                <w:sz w:val="11"/>
              </w:rPr>
              <w:t>G-J-06</w:t>
            </w:r>
          </w:p>
        </w:tc>
        <w:tc>
          <w:tcPr>
            <w:tcW w:type="dxa" w:w="2400"/>
            <w:vAlign w:val="top"/>
          </w:tcPr>
          <w:p>
            <w:pPr>
              <w:spacing w:after="0"/>
              <w:jc w:val="left"/>
            </w:pPr>
            <w:r>
              <w:rPr>
                <w:rFonts w:ascii="Arial" w:hAnsi="Arial"/>
                <w:b w:val="0"/>
                <w:sz w:val="11"/>
              </w:rPr>
              <w:t>Appendix D vendor mappings needed provisional language</w:t>
            </w:r>
          </w:p>
        </w:tc>
        <w:tc>
          <w:tcPr>
            <w:tcW w:type="dxa" w:w="2400"/>
            <w:vAlign w:val="top"/>
          </w:tcPr>
          <w:p>
            <w:pPr>
              <w:spacing w:after="0"/>
              <w:jc w:val="left"/>
            </w:pPr>
            <w:r>
              <w:rPr>
                <w:rFonts w:ascii="Arial" w:hAnsi="Arial"/>
                <w:b w:val="0"/>
                <w:sz w:val="11"/>
              </w:rPr>
              <w:t>Phase 1B-8</w:t>
            </w:r>
          </w:p>
        </w:tc>
        <w:tc>
          <w:tcPr>
            <w:tcW w:type="dxa" w:w="2400"/>
            <w:vAlign w:val="top"/>
          </w:tcPr>
          <w:p>
            <w:pPr>
              <w:spacing w:after="0"/>
              <w:jc w:val="left"/>
            </w:pPr>
            <w:r>
              <w:rPr>
                <w:rFonts w:ascii="Arial" w:hAnsi="Arial"/>
                <w:b w:val="0"/>
                <w:sz w:val="11"/>
              </w:rPr>
              <w:t>Corrected by Later Patch</w:t>
            </w:r>
          </w:p>
        </w:tc>
        <w:tc>
          <w:tcPr>
            <w:tcW w:type="dxa" w:w="2400"/>
            <w:vAlign w:val="top"/>
          </w:tcPr>
          <w:p>
            <w:pPr>
              <w:spacing w:after="0"/>
              <w:jc w:val="left"/>
            </w:pPr>
            <w:r>
              <w:rPr>
                <w:rFonts w:ascii="Arial" w:hAnsi="Arial"/>
                <w:b w:val="0"/>
                <w:sz w:val="11"/>
              </w:rPr>
              <w:t>Phase 1B-8C provisional mapping language</w:t>
            </w:r>
          </w:p>
        </w:tc>
        <w:tc>
          <w:tcPr>
            <w:tcW w:type="dxa" w:w="2400"/>
            <w:vAlign w:val="top"/>
          </w:tcPr>
          <w:p>
            <w:pPr>
              <w:spacing w:after="0"/>
              <w:jc w:val="left"/>
            </w:pPr>
            <w:r>
              <w:rPr>
                <w:rFonts w:ascii="Arial" w:hAnsi="Arial"/>
                <w:b w:val="0"/>
                <w:sz w:val="11"/>
              </w:rPr>
              <w:t>Revalidate L2 docs in Phase 1C</w:t>
            </w:r>
          </w:p>
        </w:tc>
      </w:tr>
      <w:tr>
        <w:trPr>
          <w:cantSplit/>
        </w:trPr>
        <w:tc>
          <w:tcPr>
            <w:tcW w:type="dxa" w:w="2400"/>
            <w:vAlign w:val="top"/>
          </w:tcPr>
          <w:p>
            <w:pPr>
              <w:spacing w:after="0"/>
              <w:jc w:val="left"/>
            </w:pPr>
            <w:r>
              <w:rPr>
                <w:rFonts w:ascii="Arial" w:hAnsi="Arial"/>
                <w:b w:val="0"/>
                <w:sz w:val="11"/>
              </w:rPr>
              <w:t>G-J-07</w:t>
            </w:r>
          </w:p>
        </w:tc>
        <w:tc>
          <w:tcPr>
            <w:tcW w:type="dxa" w:w="2400"/>
            <w:vAlign w:val="top"/>
          </w:tcPr>
          <w:p>
            <w:pPr>
              <w:spacing w:after="0"/>
              <w:jc w:val="left"/>
            </w:pPr>
            <w:r>
              <w:rPr>
                <w:rFonts w:ascii="Arial" w:hAnsi="Arial"/>
                <w:b w:val="0"/>
                <w:sz w:val="11"/>
              </w:rPr>
              <w:t>Appendices E/F/G initially needed detailed rubrics and system assessments</w:t>
            </w:r>
          </w:p>
        </w:tc>
        <w:tc>
          <w:tcPr>
            <w:tcW w:type="dxa" w:w="2400"/>
            <w:vAlign w:val="top"/>
          </w:tcPr>
          <w:p>
            <w:pPr>
              <w:spacing w:after="0"/>
              <w:jc w:val="left"/>
            </w:pPr>
            <w:r>
              <w:rPr>
                <w:rFonts w:ascii="Arial" w:hAnsi="Arial"/>
                <w:b w:val="0"/>
                <w:sz w:val="11"/>
              </w:rPr>
              <w:t>Phase 1B-9</w:t>
            </w:r>
          </w:p>
        </w:tc>
        <w:tc>
          <w:tcPr>
            <w:tcW w:type="dxa" w:w="2400"/>
            <w:vAlign w:val="top"/>
          </w:tcPr>
          <w:p>
            <w:pPr>
              <w:spacing w:after="0"/>
              <w:jc w:val="left"/>
            </w:pPr>
            <w:r>
              <w:rPr>
                <w:rFonts w:ascii="Arial" w:hAnsi="Arial"/>
                <w:b w:val="0"/>
                <w:sz w:val="11"/>
              </w:rPr>
              <w:t>Structurally Closed</w:t>
            </w:r>
          </w:p>
        </w:tc>
        <w:tc>
          <w:tcPr>
            <w:tcW w:type="dxa" w:w="2400"/>
            <w:vAlign w:val="top"/>
          </w:tcPr>
          <w:p>
            <w:pPr>
              <w:spacing w:after="0"/>
              <w:jc w:val="left"/>
            </w:pPr>
            <w:r>
              <w:rPr>
                <w:rFonts w:ascii="Arial" w:hAnsi="Arial"/>
                <w:b w:val="0"/>
                <w:sz w:val="11"/>
              </w:rPr>
              <w:t>Appendices E-G filled; E/F rubrics and G assessments created</w:t>
            </w:r>
          </w:p>
        </w:tc>
        <w:tc>
          <w:tcPr>
            <w:tcW w:type="dxa" w:w="2400"/>
            <w:vAlign w:val="top"/>
          </w:tcPr>
          <w:p>
            <w:pPr>
              <w:spacing w:after="0"/>
              <w:jc w:val="left"/>
            </w:pPr>
            <w:r>
              <w:rPr>
                <w:rFonts w:ascii="Arial" w:hAnsi="Arial"/>
                <w:b w:val="0"/>
                <w:sz w:val="11"/>
              </w:rPr>
              <w:t>Phase 1C source validation remains</w:t>
            </w:r>
          </w:p>
        </w:tc>
      </w:tr>
      <w:tr>
        <w:trPr>
          <w:cantSplit/>
        </w:trPr>
        <w:tc>
          <w:tcPr>
            <w:tcW w:type="dxa" w:w="2400"/>
            <w:vAlign w:val="top"/>
          </w:tcPr>
          <w:p>
            <w:pPr>
              <w:spacing w:after="0"/>
              <w:jc w:val="left"/>
            </w:pPr>
            <w:r>
              <w:rPr>
                <w:rFonts w:ascii="Arial" w:hAnsi="Arial"/>
                <w:b w:val="0"/>
                <w:sz w:val="11"/>
              </w:rPr>
              <w:t>G-J-08</w:t>
            </w:r>
          </w:p>
        </w:tc>
        <w:tc>
          <w:tcPr>
            <w:tcW w:type="dxa" w:w="2400"/>
            <w:vAlign w:val="top"/>
          </w:tcPr>
          <w:p>
            <w:pPr>
              <w:spacing w:after="0"/>
              <w:jc w:val="left"/>
            </w:pPr>
            <w:r>
              <w:rPr>
                <w:rFonts w:ascii="Arial" w:hAnsi="Arial"/>
                <w:b w:val="0"/>
                <w:sz w:val="11"/>
              </w:rPr>
              <w:t>Appendix G scope drift and score/order overreach</w:t>
            </w:r>
          </w:p>
        </w:tc>
        <w:tc>
          <w:tcPr>
            <w:tcW w:type="dxa" w:w="2400"/>
            <w:vAlign w:val="top"/>
          </w:tcPr>
          <w:p>
            <w:pPr>
              <w:spacing w:after="0"/>
              <w:jc w:val="left"/>
            </w:pPr>
            <w:r>
              <w:rPr>
                <w:rFonts w:ascii="Arial" w:hAnsi="Arial"/>
                <w:b w:val="0"/>
                <w:sz w:val="11"/>
              </w:rPr>
              <w:t>Phase 1B-9C</w:t>
            </w:r>
          </w:p>
        </w:tc>
        <w:tc>
          <w:tcPr>
            <w:tcW w:type="dxa" w:w="2400"/>
            <w:vAlign w:val="top"/>
          </w:tcPr>
          <w:p>
            <w:pPr>
              <w:spacing w:after="0"/>
              <w:jc w:val="left"/>
            </w:pPr>
            <w:r>
              <w:rPr>
                <w:rFonts w:ascii="Arial" w:hAnsi="Arial"/>
                <w:b w:val="0"/>
                <w:sz w:val="11"/>
              </w:rPr>
              <w:t>Corrected by Later Patch</w:t>
            </w:r>
          </w:p>
        </w:tc>
        <w:tc>
          <w:tcPr>
            <w:tcW w:type="dxa" w:w="2400"/>
            <w:vAlign w:val="top"/>
          </w:tcPr>
          <w:p>
            <w:pPr>
              <w:spacing w:after="0"/>
              <w:jc w:val="left"/>
            </w:pPr>
            <w:r>
              <w:rPr>
                <w:rFonts w:ascii="Arial" w:hAnsi="Arial"/>
                <w:b w:val="0"/>
                <w:sz w:val="11"/>
              </w:rPr>
              <w:t>Appendix G corrected to 8 representative systems plus T-G-09 qualitative summary</w:t>
            </w:r>
          </w:p>
        </w:tc>
        <w:tc>
          <w:tcPr>
            <w:tcW w:type="dxa" w:w="2400"/>
            <w:vAlign w:val="top"/>
          </w:tcPr>
          <w:p>
            <w:pPr>
              <w:spacing w:after="0"/>
              <w:jc w:val="left"/>
            </w:pPr>
            <w:r>
              <w:rPr>
                <w:rFonts w:ascii="Arial" w:hAnsi="Arial"/>
                <w:b w:val="0"/>
                <w:sz w:val="11"/>
              </w:rPr>
              <w:t>Revalidate sources before finalization</w:t>
            </w:r>
          </w:p>
        </w:tc>
      </w:tr>
      <w:tr>
        <w:trPr>
          <w:cantSplit/>
        </w:trPr>
        <w:tc>
          <w:tcPr>
            <w:tcW w:type="dxa" w:w="2400"/>
            <w:vAlign w:val="top"/>
          </w:tcPr>
          <w:p>
            <w:pPr>
              <w:spacing w:after="0"/>
              <w:jc w:val="left"/>
            </w:pPr>
            <w:r>
              <w:rPr>
                <w:rFonts w:ascii="Arial" w:hAnsi="Arial"/>
                <w:b w:val="0"/>
                <w:sz w:val="11"/>
              </w:rPr>
              <w:t>G-J-09</w:t>
            </w:r>
          </w:p>
        </w:tc>
        <w:tc>
          <w:tcPr>
            <w:tcW w:type="dxa" w:w="2400"/>
            <w:vAlign w:val="top"/>
          </w:tcPr>
          <w:p>
            <w:pPr>
              <w:spacing w:after="0"/>
              <w:jc w:val="left"/>
            </w:pPr>
            <w:r>
              <w:rPr>
                <w:rFonts w:ascii="Arial" w:hAnsi="Arial"/>
                <w:b w:val="0"/>
                <w:sz w:val="11"/>
              </w:rPr>
              <w:t>Appendix E/F score-5 wording risked implying legal text proves implementation</w:t>
            </w:r>
          </w:p>
        </w:tc>
        <w:tc>
          <w:tcPr>
            <w:tcW w:type="dxa" w:w="2400"/>
            <w:vAlign w:val="top"/>
          </w:tcPr>
          <w:p>
            <w:pPr>
              <w:spacing w:after="0"/>
              <w:jc w:val="left"/>
            </w:pPr>
            <w:r>
              <w:rPr>
                <w:rFonts w:ascii="Arial" w:hAnsi="Arial"/>
                <w:b w:val="0"/>
                <w:sz w:val="11"/>
              </w:rPr>
              <w:t>Phase 1B-9C</w:t>
            </w:r>
          </w:p>
        </w:tc>
        <w:tc>
          <w:tcPr>
            <w:tcW w:type="dxa" w:w="2400"/>
            <w:vAlign w:val="top"/>
          </w:tcPr>
          <w:p>
            <w:pPr>
              <w:spacing w:after="0"/>
              <w:jc w:val="left"/>
            </w:pPr>
            <w:r>
              <w:rPr>
                <w:rFonts w:ascii="Arial" w:hAnsi="Arial"/>
                <w:b w:val="0"/>
                <w:sz w:val="11"/>
              </w:rPr>
              <w:t>Corrected by Later Patch</w:t>
            </w:r>
          </w:p>
        </w:tc>
        <w:tc>
          <w:tcPr>
            <w:tcW w:type="dxa" w:w="2400"/>
            <w:vAlign w:val="top"/>
          </w:tcPr>
          <w:p>
            <w:pPr>
              <w:spacing w:after="0"/>
              <w:jc w:val="left"/>
            </w:pPr>
            <w:r>
              <w:rPr>
                <w:rFonts w:ascii="Arial" w:hAnsi="Arial"/>
                <w:b w:val="0"/>
                <w:sz w:val="11"/>
              </w:rPr>
              <w:t>Appendix E/F score-5 rows hardened</w:t>
            </w:r>
          </w:p>
        </w:tc>
        <w:tc>
          <w:tcPr>
            <w:tcW w:type="dxa" w:w="2400"/>
            <w:vAlign w:val="top"/>
          </w:tcPr>
          <w:p>
            <w:pPr>
              <w:spacing w:after="0"/>
              <w:jc w:val="left"/>
            </w:pPr>
            <w:r>
              <w:rPr>
                <w:rFonts w:ascii="Arial" w:hAnsi="Arial"/>
                <w:b w:val="0"/>
                <w:sz w:val="11"/>
              </w:rPr>
              <w:t>Verify in Phase 1C consistency pass</w:t>
            </w:r>
          </w:p>
        </w:tc>
      </w:tr>
      <w:tr>
        <w:trPr>
          <w:cantSplit/>
        </w:trPr>
        <w:tc>
          <w:tcPr>
            <w:tcW w:type="dxa" w:w="2400"/>
            <w:vAlign w:val="top"/>
          </w:tcPr>
          <w:p>
            <w:pPr>
              <w:spacing w:after="0"/>
              <w:jc w:val="left"/>
            </w:pPr>
            <w:r>
              <w:rPr>
                <w:rFonts w:ascii="Arial" w:hAnsi="Arial"/>
                <w:b w:val="0"/>
                <w:sz w:val="11"/>
              </w:rPr>
              <w:t>G-J-10</w:t>
            </w:r>
          </w:p>
        </w:tc>
        <w:tc>
          <w:tcPr>
            <w:tcW w:type="dxa" w:w="2400"/>
            <w:vAlign w:val="top"/>
          </w:tcPr>
          <w:p>
            <w:pPr>
              <w:spacing w:after="0"/>
              <w:jc w:val="left"/>
            </w:pPr>
            <w:r>
              <w:rPr>
                <w:rFonts w:ascii="Arial" w:hAnsi="Arial"/>
                <w:b w:val="0"/>
                <w:sz w:val="11"/>
              </w:rPr>
              <w:t>Phase 1B-9D governance ledgers stale after partial patch</w:t>
            </w:r>
          </w:p>
        </w:tc>
        <w:tc>
          <w:tcPr>
            <w:tcW w:type="dxa" w:w="2400"/>
            <w:vAlign w:val="top"/>
          </w:tcPr>
          <w:p>
            <w:pPr>
              <w:spacing w:after="0"/>
              <w:jc w:val="left"/>
            </w:pPr>
            <w:r>
              <w:rPr>
                <w:rFonts w:ascii="Arial" w:hAnsi="Arial"/>
                <w:b w:val="0"/>
                <w:sz w:val="11"/>
              </w:rPr>
              <w:t>Phase 1B-9D</w:t>
            </w:r>
          </w:p>
        </w:tc>
        <w:tc>
          <w:tcPr>
            <w:tcW w:type="dxa" w:w="2400"/>
            <w:vAlign w:val="top"/>
          </w:tcPr>
          <w:p>
            <w:pPr>
              <w:spacing w:after="0"/>
              <w:jc w:val="left"/>
            </w:pPr>
            <w:r>
              <w:rPr>
                <w:rFonts w:ascii="Arial" w:hAnsi="Arial"/>
                <w:b w:val="0"/>
                <w:sz w:val="11"/>
              </w:rPr>
              <w:t>Corrected by Later Patch</w:t>
            </w:r>
          </w:p>
        </w:tc>
        <w:tc>
          <w:tcPr>
            <w:tcW w:type="dxa" w:w="2400"/>
            <w:vAlign w:val="top"/>
          </w:tcPr>
          <w:p>
            <w:pPr>
              <w:spacing w:after="0"/>
              <w:jc w:val="left"/>
            </w:pPr>
            <w:r>
              <w:rPr>
                <w:rFonts w:ascii="Arial" w:hAnsi="Arial"/>
                <w:b w:val="0"/>
                <w:sz w:val="11"/>
              </w:rPr>
              <w:t>SOURCE MASTER, Appendix G metadata, carryover list, and final report synchronized</w:t>
            </w:r>
          </w:p>
        </w:tc>
        <w:tc>
          <w:tcPr>
            <w:tcW w:type="dxa" w:w="2400"/>
            <w:vAlign w:val="top"/>
          </w:tcPr>
          <w:p>
            <w:pPr>
              <w:spacing w:after="0"/>
              <w:jc w:val="left"/>
            </w:pPr>
            <w:r>
              <w:rPr>
                <w:rFonts w:ascii="Arial" w:hAnsi="Arial"/>
                <w:b w:val="0"/>
                <w:sz w:val="11"/>
              </w:rPr>
              <w:t>Continue with Phase 1B-10 completion record</w:t>
            </w:r>
          </w:p>
        </w:tc>
      </w:tr>
      <w:tr>
        <w:trPr>
          <w:cantSplit/>
        </w:trPr>
        <w:tc>
          <w:tcPr>
            <w:tcW w:type="dxa" w:w="2400"/>
            <w:vAlign w:val="top"/>
          </w:tcPr>
          <w:p>
            <w:pPr>
              <w:spacing w:after="0"/>
              <w:jc w:val="left"/>
            </w:pPr>
            <w:r>
              <w:rPr>
                <w:rFonts w:ascii="Arial" w:hAnsi="Arial"/>
                <w:b w:val="0"/>
                <w:sz w:val="11"/>
              </w:rPr>
              <w:t>G-J-11</w:t>
            </w:r>
          </w:p>
        </w:tc>
        <w:tc>
          <w:tcPr>
            <w:tcW w:type="dxa" w:w="2400"/>
            <w:vAlign w:val="top"/>
          </w:tcPr>
          <w:p>
            <w:pPr>
              <w:spacing w:after="0"/>
              <w:jc w:val="left"/>
            </w:pPr>
            <w:r>
              <w:rPr>
                <w:rFonts w:ascii="Arial" w:hAnsi="Arial"/>
                <w:b w:val="0"/>
                <w:sz w:val="11"/>
              </w:rPr>
              <w:t>Appendices H-K missing from clean source</w:t>
            </w:r>
          </w:p>
        </w:tc>
        <w:tc>
          <w:tcPr>
            <w:tcW w:type="dxa" w:w="2400"/>
            <w:vAlign w:val="top"/>
          </w:tcPr>
          <w:p>
            <w:pPr>
              <w:spacing w:after="0"/>
              <w:jc w:val="left"/>
            </w:pPr>
            <w:r>
              <w:rPr>
                <w:rFonts w:ascii="Arial" w:hAnsi="Arial"/>
                <w:b w:val="0"/>
                <w:sz w:val="11"/>
              </w:rPr>
              <w:t>Phase 1B-10</w:t>
            </w:r>
          </w:p>
        </w:tc>
        <w:tc>
          <w:tcPr>
            <w:tcW w:type="dxa" w:w="2400"/>
            <w:vAlign w:val="top"/>
          </w:tcPr>
          <w:p>
            <w:pPr>
              <w:spacing w:after="0"/>
              <w:jc w:val="left"/>
            </w:pPr>
            <w:r>
              <w:rPr>
                <w:rFonts w:ascii="Arial" w:hAnsi="Arial"/>
                <w:b w:val="0"/>
                <w:sz w:val="11"/>
              </w:rPr>
              <w:t>Closed</w:t>
            </w:r>
          </w:p>
        </w:tc>
        <w:tc>
          <w:tcPr>
            <w:tcW w:type="dxa" w:w="2400"/>
            <w:vAlign w:val="top"/>
          </w:tcPr>
          <w:p>
            <w:pPr>
              <w:spacing w:after="0"/>
              <w:jc w:val="left"/>
            </w:pPr>
            <w:r>
              <w:rPr>
                <w:rFonts w:ascii="Arial" w:hAnsi="Arial"/>
                <w:b w:val="0"/>
                <w:sz w:val="11"/>
              </w:rPr>
              <w:t>Appendices H-K filled in Phase 1B-10</w:t>
            </w:r>
          </w:p>
        </w:tc>
        <w:tc>
          <w:tcPr>
            <w:tcW w:type="dxa" w:w="2400"/>
            <w:vAlign w:val="top"/>
          </w:tcPr>
          <w:p>
            <w:pPr>
              <w:spacing w:after="0"/>
              <w:jc w:val="left"/>
            </w:pPr>
            <w:r>
              <w:rPr>
                <w:rFonts w:ascii="Arial" w:hAnsi="Arial"/>
                <w:b w:val="0"/>
                <w:sz w:val="11"/>
              </w:rPr>
              <w:t>Phase 1C source validation and Phase 1D layout QA remain</w:t>
            </w:r>
          </w:p>
        </w:tc>
      </w:tr>
      <w:tr>
        <w:trPr>
          <w:cantSplit/>
        </w:trPr>
        <w:tc>
          <w:tcPr>
            <w:tcW w:type="dxa" w:w="2400"/>
            <w:vAlign w:val="top"/>
          </w:tcPr>
          <w:p>
            <w:pPr>
              <w:spacing w:after="0"/>
              <w:jc w:val="left"/>
            </w:pPr>
            <w:r>
              <w:rPr>
                <w:rFonts w:ascii="Arial" w:hAnsi="Arial"/>
                <w:b w:val="0"/>
                <w:sz w:val="11"/>
              </w:rPr>
              <w:t>G-J-12</w:t>
            </w:r>
          </w:p>
        </w:tc>
        <w:tc>
          <w:tcPr>
            <w:tcW w:type="dxa" w:w="2400"/>
            <w:vAlign w:val="top"/>
          </w:tcPr>
          <w:p>
            <w:pPr>
              <w:spacing w:after="0"/>
              <w:jc w:val="left"/>
            </w:pPr>
            <w:r>
              <w:rPr>
                <w:rFonts w:ascii="Arial" w:hAnsi="Arial"/>
                <w:b w:val="0"/>
                <w:sz w:val="11"/>
              </w:rPr>
              <w:t>Citation Inventory remained partial after Phase 1B</w:t>
            </w:r>
          </w:p>
        </w:tc>
        <w:tc>
          <w:tcPr>
            <w:tcW w:type="dxa" w:w="2400"/>
            <w:vAlign w:val="top"/>
          </w:tcPr>
          <w:p>
            <w:pPr>
              <w:spacing w:after="0"/>
              <w:jc w:val="left"/>
            </w:pPr>
            <w:r>
              <w:rPr>
                <w:rFonts w:ascii="Arial" w:hAnsi="Arial"/>
                <w:b w:val="0"/>
                <w:sz w:val="11"/>
              </w:rPr>
              <w:t>Phase 1B-3</w:t>
            </w:r>
          </w:p>
        </w:tc>
        <w:tc>
          <w:tcPr>
            <w:tcW w:type="dxa" w:w="2400"/>
            <w:vAlign w:val="top"/>
          </w:tcPr>
          <w:p>
            <w:pPr>
              <w:spacing w:after="0"/>
              <w:jc w:val="left"/>
            </w:pPr>
            <w:r>
              <w:rPr>
                <w:rFonts w:ascii="Arial" w:hAnsi="Arial"/>
                <w:b w:val="0"/>
                <w:sz w:val="11"/>
              </w:rPr>
              <w:t>Corrected by Later Patch</w:t>
            </w:r>
          </w:p>
        </w:tc>
        <w:tc>
          <w:tcPr>
            <w:tcW w:type="dxa" w:w="2400"/>
            <w:vAlign w:val="top"/>
          </w:tcPr>
          <w:p>
            <w:pPr>
              <w:spacing w:after="0"/>
              <w:jc w:val="left"/>
            </w:pPr>
            <w:r>
              <w:rPr>
                <w:rFonts w:ascii="Arial" w:hAnsi="Arial"/>
                <w:b w:val="0"/>
                <w:sz w:val="11"/>
              </w:rPr>
              <w:t>Phase 1C cleanup updated citation inventory to URL-reviewed status; Phase 1C follow-up added claim-level source binding and claim register</w:t>
            </w:r>
          </w:p>
        </w:tc>
        <w:tc>
          <w:tcPr>
            <w:tcW w:type="dxa" w:w="2400"/>
            <w:vAlign w:val="top"/>
          </w:tcPr>
          <w:p>
            <w:pPr>
              <w:spacing w:after="0"/>
              <w:jc w:val="left"/>
            </w:pPr>
            <w:r>
              <w:rPr>
                <w:rFonts w:ascii="Arial" w:hAnsi="Arial"/>
                <w:b w:val="0"/>
                <w:sz w:val="11"/>
              </w:rPr>
              <w:t>Final page-level citation pinning and rendering QA before publication candidate</w:t>
            </w:r>
          </w:p>
        </w:tc>
      </w:tr>
      <w:tr>
        <w:trPr>
          <w:cantSplit/>
        </w:trPr>
        <w:tc>
          <w:tcPr>
            <w:tcW w:type="dxa" w:w="2400"/>
            <w:vAlign w:val="top"/>
          </w:tcPr>
          <w:p>
            <w:pPr>
              <w:spacing w:after="0"/>
              <w:jc w:val="left"/>
            </w:pPr>
            <w:r>
              <w:rPr>
                <w:rFonts w:ascii="Arial" w:hAnsi="Arial"/>
                <w:b w:val="0"/>
                <w:sz w:val="11"/>
              </w:rPr>
              <w:t>G-J-15</w:t>
            </w:r>
          </w:p>
        </w:tc>
        <w:tc>
          <w:tcPr>
            <w:tcW w:type="dxa" w:w="2400"/>
            <w:vAlign w:val="top"/>
          </w:tcPr>
          <w:p>
            <w:pPr>
              <w:spacing w:after="0"/>
              <w:jc w:val="left"/>
            </w:pPr>
            <w:r>
              <w:rPr>
                <w:rFonts w:ascii="Arial" w:hAnsi="Arial"/>
                <w:b w:val="0"/>
                <w:sz w:val="11"/>
              </w:rPr>
              <w:t>Claim-level L2 product/protocol source binding remained pending after Phase 1C cleanup</w:t>
            </w:r>
          </w:p>
        </w:tc>
        <w:tc>
          <w:tcPr>
            <w:tcW w:type="dxa" w:w="2400"/>
            <w:vAlign w:val="top"/>
          </w:tcPr>
          <w:p>
            <w:pPr>
              <w:spacing w:after="0"/>
              <w:jc w:val="left"/>
            </w:pPr>
            <w:r>
              <w:rPr>
                <w:rFonts w:ascii="Arial" w:hAnsi="Arial"/>
                <w:b w:val="0"/>
                <w:sz w:val="11"/>
              </w:rPr>
              <w:t>Phase 1C follow-up</w:t>
            </w:r>
          </w:p>
        </w:tc>
        <w:tc>
          <w:tcPr>
            <w:tcW w:type="dxa" w:w="2400"/>
            <w:vAlign w:val="top"/>
          </w:tcPr>
          <w:p>
            <w:pPr>
              <w:spacing w:after="0"/>
              <w:jc w:val="left"/>
            </w:pPr>
            <w:r>
              <w:rPr>
                <w:rFonts w:ascii="Arial" w:hAnsi="Arial"/>
                <w:b w:val="0"/>
                <w:sz w:val="11"/>
              </w:rPr>
              <w:t>Corrected by Later Patch</w:t>
            </w:r>
          </w:p>
        </w:tc>
        <w:tc>
          <w:tcPr>
            <w:tcW w:type="dxa" w:w="2400"/>
            <w:vAlign w:val="top"/>
          </w:tcPr>
          <w:p>
            <w:pPr>
              <w:spacing w:after="0"/>
              <w:jc w:val="left"/>
            </w:pPr>
            <w:r>
              <w:rPr>
                <w:rFonts w:ascii="Arial" w:hAnsi="Arial"/>
                <w:b w:val="0"/>
                <w:sz w:val="11"/>
              </w:rPr>
              <w:t>Claim evidence register created; Appendix G marked revalidated provisional; citation inventory/source coverage matrix updated</w:t>
            </w:r>
          </w:p>
        </w:tc>
        <w:tc>
          <w:tcPr>
            <w:tcW w:type="dxa" w:w="2400"/>
            <w:vAlign w:val="top"/>
          </w:tcPr>
          <w:p>
            <w:pPr>
              <w:spacing w:after="0"/>
              <w:jc w:val="left"/>
            </w:pPr>
            <w:r>
              <w:rPr>
                <w:rFonts w:ascii="Arial" w:hAnsi="Arial"/>
                <w:b w:val="0"/>
                <w:sz w:val="11"/>
              </w:rPr>
              <w:t>Keep Appendix G provisional; perform page-level citation pinning before final publication</w:t>
            </w:r>
          </w:p>
        </w:tc>
      </w:tr>
      <w:tr>
        <w:trPr>
          <w:cantSplit/>
        </w:trPr>
        <w:tc>
          <w:tcPr>
            <w:tcW w:type="dxa" w:w="2400"/>
            <w:vAlign w:val="top"/>
          </w:tcPr>
          <w:p>
            <w:pPr>
              <w:spacing w:after="0"/>
              <w:jc w:val="left"/>
            </w:pPr>
            <w:r>
              <w:rPr>
                <w:rFonts w:ascii="Arial" w:hAnsi="Arial"/>
                <w:b w:val="0"/>
                <w:sz w:val="11"/>
              </w:rPr>
              <w:t>G-J-13</w:t>
            </w:r>
          </w:p>
        </w:tc>
        <w:tc>
          <w:tcPr>
            <w:tcW w:type="dxa" w:w="2400"/>
            <w:vAlign w:val="top"/>
          </w:tcPr>
          <w:p>
            <w:pPr>
              <w:spacing w:after="0"/>
              <w:jc w:val="left"/>
            </w:pPr>
            <w:r>
              <w:rPr>
                <w:rFonts w:ascii="Arial" w:hAnsi="Arial"/>
                <w:b w:val="0"/>
                <w:sz w:val="11"/>
              </w:rPr>
              <w:t>Wide tables require layout evaluation</w:t>
            </w:r>
          </w:p>
        </w:tc>
        <w:tc>
          <w:tcPr>
            <w:tcW w:type="dxa" w:w="2400"/>
            <w:vAlign w:val="top"/>
          </w:tcPr>
          <w:p>
            <w:pPr>
              <w:spacing w:after="0"/>
              <w:jc w:val="left"/>
            </w:pPr>
            <w:r>
              <w:rPr>
                <w:rFonts w:ascii="Arial" w:hAnsi="Arial"/>
                <w:b w:val="0"/>
                <w:sz w:val="11"/>
              </w:rPr>
              <w:t>R2 / Phase 1B</w:t>
            </w:r>
          </w:p>
        </w:tc>
        <w:tc>
          <w:tcPr>
            <w:tcW w:type="dxa" w:w="2400"/>
            <w:vAlign w:val="top"/>
          </w:tcPr>
          <w:p>
            <w:pPr>
              <w:spacing w:after="0"/>
              <w:jc w:val="left"/>
            </w:pPr>
            <w:r>
              <w:rPr>
                <w:rFonts w:ascii="Arial" w:hAnsi="Arial"/>
                <w:b w:val="0"/>
                <w:sz w:val="11"/>
              </w:rPr>
              <w:t>Corrected by Later Patch</w:t>
            </w:r>
          </w:p>
        </w:tc>
        <w:tc>
          <w:tcPr>
            <w:tcW w:type="dxa" w:w="2400"/>
            <w:vAlign w:val="top"/>
          </w:tcPr>
          <w:p>
            <w:pPr>
              <w:spacing w:after="0"/>
              <w:jc w:val="left"/>
            </w:pPr>
            <w:r>
              <w:rPr>
                <w:rFonts w:ascii="Arial" w:hAnsi="Arial"/>
                <w:b w:val="0"/>
                <w:sz w:val="11"/>
              </w:rPr>
              <w:t>Phase 1C recorded layout risk notes in table inventory</w:t>
            </w:r>
          </w:p>
        </w:tc>
        <w:tc>
          <w:tcPr>
            <w:tcW w:type="dxa" w:w="2400"/>
            <w:vAlign w:val="top"/>
          </w:tcPr>
          <w:p>
            <w:pPr>
              <w:spacing w:after="0"/>
              <w:jc w:val="left"/>
            </w:pPr>
            <w:r>
              <w:rPr>
                <w:rFonts w:ascii="Arial" w:hAnsi="Arial"/>
                <w:b w:val="0"/>
                <w:sz w:val="11"/>
              </w:rPr>
              <w:t>Render and inspect tables in Phase 1D</w:t>
            </w:r>
          </w:p>
        </w:tc>
      </w:tr>
      <w:tr>
        <w:trPr>
          <w:cantSplit/>
        </w:trPr>
        <w:tc>
          <w:tcPr>
            <w:tcW w:type="dxa" w:w="2400"/>
            <w:vAlign w:val="top"/>
          </w:tcPr>
          <w:p>
            <w:pPr>
              <w:spacing w:after="0"/>
              <w:jc w:val="left"/>
            </w:pPr>
            <w:r>
              <w:rPr>
                <w:rFonts w:ascii="Arial" w:hAnsi="Arial"/>
                <w:b w:val="0"/>
                <w:sz w:val="11"/>
              </w:rPr>
              <w:t>G-J-14</w:t>
            </w:r>
          </w:p>
        </w:tc>
        <w:tc>
          <w:tcPr>
            <w:tcW w:type="dxa" w:w="2400"/>
            <w:vAlign w:val="top"/>
          </w:tcPr>
          <w:p>
            <w:pPr>
              <w:spacing w:after="0"/>
              <w:jc w:val="left"/>
            </w:pPr>
            <w:r>
              <w:rPr>
                <w:rFonts w:ascii="Arial" w:hAnsi="Arial"/>
                <w:b w:val="0"/>
                <w:sz w:val="11"/>
              </w:rPr>
              <w:t>DOCX/PDF layout, figures, captions, and page breaks not regenerated</w:t>
            </w:r>
          </w:p>
        </w:tc>
        <w:tc>
          <w:tcPr>
            <w:tcW w:type="dxa" w:w="2400"/>
            <w:vAlign w:val="top"/>
          </w:tcPr>
          <w:p>
            <w:pPr>
              <w:spacing w:after="0"/>
              <w:jc w:val="left"/>
            </w:pPr>
            <w:r>
              <w:rPr>
                <w:rFonts w:ascii="Arial" w:hAnsi="Arial"/>
                <w:b w:val="0"/>
                <w:sz w:val="11"/>
              </w:rPr>
              <w:t>Phase 1D</w:t>
            </w:r>
          </w:p>
        </w:tc>
        <w:tc>
          <w:tcPr>
            <w:tcW w:type="dxa" w:w="2400"/>
            <w:vAlign w:val="top"/>
          </w:tcPr>
          <w:p>
            <w:pPr>
              <w:spacing w:after="0"/>
              <w:jc w:val="left"/>
            </w:pPr>
            <w:r>
              <w:rPr>
                <w:rFonts w:ascii="Arial" w:hAnsi="Arial"/>
                <w:b w:val="0"/>
                <w:sz w:val="11"/>
              </w:rPr>
              <w:t>Deferred to Phase 1D</w:t>
            </w:r>
          </w:p>
        </w:tc>
        <w:tc>
          <w:tcPr>
            <w:tcW w:type="dxa" w:w="2400"/>
            <w:vAlign w:val="top"/>
          </w:tcPr>
          <w:p>
            <w:pPr>
              <w:spacing w:after="0"/>
              <w:jc w:val="left"/>
            </w:pPr>
            <w:r>
              <w:rPr>
                <w:rFonts w:ascii="Arial" w:hAnsi="Arial"/>
                <w:b w:val="0"/>
                <w:sz w:val="11"/>
              </w:rPr>
              <w:t>DOCX/PDF generation intentionally deferred</w:t>
            </w:r>
          </w:p>
        </w:tc>
        <w:tc>
          <w:tcPr>
            <w:tcW w:type="dxa" w:w="2400"/>
            <w:vAlign w:val="top"/>
          </w:tcPr>
          <w:p>
            <w:pPr>
              <w:spacing w:after="0"/>
              <w:jc w:val="left"/>
            </w:pPr>
            <w:r>
              <w:rPr>
                <w:rFonts w:ascii="Arial" w:hAnsi="Arial"/>
                <w:b w:val="0"/>
                <w:sz w:val="11"/>
              </w:rPr>
              <w:t>Generate and visually QA in Phase 1D</w:t>
            </w:r>
          </w:p>
        </w:tc>
      </w:tr>
    </w:tbl>
    <w:p>
      <w:pPr>
        <w:sectPr>
          <w:pgSz w:w="12240" w:h="15840" w:orient="landscape"/>
          <w:pgMar w:top="792" w:right="648" w:bottom="792" w:left="648" w:header="720" w:footer="720" w:gutter="0"/>
          <w:cols w:space="720"/>
          <w:docGrid w:linePitch="360"/>
        </w:sectPr>
      </w:pPr>
    </w:p>
    <w:p/>
    <w:p/>
    <w:p>
      <w:pPr>
        <w:pStyle w:val="Heading2"/>
      </w:pPr>
      <w:r>
        <w:t>J.3 Deferred Phase 1C Items</w:t>
      </w:r>
    </w:p>
    <w:p/>
    <w:p>
      <w:pPr>
        <w:keepNext/>
      </w:pPr>
      <w:r>
        <w:rPr>
          <w:b/>
          <w:sz w:val="17"/>
        </w:rPr>
        <w:t>Table T-J-02: Phase 1C Deferred Items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1"/>
              </w:rPr>
              <w:t>Item</w:t>
            </w:r>
          </w:p>
        </w:tc>
        <w:tc>
          <w:tcPr>
            <w:tcW w:type="dxa" w:w="2880"/>
            <w:vAlign w:val="top"/>
            <w:shd w:fill="D9EAF7"/>
          </w:tcPr>
          <w:p>
            <w:pPr>
              <w:spacing w:after="0"/>
              <w:jc w:val="left"/>
            </w:pPr>
            <w:r>
              <w:rPr>
                <w:rFonts w:ascii="Arial" w:hAnsi="Arial"/>
                <w:b/>
                <w:sz w:val="11"/>
              </w:rPr>
              <w:t>Reason Deferred</w:t>
            </w:r>
          </w:p>
        </w:tc>
        <w:tc>
          <w:tcPr>
            <w:tcW w:type="dxa" w:w="2880"/>
            <w:vAlign w:val="top"/>
            <w:shd w:fill="D9EAF7"/>
          </w:tcPr>
          <w:p>
            <w:pPr>
              <w:spacing w:after="0"/>
              <w:jc w:val="left"/>
            </w:pPr>
            <w:r>
              <w:rPr>
                <w:rFonts w:ascii="Arial" w:hAnsi="Arial"/>
                <w:b/>
                <w:sz w:val="11"/>
              </w:rPr>
              <w:t>Required Action</w:t>
            </w:r>
          </w:p>
        </w:tc>
        <w:tc>
          <w:tcPr>
            <w:tcW w:type="dxa" w:w="2880"/>
            <w:vAlign w:val="top"/>
            <w:shd w:fill="D9EAF7"/>
          </w:tcPr>
          <w:p>
            <w:pPr>
              <w:spacing w:after="0"/>
              <w:jc w:val="left"/>
            </w:pPr>
            <w:r>
              <w:rPr>
                <w:rFonts w:ascii="Arial" w:hAnsi="Arial"/>
                <w:b/>
                <w:sz w:val="11"/>
              </w:rPr>
              <w:t>Blocking Level</w:t>
            </w:r>
          </w:p>
        </w:tc>
        <w:tc>
          <w:tcPr>
            <w:tcW w:type="dxa" w:w="2880"/>
            <w:vAlign w:val="top"/>
            <w:shd w:fill="D9EAF7"/>
          </w:tcPr>
          <w:p>
            <w:pPr>
              <w:spacing w:after="0"/>
              <w:jc w:val="left"/>
            </w:pPr>
            <w:r>
              <w:rPr>
                <w:rFonts w:ascii="Arial" w:hAnsi="Arial"/>
                <w:b/>
                <w:sz w:val="11"/>
              </w:rPr>
              <w:t>Owner Phase</w:t>
            </w:r>
          </w:p>
        </w:tc>
      </w:tr>
      <w:tr>
        <w:trPr>
          <w:cantSplit/>
        </w:trPr>
        <w:tc>
          <w:tcPr>
            <w:tcW w:type="dxa" w:w="2880"/>
            <w:vAlign w:val="top"/>
          </w:tcPr>
          <w:p>
            <w:pPr>
              <w:spacing w:after="0"/>
              <w:jc w:val="left"/>
            </w:pPr>
            <w:r>
              <w:rPr>
                <w:rFonts w:ascii="Arial" w:hAnsi="Arial"/>
                <w:b w:val="0"/>
                <w:sz w:val="11"/>
              </w:rPr>
              <w:t>Chapter 14/15 ALCS numbering consistency</w:t>
            </w:r>
          </w:p>
        </w:tc>
        <w:tc>
          <w:tcPr>
            <w:tcW w:type="dxa" w:w="2880"/>
            <w:vAlign w:val="top"/>
          </w:tcPr>
          <w:p>
            <w:pPr>
              <w:spacing w:after="0"/>
              <w:jc w:val="left"/>
            </w:pPr>
            <w:r>
              <w:rPr>
                <w:rFonts w:ascii="Arial" w:hAnsi="Arial"/>
                <w:b w:val="0"/>
                <w:sz w:val="11"/>
              </w:rPr>
              <w:t>Phase 1C taxonomy pass found naming and scenario mapping drift</w:t>
            </w:r>
          </w:p>
        </w:tc>
        <w:tc>
          <w:tcPr>
            <w:tcW w:type="dxa" w:w="2880"/>
            <w:vAlign w:val="top"/>
          </w:tcPr>
          <w:p>
            <w:pPr>
              <w:spacing w:after="0"/>
              <w:jc w:val="left"/>
            </w:pPr>
            <w:r>
              <w:rPr>
                <w:rFonts w:ascii="Arial" w:hAnsi="Arial"/>
                <w:b w:val="0"/>
                <w:sz w:val="11"/>
              </w:rPr>
              <w:t>Corrected active-source ALCS/MRO references</w:t>
            </w:r>
          </w:p>
        </w:tc>
        <w:tc>
          <w:tcPr>
            <w:tcW w:type="dxa" w:w="2880"/>
            <w:vAlign w:val="top"/>
          </w:tcPr>
          <w:p>
            <w:pPr>
              <w:spacing w:after="0"/>
              <w:jc w:val="left"/>
            </w:pPr>
            <w:r>
              <w:rPr>
                <w:rFonts w:ascii="Arial" w:hAnsi="Arial"/>
                <w:b w:val="0"/>
                <w:sz w:val="11"/>
              </w:rPr>
              <w:t>Closed for taxonomy; monitor in final proof</w:t>
            </w:r>
          </w:p>
        </w:tc>
        <w:tc>
          <w:tcPr>
            <w:tcW w:type="dxa" w:w="2880"/>
            <w:vAlign w:val="top"/>
          </w:tcPr>
          <w:p>
            <w:pPr>
              <w:spacing w:after="0"/>
              <w:jc w:val="left"/>
            </w:pPr>
            <w:r>
              <w:rPr>
                <w:rFonts w:ascii="Arial" w:hAnsi="Arial"/>
                <w:b w:val="0"/>
                <w:sz w:val="11"/>
              </w:rPr>
              <w:t>Phase 1C</w:t>
            </w:r>
          </w:p>
        </w:tc>
      </w:tr>
      <w:tr>
        <w:trPr>
          <w:cantSplit/>
        </w:trPr>
        <w:tc>
          <w:tcPr>
            <w:tcW w:type="dxa" w:w="2880"/>
            <w:vAlign w:val="top"/>
          </w:tcPr>
          <w:p>
            <w:pPr>
              <w:spacing w:after="0"/>
              <w:jc w:val="left"/>
            </w:pPr>
            <w:r>
              <w:rPr>
                <w:rFonts w:ascii="Arial" w:hAnsi="Arial"/>
                <w:b w:val="0"/>
                <w:sz w:val="11"/>
              </w:rPr>
              <w:t>Chapter 17 roadmap-count inconsistency</w:t>
            </w:r>
          </w:p>
        </w:tc>
        <w:tc>
          <w:tcPr>
            <w:tcW w:type="dxa" w:w="2880"/>
            <w:vAlign w:val="top"/>
          </w:tcPr>
          <w:p>
            <w:pPr>
              <w:spacing w:after="0"/>
              <w:jc w:val="left"/>
            </w:pPr>
            <w:r>
              <w:rPr>
                <w:rFonts w:ascii="Arial" w:hAnsi="Arial"/>
                <w:b w:val="0"/>
                <w:sz w:val="11"/>
              </w:rPr>
              <w:t>Body chapter wording did not match Stage 0-to-7 table</w:t>
            </w:r>
          </w:p>
        </w:tc>
        <w:tc>
          <w:tcPr>
            <w:tcW w:type="dxa" w:w="2880"/>
            <w:vAlign w:val="top"/>
          </w:tcPr>
          <w:p>
            <w:pPr>
              <w:spacing w:after="0"/>
              <w:jc w:val="left"/>
            </w:pPr>
            <w:r>
              <w:rPr>
                <w:rFonts w:ascii="Arial" w:hAnsi="Arial"/>
                <w:b w:val="0"/>
                <w:sz w:val="11"/>
              </w:rPr>
              <w:t>Corrected to Stage 0-to-7 wording</w:t>
            </w:r>
          </w:p>
        </w:tc>
        <w:tc>
          <w:tcPr>
            <w:tcW w:type="dxa" w:w="2880"/>
            <w:vAlign w:val="top"/>
          </w:tcPr>
          <w:p>
            <w:pPr>
              <w:spacing w:after="0"/>
              <w:jc w:val="left"/>
            </w:pPr>
            <w:r>
              <w:rPr>
                <w:rFonts w:ascii="Arial" w:hAnsi="Arial"/>
                <w:b w:val="0"/>
                <w:sz w:val="11"/>
              </w:rPr>
              <w:t>Closed for editorial consistency</w:t>
            </w:r>
          </w:p>
        </w:tc>
        <w:tc>
          <w:tcPr>
            <w:tcW w:type="dxa" w:w="2880"/>
            <w:vAlign w:val="top"/>
          </w:tcPr>
          <w:p>
            <w:pPr>
              <w:spacing w:after="0"/>
              <w:jc w:val="left"/>
            </w:pPr>
            <w:r>
              <w:rPr>
                <w:rFonts w:ascii="Arial" w:hAnsi="Arial"/>
                <w:b w:val="0"/>
                <w:sz w:val="11"/>
              </w:rPr>
              <w:t>Phase 1C</w:t>
            </w:r>
          </w:p>
        </w:tc>
      </w:tr>
      <w:tr>
        <w:trPr>
          <w:cantSplit/>
        </w:trPr>
        <w:tc>
          <w:tcPr>
            <w:tcW w:type="dxa" w:w="2880"/>
            <w:vAlign w:val="top"/>
          </w:tcPr>
          <w:p>
            <w:pPr>
              <w:spacing w:after="0"/>
              <w:jc w:val="left"/>
            </w:pPr>
            <w:r>
              <w:rPr>
                <w:rFonts w:ascii="Arial" w:hAnsi="Arial"/>
                <w:b w:val="0"/>
                <w:sz w:val="11"/>
              </w:rPr>
              <w:t>Chapter 18 contribution-count inconsistency</w:t>
            </w:r>
          </w:p>
        </w:tc>
        <w:tc>
          <w:tcPr>
            <w:tcW w:type="dxa" w:w="2880"/>
            <w:vAlign w:val="top"/>
          </w:tcPr>
          <w:p>
            <w:pPr>
              <w:spacing w:after="0"/>
              <w:jc w:val="left"/>
            </w:pPr>
            <w:r>
              <w:rPr>
                <w:rFonts w:ascii="Arial" w:hAnsi="Arial"/>
                <w:b w:val="0"/>
                <w:sz w:val="11"/>
              </w:rPr>
              <w:t>Contribution summary did not match T-18-01 row count</w:t>
            </w:r>
          </w:p>
        </w:tc>
        <w:tc>
          <w:tcPr>
            <w:tcW w:type="dxa" w:w="2880"/>
            <w:vAlign w:val="top"/>
          </w:tcPr>
          <w:p>
            <w:pPr>
              <w:spacing w:after="0"/>
              <w:jc w:val="left"/>
            </w:pPr>
            <w:r>
              <w:rPr>
                <w:rFonts w:ascii="Arial" w:hAnsi="Arial"/>
                <w:b w:val="0"/>
                <w:sz w:val="11"/>
              </w:rPr>
              <w:t>Corrected to eight contributions</w:t>
            </w:r>
          </w:p>
        </w:tc>
        <w:tc>
          <w:tcPr>
            <w:tcW w:type="dxa" w:w="2880"/>
            <w:vAlign w:val="top"/>
          </w:tcPr>
          <w:p>
            <w:pPr>
              <w:spacing w:after="0"/>
              <w:jc w:val="left"/>
            </w:pPr>
            <w:r>
              <w:rPr>
                <w:rFonts w:ascii="Arial" w:hAnsi="Arial"/>
                <w:b w:val="0"/>
                <w:sz w:val="11"/>
              </w:rPr>
              <w:t>Closed for editorial consistency</w:t>
            </w:r>
          </w:p>
        </w:tc>
        <w:tc>
          <w:tcPr>
            <w:tcW w:type="dxa" w:w="2880"/>
            <w:vAlign w:val="top"/>
          </w:tcPr>
          <w:p>
            <w:pPr>
              <w:spacing w:after="0"/>
              <w:jc w:val="left"/>
            </w:pPr>
            <w:r>
              <w:rPr>
                <w:rFonts w:ascii="Arial" w:hAnsi="Arial"/>
                <w:b w:val="0"/>
                <w:sz w:val="11"/>
              </w:rPr>
              <w:t>Phase 1C</w:t>
            </w:r>
          </w:p>
        </w:tc>
      </w:tr>
      <w:tr>
        <w:trPr>
          <w:cantSplit/>
        </w:trPr>
        <w:tc>
          <w:tcPr>
            <w:tcW w:type="dxa" w:w="2880"/>
            <w:vAlign w:val="top"/>
          </w:tcPr>
          <w:p>
            <w:pPr>
              <w:spacing w:after="0"/>
              <w:jc w:val="left"/>
            </w:pPr>
            <w:r>
              <w:rPr>
                <w:rFonts w:ascii="Arial" w:hAnsi="Arial"/>
                <w:b w:val="0"/>
                <w:sz w:val="11"/>
              </w:rPr>
              <w:t>F-09 figure numbering gap</w:t>
            </w:r>
          </w:p>
        </w:tc>
        <w:tc>
          <w:tcPr>
            <w:tcW w:type="dxa" w:w="2880"/>
            <w:vAlign w:val="top"/>
          </w:tcPr>
          <w:p>
            <w:pPr>
              <w:spacing w:after="0"/>
              <w:jc w:val="left"/>
            </w:pPr>
            <w:r>
              <w:rPr>
                <w:rFonts w:ascii="Arial" w:hAnsi="Arial"/>
                <w:b w:val="0"/>
                <w:sz w:val="11"/>
              </w:rPr>
              <w:t>Figure inventory skipped F-09</w:t>
            </w:r>
          </w:p>
        </w:tc>
        <w:tc>
          <w:tcPr>
            <w:tcW w:type="dxa" w:w="2880"/>
            <w:vAlign w:val="top"/>
          </w:tcPr>
          <w:p>
            <w:pPr>
              <w:spacing w:after="0"/>
              <w:jc w:val="left"/>
            </w:pPr>
            <w:r>
              <w:rPr>
                <w:rFonts w:ascii="Arial" w:hAnsi="Arial"/>
                <w:b w:val="0"/>
                <w:sz w:val="11"/>
              </w:rPr>
              <w:t>Reserved F-09 to avoid renumbering risk</w:t>
            </w:r>
          </w:p>
        </w:tc>
        <w:tc>
          <w:tcPr>
            <w:tcW w:type="dxa" w:w="2880"/>
            <w:vAlign w:val="top"/>
          </w:tcPr>
          <w:p>
            <w:pPr>
              <w:spacing w:after="0"/>
              <w:jc w:val="left"/>
            </w:pPr>
            <w:r>
              <w:rPr>
                <w:rFonts w:ascii="Arial" w:hAnsi="Arial"/>
                <w:b w:val="0"/>
                <w:sz w:val="11"/>
              </w:rPr>
              <w:t>Closed for inventory; Phase 1D rendering decision remains</w:t>
            </w:r>
          </w:p>
        </w:tc>
        <w:tc>
          <w:tcPr>
            <w:tcW w:type="dxa" w:w="2880"/>
            <w:vAlign w:val="top"/>
          </w:tcPr>
          <w:p>
            <w:pPr>
              <w:spacing w:after="0"/>
              <w:jc w:val="left"/>
            </w:pPr>
            <w:r>
              <w:rPr>
                <w:rFonts w:ascii="Arial" w:hAnsi="Arial"/>
                <w:b w:val="0"/>
                <w:sz w:val="11"/>
              </w:rPr>
              <w:t>Phase 1C / 1D</w:t>
            </w:r>
          </w:p>
        </w:tc>
      </w:tr>
      <w:tr>
        <w:trPr>
          <w:cantSplit/>
        </w:trPr>
        <w:tc>
          <w:tcPr>
            <w:tcW w:type="dxa" w:w="2880"/>
            <w:vAlign w:val="top"/>
          </w:tcPr>
          <w:p>
            <w:pPr>
              <w:spacing w:after="0"/>
              <w:jc w:val="left"/>
            </w:pPr>
            <w:r>
              <w:rPr>
                <w:rFonts w:ascii="Arial" w:hAnsi="Arial"/>
                <w:b w:val="0"/>
                <w:sz w:val="11"/>
              </w:rPr>
              <w:t>Citation inventory pre-cleanup status</w:t>
            </w:r>
          </w:p>
        </w:tc>
        <w:tc>
          <w:tcPr>
            <w:tcW w:type="dxa" w:w="2880"/>
            <w:vAlign w:val="top"/>
          </w:tcPr>
          <w:p>
            <w:pPr>
              <w:spacing w:after="0"/>
              <w:jc w:val="left"/>
            </w:pPr>
            <w:r>
              <w:rPr>
                <w:rFonts w:ascii="Arial" w:hAnsi="Arial"/>
                <w:b w:val="0"/>
                <w:sz w:val="11"/>
              </w:rPr>
              <w:t>Citation validation belongs to global cleanup</w:t>
            </w:r>
          </w:p>
        </w:tc>
        <w:tc>
          <w:tcPr>
            <w:tcW w:type="dxa" w:w="2880"/>
            <w:vAlign w:val="top"/>
          </w:tcPr>
          <w:p>
            <w:pPr>
              <w:spacing w:after="0"/>
              <w:jc w:val="left"/>
            </w:pPr>
            <w:r>
              <w:rPr>
                <w:rFonts w:ascii="Arial" w:hAnsi="Arial"/>
                <w:b w:val="0"/>
                <w:sz w:val="11"/>
              </w:rPr>
              <w:t>Updated citation inventory to Phase 1C claim-level reviewed / provisional source binding complete</w:t>
            </w:r>
          </w:p>
        </w:tc>
        <w:tc>
          <w:tcPr>
            <w:tcW w:type="dxa" w:w="2880"/>
            <w:vAlign w:val="top"/>
          </w:tcPr>
          <w:p>
            <w:pPr>
              <w:spacing w:after="0"/>
              <w:jc w:val="left"/>
            </w:pPr>
            <w:r>
              <w:rPr>
                <w:rFonts w:ascii="Arial" w:hAnsi="Arial"/>
                <w:b w:val="0"/>
                <w:sz w:val="11"/>
              </w:rPr>
              <w:t>Final page-level citation pinning remains</w:t>
            </w:r>
          </w:p>
        </w:tc>
        <w:tc>
          <w:tcPr>
            <w:tcW w:type="dxa" w:w="2880"/>
            <w:vAlign w:val="top"/>
          </w:tcPr>
          <w:p>
            <w:pPr>
              <w:spacing w:after="0"/>
              <w:jc w:val="left"/>
            </w:pPr>
            <w:r>
              <w:rPr>
                <w:rFonts w:ascii="Arial" w:hAnsi="Arial"/>
                <w:b w:val="0"/>
                <w:sz w:val="11"/>
              </w:rPr>
              <w:t>Phase 1C follow-up / Phase 1D</w:t>
            </w:r>
          </w:p>
        </w:tc>
      </w:tr>
      <w:tr>
        <w:trPr>
          <w:cantSplit/>
        </w:trPr>
        <w:tc>
          <w:tcPr>
            <w:tcW w:type="dxa" w:w="2880"/>
            <w:vAlign w:val="top"/>
          </w:tcPr>
          <w:p>
            <w:pPr>
              <w:spacing w:after="0"/>
              <w:jc w:val="left"/>
            </w:pPr>
            <w:r>
              <w:rPr>
                <w:rFonts w:ascii="Arial" w:hAnsi="Arial"/>
                <w:b w:val="0"/>
                <w:sz w:val="11"/>
              </w:rPr>
              <w:t>All L2 product docs require Phase 1C revalidation</w:t>
            </w:r>
          </w:p>
        </w:tc>
        <w:tc>
          <w:tcPr>
            <w:tcW w:type="dxa" w:w="2880"/>
            <w:vAlign w:val="top"/>
          </w:tcPr>
          <w:p>
            <w:pPr>
              <w:spacing w:after="0"/>
              <w:jc w:val="left"/>
            </w:pPr>
            <w:r>
              <w:rPr>
                <w:rFonts w:ascii="Arial" w:hAnsi="Arial"/>
                <w:b w:val="0"/>
                <w:sz w:val="11"/>
              </w:rPr>
              <w:t>Product docs may have changed and require claim-level review</w:t>
            </w:r>
          </w:p>
        </w:tc>
        <w:tc>
          <w:tcPr>
            <w:tcW w:type="dxa" w:w="2880"/>
            <w:vAlign w:val="top"/>
          </w:tcPr>
          <w:p>
            <w:pPr>
              <w:spacing w:after="0"/>
              <w:jc w:val="left"/>
            </w:pPr>
            <w:r>
              <w:rPr>
                <w:rFonts w:ascii="Arial" w:hAnsi="Arial"/>
                <w:b w:val="0"/>
                <w:sz w:val="11"/>
              </w:rPr>
              <w:t>Official entry points located; material claims source-bound, narrowed, or downgraded to L5</w:t>
            </w:r>
          </w:p>
        </w:tc>
        <w:tc>
          <w:tcPr>
            <w:tcW w:type="dxa" w:w="2880"/>
            <w:vAlign w:val="top"/>
          </w:tcPr>
          <w:p>
            <w:pPr>
              <w:spacing w:after="0"/>
              <w:jc w:val="left"/>
            </w:pPr>
            <w:r>
              <w:rPr>
                <w:rFonts w:ascii="Arial" w:hAnsi="Arial"/>
                <w:b w:val="0"/>
                <w:sz w:val="11"/>
              </w:rPr>
              <w:t>Appendix G remains provisional; final page-level citation pinning remains</w:t>
            </w:r>
          </w:p>
        </w:tc>
        <w:tc>
          <w:tcPr>
            <w:tcW w:type="dxa" w:w="2880"/>
            <w:vAlign w:val="top"/>
          </w:tcPr>
          <w:p>
            <w:pPr>
              <w:spacing w:after="0"/>
              <w:jc w:val="left"/>
            </w:pPr>
            <w:r>
              <w:rPr>
                <w:rFonts w:ascii="Arial" w:hAnsi="Arial"/>
                <w:b w:val="0"/>
                <w:sz w:val="11"/>
              </w:rPr>
              <w:t>Phase 1C follow-up / Phase 1D</w:t>
            </w:r>
          </w:p>
        </w:tc>
      </w:tr>
      <w:tr>
        <w:trPr>
          <w:cantSplit/>
        </w:trPr>
        <w:tc>
          <w:tcPr>
            <w:tcW w:type="dxa" w:w="2880"/>
            <w:vAlign w:val="top"/>
          </w:tcPr>
          <w:p>
            <w:pPr>
              <w:spacing w:after="0"/>
              <w:jc w:val="left"/>
            </w:pPr>
            <w:r>
              <w:rPr>
                <w:rFonts w:ascii="Arial" w:hAnsi="Arial"/>
                <w:b w:val="0"/>
                <w:sz w:val="11"/>
              </w:rPr>
              <w:t>T-D-01 requires Phase 1C wide-table evaluation</w:t>
            </w:r>
          </w:p>
        </w:tc>
        <w:tc>
          <w:tcPr>
            <w:tcW w:type="dxa" w:w="2880"/>
            <w:vAlign w:val="top"/>
          </w:tcPr>
          <w:p>
            <w:pPr>
              <w:spacing w:after="0"/>
              <w:jc w:val="left"/>
            </w:pPr>
            <w:r>
              <w:rPr>
                <w:rFonts w:ascii="Arial" w:hAnsi="Arial"/>
                <w:b w:val="0"/>
                <w:sz w:val="11"/>
              </w:rPr>
              <w:t>Very wide table may require split or landscape handling</w:t>
            </w:r>
          </w:p>
        </w:tc>
        <w:tc>
          <w:tcPr>
            <w:tcW w:type="dxa" w:w="2880"/>
            <w:vAlign w:val="top"/>
          </w:tcPr>
          <w:p>
            <w:pPr>
              <w:spacing w:after="0"/>
              <w:jc w:val="left"/>
            </w:pPr>
            <w:r>
              <w:rPr>
                <w:rFonts w:ascii="Arial" w:hAnsi="Arial"/>
                <w:b w:val="0"/>
                <w:sz w:val="11"/>
              </w:rPr>
              <w:t>Layout risk documented in table inventory</w:t>
            </w:r>
          </w:p>
        </w:tc>
        <w:tc>
          <w:tcPr>
            <w:tcW w:type="dxa" w:w="2880"/>
            <w:vAlign w:val="top"/>
          </w:tcPr>
          <w:p>
            <w:pPr>
              <w:spacing w:after="0"/>
              <w:jc w:val="left"/>
            </w:pPr>
            <w:r>
              <w:rPr>
                <w:rFonts w:ascii="Arial" w:hAnsi="Arial"/>
                <w:b w:val="0"/>
                <w:sz w:val="11"/>
              </w:rPr>
              <w:t>Render and inspect in Phase 1D</w:t>
            </w:r>
          </w:p>
        </w:tc>
        <w:tc>
          <w:tcPr>
            <w:tcW w:type="dxa" w:w="2880"/>
            <w:vAlign w:val="top"/>
          </w:tcPr>
          <w:p>
            <w:pPr>
              <w:spacing w:after="0"/>
              <w:jc w:val="left"/>
            </w:pPr>
            <w:r>
              <w:rPr>
                <w:rFonts w:ascii="Arial" w:hAnsi="Arial"/>
                <w:b w:val="0"/>
                <w:sz w:val="11"/>
              </w:rPr>
              <w:t>Phase 1D</w:t>
            </w:r>
          </w:p>
        </w:tc>
      </w:tr>
      <w:tr>
        <w:trPr>
          <w:cantSplit/>
        </w:trPr>
        <w:tc>
          <w:tcPr>
            <w:tcW w:type="dxa" w:w="2880"/>
            <w:vAlign w:val="top"/>
          </w:tcPr>
          <w:p>
            <w:pPr>
              <w:spacing w:after="0"/>
              <w:jc w:val="left"/>
            </w:pPr>
            <w:r>
              <w:rPr>
                <w:rFonts w:ascii="Arial" w:hAnsi="Arial"/>
                <w:b w:val="0"/>
                <w:sz w:val="11"/>
              </w:rPr>
              <w:t>Wide table evaluation for T-13/T-14/T-15/T-17/T-18 and Appendix G</w:t>
            </w:r>
          </w:p>
        </w:tc>
        <w:tc>
          <w:tcPr>
            <w:tcW w:type="dxa" w:w="2880"/>
            <w:vAlign w:val="top"/>
          </w:tcPr>
          <w:p>
            <w:pPr>
              <w:spacing w:after="0"/>
              <w:jc w:val="left"/>
            </w:pPr>
            <w:r>
              <w:rPr>
                <w:rFonts w:ascii="Arial" w:hAnsi="Arial"/>
                <w:b w:val="0"/>
                <w:sz w:val="11"/>
              </w:rPr>
              <w:t>Several wide tables may not render in portrait layout</w:t>
            </w:r>
          </w:p>
        </w:tc>
        <w:tc>
          <w:tcPr>
            <w:tcW w:type="dxa" w:w="2880"/>
            <w:vAlign w:val="top"/>
          </w:tcPr>
          <w:p>
            <w:pPr>
              <w:spacing w:after="0"/>
              <w:jc w:val="left"/>
            </w:pPr>
            <w:r>
              <w:rPr>
                <w:rFonts w:ascii="Arial" w:hAnsi="Arial"/>
                <w:b w:val="0"/>
                <w:sz w:val="11"/>
              </w:rPr>
              <w:t>Layout risk documented in table inventory</w:t>
            </w:r>
          </w:p>
        </w:tc>
        <w:tc>
          <w:tcPr>
            <w:tcW w:type="dxa" w:w="2880"/>
            <w:vAlign w:val="top"/>
          </w:tcPr>
          <w:p>
            <w:pPr>
              <w:spacing w:after="0"/>
              <w:jc w:val="left"/>
            </w:pPr>
            <w:r>
              <w:rPr>
                <w:rFonts w:ascii="Arial" w:hAnsi="Arial"/>
                <w:b w:val="0"/>
                <w:sz w:val="11"/>
              </w:rPr>
              <w:t>Render and inspect in Phase 1D</w:t>
            </w:r>
          </w:p>
        </w:tc>
        <w:tc>
          <w:tcPr>
            <w:tcW w:type="dxa" w:w="2880"/>
            <w:vAlign w:val="top"/>
          </w:tcPr>
          <w:p>
            <w:pPr>
              <w:spacing w:after="0"/>
              <w:jc w:val="left"/>
            </w:pPr>
            <w:r>
              <w:rPr>
                <w:rFonts w:ascii="Arial" w:hAnsi="Arial"/>
                <w:b w:val="0"/>
                <w:sz w:val="11"/>
              </w:rPr>
              <w:t>Phase 1D</w:t>
            </w:r>
          </w:p>
        </w:tc>
      </w:tr>
      <w:tr>
        <w:trPr>
          <w:cantSplit/>
        </w:trPr>
        <w:tc>
          <w:tcPr>
            <w:tcW w:type="dxa" w:w="2880"/>
            <w:vAlign w:val="top"/>
          </w:tcPr>
          <w:p>
            <w:pPr>
              <w:spacing w:after="0"/>
              <w:jc w:val="left"/>
            </w:pPr>
            <w:r>
              <w:rPr>
                <w:rFonts w:ascii="Arial" w:hAnsi="Arial"/>
                <w:b w:val="0"/>
                <w:sz w:val="11"/>
              </w:rPr>
              <w:t>MPLP/Validation Lab URL validation</w:t>
            </w:r>
          </w:p>
        </w:tc>
        <w:tc>
          <w:tcPr>
            <w:tcW w:type="dxa" w:w="2880"/>
            <w:vAlign w:val="top"/>
          </w:tcPr>
          <w:p>
            <w:pPr>
              <w:spacing w:after="0"/>
              <w:jc w:val="left"/>
            </w:pPr>
            <w:r>
              <w:rPr>
                <w:rFonts w:ascii="Arial" w:hAnsi="Arial"/>
                <w:b w:val="0"/>
                <w:sz w:val="11"/>
              </w:rPr>
              <w:t>URLs were not validated in Phase 1B</w:t>
            </w:r>
          </w:p>
        </w:tc>
        <w:tc>
          <w:tcPr>
            <w:tcW w:type="dxa" w:w="2880"/>
            <w:vAlign w:val="top"/>
          </w:tcPr>
          <w:p>
            <w:pPr>
              <w:spacing w:after="0"/>
              <w:jc w:val="left"/>
            </w:pPr>
            <w:r>
              <w:rPr>
                <w:rFonts w:ascii="Arial" w:hAnsi="Arial"/>
                <w:b w:val="0"/>
                <w:sz w:val="11"/>
              </w:rPr>
              <w:t>MPLP docs and site entry points located; Validation Lab public entry point located</w:t>
            </w:r>
          </w:p>
        </w:tc>
        <w:tc>
          <w:tcPr>
            <w:tcW w:type="dxa" w:w="2880"/>
            <w:vAlign w:val="top"/>
          </w:tcPr>
          <w:p>
            <w:pPr>
              <w:spacing w:after="0"/>
              <w:jc w:val="left"/>
            </w:pPr>
            <w:r>
              <w:rPr>
                <w:rFonts w:ascii="Arial" w:hAnsi="Arial"/>
                <w:b w:val="0"/>
                <w:sz w:val="11"/>
              </w:rPr>
              <w:t>Methodology-specific Validation Lab support remains boundary-limited</w:t>
            </w:r>
          </w:p>
        </w:tc>
        <w:tc>
          <w:tcPr>
            <w:tcW w:type="dxa" w:w="2880"/>
            <w:vAlign w:val="top"/>
          </w:tcPr>
          <w:p>
            <w:pPr>
              <w:spacing w:after="0"/>
              <w:jc w:val="left"/>
            </w:pPr>
            <w:r>
              <w:rPr>
                <w:rFonts w:ascii="Arial" w:hAnsi="Arial"/>
                <w:b w:val="0"/>
                <w:sz w:val="11"/>
              </w:rPr>
              <w:t>Phase 1C follow-up / Phase 1D</w:t>
            </w:r>
          </w:p>
        </w:tc>
      </w:tr>
      <w:tr>
        <w:trPr>
          <w:cantSplit/>
        </w:trPr>
        <w:tc>
          <w:tcPr>
            <w:tcW w:type="dxa" w:w="2880"/>
            <w:vAlign w:val="top"/>
          </w:tcPr>
          <w:p>
            <w:pPr>
              <w:spacing w:after="0"/>
              <w:jc w:val="left"/>
            </w:pPr>
            <w:r>
              <w:rPr>
                <w:rFonts w:ascii="Arial" w:hAnsi="Arial"/>
                <w:b w:val="0"/>
                <w:sz w:val="11"/>
              </w:rPr>
              <w:t>Evidence level annotation</w:t>
            </w:r>
          </w:p>
        </w:tc>
        <w:tc>
          <w:tcPr>
            <w:tcW w:type="dxa" w:w="2880"/>
            <w:vAlign w:val="top"/>
          </w:tcPr>
          <w:p>
            <w:pPr>
              <w:spacing w:after="0"/>
              <w:jc w:val="left"/>
            </w:pPr>
            <w:r>
              <w:rPr>
                <w:rFonts w:ascii="Arial" w:hAnsi="Arial"/>
                <w:b w:val="0"/>
                <w:sz w:val="11"/>
              </w:rPr>
              <w:t>Evidence confidence must be visible and consistent</w:t>
            </w:r>
          </w:p>
        </w:tc>
        <w:tc>
          <w:tcPr>
            <w:tcW w:type="dxa" w:w="2880"/>
            <w:vAlign w:val="top"/>
          </w:tcPr>
          <w:p>
            <w:pPr>
              <w:spacing w:after="0"/>
              <w:jc w:val="left"/>
            </w:pPr>
            <w:r>
              <w:rPr>
                <w:rFonts w:ascii="Arial" w:hAnsi="Arial"/>
                <w:b w:val="0"/>
                <w:sz w:val="11"/>
              </w:rPr>
              <w:t>Claim evidence register added L1-L5 labels and downgrade dispositions</w:t>
            </w:r>
          </w:p>
        </w:tc>
        <w:tc>
          <w:tcPr>
            <w:tcW w:type="dxa" w:w="2880"/>
            <w:vAlign w:val="top"/>
          </w:tcPr>
          <w:p>
            <w:pPr>
              <w:spacing w:after="0"/>
              <w:jc w:val="left"/>
            </w:pPr>
            <w:r>
              <w:rPr>
                <w:rFonts w:ascii="Arial" w:hAnsi="Arial"/>
                <w:b w:val="0"/>
                <w:sz w:val="11"/>
              </w:rPr>
              <w:t>Verify citations render with evidence labels in Phase 1D</w:t>
            </w:r>
          </w:p>
        </w:tc>
        <w:tc>
          <w:tcPr>
            <w:tcW w:type="dxa" w:w="2880"/>
            <w:vAlign w:val="top"/>
          </w:tcPr>
          <w:p>
            <w:pPr>
              <w:spacing w:after="0"/>
              <w:jc w:val="left"/>
            </w:pPr>
            <w:r>
              <w:rPr>
                <w:rFonts w:ascii="Arial" w:hAnsi="Arial"/>
                <w:b w:val="0"/>
                <w:sz w:val="11"/>
              </w:rPr>
              <w:t>Phase 1D</w:t>
            </w:r>
          </w:p>
        </w:tc>
      </w:tr>
      <w:tr>
        <w:trPr>
          <w:cantSplit/>
        </w:trPr>
        <w:tc>
          <w:tcPr>
            <w:tcW w:type="dxa" w:w="2880"/>
            <w:vAlign w:val="top"/>
          </w:tcPr>
          <w:p>
            <w:pPr>
              <w:spacing w:after="0"/>
              <w:jc w:val="left"/>
            </w:pPr>
            <w:r>
              <w:rPr>
                <w:rFonts w:ascii="Arial" w:hAnsi="Arial"/>
                <w:b w:val="0"/>
                <w:sz w:val="11"/>
              </w:rPr>
              <w:t>Source coverage matrix validation</w:t>
            </w:r>
          </w:p>
        </w:tc>
        <w:tc>
          <w:tcPr>
            <w:tcW w:type="dxa" w:w="2880"/>
            <w:vAlign w:val="top"/>
          </w:tcPr>
          <w:p>
            <w:pPr>
              <w:spacing w:after="0"/>
              <w:jc w:val="left"/>
            </w:pPr>
            <w:r>
              <w:rPr>
                <w:rFonts w:ascii="Arial" w:hAnsi="Arial"/>
                <w:b w:val="0"/>
                <w:sz w:val="11"/>
              </w:rPr>
              <w:t>Coverage matrix is a governance ledger requiring global validation</w:t>
            </w:r>
          </w:p>
        </w:tc>
        <w:tc>
          <w:tcPr>
            <w:tcW w:type="dxa" w:w="2880"/>
            <w:vAlign w:val="top"/>
          </w:tcPr>
          <w:p>
            <w:pPr>
              <w:spacing w:after="0"/>
              <w:jc w:val="left"/>
            </w:pPr>
            <w:r>
              <w:rPr>
                <w:rFonts w:ascii="Arial" w:hAnsi="Arial"/>
                <w:b w:val="0"/>
                <w:sz w:val="11"/>
              </w:rPr>
              <w:t>Matrix expanded and updated to claim-level source-binding status</w:t>
            </w:r>
          </w:p>
        </w:tc>
        <w:tc>
          <w:tcPr>
            <w:tcW w:type="dxa" w:w="2880"/>
            <w:vAlign w:val="top"/>
          </w:tcPr>
          <w:p>
            <w:pPr>
              <w:spacing w:after="0"/>
              <w:jc w:val="left"/>
            </w:pPr>
            <w:r>
              <w:rPr>
                <w:rFonts w:ascii="Arial" w:hAnsi="Arial"/>
                <w:b w:val="0"/>
                <w:sz w:val="11"/>
              </w:rPr>
              <w:t>Maintain claim register during page-level citation pinning</w:t>
            </w:r>
          </w:p>
        </w:tc>
        <w:tc>
          <w:tcPr>
            <w:tcW w:type="dxa" w:w="2880"/>
            <w:vAlign w:val="top"/>
          </w:tcPr>
          <w:p>
            <w:pPr>
              <w:spacing w:after="0"/>
              <w:jc w:val="left"/>
            </w:pPr>
            <w:r>
              <w:rPr>
                <w:rFonts w:ascii="Arial" w:hAnsi="Arial"/>
                <w:b w:val="0"/>
                <w:sz w:val="11"/>
              </w:rPr>
              <w:t>Phase 1C follow-up / Phase 1D</w:t>
            </w:r>
          </w:p>
        </w:tc>
      </w:tr>
      <w:tr>
        <w:trPr>
          <w:cantSplit/>
        </w:trPr>
        <w:tc>
          <w:tcPr>
            <w:tcW w:type="dxa" w:w="2880"/>
            <w:vAlign w:val="top"/>
          </w:tcPr>
          <w:p>
            <w:pPr>
              <w:spacing w:after="0"/>
              <w:jc w:val="left"/>
            </w:pPr>
            <w:r>
              <w:rPr>
                <w:rFonts w:ascii="Arial" w:hAnsi="Arial"/>
                <w:b w:val="0"/>
                <w:sz w:val="11"/>
              </w:rPr>
              <w:t>Appendix G provisional assessments require Phase 1C source revalidation before finalization</w:t>
            </w:r>
          </w:p>
        </w:tc>
        <w:tc>
          <w:tcPr>
            <w:tcW w:type="dxa" w:w="2880"/>
            <w:vAlign w:val="top"/>
          </w:tcPr>
          <w:p>
            <w:pPr>
              <w:spacing w:after="0"/>
              <w:jc w:val="left"/>
            </w:pPr>
            <w:r>
              <w:rPr>
                <w:rFonts w:ascii="Arial" w:hAnsi="Arial"/>
                <w:b w:val="0"/>
                <w:sz w:val="11"/>
              </w:rPr>
              <w:t>Appendix G uses qualitative provisional posture</w:t>
            </w:r>
          </w:p>
        </w:tc>
        <w:tc>
          <w:tcPr>
            <w:tcW w:type="dxa" w:w="2880"/>
            <w:vAlign w:val="top"/>
          </w:tcPr>
          <w:p>
            <w:pPr>
              <w:spacing w:after="0"/>
              <w:jc w:val="left"/>
            </w:pPr>
            <w:r>
              <w:rPr>
                <w:rFonts w:ascii="Arial" w:hAnsi="Arial"/>
                <w:b w:val="0"/>
                <w:sz w:val="11"/>
              </w:rPr>
              <w:t>Appendix G marked revalidated provisional; material claims source-bound, narrowed, or downgraded</w:t>
            </w:r>
          </w:p>
        </w:tc>
        <w:tc>
          <w:tcPr>
            <w:tcW w:type="dxa" w:w="2880"/>
            <w:vAlign w:val="top"/>
          </w:tcPr>
          <w:p>
            <w:pPr>
              <w:spacing w:after="0"/>
              <w:jc w:val="left"/>
            </w:pPr>
            <w:r>
              <w:rPr>
                <w:rFonts w:ascii="Arial" w:hAnsi="Arial"/>
                <w:b w:val="0"/>
                <w:sz w:val="11"/>
              </w:rPr>
              <w:t>Keep provisional until publication approval; no final scores/rankings</w:t>
            </w:r>
          </w:p>
        </w:tc>
        <w:tc>
          <w:tcPr>
            <w:tcW w:type="dxa" w:w="2880"/>
            <w:vAlign w:val="top"/>
          </w:tcPr>
          <w:p>
            <w:pPr>
              <w:spacing w:after="0"/>
              <w:jc w:val="left"/>
            </w:pPr>
            <w:r>
              <w:rPr>
                <w:rFonts w:ascii="Arial" w:hAnsi="Arial"/>
                <w:b w:val="0"/>
                <w:sz w:val="11"/>
              </w:rPr>
              <w:t>Phase 1C follow-up</w:t>
            </w:r>
          </w:p>
        </w:tc>
      </w:tr>
    </w:tbl>
    <w:p>
      <w:pPr>
        <w:sectPr>
          <w:pgSz w:w="15840" w:h="12240" w:orient="landscape"/>
          <w:pgMar w:top="792" w:right="648" w:bottom="792" w:left="648" w:header="720" w:footer="720" w:gutter="0"/>
          <w:cols w:space="720"/>
          <w:docGrid w:linePitch="360"/>
        </w:sectPr>
      </w:pPr>
    </w:p>
    <w:p/>
    <w:p/>
    <w:p>
      <w:pPr>
        <w:pStyle w:val="Heading2"/>
      </w:pPr>
      <w:r>
        <w:t>J.4 Deferred Phase 1D Items</w:t>
      </w:r>
    </w:p>
    <w:p/>
    <w:p>
      <w:pPr>
        <w:keepNext/>
      </w:pPr>
      <w:r>
        <w:rPr>
          <w:b/>
          <w:sz w:val="17"/>
        </w:rPr>
        <w:t>Table T-J-03: Phase 1D Layout / Publication Items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1"/>
              </w:rPr>
              <w:t>Item</w:t>
            </w:r>
          </w:p>
        </w:tc>
        <w:tc>
          <w:tcPr>
            <w:tcW w:type="dxa" w:w="2880"/>
            <w:vAlign w:val="top"/>
            <w:shd w:fill="D9EAF7"/>
          </w:tcPr>
          <w:p>
            <w:pPr>
              <w:spacing w:after="0"/>
              <w:jc w:val="left"/>
            </w:pPr>
            <w:r>
              <w:rPr>
                <w:rFonts w:ascii="Arial" w:hAnsi="Arial"/>
                <w:b/>
                <w:sz w:val="11"/>
              </w:rPr>
              <w:t>Publication Risk</w:t>
            </w:r>
          </w:p>
        </w:tc>
        <w:tc>
          <w:tcPr>
            <w:tcW w:type="dxa" w:w="2880"/>
            <w:vAlign w:val="top"/>
            <w:shd w:fill="D9EAF7"/>
          </w:tcPr>
          <w:p>
            <w:pPr>
              <w:spacing w:after="0"/>
              <w:jc w:val="left"/>
            </w:pPr>
            <w:r>
              <w:rPr>
                <w:rFonts w:ascii="Arial" w:hAnsi="Arial"/>
                <w:b/>
                <w:sz w:val="11"/>
              </w:rPr>
              <w:t>Required QA</w:t>
            </w:r>
          </w:p>
        </w:tc>
        <w:tc>
          <w:tcPr>
            <w:tcW w:type="dxa" w:w="2880"/>
            <w:vAlign w:val="top"/>
            <w:shd w:fill="D9EAF7"/>
          </w:tcPr>
          <w:p>
            <w:pPr>
              <w:spacing w:after="0"/>
              <w:jc w:val="left"/>
            </w:pPr>
            <w:r>
              <w:rPr>
                <w:rFonts w:ascii="Arial" w:hAnsi="Arial"/>
                <w:b/>
                <w:sz w:val="11"/>
              </w:rPr>
              <w:t>Expected Output</w:t>
            </w:r>
          </w:p>
        </w:tc>
        <w:tc>
          <w:tcPr>
            <w:tcW w:type="dxa" w:w="2880"/>
            <w:vAlign w:val="top"/>
            <w:shd w:fill="D9EAF7"/>
          </w:tcPr>
          <w:p>
            <w:pPr>
              <w:spacing w:after="0"/>
              <w:jc w:val="left"/>
            </w:pPr>
            <w:r>
              <w:rPr>
                <w:rFonts w:ascii="Arial" w:hAnsi="Arial"/>
                <w:b/>
                <w:sz w:val="11"/>
              </w:rPr>
              <w:t>Owner Phase</w:t>
            </w:r>
          </w:p>
        </w:tc>
      </w:tr>
      <w:tr>
        <w:trPr>
          <w:cantSplit/>
        </w:trPr>
        <w:tc>
          <w:tcPr>
            <w:tcW w:type="dxa" w:w="2880"/>
            <w:vAlign w:val="top"/>
          </w:tcPr>
          <w:p>
            <w:pPr>
              <w:spacing w:after="0"/>
              <w:jc w:val="left"/>
            </w:pPr>
            <w:r>
              <w:rPr>
                <w:rFonts w:ascii="Arial" w:hAnsi="Arial"/>
                <w:b w:val="0"/>
                <w:sz w:val="11"/>
              </w:rPr>
              <w:t>DOCX generation</w:t>
            </w:r>
          </w:p>
        </w:tc>
        <w:tc>
          <w:tcPr>
            <w:tcW w:type="dxa" w:w="2880"/>
            <w:vAlign w:val="top"/>
          </w:tcPr>
          <w:p>
            <w:pPr>
              <w:spacing w:after="0"/>
              <w:jc w:val="left"/>
            </w:pPr>
            <w:r>
              <w:rPr>
                <w:rFonts w:ascii="Arial" w:hAnsi="Arial"/>
                <w:b w:val="0"/>
                <w:sz w:val="11"/>
              </w:rPr>
              <w:t>Formatting may drift from Markdown source</w:t>
            </w:r>
          </w:p>
        </w:tc>
        <w:tc>
          <w:tcPr>
            <w:tcW w:type="dxa" w:w="2880"/>
            <w:vAlign w:val="top"/>
          </w:tcPr>
          <w:p>
            <w:pPr>
              <w:spacing w:after="0"/>
              <w:jc w:val="left"/>
            </w:pPr>
            <w:r>
              <w:rPr>
                <w:rFonts w:ascii="Arial" w:hAnsi="Arial"/>
                <w:b w:val="0"/>
                <w:sz w:val="11"/>
              </w:rPr>
              <w:t>Generate DOCX after Phase 1C cleanup</w:t>
            </w:r>
          </w:p>
        </w:tc>
        <w:tc>
          <w:tcPr>
            <w:tcW w:type="dxa" w:w="2880"/>
            <w:vAlign w:val="top"/>
          </w:tcPr>
          <w:p>
            <w:pPr>
              <w:spacing w:after="0"/>
              <w:jc w:val="left"/>
            </w:pPr>
            <w:r>
              <w:rPr>
                <w:rFonts w:ascii="Arial" w:hAnsi="Arial"/>
                <w:b w:val="0"/>
                <w:sz w:val="11"/>
              </w:rPr>
              <w:t>Publication candidate DOCX</w:t>
            </w:r>
          </w:p>
        </w:tc>
        <w:tc>
          <w:tcPr>
            <w:tcW w:type="dxa" w:w="2880"/>
            <w:vAlign w:val="top"/>
          </w:tcPr>
          <w:p>
            <w:pPr>
              <w:spacing w:after="0"/>
              <w:jc w:val="left"/>
            </w:pPr>
            <w:r>
              <w:rPr>
                <w:rFonts w:ascii="Arial" w:hAnsi="Arial"/>
                <w:b w:val="0"/>
                <w:sz w:val="11"/>
              </w:rPr>
              <w:t>Phase 1D</w:t>
            </w:r>
          </w:p>
        </w:tc>
      </w:tr>
      <w:tr>
        <w:trPr>
          <w:cantSplit/>
        </w:trPr>
        <w:tc>
          <w:tcPr>
            <w:tcW w:type="dxa" w:w="2880"/>
            <w:vAlign w:val="top"/>
          </w:tcPr>
          <w:p>
            <w:pPr>
              <w:spacing w:after="0"/>
              <w:jc w:val="left"/>
            </w:pPr>
            <w:r>
              <w:rPr>
                <w:rFonts w:ascii="Arial" w:hAnsi="Arial"/>
                <w:b w:val="0"/>
                <w:sz w:val="11"/>
              </w:rPr>
              <w:t>PDF generation</w:t>
            </w:r>
          </w:p>
        </w:tc>
        <w:tc>
          <w:tcPr>
            <w:tcW w:type="dxa" w:w="2880"/>
            <w:vAlign w:val="top"/>
          </w:tcPr>
          <w:p>
            <w:pPr>
              <w:spacing w:after="0"/>
              <w:jc w:val="left"/>
            </w:pPr>
            <w:r>
              <w:rPr>
                <w:rFonts w:ascii="Arial" w:hAnsi="Arial"/>
                <w:b w:val="0"/>
                <w:sz w:val="11"/>
              </w:rPr>
              <w:t>Tables or figures may clip or wrap poorly</w:t>
            </w:r>
          </w:p>
        </w:tc>
        <w:tc>
          <w:tcPr>
            <w:tcW w:type="dxa" w:w="2880"/>
            <w:vAlign w:val="top"/>
          </w:tcPr>
          <w:p>
            <w:pPr>
              <w:spacing w:after="0"/>
              <w:jc w:val="left"/>
            </w:pPr>
            <w:r>
              <w:rPr>
                <w:rFonts w:ascii="Arial" w:hAnsi="Arial"/>
                <w:b w:val="0"/>
                <w:sz w:val="11"/>
              </w:rPr>
              <w:t>Generate PDF from finalized DOCX/source</w:t>
            </w:r>
          </w:p>
        </w:tc>
        <w:tc>
          <w:tcPr>
            <w:tcW w:type="dxa" w:w="2880"/>
            <w:vAlign w:val="top"/>
          </w:tcPr>
          <w:p>
            <w:pPr>
              <w:spacing w:after="0"/>
              <w:jc w:val="left"/>
            </w:pPr>
            <w:r>
              <w:rPr>
                <w:rFonts w:ascii="Arial" w:hAnsi="Arial"/>
                <w:b w:val="0"/>
                <w:sz w:val="11"/>
              </w:rPr>
              <w:t>Publication candidate PDF</w:t>
            </w:r>
          </w:p>
        </w:tc>
        <w:tc>
          <w:tcPr>
            <w:tcW w:type="dxa" w:w="2880"/>
            <w:vAlign w:val="top"/>
          </w:tcPr>
          <w:p>
            <w:pPr>
              <w:spacing w:after="0"/>
              <w:jc w:val="left"/>
            </w:pPr>
            <w:r>
              <w:rPr>
                <w:rFonts w:ascii="Arial" w:hAnsi="Arial"/>
                <w:b w:val="0"/>
                <w:sz w:val="11"/>
              </w:rPr>
              <w:t>Phase 1D</w:t>
            </w:r>
          </w:p>
        </w:tc>
      </w:tr>
      <w:tr>
        <w:trPr>
          <w:cantSplit/>
        </w:trPr>
        <w:tc>
          <w:tcPr>
            <w:tcW w:type="dxa" w:w="2880"/>
            <w:vAlign w:val="top"/>
          </w:tcPr>
          <w:p>
            <w:pPr>
              <w:spacing w:after="0"/>
              <w:jc w:val="left"/>
            </w:pPr>
            <w:r>
              <w:rPr>
                <w:rFonts w:ascii="Arial" w:hAnsi="Arial"/>
                <w:b w:val="0"/>
                <w:sz w:val="11"/>
              </w:rPr>
              <w:t>Wide table rendering</w:t>
            </w:r>
          </w:p>
        </w:tc>
        <w:tc>
          <w:tcPr>
            <w:tcW w:type="dxa" w:w="2880"/>
            <w:vAlign w:val="top"/>
          </w:tcPr>
          <w:p>
            <w:pPr>
              <w:spacing w:after="0"/>
              <w:jc w:val="left"/>
            </w:pPr>
            <w:r>
              <w:rPr>
                <w:rFonts w:ascii="Arial" w:hAnsi="Arial"/>
                <w:b w:val="0"/>
                <w:sz w:val="11"/>
              </w:rPr>
              <w:t>Landscape tables may be unreadable or clipped</w:t>
            </w:r>
          </w:p>
        </w:tc>
        <w:tc>
          <w:tcPr>
            <w:tcW w:type="dxa" w:w="2880"/>
            <w:vAlign w:val="top"/>
          </w:tcPr>
          <w:p>
            <w:pPr>
              <w:spacing w:after="0"/>
              <w:jc w:val="left"/>
            </w:pPr>
            <w:r>
              <w:rPr>
                <w:rFonts w:ascii="Arial" w:hAnsi="Arial"/>
                <w:b w:val="0"/>
                <w:sz w:val="11"/>
              </w:rPr>
              <w:t>Inspect T-D-01, T-13/T-14/T-15/T-17/T-18, Appendix G, H-K tables</w:t>
            </w:r>
          </w:p>
        </w:tc>
        <w:tc>
          <w:tcPr>
            <w:tcW w:type="dxa" w:w="2880"/>
            <w:vAlign w:val="top"/>
          </w:tcPr>
          <w:p>
            <w:pPr>
              <w:spacing w:after="0"/>
              <w:jc w:val="left"/>
            </w:pPr>
            <w:r>
              <w:rPr>
                <w:rFonts w:ascii="Arial" w:hAnsi="Arial"/>
                <w:b w:val="0"/>
                <w:sz w:val="11"/>
              </w:rPr>
              <w:t>Wide-table remediation record</w:t>
            </w:r>
          </w:p>
        </w:tc>
        <w:tc>
          <w:tcPr>
            <w:tcW w:type="dxa" w:w="2880"/>
            <w:vAlign w:val="top"/>
          </w:tcPr>
          <w:p>
            <w:pPr>
              <w:spacing w:after="0"/>
              <w:jc w:val="left"/>
            </w:pPr>
            <w:r>
              <w:rPr>
                <w:rFonts w:ascii="Arial" w:hAnsi="Arial"/>
                <w:b w:val="0"/>
                <w:sz w:val="11"/>
              </w:rPr>
              <w:t>Phase 1D</w:t>
            </w:r>
          </w:p>
        </w:tc>
      </w:tr>
      <w:tr>
        <w:trPr>
          <w:cantSplit/>
        </w:trPr>
        <w:tc>
          <w:tcPr>
            <w:tcW w:type="dxa" w:w="2880"/>
            <w:vAlign w:val="top"/>
          </w:tcPr>
          <w:p>
            <w:pPr>
              <w:spacing w:after="0"/>
              <w:jc w:val="left"/>
            </w:pPr>
            <w:r>
              <w:rPr>
                <w:rFonts w:ascii="Arial" w:hAnsi="Arial"/>
                <w:b w:val="0"/>
                <w:sz w:val="11"/>
              </w:rPr>
              <w:t>Figure readability</w:t>
            </w:r>
          </w:p>
        </w:tc>
        <w:tc>
          <w:tcPr>
            <w:tcW w:type="dxa" w:w="2880"/>
            <w:vAlign w:val="top"/>
          </w:tcPr>
          <w:p>
            <w:pPr>
              <w:spacing w:after="0"/>
              <w:jc w:val="left"/>
            </w:pPr>
            <w:r>
              <w:rPr>
                <w:rFonts w:ascii="Arial" w:hAnsi="Arial"/>
                <w:b w:val="0"/>
                <w:sz w:val="11"/>
              </w:rPr>
              <w:t>Placeholder or generated figures may not be publication grade</w:t>
            </w:r>
          </w:p>
        </w:tc>
        <w:tc>
          <w:tcPr>
            <w:tcW w:type="dxa" w:w="2880"/>
            <w:vAlign w:val="top"/>
          </w:tcPr>
          <w:p>
            <w:pPr>
              <w:spacing w:after="0"/>
              <w:jc w:val="left"/>
            </w:pPr>
            <w:r>
              <w:rPr>
                <w:rFonts w:ascii="Arial" w:hAnsi="Arial"/>
                <w:b w:val="0"/>
                <w:sz w:val="11"/>
              </w:rPr>
              <w:t>Verify figure resolution, labels, captions, and references</w:t>
            </w:r>
          </w:p>
        </w:tc>
        <w:tc>
          <w:tcPr>
            <w:tcW w:type="dxa" w:w="2880"/>
            <w:vAlign w:val="top"/>
          </w:tcPr>
          <w:p>
            <w:pPr>
              <w:spacing w:after="0"/>
              <w:jc w:val="left"/>
            </w:pPr>
            <w:r>
              <w:rPr>
                <w:rFonts w:ascii="Arial" w:hAnsi="Arial"/>
                <w:b w:val="0"/>
                <w:sz w:val="11"/>
              </w:rPr>
              <w:t>Figure QA record</w:t>
            </w:r>
          </w:p>
        </w:tc>
        <w:tc>
          <w:tcPr>
            <w:tcW w:type="dxa" w:w="2880"/>
            <w:vAlign w:val="top"/>
          </w:tcPr>
          <w:p>
            <w:pPr>
              <w:spacing w:after="0"/>
              <w:jc w:val="left"/>
            </w:pPr>
            <w:r>
              <w:rPr>
                <w:rFonts w:ascii="Arial" w:hAnsi="Arial"/>
                <w:b w:val="0"/>
                <w:sz w:val="11"/>
              </w:rPr>
              <w:t>Phase 1D</w:t>
            </w:r>
          </w:p>
        </w:tc>
      </w:tr>
      <w:tr>
        <w:trPr>
          <w:cantSplit/>
        </w:trPr>
        <w:tc>
          <w:tcPr>
            <w:tcW w:type="dxa" w:w="2880"/>
            <w:vAlign w:val="top"/>
          </w:tcPr>
          <w:p>
            <w:pPr>
              <w:spacing w:after="0"/>
              <w:jc w:val="left"/>
            </w:pPr>
            <w:r>
              <w:rPr>
                <w:rFonts w:ascii="Arial" w:hAnsi="Arial"/>
                <w:b w:val="0"/>
                <w:sz w:val="11"/>
              </w:rPr>
              <w:t>Table captions and page breaks</w:t>
            </w:r>
          </w:p>
        </w:tc>
        <w:tc>
          <w:tcPr>
            <w:tcW w:type="dxa" w:w="2880"/>
            <w:vAlign w:val="top"/>
          </w:tcPr>
          <w:p>
            <w:pPr>
              <w:spacing w:after="0"/>
              <w:jc w:val="left"/>
            </w:pPr>
            <w:r>
              <w:rPr>
                <w:rFonts w:ascii="Arial" w:hAnsi="Arial"/>
                <w:b w:val="0"/>
                <w:sz w:val="11"/>
              </w:rPr>
              <w:t>Captions and headers may split incorrectly</w:t>
            </w:r>
          </w:p>
        </w:tc>
        <w:tc>
          <w:tcPr>
            <w:tcW w:type="dxa" w:w="2880"/>
            <w:vAlign w:val="top"/>
          </w:tcPr>
          <w:p>
            <w:pPr>
              <w:spacing w:after="0"/>
              <w:jc w:val="left"/>
            </w:pPr>
            <w:r>
              <w:rPr>
                <w:rFonts w:ascii="Arial" w:hAnsi="Arial"/>
                <w:b w:val="0"/>
                <w:sz w:val="11"/>
              </w:rPr>
              <w:t>Inspect page breaks, captions, repeated headers</w:t>
            </w:r>
          </w:p>
        </w:tc>
        <w:tc>
          <w:tcPr>
            <w:tcW w:type="dxa" w:w="2880"/>
            <w:vAlign w:val="top"/>
          </w:tcPr>
          <w:p>
            <w:pPr>
              <w:spacing w:after="0"/>
              <w:jc w:val="left"/>
            </w:pPr>
            <w:r>
              <w:rPr>
                <w:rFonts w:ascii="Arial" w:hAnsi="Arial"/>
                <w:b w:val="0"/>
                <w:sz w:val="11"/>
              </w:rPr>
              <w:t>Layout QA record</w:t>
            </w:r>
          </w:p>
        </w:tc>
        <w:tc>
          <w:tcPr>
            <w:tcW w:type="dxa" w:w="2880"/>
            <w:vAlign w:val="top"/>
          </w:tcPr>
          <w:p>
            <w:pPr>
              <w:spacing w:after="0"/>
              <w:jc w:val="left"/>
            </w:pPr>
            <w:r>
              <w:rPr>
                <w:rFonts w:ascii="Arial" w:hAnsi="Arial"/>
                <w:b w:val="0"/>
                <w:sz w:val="11"/>
              </w:rPr>
              <w:t>Phase 1D</w:t>
            </w:r>
          </w:p>
        </w:tc>
      </w:tr>
      <w:tr>
        <w:trPr>
          <w:cantSplit/>
        </w:trPr>
        <w:tc>
          <w:tcPr>
            <w:tcW w:type="dxa" w:w="2880"/>
            <w:vAlign w:val="top"/>
          </w:tcPr>
          <w:p>
            <w:pPr>
              <w:spacing w:after="0"/>
              <w:jc w:val="left"/>
            </w:pPr>
            <w:r>
              <w:rPr>
                <w:rFonts w:ascii="Arial" w:hAnsi="Arial"/>
                <w:b w:val="0"/>
                <w:sz w:val="11"/>
              </w:rPr>
              <w:t>Citation rendering</w:t>
            </w:r>
          </w:p>
        </w:tc>
        <w:tc>
          <w:tcPr>
            <w:tcW w:type="dxa" w:w="2880"/>
            <w:vAlign w:val="top"/>
          </w:tcPr>
          <w:p>
            <w:pPr>
              <w:spacing w:after="0"/>
              <w:jc w:val="left"/>
            </w:pPr>
            <w:r>
              <w:rPr>
                <w:rFonts w:ascii="Arial" w:hAnsi="Arial"/>
                <w:b w:val="0"/>
                <w:sz w:val="11"/>
              </w:rPr>
              <w:t>Citations may not render consistently in DOCX/PDF</w:t>
            </w:r>
          </w:p>
        </w:tc>
        <w:tc>
          <w:tcPr>
            <w:tcW w:type="dxa" w:w="2880"/>
            <w:vAlign w:val="top"/>
          </w:tcPr>
          <w:p>
            <w:pPr>
              <w:spacing w:after="0"/>
              <w:jc w:val="left"/>
            </w:pPr>
            <w:r>
              <w:rPr>
                <w:rFonts w:ascii="Arial" w:hAnsi="Arial"/>
                <w:b w:val="0"/>
                <w:sz w:val="11"/>
              </w:rPr>
              <w:t>Verify citation formatting after generation</w:t>
            </w:r>
          </w:p>
        </w:tc>
        <w:tc>
          <w:tcPr>
            <w:tcW w:type="dxa" w:w="2880"/>
            <w:vAlign w:val="top"/>
          </w:tcPr>
          <w:p>
            <w:pPr>
              <w:spacing w:after="0"/>
              <w:jc w:val="left"/>
            </w:pPr>
            <w:r>
              <w:rPr>
                <w:rFonts w:ascii="Arial" w:hAnsi="Arial"/>
                <w:b w:val="0"/>
                <w:sz w:val="11"/>
              </w:rPr>
              <w:t>Citation rendering QA record</w:t>
            </w:r>
          </w:p>
        </w:tc>
        <w:tc>
          <w:tcPr>
            <w:tcW w:type="dxa" w:w="2880"/>
            <w:vAlign w:val="top"/>
          </w:tcPr>
          <w:p>
            <w:pPr>
              <w:spacing w:after="0"/>
              <w:jc w:val="left"/>
            </w:pPr>
            <w:r>
              <w:rPr>
                <w:rFonts w:ascii="Arial" w:hAnsi="Arial"/>
                <w:b w:val="0"/>
                <w:sz w:val="11"/>
              </w:rPr>
              <w:t>Phase 1D</w:t>
            </w:r>
          </w:p>
        </w:tc>
      </w:tr>
    </w:tbl>
    <w:p>
      <w:pPr>
        <w:sectPr>
          <w:pgSz w:w="12240" w:h="15840" w:orient="landscape"/>
          <w:pgMar w:top="792" w:right="648" w:bottom="792" w:left="648" w:header="720" w:footer="720" w:gutter="0"/>
          <w:cols w:space="720"/>
          <w:docGrid w:linePitch="360"/>
        </w:sectPr>
      </w:pPr>
    </w:p>
    <w:p/>
    <w:p/>
    <w:p>
      <w:pPr>
        <w:pStyle w:val="Heading2"/>
      </w:pPr>
      <w:r>
        <w:t>J.5 Closure Interpretation Boundary</w:t>
      </w:r>
    </w:p>
    <w:p/>
    <w:p>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
      <w:r>
        <w:t>Deferred items remain active governance obligations. Phase 1C must complete source, editorial, evidence, and layout-preparation cleanup before Phase 1D publication generation.</w:t>
      </w:r>
    </w:p>
    <w:p/>
    <w:p/>
    <w:p>
      <w:r>
        <w:t>End of Appendix J</w:t>
      </w:r>
    </w:p>
    <w:p>
      <w:pPr>
        <w:pStyle w:val="Heading1"/>
      </w:pPr>
      <w:r>
        <w:t>Appendix K — Editorial Remediation Record</w:t>
      </w:r>
    </w:p>
    <w:p/>
    <w:p>
      <w:r>
        <w:t>Version: v0.3.2-FRC-R3</w:t>
      </w:r>
    </w:p>
    <w:p>
      <w:r>
        <w:t>Status: Filled — Phase 1C claim-level source binding applied</w:t>
      </w:r>
    </w:p>
    <w:p>
      <w:r>
        <w:t>Phase: 1B-10 / 1C Follow-up</w:t>
      </w:r>
    </w:p>
    <w:p/>
    <w:p/>
    <w:p>
      <w:pPr>
        <w:pStyle w:val="Heading2"/>
      </w:pPr>
      <w:r>
        <w:t>K.0 Editorial Remediation Boundary</w:t>
      </w:r>
    </w:p>
    <w:p/>
    <w:p>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
      <w:r>
        <w:t>The record does not claim that Phase 1C source validation or Phase 1D publication QA has been completed.</w:t>
      </w:r>
    </w:p>
    <w:p/>
    <w:p/>
    <w:p>
      <w:pPr>
        <w:pStyle w:val="Heading2"/>
      </w:pPr>
      <w:r>
        <w:t>K.1 Remediation Categories</w:t>
      </w:r>
    </w:p>
    <w:p/>
    <w:p>
      <w:r>
        <w:t>Remediation categories:</w:t>
      </w:r>
    </w:p>
    <w:p/>
    <w:p>
      <w:r>
        <w:t>1. Structural reconstruction: Creating clean Markdown source, filling chapters, and replacing unstable PDF extraction behavior.</w:t>
      </w:r>
    </w:p>
    <w:p>
      <w:r>
        <w:t>2. Methodology correction: Aligning evidence multipliers, scoring formulas, score-5 interpretation, and composite weighting.</w:t>
      </w:r>
    </w:p>
    <w:p>
      <w:r>
        <w:t>3. Boundary hardening: Preventing legal, procurement, certification, vendor ordering, or compliance-proof overclaim.</w:t>
      </w:r>
    </w:p>
    <w:p>
      <w:r>
        <w:t>4. Source governance: Preserving citation inventory status, L2 revalidation requirements, evidence level annotation, and source coverage validation.</w:t>
      </w:r>
    </w:p>
    <w:p>
      <w:r>
        <w:t>5. Publication deferral: Reserving DOCX/PDF generation and layout QA for Phase 1D.</w:t>
      </w:r>
    </w:p>
    <w:p/>
    <w:p/>
    <w:p>
      <w:pPr>
        <w:pStyle w:val="Heading2"/>
      </w:pPr>
      <w:r>
        <w:t>K.2 Phase 1A Remediation Record</w:t>
      </w:r>
    </w:p>
    <w:p/>
    <w:p>
      <w:r>
        <w:t>Phase 1A established the clean source foundation:</w:t>
      </w:r>
    </w:p>
    <w:p/>
    <w:p>
      <w:pPr>
        <w:pStyle w:val="ListBullet"/>
      </w:pPr>
      <w:r>
        <w:t>Rebuilt the document as Markdown-first source.</w:t>
      </w:r>
    </w:p>
    <w:p>
      <w:pPr>
        <w:pStyle w:val="ListBullet"/>
      </w:pPr>
      <w:r>
        <w:t>Filled core body chapters and methodology chapters.</w:t>
      </w:r>
    </w:p>
    <w:p>
      <w:pPr>
        <w:pStyle w:val="ListBullet"/>
      </w:pPr>
      <w:r>
        <w:t>Established RCCS, ALCS, evidence multiplier, and composite scoring discipline.</w:t>
      </w:r>
    </w:p>
    <w:p>
      <w:pPr>
        <w:pStyle w:val="ListBullet"/>
      </w:pPr>
      <w:r>
        <w:t>Preserved non-legal and non-certifying boundaries.</w:t>
      </w:r>
    </w:p>
    <w:p>
      <w:pPr>
        <w:pStyle w:val="ListBullet"/>
      </w:pPr>
      <w:r>
        <w:t>Deferred DOCX/PDF generation until after source completion and cleanup.</w:t>
      </w:r>
    </w:p>
    <w:p/>
    <w:p/>
    <w:p>
      <w:pPr>
        <w:pStyle w:val="Heading2"/>
      </w:pPr>
      <w:r>
        <w:t>K.3 Phase 1B Remediation Record</w:t>
      </w:r>
    </w:p>
    <w:p/>
    <w:p>
      <w:pPr>
        <w:keepNext/>
      </w:pPr>
      <w:r>
        <w:rPr>
          <w:b/>
          <w:sz w:val="17"/>
        </w:rPr>
        <w:t>Table T-K-01: Editorial Remediation Record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shd w:fill="D9EAF7"/>
            <w:textDirection w:val="lrTb"/>
          </w:tcPr>
          <w:p>
            <w:pPr>
              <w:spacing w:after="0"/>
              <w:jc w:val="left"/>
            </w:pPr>
            <w:r>
              <w:rPr>
                <w:rFonts w:ascii="Arial" w:hAnsi="Arial"/>
                <w:b/>
                <w:sz w:val="11"/>
              </w:rPr>
              <w:t>Record ID</w:t>
            </w:r>
          </w:p>
        </w:tc>
        <w:tc>
          <w:tcPr>
            <w:tcW w:type="dxa" w:w="2400"/>
            <w:vAlign w:val="top"/>
            <w:shd w:fill="D9EAF7"/>
            <w:textDirection w:val="lrTb"/>
          </w:tcPr>
          <w:p>
            <w:pPr>
              <w:spacing w:after="0"/>
              <w:jc w:val="left"/>
            </w:pPr>
            <w:r>
              <w:rPr>
                <w:rFonts w:ascii="Arial" w:hAnsi="Arial"/>
                <w:b/>
                <w:sz w:val="11"/>
              </w:rPr>
              <w:t>Phase</w:t>
            </w:r>
          </w:p>
        </w:tc>
        <w:tc>
          <w:tcPr>
            <w:tcW w:type="dxa" w:w="2400"/>
            <w:vAlign w:val="top"/>
            <w:shd w:fill="D9EAF7"/>
            <w:textDirection w:val="lrTb"/>
          </w:tcPr>
          <w:p>
            <w:pPr>
              <w:spacing w:after="0"/>
              <w:jc w:val="left"/>
            </w:pPr>
            <w:r>
              <w:rPr>
                <w:rFonts w:ascii="Arial" w:hAnsi="Arial"/>
                <w:b/>
                <w:sz w:val="11"/>
              </w:rPr>
              <w:t>Issue</w:t>
            </w:r>
          </w:p>
        </w:tc>
        <w:tc>
          <w:tcPr>
            <w:tcW w:type="dxa" w:w="2400"/>
            <w:vAlign w:val="top"/>
            <w:shd w:fill="D9EAF7"/>
            <w:textDirection w:val="lrTb"/>
          </w:tcPr>
          <w:p>
            <w:pPr>
              <w:spacing w:after="0"/>
              <w:jc w:val="left"/>
            </w:pPr>
            <w:r>
              <w:rPr>
                <w:rFonts w:ascii="Arial" w:hAnsi="Arial"/>
                <w:b/>
                <w:sz w:val="11"/>
              </w:rPr>
              <w:t>Remediation</w:t>
            </w:r>
          </w:p>
        </w:tc>
        <w:tc>
          <w:tcPr>
            <w:tcW w:type="dxa" w:w="2400"/>
            <w:vAlign w:val="top"/>
            <w:shd w:fill="D9EAF7"/>
            <w:textDirection w:val="lrTb"/>
          </w:tcPr>
          <w:p>
            <w:pPr>
              <w:spacing w:after="0"/>
              <w:jc w:val="left"/>
            </w:pPr>
            <w:r>
              <w:rPr>
                <w:rFonts w:ascii="Arial" w:hAnsi="Arial"/>
                <w:b/>
                <w:sz w:val="11"/>
              </w:rPr>
              <w:t>Evidence / File Area</w:t>
            </w:r>
          </w:p>
        </w:tc>
        <w:tc>
          <w:tcPr>
            <w:tcW w:type="dxa" w:w="2400"/>
            <w:vAlign w:val="top"/>
            <w:shd w:fill="D9EAF7"/>
            <w:textDirection w:val="lrTb"/>
          </w:tcPr>
          <w:p>
            <w:pPr>
              <w:spacing w:after="0"/>
              <w:jc w:val="left"/>
            </w:pPr>
            <w:r>
              <w:rPr>
                <w:rFonts w:ascii="Arial" w:hAnsi="Arial"/>
                <w:b/>
                <w:sz w:val="11"/>
              </w:rPr>
              <w:t>Status</w:t>
            </w:r>
          </w:p>
        </w:tc>
      </w:tr>
      <w:tr>
        <w:trPr>
          <w:cantSplit/>
        </w:trPr>
        <w:tc>
          <w:tcPr>
            <w:tcW w:type="dxa" w:w="2400"/>
            <w:vAlign w:val="top"/>
          </w:tcPr>
          <w:p>
            <w:pPr>
              <w:spacing w:after="0"/>
              <w:jc w:val="left"/>
            </w:pPr>
            <w:r>
              <w:rPr>
                <w:rFonts w:ascii="Arial" w:hAnsi="Arial"/>
                <w:b w:val="0"/>
                <w:sz w:val="11"/>
              </w:rPr>
              <w:t>R-K-01</w:t>
            </w:r>
          </w:p>
        </w:tc>
        <w:tc>
          <w:tcPr>
            <w:tcW w:type="dxa" w:w="2400"/>
            <w:vAlign w:val="top"/>
          </w:tcPr>
          <w:p>
            <w:pPr>
              <w:spacing w:after="0"/>
              <w:jc w:val="left"/>
            </w:pPr>
            <w:r>
              <w:rPr>
                <w:rFonts w:ascii="Arial" w:hAnsi="Arial"/>
                <w:b w:val="0"/>
                <w:sz w:val="11"/>
              </w:rPr>
              <w:t>Phase 1A</w:t>
            </w:r>
          </w:p>
        </w:tc>
        <w:tc>
          <w:tcPr>
            <w:tcW w:type="dxa" w:w="2400"/>
            <w:vAlign w:val="top"/>
          </w:tcPr>
          <w:p>
            <w:pPr>
              <w:spacing w:after="0"/>
              <w:jc w:val="left"/>
            </w:pPr>
            <w:r>
              <w:rPr>
                <w:rFonts w:ascii="Arial" w:hAnsi="Arial"/>
                <w:b w:val="0"/>
                <w:sz w:val="11"/>
              </w:rPr>
              <w:t>R2 extraction and layout instability</w:t>
            </w:r>
          </w:p>
        </w:tc>
        <w:tc>
          <w:tcPr>
            <w:tcW w:type="dxa" w:w="2400"/>
            <w:vAlign w:val="top"/>
          </w:tcPr>
          <w:p>
            <w:pPr>
              <w:spacing w:after="0"/>
              <w:jc w:val="left"/>
            </w:pPr>
            <w:r>
              <w:rPr>
                <w:rFonts w:ascii="Arial" w:hAnsi="Arial"/>
                <w:b w:val="0"/>
                <w:sz w:val="11"/>
              </w:rPr>
              <w:t>Adopted Markdown-first reconstruction strategy</w:t>
            </w:r>
          </w:p>
        </w:tc>
        <w:tc>
          <w:tcPr>
            <w:tcW w:type="dxa" w:w="2400"/>
            <w:vAlign w:val="top"/>
          </w:tcPr>
          <w:p>
            <w:pPr>
              <w:spacing w:after="0"/>
              <w:jc w:val="left"/>
            </w:pPr>
            <w:r>
              <w:rPr>
                <w:rFonts w:ascii="Arial" w:hAnsi="Arial"/>
                <w:b w:val="0"/>
                <w:sz w:val="11"/>
              </w:rPr>
              <w:t>Reconstruction notes; SOURCE MASTER</w:t>
            </w:r>
          </w:p>
        </w:tc>
        <w:tc>
          <w:tcPr>
            <w:tcW w:type="dxa" w:w="2400"/>
            <w:vAlign w:val="top"/>
          </w:tcPr>
          <w:p>
            <w:pPr>
              <w:spacing w:after="0"/>
              <w:jc w:val="left"/>
            </w:pPr>
            <w:r>
              <w:rPr>
                <w:rFonts w:ascii="Arial" w:hAnsi="Arial"/>
                <w:b w:val="0"/>
                <w:sz w:val="11"/>
              </w:rPr>
              <w:t>Closed</w:t>
            </w:r>
          </w:p>
        </w:tc>
      </w:tr>
      <w:tr>
        <w:trPr>
          <w:cantSplit/>
        </w:trPr>
        <w:tc>
          <w:tcPr>
            <w:tcW w:type="dxa" w:w="2400"/>
            <w:vAlign w:val="top"/>
          </w:tcPr>
          <w:p>
            <w:pPr>
              <w:spacing w:after="0"/>
              <w:jc w:val="left"/>
            </w:pPr>
            <w:r>
              <w:rPr>
                <w:rFonts w:ascii="Arial" w:hAnsi="Arial"/>
                <w:b w:val="0"/>
                <w:sz w:val="11"/>
              </w:rPr>
              <w:t>R-K-02</w:t>
            </w:r>
          </w:p>
        </w:tc>
        <w:tc>
          <w:tcPr>
            <w:tcW w:type="dxa" w:w="2400"/>
            <w:vAlign w:val="top"/>
          </w:tcPr>
          <w:p>
            <w:pPr>
              <w:spacing w:after="0"/>
              <w:jc w:val="left"/>
            </w:pPr>
            <w:r>
              <w:rPr>
                <w:rFonts w:ascii="Arial" w:hAnsi="Arial"/>
                <w:b w:val="0"/>
                <w:sz w:val="11"/>
              </w:rPr>
              <w:t>Phase 1A</w:t>
            </w:r>
          </w:p>
        </w:tc>
        <w:tc>
          <w:tcPr>
            <w:tcW w:type="dxa" w:w="2400"/>
            <w:vAlign w:val="top"/>
          </w:tcPr>
          <w:p>
            <w:pPr>
              <w:spacing w:after="0"/>
              <w:jc w:val="left"/>
            </w:pPr>
            <w:r>
              <w:rPr>
                <w:rFonts w:ascii="Arial" w:hAnsi="Arial"/>
                <w:b w:val="0"/>
                <w:sz w:val="11"/>
              </w:rPr>
              <w:t>Core methodology needed stable scoring discipline</w:t>
            </w:r>
          </w:p>
        </w:tc>
        <w:tc>
          <w:tcPr>
            <w:tcW w:type="dxa" w:w="2400"/>
            <w:vAlign w:val="top"/>
          </w:tcPr>
          <w:p>
            <w:pPr>
              <w:spacing w:after="0"/>
              <w:jc w:val="left"/>
            </w:pPr>
            <w:r>
              <w:rPr>
                <w:rFonts w:ascii="Arial" w:hAnsi="Arial"/>
                <w:b w:val="0"/>
                <w:sz w:val="11"/>
              </w:rPr>
              <w:t>Established canonical evidence multipliers and scoring formulas</w:t>
            </w:r>
          </w:p>
        </w:tc>
        <w:tc>
          <w:tcPr>
            <w:tcW w:type="dxa" w:w="2400"/>
            <w:vAlign w:val="top"/>
          </w:tcPr>
          <w:p>
            <w:pPr>
              <w:spacing w:after="0"/>
              <w:jc w:val="left"/>
            </w:pPr>
            <w:r>
              <w:rPr>
                <w:rFonts w:ascii="Arial" w:hAnsi="Arial"/>
                <w:b w:val="0"/>
                <w:sz w:val="11"/>
              </w:rPr>
              <w:t>Chapters 7-9; Appendix B</w:t>
            </w:r>
          </w:p>
        </w:tc>
        <w:tc>
          <w:tcPr>
            <w:tcW w:type="dxa" w:w="2400"/>
            <w:vAlign w:val="top"/>
          </w:tcPr>
          <w:p>
            <w:pPr>
              <w:spacing w:after="0"/>
              <w:jc w:val="left"/>
            </w:pPr>
            <w:r>
              <w:rPr>
                <w:rFonts w:ascii="Arial" w:hAnsi="Arial"/>
                <w:b w:val="0"/>
                <w:sz w:val="11"/>
              </w:rPr>
              <w:t>Closed</w:t>
            </w:r>
          </w:p>
        </w:tc>
      </w:tr>
      <w:tr>
        <w:trPr>
          <w:cantSplit/>
        </w:trPr>
        <w:tc>
          <w:tcPr>
            <w:tcW w:type="dxa" w:w="2400"/>
            <w:vAlign w:val="top"/>
          </w:tcPr>
          <w:p>
            <w:pPr>
              <w:spacing w:after="0"/>
              <w:jc w:val="left"/>
            </w:pPr>
            <w:r>
              <w:rPr>
                <w:rFonts w:ascii="Arial" w:hAnsi="Arial"/>
                <w:b w:val="0"/>
                <w:sz w:val="11"/>
              </w:rPr>
              <w:t>R-K-03</w:t>
            </w:r>
          </w:p>
        </w:tc>
        <w:tc>
          <w:tcPr>
            <w:tcW w:type="dxa" w:w="2400"/>
            <w:vAlign w:val="top"/>
          </w:tcPr>
          <w:p>
            <w:pPr>
              <w:spacing w:after="0"/>
              <w:jc w:val="left"/>
            </w:pPr>
            <w:r>
              <w:rPr>
                <w:rFonts w:ascii="Arial" w:hAnsi="Arial"/>
                <w:b w:val="0"/>
                <w:sz w:val="11"/>
              </w:rPr>
              <w:t>Phase 1B-1 to 1B-7</w:t>
            </w:r>
          </w:p>
        </w:tc>
        <w:tc>
          <w:tcPr>
            <w:tcW w:type="dxa" w:w="2400"/>
            <w:vAlign w:val="top"/>
          </w:tcPr>
          <w:p>
            <w:pPr>
              <w:spacing w:after="0"/>
              <w:jc w:val="left"/>
            </w:pPr>
            <w:r>
              <w:rPr>
                <w:rFonts w:ascii="Arial" w:hAnsi="Arial"/>
                <w:b w:val="0"/>
                <w:sz w:val="11"/>
              </w:rPr>
              <w:t>Body chapters 11-15 and 17-18 missing from clean source</w:t>
            </w:r>
          </w:p>
        </w:tc>
        <w:tc>
          <w:tcPr>
            <w:tcW w:type="dxa" w:w="2400"/>
            <w:vAlign w:val="top"/>
          </w:tcPr>
          <w:p>
            <w:pPr>
              <w:spacing w:after="0"/>
              <w:jc w:val="left"/>
            </w:pPr>
            <w:r>
              <w:rPr>
                <w:rFonts w:ascii="Arial" w:hAnsi="Arial"/>
                <w:b w:val="0"/>
                <w:sz w:val="11"/>
              </w:rPr>
              <w:t>Filled comparative field, mappings, validation pattern, failure scenarios, roadmap, and conclusion</w:t>
            </w:r>
          </w:p>
        </w:tc>
        <w:tc>
          <w:tcPr>
            <w:tcW w:type="dxa" w:w="2400"/>
            <w:vAlign w:val="top"/>
          </w:tcPr>
          <w:p>
            <w:pPr>
              <w:spacing w:after="0"/>
              <w:jc w:val="left"/>
            </w:pPr>
            <w:r>
              <w:rPr>
                <w:rFonts w:ascii="Arial" w:hAnsi="Arial"/>
                <w:b w:val="0"/>
                <w:sz w:val="11"/>
              </w:rPr>
              <w:t>Sections 11-15, 17-18</w:t>
            </w:r>
          </w:p>
        </w:tc>
        <w:tc>
          <w:tcPr>
            <w:tcW w:type="dxa" w:w="2400"/>
            <w:vAlign w:val="top"/>
          </w:tcPr>
          <w:p>
            <w:pPr>
              <w:spacing w:after="0"/>
              <w:jc w:val="left"/>
            </w:pPr>
            <w:r>
              <w:rPr>
                <w:rFonts w:ascii="Arial" w:hAnsi="Arial"/>
                <w:b w:val="0"/>
                <w:sz w:val="11"/>
              </w:rPr>
              <w:t>Closed</w:t>
            </w:r>
          </w:p>
        </w:tc>
      </w:tr>
      <w:tr>
        <w:trPr>
          <w:cantSplit/>
        </w:trPr>
        <w:tc>
          <w:tcPr>
            <w:tcW w:type="dxa" w:w="2400"/>
            <w:vAlign w:val="top"/>
          </w:tcPr>
          <w:p>
            <w:pPr>
              <w:spacing w:after="0"/>
              <w:jc w:val="left"/>
            </w:pPr>
            <w:r>
              <w:rPr>
                <w:rFonts w:ascii="Arial" w:hAnsi="Arial"/>
                <w:b w:val="0"/>
                <w:sz w:val="11"/>
              </w:rPr>
              <w:t>R-K-04</w:t>
            </w:r>
          </w:p>
        </w:tc>
        <w:tc>
          <w:tcPr>
            <w:tcW w:type="dxa" w:w="2400"/>
            <w:vAlign w:val="top"/>
          </w:tcPr>
          <w:p>
            <w:pPr>
              <w:spacing w:after="0"/>
              <w:jc w:val="left"/>
            </w:pPr>
            <w:r>
              <w:rPr>
                <w:rFonts w:ascii="Arial" w:hAnsi="Arial"/>
                <w:b w:val="0"/>
                <w:sz w:val="11"/>
              </w:rPr>
              <w:t>Phase 1B-8</w:t>
            </w:r>
          </w:p>
        </w:tc>
        <w:tc>
          <w:tcPr>
            <w:tcW w:type="dxa" w:w="2400"/>
            <w:vAlign w:val="top"/>
          </w:tcPr>
          <w:p>
            <w:pPr>
              <w:spacing w:after="0"/>
              <w:jc w:val="left"/>
            </w:pPr>
            <w:r>
              <w:rPr>
                <w:rFonts w:ascii="Arial" w:hAnsi="Arial"/>
                <w:b w:val="0"/>
                <w:sz w:val="11"/>
              </w:rPr>
              <w:t>Appendices A-D missing from clean source</w:t>
            </w:r>
          </w:p>
        </w:tc>
        <w:tc>
          <w:tcPr>
            <w:tcW w:type="dxa" w:w="2400"/>
            <w:vAlign w:val="top"/>
          </w:tcPr>
          <w:p>
            <w:pPr>
              <w:spacing w:after="0"/>
              <w:jc w:val="left"/>
            </w:pPr>
            <w:r>
              <w:rPr>
                <w:rFonts w:ascii="Arial" w:hAnsi="Arial"/>
                <w:b w:val="0"/>
                <w:sz w:val="11"/>
              </w:rPr>
              <w:t>Created templates, scorecards, source notes, and expanded MRO mapping</w:t>
            </w:r>
          </w:p>
        </w:tc>
        <w:tc>
          <w:tcPr>
            <w:tcW w:type="dxa" w:w="2400"/>
            <w:vAlign w:val="top"/>
          </w:tcPr>
          <w:p>
            <w:pPr>
              <w:spacing w:after="0"/>
              <w:jc w:val="left"/>
            </w:pPr>
            <w:r>
              <w:rPr>
                <w:rFonts w:ascii="Arial" w:hAnsi="Arial"/>
                <w:b w:val="0"/>
                <w:sz w:val="11"/>
              </w:rPr>
              <w:t>Appendices A-D</w:t>
            </w:r>
          </w:p>
        </w:tc>
        <w:tc>
          <w:tcPr>
            <w:tcW w:type="dxa" w:w="2400"/>
            <w:vAlign w:val="top"/>
          </w:tcPr>
          <w:p>
            <w:pPr>
              <w:spacing w:after="0"/>
              <w:jc w:val="left"/>
            </w:pPr>
            <w:r>
              <w:rPr>
                <w:rFonts w:ascii="Arial" w:hAnsi="Arial"/>
                <w:b w:val="0"/>
                <w:sz w:val="11"/>
              </w:rPr>
              <w:t>Closed</w:t>
            </w:r>
          </w:p>
        </w:tc>
      </w:tr>
      <w:tr>
        <w:trPr>
          <w:cantSplit/>
        </w:trPr>
        <w:tc>
          <w:tcPr>
            <w:tcW w:type="dxa" w:w="2400"/>
            <w:vAlign w:val="top"/>
          </w:tcPr>
          <w:p>
            <w:pPr>
              <w:spacing w:after="0"/>
              <w:jc w:val="left"/>
            </w:pPr>
            <w:r>
              <w:rPr>
                <w:rFonts w:ascii="Arial" w:hAnsi="Arial"/>
                <w:b w:val="0"/>
                <w:sz w:val="11"/>
              </w:rPr>
              <w:t>R-K-05</w:t>
            </w:r>
          </w:p>
        </w:tc>
        <w:tc>
          <w:tcPr>
            <w:tcW w:type="dxa" w:w="2400"/>
            <w:vAlign w:val="top"/>
          </w:tcPr>
          <w:p>
            <w:pPr>
              <w:spacing w:after="0"/>
              <w:jc w:val="left"/>
            </w:pPr>
            <w:r>
              <w:rPr>
                <w:rFonts w:ascii="Arial" w:hAnsi="Arial"/>
                <w:b w:val="0"/>
                <w:sz w:val="11"/>
              </w:rPr>
              <w:t>Phase 1B-8C</w:t>
            </w:r>
          </w:p>
        </w:tc>
        <w:tc>
          <w:tcPr>
            <w:tcW w:type="dxa" w:w="2400"/>
            <w:vAlign w:val="top"/>
          </w:tcPr>
          <w:p>
            <w:pPr>
              <w:spacing w:after="0"/>
              <w:jc w:val="left"/>
            </w:pPr>
            <w:r>
              <w:rPr>
                <w:rFonts w:ascii="Arial" w:hAnsi="Arial"/>
                <w:b w:val="0"/>
                <w:sz w:val="11"/>
              </w:rPr>
              <w:t>Appendix B methodology values inconsistent with canonical method</w:t>
            </w:r>
          </w:p>
        </w:tc>
        <w:tc>
          <w:tcPr>
            <w:tcW w:type="dxa" w:w="2400"/>
            <w:vAlign w:val="top"/>
          </w:tcPr>
          <w:p>
            <w:pPr>
              <w:spacing w:after="0"/>
              <w:jc w:val="left"/>
            </w:pPr>
            <w:r>
              <w:rPr>
                <w:rFonts w:ascii="Arial" w:hAnsi="Arial"/>
                <w:b w:val="0"/>
                <w:sz w:val="11"/>
              </w:rPr>
              <w:t>Corrected evidence multipliers, adjusted score formula, composite weights, and Article 12 example</w:t>
            </w:r>
          </w:p>
        </w:tc>
        <w:tc>
          <w:tcPr>
            <w:tcW w:type="dxa" w:w="2400"/>
            <w:vAlign w:val="top"/>
          </w:tcPr>
          <w:p>
            <w:pPr>
              <w:spacing w:after="0"/>
              <w:jc w:val="left"/>
            </w:pPr>
            <w:r>
              <w:rPr>
                <w:rFonts w:ascii="Arial" w:hAnsi="Arial"/>
                <w:b w:val="0"/>
                <w:sz w:val="11"/>
              </w:rPr>
              <w:t>Appendix B; Phase 1B-8C report</w:t>
            </w:r>
          </w:p>
        </w:tc>
        <w:tc>
          <w:tcPr>
            <w:tcW w:type="dxa" w:w="2400"/>
            <w:vAlign w:val="top"/>
          </w:tcPr>
          <w:p>
            <w:pPr>
              <w:spacing w:after="0"/>
              <w:jc w:val="left"/>
            </w:pPr>
            <w:r>
              <w:rPr>
                <w:rFonts w:ascii="Arial" w:hAnsi="Arial"/>
                <w:b w:val="0"/>
                <w:sz w:val="11"/>
              </w:rPr>
              <w:t>Corrected by later patch</w:t>
            </w:r>
          </w:p>
        </w:tc>
      </w:tr>
      <w:tr>
        <w:trPr>
          <w:cantSplit/>
        </w:trPr>
        <w:tc>
          <w:tcPr>
            <w:tcW w:type="dxa" w:w="2400"/>
            <w:vAlign w:val="top"/>
          </w:tcPr>
          <w:p>
            <w:pPr>
              <w:spacing w:after="0"/>
              <w:jc w:val="left"/>
            </w:pPr>
            <w:r>
              <w:rPr>
                <w:rFonts w:ascii="Arial" w:hAnsi="Arial"/>
                <w:b w:val="0"/>
                <w:sz w:val="11"/>
              </w:rPr>
              <w:t>R-K-06</w:t>
            </w:r>
          </w:p>
        </w:tc>
        <w:tc>
          <w:tcPr>
            <w:tcW w:type="dxa" w:w="2400"/>
            <w:vAlign w:val="top"/>
          </w:tcPr>
          <w:p>
            <w:pPr>
              <w:spacing w:after="0"/>
              <w:jc w:val="left"/>
            </w:pPr>
            <w:r>
              <w:rPr>
                <w:rFonts w:ascii="Arial" w:hAnsi="Arial"/>
                <w:b w:val="0"/>
                <w:sz w:val="11"/>
              </w:rPr>
              <w:t>Phase 1B-8C</w:t>
            </w:r>
          </w:p>
        </w:tc>
        <w:tc>
          <w:tcPr>
            <w:tcW w:type="dxa" w:w="2400"/>
            <w:vAlign w:val="top"/>
          </w:tcPr>
          <w:p>
            <w:pPr>
              <w:spacing w:after="0"/>
              <w:jc w:val="left"/>
            </w:pPr>
            <w:r>
              <w:rPr>
                <w:rFonts w:ascii="Arial" w:hAnsi="Arial"/>
                <w:b w:val="0"/>
                <w:sz w:val="11"/>
              </w:rPr>
              <w:t>Appendix A and D contained overclaim risk</w:t>
            </w:r>
          </w:p>
        </w:tc>
        <w:tc>
          <w:tcPr>
            <w:tcW w:type="dxa" w:w="2400"/>
            <w:vAlign w:val="top"/>
          </w:tcPr>
          <w:p>
            <w:pPr>
              <w:spacing w:after="0"/>
              <w:jc w:val="left"/>
            </w:pPr>
            <w:r>
              <w:rPr>
                <w:rFonts w:ascii="Arial" w:hAnsi="Arial"/>
                <w:b w:val="0"/>
                <w:sz w:val="11"/>
              </w:rPr>
              <w:t>Neutralized compliance-sounding template values and marked mappings provisional</w:t>
            </w:r>
          </w:p>
        </w:tc>
        <w:tc>
          <w:tcPr>
            <w:tcW w:type="dxa" w:w="2400"/>
            <w:vAlign w:val="top"/>
          </w:tcPr>
          <w:p>
            <w:pPr>
              <w:spacing w:after="0"/>
              <w:jc w:val="left"/>
            </w:pPr>
            <w:r>
              <w:rPr>
                <w:rFonts w:ascii="Arial" w:hAnsi="Arial"/>
                <w:b w:val="0"/>
                <w:sz w:val="11"/>
              </w:rPr>
              <w:t>Appendices A and D</w:t>
            </w:r>
          </w:p>
        </w:tc>
        <w:tc>
          <w:tcPr>
            <w:tcW w:type="dxa" w:w="2400"/>
            <w:vAlign w:val="top"/>
          </w:tcPr>
          <w:p>
            <w:pPr>
              <w:spacing w:after="0"/>
              <w:jc w:val="left"/>
            </w:pPr>
            <w:r>
              <w:rPr>
                <w:rFonts w:ascii="Arial" w:hAnsi="Arial"/>
                <w:b w:val="0"/>
                <w:sz w:val="11"/>
              </w:rPr>
              <w:t>Corrected by later patch</w:t>
            </w:r>
          </w:p>
        </w:tc>
      </w:tr>
      <w:tr>
        <w:trPr>
          <w:cantSplit/>
        </w:trPr>
        <w:tc>
          <w:tcPr>
            <w:tcW w:type="dxa" w:w="2400"/>
            <w:vAlign w:val="top"/>
          </w:tcPr>
          <w:p>
            <w:pPr>
              <w:spacing w:after="0"/>
              <w:jc w:val="left"/>
            </w:pPr>
            <w:r>
              <w:rPr>
                <w:rFonts w:ascii="Arial" w:hAnsi="Arial"/>
                <w:b w:val="0"/>
                <w:sz w:val="11"/>
              </w:rPr>
              <w:t>R-K-07</w:t>
            </w:r>
          </w:p>
        </w:tc>
        <w:tc>
          <w:tcPr>
            <w:tcW w:type="dxa" w:w="2400"/>
            <w:vAlign w:val="top"/>
          </w:tcPr>
          <w:p>
            <w:pPr>
              <w:spacing w:after="0"/>
              <w:jc w:val="left"/>
            </w:pPr>
            <w:r>
              <w:rPr>
                <w:rFonts w:ascii="Arial" w:hAnsi="Arial"/>
                <w:b w:val="0"/>
                <w:sz w:val="11"/>
              </w:rPr>
              <w:t>Phase 1B-9</w:t>
            </w:r>
          </w:p>
        </w:tc>
        <w:tc>
          <w:tcPr>
            <w:tcW w:type="dxa" w:w="2400"/>
            <w:vAlign w:val="top"/>
          </w:tcPr>
          <w:p>
            <w:pPr>
              <w:spacing w:after="0"/>
              <w:jc w:val="left"/>
            </w:pPr>
            <w:r>
              <w:rPr>
                <w:rFonts w:ascii="Arial" w:hAnsi="Arial"/>
                <w:b w:val="0"/>
                <w:sz w:val="11"/>
              </w:rPr>
              <w:t>Appendices E-G missing detailed rubric and assessment content</w:t>
            </w:r>
          </w:p>
        </w:tc>
        <w:tc>
          <w:tcPr>
            <w:tcW w:type="dxa" w:w="2400"/>
            <w:vAlign w:val="top"/>
          </w:tcPr>
          <w:p>
            <w:pPr>
              <w:spacing w:after="0"/>
              <w:jc w:val="left"/>
            </w:pPr>
            <w:r>
              <w:rPr>
                <w:rFonts w:ascii="Arial" w:hAnsi="Arial"/>
                <w:b w:val="0"/>
                <w:sz w:val="11"/>
              </w:rPr>
              <w:t>Created RCCS rubrics, ALCS rubrics, and provisional system assessments</w:t>
            </w:r>
          </w:p>
        </w:tc>
        <w:tc>
          <w:tcPr>
            <w:tcW w:type="dxa" w:w="2400"/>
            <w:vAlign w:val="top"/>
          </w:tcPr>
          <w:p>
            <w:pPr>
              <w:spacing w:after="0"/>
              <w:jc w:val="left"/>
            </w:pPr>
            <w:r>
              <w:rPr>
                <w:rFonts w:ascii="Arial" w:hAnsi="Arial"/>
                <w:b w:val="0"/>
                <w:sz w:val="11"/>
              </w:rPr>
              <w:t>Appendices E-G</w:t>
            </w:r>
          </w:p>
        </w:tc>
        <w:tc>
          <w:tcPr>
            <w:tcW w:type="dxa" w:w="2400"/>
            <w:vAlign w:val="top"/>
          </w:tcPr>
          <w:p>
            <w:pPr>
              <w:spacing w:after="0"/>
              <w:jc w:val="left"/>
            </w:pPr>
            <w:r>
              <w:rPr>
                <w:rFonts w:ascii="Arial" w:hAnsi="Arial"/>
                <w:b w:val="0"/>
                <w:sz w:val="11"/>
              </w:rPr>
              <w:t>Structurally closed</w:t>
            </w:r>
          </w:p>
        </w:tc>
      </w:tr>
      <w:tr>
        <w:trPr>
          <w:cantSplit/>
        </w:trPr>
        <w:tc>
          <w:tcPr>
            <w:tcW w:type="dxa" w:w="2400"/>
            <w:vAlign w:val="top"/>
          </w:tcPr>
          <w:p>
            <w:pPr>
              <w:spacing w:after="0"/>
              <w:jc w:val="left"/>
            </w:pPr>
            <w:r>
              <w:rPr>
                <w:rFonts w:ascii="Arial" w:hAnsi="Arial"/>
                <w:b w:val="0"/>
                <w:sz w:val="11"/>
              </w:rPr>
              <w:t>R-K-08</w:t>
            </w:r>
          </w:p>
        </w:tc>
        <w:tc>
          <w:tcPr>
            <w:tcW w:type="dxa" w:w="2400"/>
            <w:vAlign w:val="top"/>
          </w:tcPr>
          <w:p>
            <w:pPr>
              <w:spacing w:after="0"/>
              <w:jc w:val="left"/>
            </w:pPr>
            <w:r>
              <w:rPr>
                <w:rFonts w:ascii="Arial" w:hAnsi="Arial"/>
                <w:b w:val="0"/>
                <w:sz w:val="11"/>
              </w:rPr>
              <w:t>Phase 1B-9C</w:t>
            </w:r>
          </w:p>
        </w:tc>
        <w:tc>
          <w:tcPr>
            <w:tcW w:type="dxa" w:w="2400"/>
            <w:vAlign w:val="top"/>
          </w:tcPr>
          <w:p>
            <w:pPr>
              <w:spacing w:after="0"/>
              <w:jc w:val="left"/>
            </w:pPr>
            <w:r>
              <w:rPr>
                <w:rFonts w:ascii="Arial" w:hAnsi="Arial"/>
                <w:b w:val="0"/>
                <w:sz w:val="11"/>
              </w:rPr>
              <w:t>Appendix G scope drift and score/order overreach</w:t>
            </w:r>
          </w:p>
        </w:tc>
        <w:tc>
          <w:tcPr>
            <w:tcW w:type="dxa" w:w="2400"/>
            <w:vAlign w:val="top"/>
          </w:tcPr>
          <w:p>
            <w:pPr>
              <w:spacing w:after="0"/>
              <w:jc w:val="left"/>
            </w:pPr>
            <w:r>
              <w:rPr>
                <w:rFonts w:ascii="Arial" w:hAnsi="Arial"/>
                <w:b w:val="0"/>
                <w:sz w:val="11"/>
              </w:rPr>
              <w:t>Rewrote Appendix G using authorized 8 systems and qualitative provisional posture</w:t>
            </w:r>
          </w:p>
        </w:tc>
        <w:tc>
          <w:tcPr>
            <w:tcW w:type="dxa" w:w="2400"/>
            <w:vAlign w:val="top"/>
          </w:tcPr>
          <w:p>
            <w:pPr>
              <w:spacing w:after="0"/>
              <w:jc w:val="left"/>
            </w:pPr>
            <w:r>
              <w:rPr>
                <w:rFonts w:ascii="Arial" w:hAnsi="Arial"/>
                <w:b w:val="0"/>
                <w:sz w:val="11"/>
              </w:rPr>
              <w:t>Appendix G; 1B-9C report</w:t>
            </w:r>
          </w:p>
        </w:tc>
        <w:tc>
          <w:tcPr>
            <w:tcW w:type="dxa" w:w="2400"/>
            <w:vAlign w:val="top"/>
          </w:tcPr>
          <w:p>
            <w:pPr>
              <w:spacing w:after="0"/>
              <w:jc w:val="left"/>
            </w:pPr>
            <w:r>
              <w:rPr>
                <w:rFonts w:ascii="Arial" w:hAnsi="Arial"/>
                <w:b w:val="0"/>
                <w:sz w:val="11"/>
              </w:rPr>
              <w:t>Corrected by later patch</w:t>
            </w:r>
          </w:p>
        </w:tc>
      </w:tr>
      <w:tr>
        <w:trPr>
          <w:cantSplit/>
        </w:trPr>
        <w:tc>
          <w:tcPr>
            <w:tcW w:type="dxa" w:w="2400"/>
            <w:vAlign w:val="top"/>
          </w:tcPr>
          <w:p>
            <w:pPr>
              <w:spacing w:after="0"/>
              <w:jc w:val="left"/>
            </w:pPr>
            <w:r>
              <w:rPr>
                <w:rFonts w:ascii="Arial" w:hAnsi="Arial"/>
                <w:b w:val="0"/>
                <w:sz w:val="11"/>
              </w:rPr>
              <w:t>R-K-09</w:t>
            </w:r>
          </w:p>
        </w:tc>
        <w:tc>
          <w:tcPr>
            <w:tcW w:type="dxa" w:w="2400"/>
            <w:vAlign w:val="top"/>
          </w:tcPr>
          <w:p>
            <w:pPr>
              <w:spacing w:after="0"/>
              <w:jc w:val="left"/>
            </w:pPr>
            <w:r>
              <w:rPr>
                <w:rFonts w:ascii="Arial" w:hAnsi="Arial"/>
                <w:b w:val="0"/>
                <w:sz w:val="11"/>
              </w:rPr>
              <w:t>Phase 1B-9C</w:t>
            </w:r>
          </w:p>
        </w:tc>
        <w:tc>
          <w:tcPr>
            <w:tcW w:type="dxa" w:w="2400"/>
            <w:vAlign w:val="top"/>
          </w:tcPr>
          <w:p>
            <w:pPr>
              <w:spacing w:after="0"/>
              <w:jc w:val="left"/>
            </w:pPr>
            <w:r>
              <w:rPr>
                <w:rFonts w:ascii="Arial" w:hAnsi="Arial"/>
                <w:b w:val="0"/>
                <w:sz w:val="11"/>
              </w:rPr>
              <w:t>Appendix E/F score-5 wording risked implementation overclaim</w:t>
            </w:r>
          </w:p>
        </w:tc>
        <w:tc>
          <w:tcPr>
            <w:tcW w:type="dxa" w:w="2400"/>
            <w:vAlign w:val="top"/>
          </w:tcPr>
          <w:p>
            <w:pPr>
              <w:spacing w:after="0"/>
              <w:jc w:val="left"/>
            </w:pPr>
            <w:r>
              <w:rPr>
                <w:rFonts w:ascii="Arial" w:hAnsi="Arial"/>
                <w:b w:val="0"/>
                <w:sz w:val="11"/>
              </w:rPr>
              <w:t>Hardened score-5 rows to require implementation evidence</w:t>
            </w:r>
          </w:p>
        </w:tc>
        <w:tc>
          <w:tcPr>
            <w:tcW w:type="dxa" w:w="2400"/>
            <w:vAlign w:val="top"/>
          </w:tcPr>
          <w:p>
            <w:pPr>
              <w:spacing w:after="0"/>
              <w:jc w:val="left"/>
            </w:pPr>
            <w:r>
              <w:rPr>
                <w:rFonts w:ascii="Arial" w:hAnsi="Arial"/>
                <w:b w:val="0"/>
                <w:sz w:val="11"/>
              </w:rPr>
              <w:t>Appendices E/F</w:t>
            </w:r>
          </w:p>
        </w:tc>
        <w:tc>
          <w:tcPr>
            <w:tcW w:type="dxa" w:w="2400"/>
            <w:vAlign w:val="top"/>
          </w:tcPr>
          <w:p>
            <w:pPr>
              <w:spacing w:after="0"/>
              <w:jc w:val="left"/>
            </w:pPr>
            <w:r>
              <w:rPr>
                <w:rFonts w:ascii="Arial" w:hAnsi="Arial"/>
                <w:b w:val="0"/>
                <w:sz w:val="11"/>
              </w:rPr>
              <w:t>Corrected by later patch</w:t>
            </w:r>
          </w:p>
        </w:tc>
      </w:tr>
      <w:tr>
        <w:trPr>
          <w:cantSplit/>
        </w:trPr>
        <w:tc>
          <w:tcPr>
            <w:tcW w:type="dxa" w:w="2400"/>
            <w:vAlign w:val="top"/>
          </w:tcPr>
          <w:p>
            <w:pPr>
              <w:spacing w:after="0"/>
              <w:jc w:val="left"/>
            </w:pPr>
            <w:r>
              <w:rPr>
                <w:rFonts w:ascii="Arial" w:hAnsi="Arial"/>
                <w:b w:val="0"/>
                <w:sz w:val="11"/>
              </w:rPr>
              <w:t>R-K-10</w:t>
            </w:r>
          </w:p>
        </w:tc>
        <w:tc>
          <w:tcPr>
            <w:tcW w:type="dxa" w:w="2400"/>
            <w:vAlign w:val="top"/>
          </w:tcPr>
          <w:p>
            <w:pPr>
              <w:spacing w:after="0"/>
              <w:jc w:val="left"/>
            </w:pPr>
            <w:r>
              <w:rPr>
                <w:rFonts w:ascii="Arial" w:hAnsi="Arial"/>
                <w:b w:val="0"/>
                <w:sz w:val="11"/>
              </w:rPr>
              <w:t>Phase 1B-9D</w:t>
            </w:r>
          </w:p>
        </w:tc>
        <w:tc>
          <w:tcPr>
            <w:tcW w:type="dxa" w:w="2400"/>
            <w:vAlign w:val="top"/>
          </w:tcPr>
          <w:p>
            <w:pPr>
              <w:spacing w:after="0"/>
              <w:jc w:val="left"/>
            </w:pPr>
            <w:r>
              <w:rPr>
                <w:rFonts w:ascii="Arial" w:hAnsi="Arial"/>
                <w:b w:val="0"/>
                <w:sz w:val="11"/>
              </w:rPr>
              <w:t>Governance ledgers stale after partial 1B-9D patch</w:t>
            </w:r>
          </w:p>
        </w:tc>
        <w:tc>
          <w:tcPr>
            <w:tcW w:type="dxa" w:w="2400"/>
            <w:vAlign w:val="top"/>
          </w:tcPr>
          <w:p>
            <w:pPr>
              <w:spacing w:after="0"/>
              <w:jc w:val="left"/>
            </w:pPr>
            <w:r>
              <w:rPr>
                <w:rFonts w:ascii="Arial" w:hAnsi="Arial"/>
                <w:b w:val="0"/>
                <w:sz w:val="11"/>
              </w:rPr>
              <w:t>Synced Appendix G metadata, SOURCE MASTER, carryover list, and report</w:t>
            </w:r>
          </w:p>
        </w:tc>
        <w:tc>
          <w:tcPr>
            <w:tcW w:type="dxa" w:w="2400"/>
            <w:vAlign w:val="top"/>
          </w:tcPr>
          <w:p>
            <w:pPr>
              <w:spacing w:after="0"/>
              <w:jc w:val="left"/>
            </w:pPr>
            <w:r>
              <w:rPr>
                <w:rFonts w:ascii="Arial" w:hAnsi="Arial"/>
                <w:b w:val="0"/>
                <w:sz w:val="11"/>
              </w:rPr>
              <w:t>SOURCE MASTER; 1B-9D report</w:t>
            </w:r>
          </w:p>
        </w:tc>
        <w:tc>
          <w:tcPr>
            <w:tcW w:type="dxa" w:w="2400"/>
            <w:vAlign w:val="top"/>
          </w:tcPr>
          <w:p>
            <w:pPr>
              <w:spacing w:after="0"/>
              <w:jc w:val="left"/>
            </w:pPr>
            <w:r>
              <w:rPr>
                <w:rFonts w:ascii="Arial" w:hAnsi="Arial"/>
                <w:b w:val="0"/>
                <w:sz w:val="11"/>
              </w:rPr>
              <w:t>Closed</w:t>
            </w:r>
          </w:p>
        </w:tc>
      </w:tr>
      <w:tr>
        <w:trPr>
          <w:cantSplit/>
        </w:trPr>
        <w:tc>
          <w:tcPr>
            <w:tcW w:type="dxa" w:w="2400"/>
            <w:vAlign w:val="top"/>
          </w:tcPr>
          <w:p>
            <w:pPr>
              <w:spacing w:after="0"/>
              <w:jc w:val="left"/>
            </w:pPr>
            <w:r>
              <w:rPr>
                <w:rFonts w:ascii="Arial" w:hAnsi="Arial"/>
                <w:b w:val="0"/>
                <w:sz w:val="11"/>
              </w:rPr>
              <w:t>R-K-11</w:t>
            </w:r>
          </w:p>
        </w:tc>
        <w:tc>
          <w:tcPr>
            <w:tcW w:type="dxa" w:w="2400"/>
            <w:vAlign w:val="top"/>
          </w:tcPr>
          <w:p>
            <w:pPr>
              <w:spacing w:after="0"/>
              <w:jc w:val="left"/>
            </w:pPr>
            <w:r>
              <w:rPr>
                <w:rFonts w:ascii="Arial" w:hAnsi="Arial"/>
                <w:b w:val="0"/>
                <w:sz w:val="11"/>
              </w:rPr>
              <w:t>Phase 1B-10</w:t>
            </w:r>
          </w:p>
        </w:tc>
        <w:tc>
          <w:tcPr>
            <w:tcW w:type="dxa" w:w="2400"/>
            <w:vAlign w:val="top"/>
          </w:tcPr>
          <w:p>
            <w:pPr>
              <w:spacing w:after="0"/>
              <w:jc w:val="left"/>
            </w:pPr>
            <w:r>
              <w:rPr>
                <w:rFonts w:ascii="Arial" w:hAnsi="Arial"/>
                <w:b w:val="0"/>
                <w:sz w:val="11"/>
              </w:rPr>
              <w:t>Appendices H-K missing</w:t>
            </w:r>
          </w:p>
        </w:tc>
        <w:tc>
          <w:tcPr>
            <w:tcW w:type="dxa" w:w="2400"/>
            <w:vAlign w:val="top"/>
          </w:tcPr>
          <w:p>
            <w:pPr>
              <w:spacing w:after="0"/>
              <w:jc w:val="left"/>
            </w:pPr>
            <w:r>
              <w:rPr>
                <w:rFonts w:ascii="Arial" w:hAnsi="Arial"/>
                <w:b w:val="0"/>
                <w:sz w:val="11"/>
              </w:rPr>
              <w:t>Filled procurement scorecard, source audit register, gap closure matrix, and editorial remediation record</w:t>
            </w:r>
          </w:p>
        </w:tc>
        <w:tc>
          <w:tcPr>
            <w:tcW w:type="dxa" w:w="2400"/>
            <w:vAlign w:val="top"/>
          </w:tcPr>
          <w:p>
            <w:pPr>
              <w:spacing w:after="0"/>
              <w:jc w:val="left"/>
            </w:pPr>
            <w:r>
              <w:rPr>
                <w:rFonts w:ascii="Arial" w:hAnsi="Arial"/>
                <w:b w:val="0"/>
                <w:sz w:val="11"/>
              </w:rPr>
              <w:t>Appendices H-K</w:t>
            </w:r>
          </w:p>
        </w:tc>
        <w:tc>
          <w:tcPr>
            <w:tcW w:type="dxa" w:w="2400"/>
            <w:vAlign w:val="top"/>
          </w:tcPr>
          <w:p>
            <w:pPr>
              <w:spacing w:after="0"/>
              <w:jc w:val="left"/>
            </w:pPr>
            <w:r>
              <w:rPr>
                <w:rFonts w:ascii="Arial" w:hAnsi="Arial"/>
                <w:b w:val="0"/>
                <w:sz w:val="11"/>
              </w:rPr>
              <w:t>Closed</w:t>
            </w:r>
          </w:p>
        </w:tc>
      </w:tr>
      <w:tr>
        <w:trPr>
          <w:cantSplit/>
        </w:trPr>
        <w:tc>
          <w:tcPr>
            <w:tcW w:type="dxa" w:w="2400"/>
            <w:vAlign w:val="top"/>
          </w:tcPr>
          <w:p>
            <w:pPr>
              <w:spacing w:after="0"/>
              <w:jc w:val="left"/>
            </w:pPr>
            <w:r>
              <w:rPr>
                <w:rFonts w:ascii="Arial" w:hAnsi="Arial"/>
                <w:b w:val="0"/>
                <w:sz w:val="11"/>
              </w:rPr>
              <w:t>R-K-12</w:t>
            </w:r>
          </w:p>
        </w:tc>
        <w:tc>
          <w:tcPr>
            <w:tcW w:type="dxa" w:w="2400"/>
            <w:vAlign w:val="top"/>
          </w:tcPr>
          <w:p>
            <w:pPr>
              <w:spacing w:after="0"/>
              <w:jc w:val="left"/>
            </w:pPr>
            <w:r>
              <w:rPr>
                <w:rFonts w:ascii="Arial" w:hAnsi="Arial"/>
                <w:b w:val="0"/>
                <w:sz w:val="11"/>
              </w:rPr>
              <w:t>Phase 1B-10</w:t>
            </w:r>
          </w:p>
        </w:tc>
        <w:tc>
          <w:tcPr>
            <w:tcW w:type="dxa" w:w="2400"/>
            <w:vAlign w:val="top"/>
          </w:tcPr>
          <w:p>
            <w:pPr>
              <w:spacing w:after="0"/>
              <w:jc w:val="left"/>
            </w:pPr>
            <w:r>
              <w:rPr>
                <w:rFonts w:ascii="Arial" w:hAnsi="Arial"/>
                <w:b w:val="0"/>
                <w:sz w:val="11"/>
              </w:rPr>
              <w:t>Phase 1C / 1D obligations needed final pre-cleanup ledger</w:t>
            </w:r>
          </w:p>
        </w:tc>
        <w:tc>
          <w:tcPr>
            <w:tcW w:type="dxa" w:w="2400"/>
            <w:vAlign w:val="top"/>
          </w:tcPr>
          <w:p>
            <w:pPr>
              <w:spacing w:after="0"/>
              <w:jc w:val="left"/>
            </w:pPr>
            <w:r>
              <w:rPr>
                <w:rFonts w:ascii="Arial" w:hAnsi="Arial"/>
                <w:b w:val="0"/>
                <w:sz w:val="11"/>
              </w:rPr>
              <w:t>Preserved canonical carryover and publication deferrals</w:t>
            </w:r>
          </w:p>
        </w:tc>
        <w:tc>
          <w:tcPr>
            <w:tcW w:type="dxa" w:w="2400"/>
            <w:vAlign w:val="top"/>
          </w:tcPr>
          <w:p>
            <w:pPr>
              <w:spacing w:after="0"/>
              <w:jc w:val="left"/>
            </w:pPr>
            <w:r>
              <w:rPr>
                <w:rFonts w:ascii="Arial" w:hAnsi="Arial"/>
                <w:b w:val="0"/>
                <w:sz w:val="11"/>
              </w:rPr>
              <w:t>Appendices I/J/K; completion report</w:t>
            </w:r>
          </w:p>
        </w:tc>
        <w:tc>
          <w:tcPr>
            <w:tcW w:type="dxa" w:w="2400"/>
            <w:vAlign w:val="top"/>
          </w:tcPr>
          <w:p>
            <w:pPr>
              <w:spacing w:after="0"/>
              <w:jc w:val="left"/>
            </w:pPr>
            <w:r>
              <w:rPr>
                <w:rFonts w:ascii="Arial" w:hAnsi="Arial"/>
                <w:b w:val="0"/>
                <w:sz w:val="11"/>
              </w:rPr>
              <w:t>Closed</w:t>
            </w:r>
          </w:p>
        </w:tc>
      </w:tr>
      <w:tr>
        <w:trPr>
          <w:cantSplit/>
        </w:trPr>
        <w:tc>
          <w:tcPr>
            <w:tcW w:type="dxa" w:w="2400"/>
            <w:vAlign w:val="top"/>
          </w:tcPr>
          <w:p>
            <w:pPr>
              <w:spacing w:after="0"/>
              <w:jc w:val="left"/>
            </w:pPr>
            <w:r>
              <w:rPr>
                <w:rFonts w:ascii="Arial" w:hAnsi="Arial"/>
                <w:b w:val="0"/>
                <w:sz w:val="11"/>
              </w:rPr>
              <w:t>R-K-13</w:t>
            </w:r>
          </w:p>
        </w:tc>
        <w:tc>
          <w:tcPr>
            <w:tcW w:type="dxa" w:w="2400"/>
            <w:vAlign w:val="top"/>
          </w:tcPr>
          <w:p>
            <w:pPr>
              <w:spacing w:after="0"/>
              <w:jc w:val="left"/>
            </w:pPr>
            <w:r>
              <w:rPr>
                <w:rFonts w:ascii="Arial" w:hAnsi="Arial"/>
                <w:b w:val="0"/>
                <w:sz w:val="11"/>
              </w:rPr>
              <w:t>Phase 1C</w:t>
            </w:r>
          </w:p>
        </w:tc>
        <w:tc>
          <w:tcPr>
            <w:tcW w:type="dxa" w:w="2400"/>
            <w:vAlign w:val="top"/>
          </w:tcPr>
          <w:p>
            <w:pPr>
              <w:spacing w:after="0"/>
              <w:jc w:val="left"/>
            </w:pPr>
            <w:r>
              <w:rPr>
                <w:rFonts w:ascii="Arial" w:hAnsi="Arial"/>
                <w:b w:val="0"/>
                <w:sz w:val="11"/>
              </w:rPr>
              <w:t>Taxonomy and editorial drift remained after Phase 1B</w:t>
            </w:r>
          </w:p>
        </w:tc>
        <w:tc>
          <w:tcPr>
            <w:tcW w:type="dxa" w:w="2400"/>
            <w:vAlign w:val="top"/>
          </w:tcPr>
          <w:p>
            <w:pPr>
              <w:spacing w:after="0"/>
              <w:jc w:val="left"/>
            </w:pPr>
            <w:r>
              <w:rPr>
                <w:rFonts w:ascii="Arial" w:hAnsi="Arial"/>
                <w:b w:val="0"/>
                <w:sz w:val="11"/>
              </w:rPr>
              <w:t>Corrected ALCS/MRO names, Stage 0-to-7 wording, eight-contribution wording, and F-09 reservation</w:t>
            </w:r>
          </w:p>
        </w:tc>
        <w:tc>
          <w:tcPr>
            <w:tcW w:type="dxa" w:w="2400"/>
            <w:vAlign w:val="top"/>
          </w:tcPr>
          <w:p>
            <w:pPr>
              <w:spacing w:after="0"/>
              <w:jc w:val="left"/>
            </w:pPr>
            <w:r>
              <w:rPr>
                <w:rFonts w:ascii="Arial" w:hAnsi="Arial"/>
                <w:b w:val="0"/>
                <w:sz w:val="11"/>
              </w:rPr>
              <w:t>Chapters 14/15/17/18; figure inventory</w:t>
            </w:r>
          </w:p>
        </w:tc>
        <w:tc>
          <w:tcPr>
            <w:tcW w:type="dxa" w:w="2400"/>
            <w:vAlign w:val="top"/>
          </w:tcPr>
          <w:p>
            <w:pPr>
              <w:spacing w:after="0"/>
              <w:jc w:val="left"/>
            </w:pPr>
            <w:r>
              <w:rPr>
                <w:rFonts w:ascii="Arial" w:hAnsi="Arial"/>
                <w:b w:val="0"/>
                <w:sz w:val="11"/>
              </w:rPr>
              <w:t>Closed for editorial cleanup</w:t>
            </w:r>
          </w:p>
        </w:tc>
      </w:tr>
      <w:tr>
        <w:trPr>
          <w:cantSplit/>
        </w:trPr>
        <w:tc>
          <w:tcPr>
            <w:tcW w:type="dxa" w:w="2400"/>
            <w:vAlign w:val="top"/>
          </w:tcPr>
          <w:p>
            <w:pPr>
              <w:spacing w:after="0"/>
              <w:jc w:val="left"/>
            </w:pPr>
            <w:r>
              <w:rPr>
                <w:rFonts w:ascii="Arial" w:hAnsi="Arial"/>
                <w:b w:val="0"/>
                <w:sz w:val="11"/>
              </w:rPr>
              <w:t>R-K-14</w:t>
            </w:r>
          </w:p>
        </w:tc>
        <w:tc>
          <w:tcPr>
            <w:tcW w:type="dxa" w:w="2400"/>
            <w:vAlign w:val="top"/>
          </w:tcPr>
          <w:p>
            <w:pPr>
              <w:spacing w:after="0"/>
              <w:jc w:val="left"/>
            </w:pPr>
            <w:r>
              <w:rPr>
                <w:rFonts w:ascii="Arial" w:hAnsi="Arial"/>
                <w:b w:val="0"/>
                <w:sz w:val="11"/>
              </w:rPr>
              <w:t>Phase 1C</w:t>
            </w:r>
          </w:p>
        </w:tc>
        <w:tc>
          <w:tcPr>
            <w:tcW w:type="dxa" w:w="2400"/>
            <w:vAlign w:val="top"/>
          </w:tcPr>
          <w:p>
            <w:pPr>
              <w:spacing w:after="0"/>
              <w:jc w:val="left"/>
            </w:pPr>
            <w:r>
              <w:rPr>
                <w:rFonts w:ascii="Arial" w:hAnsi="Arial"/>
                <w:b w:val="0"/>
                <w:sz w:val="11"/>
              </w:rPr>
              <w:t>Citation and coverage ledgers remained pre-cleanup</w:t>
            </w:r>
          </w:p>
        </w:tc>
        <w:tc>
          <w:tcPr>
            <w:tcW w:type="dxa" w:w="2400"/>
            <w:vAlign w:val="top"/>
          </w:tcPr>
          <w:p>
            <w:pPr>
              <w:spacing w:after="0"/>
              <w:jc w:val="left"/>
            </w:pPr>
            <w:r>
              <w:rPr>
                <w:rFonts w:ascii="Arial" w:hAnsi="Arial"/>
                <w:b w:val="0"/>
                <w:sz w:val="11"/>
              </w:rPr>
              <w:t>Updated citation inventory and source coverage matrix with URL/entry-point review and unresolved claim-level validation queue</w:t>
            </w:r>
          </w:p>
        </w:tc>
        <w:tc>
          <w:tcPr>
            <w:tcW w:type="dxa" w:w="2400"/>
            <w:vAlign w:val="top"/>
          </w:tcPr>
          <w:p>
            <w:pPr>
              <w:spacing w:after="0"/>
              <w:jc w:val="left"/>
            </w:pPr>
            <w:r>
              <w:rPr>
                <w:rFonts w:ascii="Arial" w:hAnsi="Arial"/>
                <w:b w:val="0"/>
                <w:sz w:val="11"/>
              </w:rPr>
              <w:t>Citation inventory; source coverage matrix</w:t>
            </w:r>
          </w:p>
        </w:tc>
        <w:tc>
          <w:tcPr>
            <w:tcW w:type="dxa" w:w="2400"/>
            <w:vAlign w:val="top"/>
          </w:tcPr>
          <w:p>
            <w:pPr>
              <w:spacing w:after="0"/>
              <w:jc w:val="left"/>
            </w:pPr>
            <w:r>
              <w:rPr>
                <w:rFonts w:ascii="Arial" w:hAnsi="Arial"/>
                <w:b w:val="0"/>
                <w:sz w:val="11"/>
              </w:rPr>
              <w:t>Corrected by Phase 1C follow-up</w:t>
            </w:r>
          </w:p>
        </w:tc>
      </w:tr>
      <w:tr>
        <w:trPr>
          <w:cantSplit/>
        </w:trPr>
        <w:tc>
          <w:tcPr>
            <w:tcW w:type="dxa" w:w="2400"/>
            <w:vAlign w:val="top"/>
          </w:tcPr>
          <w:p>
            <w:pPr>
              <w:spacing w:after="0"/>
              <w:jc w:val="left"/>
            </w:pPr>
            <w:r>
              <w:rPr>
                <w:rFonts w:ascii="Arial" w:hAnsi="Arial"/>
                <w:b w:val="0"/>
                <w:sz w:val="11"/>
              </w:rPr>
              <w:t>R-K-15</w:t>
            </w:r>
          </w:p>
        </w:tc>
        <w:tc>
          <w:tcPr>
            <w:tcW w:type="dxa" w:w="2400"/>
            <w:vAlign w:val="top"/>
          </w:tcPr>
          <w:p>
            <w:pPr>
              <w:spacing w:after="0"/>
              <w:jc w:val="left"/>
            </w:pPr>
            <w:r>
              <w:rPr>
                <w:rFonts w:ascii="Arial" w:hAnsi="Arial"/>
                <w:b w:val="0"/>
                <w:sz w:val="11"/>
              </w:rPr>
              <w:t>Phase 1C</w:t>
            </w:r>
          </w:p>
        </w:tc>
        <w:tc>
          <w:tcPr>
            <w:tcW w:type="dxa" w:w="2400"/>
            <w:vAlign w:val="top"/>
          </w:tcPr>
          <w:p>
            <w:pPr>
              <w:spacing w:after="0"/>
              <w:jc w:val="left"/>
            </w:pPr>
            <w:r>
              <w:rPr>
                <w:rFonts w:ascii="Arial" w:hAnsi="Arial"/>
                <w:b w:val="0"/>
                <w:sz w:val="11"/>
              </w:rPr>
              <w:t>Wide-table risks were not fully documented for Phase 1D</w:t>
            </w:r>
          </w:p>
        </w:tc>
        <w:tc>
          <w:tcPr>
            <w:tcW w:type="dxa" w:w="2400"/>
            <w:vAlign w:val="top"/>
          </w:tcPr>
          <w:p>
            <w:pPr>
              <w:spacing w:after="0"/>
              <w:jc w:val="left"/>
            </w:pPr>
            <w:r>
              <w:rPr>
                <w:rFonts w:ascii="Arial" w:hAnsi="Arial"/>
                <w:b w:val="0"/>
                <w:sz w:val="11"/>
              </w:rPr>
              <w:t>Added layout risk notes for requested wide-table set and H-K tables</w:t>
            </w:r>
          </w:p>
        </w:tc>
        <w:tc>
          <w:tcPr>
            <w:tcW w:type="dxa" w:w="2400"/>
            <w:vAlign w:val="top"/>
          </w:tcPr>
          <w:p>
            <w:pPr>
              <w:spacing w:after="0"/>
              <w:jc w:val="left"/>
            </w:pPr>
            <w:r>
              <w:rPr>
                <w:rFonts w:ascii="Arial" w:hAnsi="Arial"/>
                <w:b w:val="0"/>
                <w:sz w:val="11"/>
              </w:rPr>
              <w:t>Table inventory</w:t>
            </w:r>
          </w:p>
        </w:tc>
        <w:tc>
          <w:tcPr>
            <w:tcW w:type="dxa" w:w="2400"/>
            <w:vAlign w:val="top"/>
          </w:tcPr>
          <w:p>
            <w:pPr>
              <w:spacing w:after="0"/>
              <w:jc w:val="left"/>
            </w:pPr>
            <w:r>
              <w:rPr>
                <w:rFonts w:ascii="Arial" w:hAnsi="Arial"/>
                <w:b w:val="0"/>
                <w:sz w:val="11"/>
              </w:rPr>
              <w:t>Closed for layout-readiness audit</w:t>
            </w:r>
          </w:p>
        </w:tc>
      </w:tr>
      <w:tr>
        <w:trPr>
          <w:cantSplit/>
        </w:trPr>
        <w:tc>
          <w:tcPr>
            <w:tcW w:type="dxa" w:w="2400"/>
            <w:vAlign w:val="top"/>
          </w:tcPr>
          <w:p>
            <w:pPr>
              <w:spacing w:after="0"/>
              <w:jc w:val="left"/>
            </w:pPr>
            <w:r>
              <w:rPr>
                <w:rFonts w:ascii="Arial" w:hAnsi="Arial"/>
                <w:b w:val="0"/>
                <w:sz w:val="11"/>
              </w:rPr>
              <w:t>R-K-16</w:t>
            </w:r>
          </w:p>
        </w:tc>
        <w:tc>
          <w:tcPr>
            <w:tcW w:type="dxa" w:w="2400"/>
            <w:vAlign w:val="top"/>
          </w:tcPr>
          <w:p>
            <w:pPr>
              <w:spacing w:after="0"/>
              <w:jc w:val="left"/>
            </w:pPr>
            <w:r>
              <w:rPr>
                <w:rFonts w:ascii="Arial" w:hAnsi="Arial"/>
                <w:b w:val="0"/>
                <w:sz w:val="11"/>
              </w:rPr>
              <w:t>Phase 1C follow-up</w:t>
            </w:r>
          </w:p>
        </w:tc>
        <w:tc>
          <w:tcPr>
            <w:tcW w:type="dxa" w:w="2400"/>
            <w:vAlign w:val="top"/>
          </w:tcPr>
          <w:p>
            <w:pPr>
              <w:spacing w:after="0"/>
              <w:jc w:val="left"/>
            </w:pPr>
            <w:r>
              <w:rPr>
                <w:rFonts w:ascii="Arial" w:hAnsi="Arial"/>
                <w:b w:val="0"/>
                <w:sz w:val="11"/>
              </w:rPr>
              <w:t>Claim-level L2 product/protocol source binding remained pending</w:t>
            </w:r>
          </w:p>
        </w:tc>
        <w:tc>
          <w:tcPr>
            <w:tcW w:type="dxa" w:w="2400"/>
            <w:vAlign w:val="top"/>
          </w:tcPr>
          <w:p>
            <w:pPr>
              <w:spacing w:after="0"/>
              <w:jc w:val="left"/>
            </w:pPr>
            <w:r>
              <w:rPr>
                <w:rFonts w:ascii="Arial" w:hAnsi="Arial"/>
                <w:b w:val="0"/>
                <w:sz w:val="11"/>
              </w:rPr>
              <w:t>Created claim evidence register; located official source entry points; narrowed or downgraded material product/protocol claims; marked Appendix G revalidated provisional</w:t>
            </w:r>
          </w:p>
        </w:tc>
        <w:tc>
          <w:tcPr>
            <w:tcW w:type="dxa" w:w="2400"/>
            <w:vAlign w:val="top"/>
          </w:tcPr>
          <w:p>
            <w:pPr>
              <w:spacing w:after="0"/>
              <w:jc w:val="left"/>
            </w:pPr>
            <w:r>
              <w:rPr>
                <w:rFonts w:ascii="Arial" w:hAnsi="Arial"/>
                <w:b w:val="0"/>
                <w:sz w:val="11"/>
              </w:rPr>
              <w:t>Claim evidence register; citation inventory; source coverage matrix; Appendix G</w:t>
            </w:r>
          </w:p>
        </w:tc>
        <w:tc>
          <w:tcPr>
            <w:tcW w:type="dxa" w:w="2400"/>
            <w:vAlign w:val="top"/>
          </w:tcPr>
          <w:p>
            <w:pPr>
              <w:spacing w:after="0"/>
              <w:jc w:val="left"/>
            </w:pPr>
            <w:r>
              <w:rPr>
                <w:rFonts w:ascii="Arial" w:hAnsi="Arial"/>
                <w:b w:val="0"/>
                <w:sz w:val="11"/>
              </w:rPr>
              <w:t>Closed for claim-level source binding; page-level citation pinning remains</w:t>
            </w:r>
          </w:p>
        </w:tc>
      </w:tr>
    </w:tbl>
    <w:p>
      <w:pPr>
        <w:sectPr>
          <w:pgSz w:w="15840" w:h="12240" w:orient="landscape"/>
          <w:pgMar w:top="792" w:right="648" w:bottom="792" w:left="648" w:header="720" w:footer="720" w:gutter="0"/>
          <w:cols w:space="720"/>
          <w:docGrid w:linePitch="360"/>
        </w:sectPr>
      </w:pPr>
    </w:p>
    <w:p/>
    <w:p/>
    <w:p>
      <w:pPr>
        <w:pStyle w:val="Heading2"/>
      </w:pPr>
      <w:r>
        <w:t>K.4 Boundary and Non-Claim Remediation Record</w:t>
      </w:r>
    </w:p>
    <w:p/>
    <w:p>
      <w:pPr>
        <w:keepNext/>
      </w:pPr>
      <w:r>
        <w:rPr>
          <w:b/>
          <w:sz w:val="17"/>
        </w:rPr>
        <w:t>Table T-K-02: Boundary Hardening Record</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shd w:fill="D9EAF7"/>
          </w:tcPr>
          <w:p>
            <w:pPr>
              <w:spacing w:after="0"/>
              <w:jc w:val="left"/>
            </w:pPr>
            <w:r>
              <w:rPr>
                <w:rFonts w:ascii="Arial" w:hAnsi="Arial"/>
                <w:b/>
                <w:sz w:val="11"/>
              </w:rPr>
              <w:t>Boundary Area</w:t>
            </w:r>
          </w:p>
        </w:tc>
        <w:tc>
          <w:tcPr>
            <w:tcW w:type="dxa" w:w="2880"/>
            <w:vAlign w:val="top"/>
            <w:shd w:fill="D9EAF7"/>
          </w:tcPr>
          <w:p>
            <w:pPr>
              <w:spacing w:after="0"/>
              <w:jc w:val="left"/>
            </w:pPr>
            <w:r>
              <w:rPr>
                <w:rFonts w:ascii="Arial" w:hAnsi="Arial"/>
                <w:b/>
                <w:sz w:val="11"/>
              </w:rPr>
              <w:t>Risk</w:t>
            </w:r>
          </w:p>
        </w:tc>
        <w:tc>
          <w:tcPr>
            <w:tcW w:type="dxa" w:w="2880"/>
            <w:vAlign w:val="top"/>
            <w:shd w:fill="D9EAF7"/>
          </w:tcPr>
          <w:p>
            <w:pPr>
              <w:spacing w:after="0"/>
              <w:jc w:val="left"/>
            </w:pPr>
            <w:r>
              <w:rPr>
                <w:rFonts w:ascii="Arial" w:hAnsi="Arial"/>
                <w:b/>
                <w:sz w:val="11"/>
              </w:rPr>
              <w:t>Remediation Applied</w:t>
            </w:r>
          </w:p>
        </w:tc>
        <w:tc>
          <w:tcPr>
            <w:tcW w:type="dxa" w:w="2880"/>
            <w:vAlign w:val="top"/>
            <w:shd w:fill="D9EAF7"/>
          </w:tcPr>
          <w:p>
            <w:pPr>
              <w:spacing w:after="0"/>
              <w:jc w:val="left"/>
            </w:pPr>
            <w:r>
              <w:rPr>
                <w:rFonts w:ascii="Arial" w:hAnsi="Arial"/>
                <w:b/>
                <w:sz w:val="11"/>
              </w:rPr>
              <w:t>Remaining Check</w:t>
            </w:r>
          </w:p>
        </w:tc>
        <w:tc>
          <w:tcPr>
            <w:tcW w:type="dxa" w:w="2880"/>
            <w:vAlign w:val="top"/>
            <w:shd w:fill="D9EAF7"/>
          </w:tcPr>
          <w:p>
            <w:pPr>
              <w:spacing w:after="0"/>
              <w:jc w:val="left"/>
            </w:pPr>
            <w:r>
              <w:rPr>
                <w:rFonts w:ascii="Arial" w:hAnsi="Arial"/>
                <w:b/>
                <w:sz w:val="11"/>
              </w:rPr>
              <w:t>Phase</w:t>
            </w:r>
          </w:p>
        </w:tc>
      </w:tr>
      <w:tr>
        <w:trPr>
          <w:cantSplit/>
        </w:trPr>
        <w:tc>
          <w:tcPr>
            <w:tcW w:type="dxa" w:w="2880"/>
            <w:vAlign w:val="top"/>
          </w:tcPr>
          <w:p>
            <w:pPr>
              <w:spacing w:after="0"/>
              <w:jc w:val="left"/>
            </w:pPr>
            <w:r>
              <w:rPr>
                <w:rFonts w:ascii="Arial" w:hAnsi="Arial"/>
                <w:b w:val="0"/>
                <w:sz w:val="11"/>
              </w:rPr>
              <w:t>RCCS/ALCS non-legal-score boundary</w:t>
            </w:r>
          </w:p>
        </w:tc>
        <w:tc>
          <w:tcPr>
            <w:tcW w:type="dxa" w:w="2880"/>
            <w:vAlign w:val="top"/>
          </w:tcPr>
          <w:p>
            <w:pPr>
              <w:spacing w:after="0"/>
              <w:jc w:val="left"/>
            </w:pPr>
            <w:r>
              <w:rPr>
                <w:rFonts w:ascii="Arial" w:hAnsi="Arial"/>
                <w:b w:val="0"/>
                <w:sz w:val="11"/>
              </w:rPr>
              <w:t>Readers may treat analytical scores as legal determinations</w:t>
            </w:r>
          </w:p>
        </w:tc>
        <w:tc>
          <w:tcPr>
            <w:tcW w:type="dxa" w:w="2880"/>
            <w:vAlign w:val="top"/>
          </w:tcPr>
          <w:p>
            <w:pPr>
              <w:spacing w:after="0"/>
              <w:jc w:val="left"/>
            </w:pPr>
            <w:r>
              <w:rPr>
                <w:rFonts w:ascii="Arial" w:hAnsi="Arial"/>
                <w:b w:val="0"/>
                <w:sz w:val="11"/>
              </w:rPr>
              <w:t>Repeated boundary language across chapters and appendices</w:t>
            </w:r>
          </w:p>
        </w:tc>
        <w:tc>
          <w:tcPr>
            <w:tcW w:type="dxa" w:w="2880"/>
            <w:vAlign w:val="top"/>
          </w:tcPr>
          <w:p>
            <w:pPr>
              <w:spacing w:after="0"/>
              <w:jc w:val="left"/>
            </w:pPr>
            <w:r>
              <w:rPr>
                <w:rFonts w:ascii="Arial" w:hAnsi="Arial"/>
                <w:b w:val="0"/>
                <w:sz w:val="11"/>
              </w:rPr>
              <w:t>Verify consistency in Phase 1C</w:t>
            </w:r>
          </w:p>
        </w:tc>
        <w:tc>
          <w:tcPr>
            <w:tcW w:type="dxa" w:w="2880"/>
            <w:vAlign w:val="top"/>
          </w:tcPr>
          <w:p>
            <w:pPr>
              <w:spacing w:after="0"/>
              <w:jc w:val="left"/>
            </w:pPr>
            <w:r>
              <w:rPr>
                <w:rFonts w:ascii="Arial" w:hAnsi="Arial"/>
                <w:b w:val="0"/>
                <w:sz w:val="11"/>
              </w:rPr>
              <w:t>Phase 1A / 1B</w:t>
            </w:r>
          </w:p>
        </w:tc>
      </w:tr>
      <w:tr>
        <w:trPr>
          <w:cantSplit/>
        </w:trPr>
        <w:tc>
          <w:tcPr>
            <w:tcW w:type="dxa" w:w="2880"/>
            <w:vAlign w:val="top"/>
          </w:tcPr>
          <w:p>
            <w:pPr>
              <w:spacing w:after="0"/>
              <w:jc w:val="left"/>
            </w:pPr>
            <w:r>
              <w:rPr>
                <w:rFonts w:ascii="Arial" w:hAnsi="Arial"/>
                <w:b w:val="0"/>
                <w:sz w:val="11"/>
              </w:rPr>
              <w:t>MPLP non-required / non-exclusive boundary</w:t>
            </w:r>
          </w:p>
        </w:tc>
        <w:tc>
          <w:tcPr>
            <w:tcW w:type="dxa" w:w="2880"/>
            <w:vAlign w:val="top"/>
          </w:tcPr>
          <w:p>
            <w:pPr>
              <w:spacing w:after="0"/>
              <w:jc w:val="left"/>
            </w:pPr>
            <w:r>
              <w:rPr>
                <w:rFonts w:ascii="Arial" w:hAnsi="Arial"/>
                <w:b w:val="0"/>
                <w:sz w:val="11"/>
              </w:rPr>
              <w:t>MPLP could be misread as required or sufficient by itself</w:t>
            </w:r>
          </w:p>
        </w:tc>
        <w:tc>
          <w:tcPr>
            <w:tcW w:type="dxa" w:w="2880"/>
            <w:vAlign w:val="top"/>
          </w:tcPr>
          <w:p>
            <w:pPr>
              <w:spacing w:after="0"/>
              <w:jc w:val="left"/>
            </w:pPr>
            <w:r>
              <w:rPr>
                <w:rFonts w:ascii="Arial" w:hAnsi="Arial"/>
                <w:b w:val="0"/>
                <w:sz w:val="11"/>
              </w:rPr>
              <w:t>Disclosed author relationship and framed MPLP as one protocol path</w:t>
            </w:r>
          </w:p>
        </w:tc>
        <w:tc>
          <w:tcPr>
            <w:tcW w:type="dxa" w:w="2880"/>
            <w:vAlign w:val="top"/>
          </w:tcPr>
          <w:p>
            <w:pPr>
              <w:spacing w:after="0"/>
              <w:jc w:val="left"/>
            </w:pPr>
            <w:r>
              <w:rPr>
                <w:rFonts w:ascii="Arial" w:hAnsi="Arial"/>
                <w:b w:val="0"/>
                <w:sz w:val="11"/>
              </w:rPr>
              <w:t>Verify wording in Phase 1C</w:t>
            </w:r>
          </w:p>
        </w:tc>
        <w:tc>
          <w:tcPr>
            <w:tcW w:type="dxa" w:w="2880"/>
            <w:vAlign w:val="top"/>
          </w:tcPr>
          <w:p>
            <w:pPr>
              <w:spacing w:after="0"/>
              <w:jc w:val="left"/>
            </w:pPr>
            <w:r>
              <w:rPr>
                <w:rFonts w:ascii="Arial" w:hAnsi="Arial"/>
                <w:b w:val="0"/>
                <w:sz w:val="11"/>
              </w:rPr>
              <w:t>Phase 1B-4</w:t>
            </w:r>
          </w:p>
        </w:tc>
      </w:tr>
      <w:tr>
        <w:trPr>
          <w:cantSplit/>
        </w:trPr>
        <w:tc>
          <w:tcPr>
            <w:tcW w:type="dxa" w:w="2880"/>
            <w:vAlign w:val="top"/>
          </w:tcPr>
          <w:p>
            <w:pPr>
              <w:spacing w:after="0"/>
              <w:jc w:val="left"/>
            </w:pPr>
            <w:r>
              <w:rPr>
                <w:rFonts w:ascii="Arial" w:hAnsi="Arial"/>
                <w:b w:val="0"/>
                <w:sz w:val="11"/>
              </w:rPr>
              <w:t>Validation Lab non-certifying boundary</w:t>
            </w:r>
          </w:p>
        </w:tc>
        <w:tc>
          <w:tcPr>
            <w:tcW w:type="dxa" w:w="2880"/>
            <w:vAlign w:val="top"/>
          </w:tcPr>
          <w:p>
            <w:pPr>
              <w:spacing w:after="0"/>
              <w:jc w:val="left"/>
            </w:pPr>
            <w:r>
              <w:rPr>
                <w:rFonts w:ascii="Arial" w:hAnsi="Arial"/>
                <w:b w:val="0"/>
                <w:sz w:val="11"/>
              </w:rPr>
              <w:t>Validation Lab could be misread as an approval body</w:t>
            </w:r>
          </w:p>
        </w:tc>
        <w:tc>
          <w:tcPr>
            <w:tcW w:type="dxa" w:w="2880"/>
            <w:vAlign w:val="top"/>
          </w:tcPr>
          <w:p>
            <w:pPr>
              <w:spacing w:after="0"/>
              <w:jc w:val="left"/>
            </w:pPr>
            <w:r>
              <w:rPr>
                <w:rFonts w:ascii="Arial" w:hAnsi="Arial"/>
                <w:b w:val="0"/>
                <w:sz w:val="11"/>
              </w:rPr>
              <w:t>Framed as a non-certifying evidence adjudication example</w:t>
            </w:r>
          </w:p>
        </w:tc>
        <w:tc>
          <w:tcPr>
            <w:tcW w:type="dxa" w:w="2880"/>
            <w:vAlign w:val="top"/>
          </w:tcPr>
          <w:p>
            <w:pPr>
              <w:spacing w:after="0"/>
              <w:jc w:val="left"/>
            </w:pPr>
            <w:r>
              <w:rPr>
                <w:rFonts w:ascii="Arial" w:hAnsi="Arial"/>
                <w:b w:val="0"/>
                <w:sz w:val="11"/>
              </w:rPr>
              <w:t>Validate URL and boundary language in Phase 1C</w:t>
            </w:r>
          </w:p>
        </w:tc>
        <w:tc>
          <w:tcPr>
            <w:tcW w:type="dxa" w:w="2880"/>
            <w:vAlign w:val="top"/>
          </w:tcPr>
          <w:p>
            <w:pPr>
              <w:spacing w:after="0"/>
              <w:jc w:val="left"/>
            </w:pPr>
            <w:r>
              <w:rPr>
                <w:rFonts w:ascii="Arial" w:hAnsi="Arial"/>
                <w:b w:val="0"/>
                <w:sz w:val="11"/>
              </w:rPr>
              <w:t>Phase 1B-5</w:t>
            </w:r>
          </w:p>
        </w:tc>
      </w:tr>
      <w:tr>
        <w:trPr>
          <w:cantSplit/>
        </w:trPr>
        <w:tc>
          <w:tcPr>
            <w:tcW w:type="dxa" w:w="2880"/>
            <w:vAlign w:val="top"/>
          </w:tcPr>
          <w:p>
            <w:pPr>
              <w:spacing w:after="0"/>
              <w:jc w:val="left"/>
            </w:pPr>
            <w:r>
              <w:rPr>
                <w:rFonts w:ascii="Arial" w:hAnsi="Arial"/>
                <w:b w:val="0"/>
                <w:sz w:val="11"/>
              </w:rPr>
              <w:t>Appendix G no-score/no-ranking boundary</w:t>
            </w:r>
          </w:p>
        </w:tc>
        <w:tc>
          <w:tcPr>
            <w:tcW w:type="dxa" w:w="2880"/>
            <w:vAlign w:val="top"/>
          </w:tcPr>
          <w:p>
            <w:pPr>
              <w:spacing w:after="0"/>
              <w:jc w:val="left"/>
            </w:pPr>
            <w:r>
              <w:rPr>
                <w:rFonts w:ascii="Arial" w:hAnsi="Arial"/>
                <w:b w:val="0"/>
                <w:sz w:val="11"/>
              </w:rPr>
              <w:t>Provisional assessment could be misused as vendor ordering</w:t>
            </w:r>
          </w:p>
        </w:tc>
        <w:tc>
          <w:tcPr>
            <w:tcW w:type="dxa" w:w="2880"/>
            <w:vAlign w:val="top"/>
          </w:tcPr>
          <w:p>
            <w:pPr>
              <w:spacing w:after="0"/>
              <w:jc w:val="left"/>
            </w:pPr>
            <w:r>
              <w:rPr>
                <w:rFonts w:ascii="Arial" w:hAnsi="Arial"/>
                <w:b w:val="0"/>
                <w:sz w:val="11"/>
              </w:rPr>
              <w:t>Removed scores, ordered comparisons, and selection language; Phase 1C follow-up preserved revalidated provisional status</w:t>
            </w:r>
          </w:p>
        </w:tc>
        <w:tc>
          <w:tcPr>
            <w:tcW w:type="dxa" w:w="2880"/>
            <w:vAlign w:val="top"/>
          </w:tcPr>
          <w:p>
            <w:pPr>
              <w:spacing w:after="0"/>
              <w:jc w:val="left"/>
            </w:pPr>
            <w:r>
              <w:rPr>
                <w:rFonts w:ascii="Arial" w:hAnsi="Arial"/>
                <w:b w:val="0"/>
                <w:sz w:val="11"/>
              </w:rPr>
              <w:t>Verify no score/ranking language in final proof</w:t>
            </w:r>
          </w:p>
        </w:tc>
        <w:tc>
          <w:tcPr>
            <w:tcW w:type="dxa" w:w="2880"/>
            <w:vAlign w:val="top"/>
          </w:tcPr>
          <w:p>
            <w:pPr>
              <w:spacing w:after="0"/>
              <w:jc w:val="left"/>
            </w:pPr>
            <w:r>
              <w:rPr>
                <w:rFonts w:ascii="Arial" w:hAnsi="Arial"/>
                <w:b w:val="0"/>
                <w:sz w:val="11"/>
              </w:rPr>
              <w:t>Phase 1B-9C / 1B-9D / 1C</w:t>
            </w:r>
          </w:p>
        </w:tc>
      </w:tr>
      <w:tr>
        <w:trPr>
          <w:cantSplit/>
        </w:trPr>
        <w:tc>
          <w:tcPr>
            <w:tcW w:type="dxa" w:w="2880"/>
            <w:vAlign w:val="top"/>
          </w:tcPr>
          <w:p>
            <w:pPr>
              <w:spacing w:after="0"/>
              <w:jc w:val="left"/>
            </w:pPr>
            <w:r>
              <w:rPr>
                <w:rFonts w:ascii="Arial" w:hAnsi="Arial"/>
                <w:b w:val="0"/>
                <w:sz w:val="11"/>
              </w:rPr>
              <w:t>Appendix E/F legal-text boundary</w:t>
            </w:r>
          </w:p>
        </w:tc>
        <w:tc>
          <w:tcPr>
            <w:tcW w:type="dxa" w:w="2880"/>
            <w:vAlign w:val="top"/>
          </w:tcPr>
          <w:p>
            <w:pPr>
              <w:spacing w:after="0"/>
              <w:jc w:val="left"/>
            </w:pPr>
            <w:r>
              <w:rPr>
                <w:rFonts w:ascii="Arial" w:hAnsi="Arial"/>
                <w:b w:val="0"/>
                <w:sz w:val="11"/>
              </w:rPr>
              <w:t>Legal text could be misread as implementation evidence</w:t>
            </w:r>
          </w:p>
        </w:tc>
        <w:tc>
          <w:tcPr>
            <w:tcW w:type="dxa" w:w="2880"/>
            <w:vAlign w:val="top"/>
          </w:tcPr>
          <w:p>
            <w:pPr>
              <w:spacing w:after="0"/>
              <w:jc w:val="left"/>
            </w:pPr>
            <w:r>
              <w:rPr>
                <w:rFonts w:ascii="Arial" w:hAnsi="Arial"/>
                <w:b w:val="0"/>
                <w:sz w:val="11"/>
              </w:rPr>
              <w:t>Hardened score-5 rows and top-level scale language</w:t>
            </w:r>
          </w:p>
        </w:tc>
        <w:tc>
          <w:tcPr>
            <w:tcW w:type="dxa" w:w="2880"/>
            <w:vAlign w:val="top"/>
          </w:tcPr>
          <w:p>
            <w:pPr>
              <w:spacing w:after="0"/>
              <w:jc w:val="left"/>
            </w:pPr>
            <w:r>
              <w:rPr>
                <w:rFonts w:ascii="Arial" w:hAnsi="Arial"/>
                <w:b w:val="0"/>
                <w:sz w:val="11"/>
              </w:rPr>
              <w:t>Verify formula and rubric consistency in Phase 1C</w:t>
            </w:r>
          </w:p>
        </w:tc>
        <w:tc>
          <w:tcPr>
            <w:tcW w:type="dxa" w:w="2880"/>
            <w:vAlign w:val="top"/>
          </w:tcPr>
          <w:p>
            <w:pPr>
              <w:spacing w:after="0"/>
              <w:jc w:val="left"/>
            </w:pPr>
            <w:r>
              <w:rPr>
                <w:rFonts w:ascii="Arial" w:hAnsi="Arial"/>
                <w:b w:val="0"/>
                <w:sz w:val="11"/>
              </w:rPr>
              <w:t>Phase 1B-9C / 1B-9D</w:t>
            </w:r>
          </w:p>
        </w:tc>
      </w:tr>
      <w:tr>
        <w:trPr>
          <w:cantSplit/>
        </w:trPr>
        <w:tc>
          <w:tcPr>
            <w:tcW w:type="dxa" w:w="2880"/>
            <w:vAlign w:val="top"/>
          </w:tcPr>
          <w:p>
            <w:pPr>
              <w:spacing w:after="0"/>
              <w:jc w:val="left"/>
            </w:pPr>
            <w:r>
              <w:rPr>
                <w:rFonts w:ascii="Arial" w:hAnsi="Arial"/>
                <w:b w:val="0"/>
                <w:sz w:val="11"/>
              </w:rPr>
              <w:t>Appendix H procurement boundary</w:t>
            </w:r>
          </w:p>
        </w:tc>
        <w:tc>
          <w:tcPr>
            <w:tcW w:type="dxa" w:w="2880"/>
            <w:vAlign w:val="top"/>
          </w:tcPr>
          <w:p>
            <w:pPr>
              <w:spacing w:after="0"/>
              <w:jc w:val="left"/>
            </w:pPr>
            <w:r>
              <w:rPr>
                <w:rFonts w:ascii="Arial" w:hAnsi="Arial"/>
                <w:b w:val="0"/>
                <w:sz w:val="11"/>
              </w:rPr>
              <w:t>Buyer checklist could be misused as vendor selection advice</w:t>
            </w:r>
          </w:p>
        </w:tc>
        <w:tc>
          <w:tcPr>
            <w:tcW w:type="dxa" w:w="2880"/>
            <w:vAlign w:val="top"/>
          </w:tcPr>
          <w:p>
            <w:pPr>
              <w:spacing w:after="0"/>
              <w:jc w:val="left"/>
            </w:pPr>
            <w:r>
              <w:rPr>
                <w:rFonts w:ascii="Arial" w:hAnsi="Arial"/>
                <w:b w:val="0"/>
                <w:sz w:val="11"/>
              </w:rPr>
              <w:t>Added procurement-use boundary and required human review</w:t>
            </w:r>
          </w:p>
        </w:tc>
        <w:tc>
          <w:tcPr>
            <w:tcW w:type="dxa" w:w="2880"/>
            <w:vAlign w:val="top"/>
          </w:tcPr>
          <w:p>
            <w:pPr>
              <w:spacing w:after="0"/>
              <w:jc w:val="left"/>
            </w:pPr>
            <w:r>
              <w:rPr>
                <w:rFonts w:ascii="Arial" w:hAnsi="Arial"/>
                <w:b w:val="0"/>
                <w:sz w:val="11"/>
              </w:rPr>
              <w:t>Verify no vendor ordering language in Phase 1C</w:t>
            </w:r>
          </w:p>
        </w:tc>
        <w:tc>
          <w:tcPr>
            <w:tcW w:type="dxa" w:w="2880"/>
            <w:vAlign w:val="top"/>
          </w:tcPr>
          <w:p>
            <w:pPr>
              <w:spacing w:after="0"/>
              <w:jc w:val="left"/>
            </w:pPr>
            <w:r>
              <w:rPr>
                <w:rFonts w:ascii="Arial" w:hAnsi="Arial"/>
                <w:b w:val="0"/>
                <w:sz w:val="11"/>
              </w:rPr>
              <w:t>Phase 1B-10</w:t>
            </w:r>
          </w:p>
        </w:tc>
      </w:tr>
      <w:tr>
        <w:trPr>
          <w:cantSplit/>
        </w:trPr>
        <w:tc>
          <w:tcPr>
            <w:tcW w:type="dxa" w:w="2880"/>
            <w:vAlign w:val="top"/>
          </w:tcPr>
          <w:p>
            <w:pPr>
              <w:spacing w:after="0"/>
              <w:jc w:val="left"/>
            </w:pPr>
            <w:r>
              <w:rPr>
                <w:rFonts w:ascii="Arial" w:hAnsi="Arial"/>
                <w:b w:val="0"/>
                <w:sz w:val="11"/>
              </w:rPr>
              <w:t>Appendix I source audit boundary</w:t>
            </w:r>
          </w:p>
        </w:tc>
        <w:tc>
          <w:tcPr>
            <w:tcW w:type="dxa" w:w="2880"/>
            <w:vAlign w:val="top"/>
          </w:tcPr>
          <w:p>
            <w:pPr>
              <w:spacing w:after="0"/>
              <w:jc w:val="left"/>
            </w:pPr>
            <w:r>
              <w:rPr>
                <w:rFonts w:ascii="Arial" w:hAnsi="Arial"/>
                <w:b w:val="0"/>
                <w:sz w:val="11"/>
              </w:rPr>
              <w:t>Revalidation register could be misread as completed validation</w:t>
            </w:r>
          </w:p>
        </w:tc>
        <w:tc>
          <w:tcPr>
            <w:tcW w:type="dxa" w:w="2880"/>
            <w:vAlign w:val="top"/>
          </w:tcPr>
          <w:p>
            <w:pPr>
              <w:spacing w:after="0"/>
              <w:jc w:val="left"/>
            </w:pPr>
            <w:r>
              <w:rPr>
                <w:rFonts w:ascii="Arial" w:hAnsi="Arial"/>
                <w:b w:val="0"/>
                <w:sz w:val="11"/>
              </w:rPr>
              <w:t>Stated that Phase 1B-10 was preparatory; Phase 1C follow-up added claim-level source-binding status without claiming final publication readiness</w:t>
            </w:r>
          </w:p>
        </w:tc>
        <w:tc>
          <w:tcPr>
            <w:tcW w:type="dxa" w:w="2880"/>
            <w:vAlign w:val="top"/>
          </w:tcPr>
          <w:p>
            <w:pPr>
              <w:spacing w:after="0"/>
              <w:jc w:val="left"/>
            </w:pPr>
            <w:r>
              <w:rPr>
                <w:rFonts w:ascii="Arial" w:hAnsi="Arial"/>
                <w:b w:val="0"/>
                <w:sz w:val="11"/>
              </w:rPr>
              <w:t>Perform final page-level citation pinning and rendering QA</w:t>
            </w:r>
          </w:p>
        </w:tc>
        <w:tc>
          <w:tcPr>
            <w:tcW w:type="dxa" w:w="2880"/>
            <w:vAlign w:val="top"/>
          </w:tcPr>
          <w:p>
            <w:pPr>
              <w:spacing w:after="0"/>
              <w:jc w:val="left"/>
            </w:pPr>
            <w:r>
              <w:rPr>
                <w:rFonts w:ascii="Arial" w:hAnsi="Arial"/>
                <w:b w:val="0"/>
                <w:sz w:val="11"/>
              </w:rPr>
              <w:t>Phase 1B-10 / Phase 1C</w:t>
            </w:r>
          </w:p>
        </w:tc>
      </w:tr>
      <w:tr>
        <w:trPr>
          <w:cantSplit/>
        </w:trPr>
        <w:tc>
          <w:tcPr>
            <w:tcW w:type="dxa" w:w="2880"/>
            <w:vAlign w:val="top"/>
          </w:tcPr>
          <w:p>
            <w:pPr>
              <w:spacing w:after="0"/>
              <w:jc w:val="left"/>
            </w:pPr>
            <w:r>
              <w:rPr>
                <w:rFonts w:ascii="Arial" w:hAnsi="Arial"/>
                <w:b w:val="0"/>
                <w:sz w:val="11"/>
              </w:rPr>
              <w:t>Appendix J closure boundary</w:t>
            </w:r>
          </w:p>
        </w:tc>
        <w:tc>
          <w:tcPr>
            <w:tcW w:type="dxa" w:w="2880"/>
            <w:vAlign w:val="top"/>
          </w:tcPr>
          <w:p>
            <w:pPr>
              <w:spacing w:after="0"/>
              <w:jc w:val="left"/>
            </w:pPr>
            <w:r>
              <w:rPr>
                <w:rFonts w:ascii="Arial" w:hAnsi="Arial"/>
                <w:b w:val="0"/>
                <w:sz w:val="11"/>
              </w:rPr>
              <w:t>Gap closure could be misread as final publication readiness</w:t>
            </w:r>
          </w:p>
        </w:tc>
        <w:tc>
          <w:tcPr>
            <w:tcW w:type="dxa" w:w="2880"/>
            <w:vAlign w:val="top"/>
          </w:tcPr>
          <w:p>
            <w:pPr>
              <w:spacing w:after="0"/>
              <w:jc w:val="left"/>
            </w:pPr>
            <w:r>
              <w:rPr>
                <w:rFonts w:ascii="Arial" w:hAnsi="Arial"/>
                <w:b w:val="0"/>
                <w:sz w:val="11"/>
              </w:rPr>
              <w:t>Distinguished closed, structurally closed, Phase 1C, and Phase 1D items</w:t>
            </w:r>
          </w:p>
        </w:tc>
        <w:tc>
          <w:tcPr>
            <w:tcW w:type="dxa" w:w="2880"/>
            <w:vAlign w:val="top"/>
          </w:tcPr>
          <w:p>
            <w:pPr>
              <w:spacing w:after="0"/>
              <w:jc w:val="left"/>
            </w:pPr>
            <w:r>
              <w:rPr>
                <w:rFonts w:ascii="Arial" w:hAnsi="Arial"/>
                <w:b w:val="0"/>
                <w:sz w:val="11"/>
              </w:rPr>
              <w:t>Complete deferred work</w:t>
            </w:r>
          </w:p>
        </w:tc>
        <w:tc>
          <w:tcPr>
            <w:tcW w:type="dxa" w:w="2880"/>
            <w:vAlign w:val="top"/>
          </w:tcPr>
          <w:p>
            <w:pPr>
              <w:spacing w:after="0"/>
              <w:jc w:val="left"/>
            </w:pPr>
            <w:r>
              <w:rPr>
                <w:rFonts w:ascii="Arial" w:hAnsi="Arial"/>
                <w:b w:val="0"/>
                <w:sz w:val="11"/>
              </w:rPr>
              <w:t>Phase 1B-10</w:t>
            </w:r>
          </w:p>
        </w:tc>
      </w:tr>
    </w:tbl>
    <w:p>
      <w:pPr>
        <w:sectPr>
          <w:pgSz w:w="12240" w:h="15840" w:orient="landscape"/>
          <w:pgMar w:top="792" w:right="648" w:bottom="792" w:left="648" w:header="720" w:footer="720" w:gutter="0"/>
          <w:cols w:space="720"/>
          <w:docGrid w:linePitch="360"/>
        </w:sectPr>
      </w:pPr>
    </w:p>
    <w:p/>
    <w:p/>
    <w:p>
      <w:pPr>
        <w:pStyle w:val="Heading2"/>
      </w:pPr>
      <w:r>
        <w:t>K.5 Remaining Editorial Actions for Phase 1C/1D</w:t>
      </w:r>
    </w:p>
    <w:p/>
    <w:p>
      <w:pPr>
        <w:keepNext/>
      </w:pPr>
      <w:r>
        <w:rPr>
          <w:b/>
          <w:sz w:val="17"/>
        </w:rPr>
        <w:t>Table T-K-03: Phase 1C / 1D Remaining Editorial Actions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shd w:fill="D9EAF7"/>
          </w:tcPr>
          <w:p>
            <w:pPr>
              <w:spacing w:after="0"/>
              <w:jc w:val="left"/>
            </w:pPr>
            <w:r>
              <w:rPr>
                <w:rFonts w:ascii="Arial" w:hAnsi="Arial"/>
                <w:b/>
                <w:sz w:val="11"/>
              </w:rPr>
              <w:t>Action</w:t>
            </w:r>
          </w:p>
        </w:tc>
        <w:tc>
          <w:tcPr>
            <w:tcW w:type="dxa" w:w="2880"/>
            <w:vAlign w:val="top"/>
            <w:shd w:fill="D9EAF7"/>
          </w:tcPr>
          <w:p>
            <w:pPr>
              <w:spacing w:after="0"/>
              <w:jc w:val="left"/>
            </w:pPr>
            <w:r>
              <w:rPr>
                <w:rFonts w:ascii="Arial" w:hAnsi="Arial"/>
                <w:b/>
                <w:sz w:val="11"/>
              </w:rPr>
              <w:t>Reason</w:t>
            </w:r>
          </w:p>
        </w:tc>
        <w:tc>
          <w:tcPr>
            <w:tcW w:type="dxa" w:w="2880"/>
            <w:vAlign w:val="top"/>
            <w:shd w:fill="D9EAF7"/>
          </w:tcPr>
          <w:p>
            <w:pPr>
              <w:spacing w:after="0"/>
              <w:jc w:val="left"/>
            </w:pPr>
            <w:r>
              <w:rPr>
                <w:rFonts w:ascii="Arial" w:hAnsi="Arial"/>
                <w:b/>
                <w:sz w:val="11"/>
              </w:rPr>
              <w:t>Target Phase</w:t>
            </w:r>
          </w:p>
        </w:tc>
        <w:tc>
          <w:tcPr>
            <w:tcW w:type="dxa" w:w="2880"/>
            <w:vAlign w:val="top"/>
            <w:shd w:fill="D9EAF7"/>
          </w:tcPr>
          <w:p>
            <w:pPr>
              <w:spacing w:after="0"/>
              <w:jc w:val="left"/>
            </w:pPr>
            <w:r>
              <w:rPr>
                <w:rFonts w:ascii="Arial" w:hAnsi="Arial"/>
                <w:b/>
                <w:sz w:val="11"/>
              </w:rPr>
              <w:t>Required Evidence</w:t>
            </w:r>
          </w:p>
        </w:tc>
        <w:tc>
          <w:tcPr>
            <w:tcW w:type="dxa" w:w="2880"/>
            <w:vAlign w:val="top"/>
            <w:shd w:fill="D9EAF7"/>
          </w:tcPr>
          <w:p>
            <w:pPr>
              <w:spacing w:after="0"/>
              <w:jc w:val="left"/>
            </w:pPr>
            <w:r>
              <w:rPr>
                <w:rFonts w:ascii="Arial" w:hAnsi="Arial"/>
                <w:b/>
                <w:sz w:val="11"/>
              </w:rPr>
              <w:t>Blocking Level</w:t>
            </w:r>
          </w:p>
        </w:tc>
      </w:tr>
      <w:tr>
        <w:trPr>
          <w:cantSplit/>
        </w:trPr>
        <w:tc>
          <w:tcPr>
            <w:tcW w:type="dxa" w:w="2880"/>
            <w:vAlign w:val="top"/>
          </w:tcPr>
          <w:p>
            <w:pPr>
              <w:spacing w:after="0"/>
              <w:jc w:val="left"/>
            </w:pPr>
            <w:r>
              <w:rPr>
                <w:rFonts w:ascii="Arial" w:hAnsi="Arial"/>
                <w:b w:val="0"/>
                <w:sz w:val="11"/>
              </w:rPr>
              <w:t>Page-level citation pinning for source-bound product/protocol claims</w:t>
            </w:r>
          </w:p>
        </w:tc>
        <w:tc>
          <w:tcPr>
            <w:tcW w:type="dxa" w:w="2880"/>
            <w:vAlign w:val="top"/>
          </w:tcPr>
          <w:p>
            <w:pPr>
              <w:spacing w:after="0"/>
              <w:jc w:val="left"/>
            </w:pPr>
            <w:r>
              <w:rPr>
                <w:rFonts w:ascii="Arial" w:hAnsi="Arial"/>
                <w:b w:val="0"/>
                <w:sz w:val="11"/>
              </w:rPr>
              <w:t>Official entry points were located, but final citation pages must be pinned before publication</w:t>
            </w:r>
          </w:p>
        </w:tc>
        <w:tc>
          <w:tcPr>
            <w:tcW w:type="dxa" w:w="2880"/>
            <w:vAlign w:val="top"/>
          </w:tcPr>
          <w:p>
            <w:pPr>
              <w:spacing w:after="0"/>
              <w:jc w:val="left"/>
            </w:pPr>
            <w:r>
              <w:rPr>
                <w:rFonts w:ascii="Arial" w:hAnsi="Arial"/>
                <w:b w:val="0"/>
                <w:sz w:val="11"/>
              </w:rPr>
              <w:t>Phase 1D / publication-candidate QA</w:t>
            </w:r>
          </w:p>
        </w:tc>
        <w:tc>
          <w:tcPr>
            <w:tcW w:type="dxa" w:w="2880"/>
            <w:vAlign w:val="top"/>
          </w:tcPr>
          <w:p>
            <w:pPr>
              <w:spacing w:after="0"/>
              <w:jc w:val="left"/>
            </w:pPr>
            <w:r>
              <w:rPr>
                <w:rFonts w:ascii="Arial" w:hAnsi="Arial"/>
                <w:b w:val="0"/>
                <w:sz w:val="11"/>
              </w:rPr>
              <w:t>Exact source page references and citation rendering record</w:t>
            </w:r>
          </w:p>
        </w:tc>
        <w:tc>
          <w:tcPr>
            <w:tcW w:type="dxa" w:w="2880"/>
            <w:vAlign w:val="top"/>
          </w:tcPr>
          <w:p>
            <w:pPr>
              <w:spacing w:after="0"/>
              <w:jc w:val="left"/>
            </w:pPr>
            <w:r>
              <w:rPr>
                <w:rFonts w:ascii="Arial" w:hAnsi="Arial"/>
                <w:b w:val="0"/>
                <w:sz w:val="11"/>
              </w:rPr>
              <w:t>Blocks publication release</w:t>
            </w:r>
          </w:p>
        </w:tc>
      </w:tr>
      <w:tr>
        <w:trPr>
          <w:cantSplit/>
        </w:trPr>
        <w:tc>
          <w:tcPr>
            <w:tcW w:type="dxa" w:w="2880"/>
            <w:vAlign w:val="top"/>
          </w:tcPr>
          <w:p>
            <w:pPr>
              <w:spacing w:after="0"/>
              <w:jc w:val="left"/>
            </w:pPr>
            <w:r>
              <w:rPr>
                <w:rFonts w:ascii="Arial" w:hAnsi="Arial"/>
                <w:b w:val="0"/>
                <w:sz w:val="11"/>
              </w:rPr>
              <w:t>Validation Lab methodology-specific citation</w:t>
            </w:r>
          </w:p>
        </w:tc>
        <w:tc>
          <w:tcPr>
            <w:tcW w:type="dxa" w:w="2880"/>
            <w:vAlign w:val="top"/>
          </w:tcPr>
          <w:p>
            <w:pPr>
              <w:spacing w:after="0"/>
              <w:jc w:val="left"/>
            </w:pPr>
            <w:r>
              <w:rPr>
                <w:rFonts w:ascii="Arial" w:hAnsi="Arial"/>
                <w:b w:val="0"/>
                <w:sz w:val="11"/>
              </w:rPr>
              <w:t>Public entry point was located, but methodology-specific support remains limited</w:t>
            </w:r>
          </w:p>
        </w:tc>
        <w:tc>
          <w:tcPr>
            <w:tcW w:type="dxa" w:w="2880"/>
            <w:vAlign w:val="top"/>
          </w:tcPr>
          <w:p>
            <w:pPr>
              <w:spacing w:after="0"/>
              <w:jc w:val="left"/>
            </w:pPr>
            <w:r>
              <w:rPr>
                <w:rFonts w:ascii="Arial" w:hAnsi="Arial"/>
                <w:b w:val="0"/>
                <w:sz w:val="11"/>
              </w:rPr>
              <w:t>Phase 1D / publication-candidate QA</w:t>
            </w:r>
          </w:p>
        </w:tc>
        <w:tc>
          <w:tcPr>
            <w:tcW w:type="dxa" w:w="2880"/>
            <w:vAlign w:val="top"/>
          </w:tcPr>
          <w:p>
            <w:pPr>
              <w:spacing w:after="0"/>
              <w:jc w:val="left"/>
            </w:pPr>
            <w:r>
              <w:rPr>
                <w:rFonts w:ascii="Arial" w:hAnsi="Arial"/>
                <w:b w:val="0"/>
                <w:sz w:val="11"/>
              </w:rPr>
              <w:t>Methodology URL or retained unresolved note</w:t>
            </w:r>
          </w:p>
        </w:tc>
        <w:tc>
          <w:tcPr>
            <w:tcW w:type="dxa" w:w="2880"/>
            <w:vAlign w:val="top"/>
          </w:tcPr>
          <w:p>
            <w:pPr>
              <w:spacing w:after="0"/>
              <w:jc w:val="left"/>
            </w:pPr>
            <w:r>
              <w:rPr>
                <w:rFonts w:ascii="Arial" w:hAnsi="Arial"/>
                <w:b w:val="0"/>
                <w:sz w:val="11"/>
              </w:rPr>
              <w:t>Blocks treating methodology claims as more than boundary-limited</w:t>
            </w:r>
          </w:p>
        </w:tc>
      </w:tr>
      <w:tr>
        <w:trPr>
          <w:cantSplit/>
        </w:trPr>
        <w:tc>
          <w:tcPr>
            <w:tcW w:type="dxa" w:w="2880"/>
            <w:vAlign w:val="top"/>
          </w:tcPr>
          <w:p>
            <w:pPr>
              <w:spacing w:after="0"/>
              <w:jc w:val="left"/>
            </w:pPr>
            <w:r>
              <w:rPr>
                <w:rFonts w:ascii="Arial" w:hAnsi="Arial"/>
                <w:b w:val="0"/>
                <w:sz w:val="11"/>
              </w:rPr>
              <w:t>Evidence level source-to-claim rendering check</w:t>
            </w:r>
          </w:p>
        </w:tc>
        <w:tc>
          <w:tcPr>
            <w:tcW w:type="dxa" w:w="2880"/>
            <w:vAlign w:val="top"/>
          </w:tcPr>
          <w:p>
            <w:pPr>
              <w:spacing w:after="0"/>
              <w:jc w:val="left"/>
            </w:pPr>
            <w:r>
              <w:rPr>
                <w:rFonts w:ascii="Arial" w:hAnsi="Arial"/>
                <w:b w:val="0"/>
                <w:sz w:val="11"/>
              </w:rPr>
              <w:t>Evidence confidence is now tied to claims, but final artifacts must preserve labels</w:t>
            </w:r>
          </w:p>
        </w:tc>
        <w:tc>
          <w:tcPr>
            <w:tcW w:type="dxa" w:w="2880"/>
            <w:vAlign w:val="top"/>
          </w:tcPr>
          <w:p>
            <w:pPr>
              <w:spacing w:after="0"/>
              <w:jc w:val="left"/>
            </w:pPr>
            <w:r>
              <w:rPr>
                <w:rFonts w:ascii="Arial" w:hAnsi="Arial"/>
                <w:b w:val="0"/>
                <w:sz w:val="11"/>
              </w:rPr>
              <w:t>Phase 1D</w:t>
            </w:r>
          </w:p>
        </w:tc>
        <w:tc>
          <w:tcPr>
            <w:tcW w:type="dxa" w:w="2880"/>
            <w:vAlign w:val="top"/>
          </w:tcPr>
          <w:p>
            <w:pPr>
              <w:spacing w:after="0"/>
              <w:jc w:val="left"/>
            </w:pPr>
            <w:r>
              <w:rPr>
                <w:rFonts w:ascii="Arial" w:hAnsi="Arial"/>
                <w:b w:val="0"/>
                <w:sz w:val="11"/>
              </w:rPr>
              <w:t>Citation/evidence rendering QA record</w:t>
            </w:r>
          </w:p>
        </w:tc>
        <w:tc>
          <w:tcPr>
            <w:tcW w:type="dxa" w:w="2880"/>
            <w:vAlign w:val="top"/>
          </w:tcPr>
          <w:p>
            <w:pPr>
              <w:spacing w:after="0"/>
              <w:jc w:val="left"/>
            </w:pPr>
            <w:r>
              <w:rPr>
                <w:rFonts w:ascii="Arial" w:hAnsi="Arial"/>
                <w:b w:val="0"/>
                <w:sz w:val="11"/>
              </w:rPr>
              <w:t>Blocks publication release</w:t>
            </w:r>
          </w:p>
        </w:tc>
      </w:tr>
      <w:tr>
        <w:trPr>
          <w:cantSplit/>
        </w:trPr>
        <w:tc>
          <w:tcPr>
            <w:tcW w:type="dxa" w:w="2880"/>
            <w:vAlign w:val="top"/>
          </w:tcPr>
          <w:p>
            <w:pPr>
              <w:spacing w:after="0"/>
              <w:jc w:val="left"/>
            </w:pPr>
            <w:r>
              <w:rPr>
                <w:rFonts w:ascii="Arial" w:hAnsi="Arial"/>
                <w:b w:val="0"/>
                <w:sz w:val="11"/>
              </w:rPr>
              <w:t>Appendix G revalidated provisional proofread</w:t>
            </w:r>
          </w:p>
        </w:tc>
        <w:tc>
          <w:tcPr>
            <w:tcW w:type="dxa" w:w="2880"/>
            <w:vAlign w:val="top"/>
          </w:tcPr>
          <w:p>
            <w:pPr>
              <w:spacing w:after="0"/>
              <w:jc w:val="left"/>
            </w:pPr>
            <w:r>
              <w:rPr>
                <w:rFonts w:ascii="Arial" w:hAnsi="Arial"/>
                <w:b w:val="0"/>
                <w:sz w:val="11"/>
              </w:rPr>
              <w:t>Provisional postures now have source binding but remain non-final</w:t>
            </w:r>
          </w:p>
        </w:tc>
        <w:tc>
          <w:tcPr>
            <w:tcW w:type="dxa" w:w="2880"/>
            <w:vAlign w:val="top"/>
          </w:tcPr>
          <w:p>
            <w:pPr>
              <w:spacing w:after="0"/>
              <w:jc w:val="left"/>
            </w:pPr>
            <w:r>
              <w:rPr>
                <w:rFonts w:ascii="Arial" w:hAnsi="Arial"/>
                <w:b w:val="0"/>
                <w:sz w:val="11"/>
              </w:rPr>
              <w:t>Phase 1D</w:t>
            </w:r>
          </w:p>
        </w:tc>
        <w:tc>
          <w:tcPr>
            <w:tcW w:type="dxa" w:w="2880"/>
            <w:vAlign w:val="top"/>
          </w:tcPr>
          <w:p>
            <w:pPr>
              <w:spacing w:after="0"/>
              <w:jc w:val="left"/>
            </w:pPr>
            <w:r>
              <w:rPr>
                <w:rFonts w:ascii="Arial" w:hAnsi="Arial"/>
                <w:b w:val="0"/>
                <w:sz w:val="11"/>
              </w:rPr>
              <w:t>Final no-score/no-ranking grep and citation check</w:t>
            </w:r>
          </w:p>
        </w:tc>
        <w:tc>
          <w:tcPr>
            <w:tcW w:type="dxa" w:w="2880"/>
            <w:vAlign w:val="top"/>
          </w:tcPr>
          <w:p>
            <w:pPr>
              <w:spacing w:after="0"/>
              <w:jc w:val="left"/>
            </w:pPr>
            <w:r>
              <w:rPr>
                <w:rFonts w:ascii="Arial" w:hAnsi="Arial"/>
                <w:b w:val="0"/>
                <w:sz w:val="11"/>
              </w:rPr>
              <w:t>Blocks final Appendix G publication status</w:t>
            </w:r>
          </w:p>
        </w:tc>
      </w:tr>
      <w:tr>
        <w:trPr>
          <w:cantSplit/>
        </w:trPr>
        <w:tc>
          <w:tcPr>
            <w:tcW w:type="dxa" w:w="2880"/>
            <w:vAlign w:val="top"/>
          </w:tcPr>
          <w:p>
            <w:pPr>
              <w:spacing w:after="0"/>
              <w:jc w:val="left"/>
            </w:pPr>
            <w:r>
              <w:rPr>
                <w:rFonts w:ascii="Arial" w:hAnsi="Arial"/>
                <w:b w:val="0"/>
                <w:sz w:val="11"/>
              </w:rPr>
              <w:t>DOCX/PDF generation and visual QA</w:t>
            </w:r>
          </w:p>
        </w:tc>
        <w:tc>
          <w:tcPr>
            <w:tcW w:type="dxa" w:w="2880"/>
            <w:vAlign w:val="top"/>
          </w:tcPr>
          <w:p>
            <w:pPr>
              <w:spacing w:after="0"/>
              <w:jc w:val="left"/>
            </w:pPr>
            <w:r>
              <w:rPr>
                <w:rFonts w:ascii="Arial" w:hAnsi="Arial"/>
                <w:b w:val="0"/>
                <w:sz w:val="11"/>
              </w:rPr>
              <w:t>Publication rendering not yet produced</w:t>
            </w:r>
          </w:p>
        </w:tc>
        <w:tc>
          <w:tcPr>
            <w:tcW w:type="dxa" w:w="2880"/>
            <w:vAlign w:val="top"/>
          </w:tcPr>
          <w:p>
            <w:pPr>
              <w:spacing w:after="0"/>
              <w:jc w:val="left"/>
            </w:pPr>
            <w:r>
              <w:rPr>
                <w:rFonts w:ascii="Arial" w:hAnsi="Arial"/>
                <w:b w:val="0"/>
                <w:sz w:val="11"/>
              </w:rPr>
              <w:t>Phase 1D</w:t>
            </w:r>
          </w:p>
        </w:tc>
        <w:tc>
          <w:tcPr>
            <w:tcW w:type="dxa" w:w="2880"/>
            <w:vAlign w:val="top"/>
          </w:tcPr>
          <w:p>
            <w:pPr>
              <w:spacing w:after="0"/>
              <w:jc w:val="left"/>
            </w:pPr>
            <w:r>
              <w:rPr>
                <w:rFonts w:ascii="Arial" w:hAnsi="Arial"/>
                <w:b w:val="0"/>
                <w:sz w:val="11"/>
              </w:rPr>
              <w:t>DOCX/PDF artifacts and visual QA report</w:t>
            </w:r>
          </w:p>
        </w:tc>
        <w:tc>
          <w:tcPr>
            <w:tcW w:type="dxa" w:w="2880"/>
            <w:vAlign w:val="top"/>
          </w:tcPr>
          <w:p>
            <w:pPr>
              <w:spacing w:after="0"/>
              <w:jc w:val="left"/>
            </w:pPr>
            <w:r>
              <w:rPr>
                <w:rFonts w:ascii="Arial" w:hAnsi="Arial"/>
                <w:b w:val="0"/>
                <w:sz w:val="11"/>
              </w:rPr>
              <w:t>Blocks publication release</w:t>
            </w:r>
          </w:p>
        </w:tc>
      </w:tr>
    </w:tbl>
    <w:p>
      <w:pPr>
        <w:sectPr>
          <w:pgSz w:w="15840" w:h="12240" w:orient="landscape"/>
          <w:pgMar w:top="792" w:right="648" w:bottom="792" w:left="648" w:header="720" w:footer="720" w:gutter="0"/>
          <w:cols w:space="720"/>
          <w:docGrid w:linePitch="360"/>
        </w:sectPr>
      </w:pPr>
    </w:p>
    <w:p/>
    <w:p/>
    <w:p>
      <w:r>
        <w:t>End of Appendix K</w:t>
      </w:r>
    </w:p>
    <w:sectPr w:rsidR="00FC693F" w:rsidRPr="0006063C" w:rsidSect="00034616">
      <w:pgSz w:w="15840" w:h="122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GAIC-2026 v0.3.2-FRC-R3 Phase 1D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b/>
      <w:bCs/>
      <w:i/>
      <w:iCs/>
      <w:color w:val="40404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