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jc w:val="left"/>
      </w:pPr>
      <w:r>
        <w:rPr>
          <w:rFonts w:ascii="Arial" w:hAnsi="Arial"/>
          <w:b/>
          <w:color w:val="111111"/>
          <w:sz w:val="50"/>
        </w:rPr>
        <w:t>Global AI Compliance White Paper 2026</w:t>
      </w:r>
    </w:p>
    <w:p>
      <w:r>
        <w:rPr>
          <w:rFonts w:ascii="Arial" w:hAnsi="Arial"/>
          <w:color w:val="3B82F6"/>
          <w:sz w:val="24"/>
        </w:rPr>
        <w:t>HTML Publication Refinement Draft - DOCX editable derivative</w:t>
      </w:r>
    </w:p>
    <w:p>
      <w:r>
        <w:rPr>
          <w:i/>
          <w:sz w:val="17"/>
        </w:rPr>
        <w:t>This DOCX is an editable derivative generated from the same active source used by the HTML renderer. HTML/PDF remain the visual source of truth.</w:t>
      </w:r>
    </w:p>
    <w:p>
      <w:r>
        <w:br w:type="page"/>
      </w:r>
    </w:p>
    <w:p>
      <w:pPr>
        <w:spacing w:after="56"/>
      </w:pPr>
      <w:r>
        <w:t>From Model Governance to Agentic Lifecycle Conformance</w:t>
      </w:r>
    </w:p>
    <w:p>
      <w:pPr>
        <w:spacing w:after="56"/>
      </w:pPr>
      <w:r>
        <w:t>Document ID: GACWP-2026-v0.3.2-FRC-R3</w:t>
      </w:r>
    </w:p>
    <w:p>
      <w:pPr>
        <w:spacing w:after="56"/>
      </w:pPr>
      <w:r>
        <w:t>Version: v0.3.2 Final Release Candidate R3</w:t>
      </w:r>
    </w:p>
    <w:p>
      <w:pPr>
        <w:spacing w:after="56"/>
      </w:pPr>
      <w:r>
        <w:t>Trace Tag: GACWP-2026-v0.3.2-FRC-R3</w:t>
      </w:r>
    </w:p>
    <w:p>
      <w:pPr>
        <w:spacing w:after="56"/>
      </w:pPr>
      <w:r>
        <w:t>Publication Note: Publication Draft — non-legal technical governance analysis; not legal advice</w:t>
      </w:r>
    </w:p>
    <w:p>
      <w:pPr>
        <w:spacing w:after="56"/>
      </w:pPr>
      <w:r>
        <w:t>Compiled: May 2026</w:t>
      </w:r>
    </w:p>
    <w:p>
      <w:pPr>
        <w:spacing w:after="56"/>
      </w:pPr>
      <w:r>
        <w:t>Source Snapshot: Sources available and checked as of May 2026</w:t>
      </w:r>
    </w:p>
    <w:p>
      <w:pPr>
        <w:spacing w:after="56"/>
      </w:pPr>
      <w:r>
        <w:t>Scope Snapshot: Public-source technical governance analysis based on sources available and checked as of May 2026</w:t>
      </w:r>
    </w:p>
    <w:p>
      <w:pPr>
        <w:spacing w:after="56"/>
      </w:pPr>
      <w:r>
        <w:t>Author: Jearon Wong</w:t>
      </w:r>
    </w:p>
    <w:p>
      <w:pPr>
        <w:spacing w:after="56"/>
      </w:pPr>
      <w:r>
        <w:t>Role: Protocol Architect for the Agent Era</w:t>
      </w:r>
    </w:p>
    <w:p>
      <w:pPr>
        <w:spacing w:after="56"/>
      </w:pPr>
      <w:r>
        <w:t>Protocol Disclosure: Creator of MPLP — Multi-Agent Lifecycle Protocol</w:t>
      </w:r>
    </w:p>
    <w:p>
      <w:pPr>
        <w:spacing w:after="56"/>
      </w:pPr>
      <w:r>
        <w:t>Site: JearonWong.com</w:t>
      </w:r>
    </w:p>
    <w:p>
      <w:pPr>
        <w:pStyle w:val="Heading2"/>
      </w:pPr>
      <w:r>
        <w:t>Core Thesis</w:t>
      </w:r>
    </w:p>
    <w:p>
      <w:pPr>
        <w:spacing w:after="56"/>
      </w:pPr>
      <w:r>
        <w:t>AI Agent / MAS compliance is not only model compliance. It is lifecycle responsibility compliance.</w:t>
      </w:r>
    </w:p>
    <w:p>
      <w:pPr>
        <w:pStyle w:val="Heading2"/>
      </w:pPr>
      <w:r>
        <w:t>Document Control and Positioning</w:t>
      </w:r>
    </w:p>
    <w:p>
      <w:pPr>
        <w:keepNext/>
      </w:pPr>
      <w:r>
        <w:rPr>
          <w:b/>
          <w:sz w:val="16"/>
        </w:rPr>
        <w:t>Table T-FM-01: Document Control and Positioning</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Value</w:t>
            </w:r>
          </w:p>
        </w:tc>
      </w:tr>
      <w:tr>
        <w:tc>
          <w:tcPr>
            <w:tcW w:type="dxa" w:w="5112"/>
          </w:tcPr>
          <w:p>
            <w:pPr>
              <w:spacing w:after="0"/>
            </w:pPr>
            <w:r>
              <w:rPr>
                <w:rFonts w:ascii="Arial" w:hAnsi="Arial"/>
                <w:b w:val="0"/>
                <w:sz w:val="14"/>
              </w:rPr>
              <w:t>Document ID</w:t>
            </w:r>
          </w:p>
        </w:tc>
        <w:tc>
          <w:tcPr>
            <w:tcW w:type="dxa" w:w="5112"/>
          </w:tcPr>
          <w:p>
            <w:pPr>
              <w:spacing w:after="0"/>
            </w:pPr>
            <w:r>
              <w:rPr>
                <w:rFonts w:ascii="Arial" w:hAnsi="Arial"/>
                <w:b w:val="0"/>
                <w:sz w:val="14"/>
              </w:rPr>
              <w:t>GACWP-2026-v0.3.2-FRC-R3</w:t>
            </w:r>
          </w:p>
        </w:tc>
      </w:tr>
      <w:tr>
        <w:tc>
          <w:tcPr>
            <w:tcW w:type="dxa" w:w="5112"/>
          </w:tcPr>
          <w:p>
            <w:pPr>
              <w:spacing w:after="0"/>
            </w:pPr>
            <w:r>
              <w:rPr>
                <w:rFonts w:ascii="Arial" w:hAnsi="Arial"/>
                <w:b w:val="0"/>
                <w:sz w:val="14"/>
              </w:rPr>
              <w:t>Version</w:t>
            </w:r>
          </w:p>
        </w:tc>
        <w:tc>
          <w:tcPr>
            <w:tcW w:type="dxa" w:w="5112"/>
          </w:tcPr>
          <w:p>
            <w:pPr>
              <w:spacing w:after="0"/>
            </w:pPr>
            <w:r>
              <w:rPr>
                <w:rFonts w:ascii="Arial" w:hAnsi="Arial"/>
                <w:b w:val="0"/>
                <w:sz w:val="14"/>
              </w:rPr>
              <w:t>v0.3.2 Final Release Candidate R3</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Publication Draft — agenda-setting technical governance white paper; not legal advice</w:t>
            </w:r>
          </w:p>
        </w:tc>
      </w:tr>
      <w:tr>
        <w:tc>
          <w:tcPr>
            <w:tcW w:type="dxa" w:w="5112"/>
          </w:tcPr>
          <w:p>
            <w:pPr>
              <w:spacing w:after="0"/>
            </w:pPr>
            <w:r>
              <w:rPr>
                <w:rFonts w:ascii="Arial" w:hAnsi="Arial"/>
                <w:b w:val="0"/>
                <w:sz w:val="14"/>
              </w:rPr>
              <w:t>Author</w:t>
            </w:r>
          </w:p>
        </w:tc>
        <w:tc>
          <w:tcPr>
            <w:tcW w:type="dxa" w:w="5112"/>
          </w:tcPr>
          <w:p>
            <w:pPr>
              <w:spacing w:after="0"/>
            </w:pPr>
            <w:r>
              <w:rPr>
                <w:rFonts w:ascii="Arial" w:hAnsi="Arial"/>
                <w:b w:val="0"/>
                <w:sz w:val="14"/>
              </w:rPr>
              <w:t>Jearon Wong</w:t>
            </w:r>
          </w:p>
        </w:tc>
      </w:tr>
      <w:tr>
        <w:tc>
          <w:tcPr>
            <w:tcW w:type="dxa" w:w="5112"/>
          </w:tcPr>
          <w:p>
            <w:pPr>
              <w:spacing w:after="0"/>
            </w:pPr>
            <w:r>
              <w:rPr>
                <w:rFonts w:ascii="Arial" w:hAnsi="Arial"/>
                <w:b w:val="0"/>
                <w:sz w:val="14"/>
              </w:rPr>
              <w:t>Author role</w:t>
            </w:r>
          </w:p>
        </w:tc>
        <w:tc>
          <w:tcPr>
            <w:tcW w:type="dxa" w:w="5112"/>
          </w:tcPr>
          <w:p>
            <w:pPr>
              <w:spacing w:after="0"/>
            </w:pPr>
            <w:r>
              <w:rPr>
                <w:rFonts w:ascii="Arial" w:hAnsi="Arial"/>
                <w:b w:val="0"/>
                <w:sz w:val="14"/>
              </w:rPr>
              <w:t>Protocol Architect for the Agent Era</w:t>
            </w:r>
          </w:p>
        </w:tc>
      </w:tr>
      <w:tr>
        <w:tc>
          <w:tcPr>
            <w:tcW w:type="dxa" w:w="5112"/>
          </w:tcPr>
          <w:p>
            <w:pPr>
              <w:spacing w:after="0"/>
            </w:pPr>
            <w:r>
              <w:rPr>
                <w:rFonts w:ascii="Arial" w:hAnsi="Arial"/>
                <w:b w:val="0"/>
                <w:sz w:val="14"/>
              </w:rPr>
              <w:t>Author disclosure</w:t>
            </w:r>
          </w:p>
        </w:tc>
        <w:tc>
          <w:tcPr>
            <w:tcW w:type="dxa" w:w="5112"/>
          </w:tcPr>
          <w:p>
            <w:pPr>
              <w:spacing w:after="0"/>
            </w:pPr>
            <w:r>
              <w:rPr>
                <w:rFonts w:ascii="Arial" w:hAnsi="Arial"/>
                <w:b w:val="0"/>
                <w:sz w:val="14"/>
              </w:rPr>
              <w:t>Creator of MPLP — Multi-Agent Lifecycle Protocol</w:t>
            </w:r>
          </w:p>
        </w:tc>
      </w:tr>
      <w:tr>
        <w:tc>
          <w:tcPr>
            <w:tcW w:type="dxa" w:w="5112"/>
          </w:tcPr>
          <w:p>
            <w:pPr>
              <w:spacing w:after="0"/>
            </w:pPr>
            <w:r>
              <w:rPr>
                <w:rFonts w:ascii="Arial" w:hAnsi="Arial"/>
                <w:b w:val="0"/>
                <w:sz w:val="14"/>
              </w:rPr>
              <w:t>Site</w:t>
            </w:r>
          </w:p>
        </w:tc>
        <w:tc>
          <w:tcPr>
            <w:tcW w:type="dxa" w:w="5112"/>
          </w:tcPr>
          <w:p>
            <w:pPr>
              <w:spacing w:after="0"/>
            </w:pPr>
            <w:r>
              <w:rPr>
                <w:rFonts w:ascii="Arial" w:hAnsi="Arial"/>
                <w:b w:val="0"/>
                <w:sz w:val="14"/>
              </w:rPr>
              <w:t>JearonWong.com</w:t>
            </w:r>
          </w:p>
        </w:tc>
      </w:tr>
      <w:tr>
        <w:tc>
          <w:tcPr>
            <w:tcW w:type="dxa" w:w="5112"/>
          </w:tcPr>
          <w:p>
            <w:pPr>
              <w:spacing w:after="0"/>
            </w:pPr>
            <w:r>
              <w:rPr>
                <w:rFonts w:ascii="Arial" w:hAnsi="Arial"/>
                <w:b w:val="0"/>
                <w:sz w:val="14"/>
              </w:rPr>
              <w:t>Primary concept</w:t>
            </w:r>
          </w:p>
        </w:tc>
        <w:tc>
          <w:tcPr>
            <w:tcW w:type="dxa" w:w="5112"/>
          </w:tcPr>
          <w:p>
            <w:pPr>
              <w:spacing w:after="0"/>
            </w:pPr>
            <w:r>
              <w:rPr>
                <w:rFonts w:ascii="Arial" w:hAnsi="Arial"/>
                <w:b w:val="0"/>
                <w:sz w:val="14"/>
              </w:rPr>
              <w:t>AI Agent Lifecycle Governance</w:t>
            </w:r>
          </w:p>
        </w:tc>
      </w:tr>
      <w:tr>
        <w:tc>
          <w:tcPr>
            <w:tcW w:type="dxa" w:w="5112"/>
          </w:tcPr>
          <w:p>
            <w:pPr>
              <w:spacing w:after="0"/>
            </w:pPr>
            <w:r>
              <w:rPr>
                <w:rFonts w:ascii="Arial" w:hAnsi="Arial"/>
                <w:b w:val="0"/>
                <w:sz w:val="14"/>
              </w:rPr>
              <w:t>Primary transition</w:t>
            </w:r>
          </w:p>
        </w:tc>
        <w:tc>
          <w:tcPr>
            <w:tcW w:type="dxa" w:w="5112"/>
          </w:tcPr>
          <w:p>
            <w:pPr>
              <w:spacing w:after="0"/>
            </w:pPr>
            <w:r>
              <w:rPr>
                <w:rFonts w:ascii="Arial" w:hAnsi="Arial"/>
                <w:b w:val="0"/>
                <w:sz w:val="14"/>
              </w:rPr>
              <w:t>From model governance to agentic lifecycle conformance</w:t>
            </w:r>
          </w:p>
        </w:tc>
      </w:tr>
      <w:tr>
        <w:tc>
          <w:tcPr>
            <w:tcW w:type="dxa" w:w="5112"/>
          </w:tcPr>
          <w:p>
            <w:pPr>
              <w:spacing w:after="0"/>
            </w:pPr>
            <w:r>
              <w:rPr>
                <w:rFonts w:ascii="Arial" w:hAnsi="Arial"/>
                <w:b w:val="0"/>
                <w:sz w:val="14"/>
              </w:rPr>
              <w:t>Primary thesis</w:t>
            </w:r>
          </w:p>
        </w:tc>
        <w:tc>
          <w:tcPr>
            <w:tcW w:type="dxa" w:w="5112"/>
          </w:tcPr>
          <w:p>
            <w:pPr>
              <w:spacing w:after="0"/>
            </w:pPr>
            <w:r>
              <w:rPr>
                <w:rFonts w:ascii="Arial" w:hAnsi="Arial"/>
                <w:b w:val="0"/>
                <w:sz w:val="14"/>
              </w:rPr>
              <w:t>AI Agent / MAS compliance is not only model compliance. It is lifecycle responsibility compliance.</w:t>
            </w:r>
          </w:p>
        </w:tc>
      </w:tr>
      <w:tr>
        <w:tc>
          <w:tcPr>
            <w:tcW w:type="dxa" w:w="5112"/>
          </w:tcPr>
          <w:p>
            <w:pPr>
              <w:spacing w:after="0"/>
            </w:pPr>
            <w:r>
              <w:rPr>
                <w:rFonts w:ascii="Arial" w:hAnsi="Arial"/>
                <w:b w:val="0"/>
                <w:sz w:val="14"/>
              </w:rPr>
              <w:t>Protocol boundary</w:t>
            </w:r>
          </w:p>
        </w:tc>
        <w:tc>
          <w:tcPr>
            <w:tcW w:type="dxa" w:w="5112"/>
          </w:tcPr>
          <w:p>
            <w:pPr>
              <w:spacing w:after="0"/>
            </w:pPr>
            <w:r>
              <w:rPr>
                <w:rFonts w:ascii="Arial" w:hAnsi="Arial"/>
                <w:b w:val="0"/>
                <w:sz w:val="14"/>
              </w:rPr>
              <w:t>MPLP is discussed as a lifecycle protocol path, not as a certification program, legal authority, cloud platform, or exclusive compliance method.</w:t>
            </w:r>
          </w:p>
        </w:tc>
      </w:tr>
      <w:tr>
        <w:tc>
          <w:tcPr>
            <w:tcW w:type="dxa" w:w="5112"/>
          </w:tcPr>
          <w:p>
            <w:pPr>
              <w:spacing w:after="0"/>
            </w:pPr>
            <w:r>
              <w:rPr>
                <w:rFonts w:ascii="Arial" w:hAnsi="Arial"/>
                <w:b w:val="0"/>
                <w:sz w:val="14"/>
              </w:rPr>
              <w:t>Validation boundary</w:t>
            </w:r>
          </w:p>
        </w:tc>
        <w:tc>
          <w:tcPr>
            <w:tcW w:type="dxa" w:w="5112"/>
          </w:tcPr>
          <w:p>
            <w:pPr>
              <w:spacing w:after="0"/>
            </w:pPr>
            <w:r>
              <w:rPr>
                <w:rFonts w:ascii="Arial" w:hAnsi="Arial"/>
                <w:b w:val="0"/>
                <w:sz w:val="14"/>
              </w:rPr>
              <w:t>Validation Lab is referenced as a non-certifying evidence adjudication example, not as a regulator, conformity assessment body, certification authority, market endorsement program, or legal compliance certification mechanism.</w:t>
            </w:r>
          </w:p>
        </w:tc>
      </w:tr>
      <w:tr>
        <w:tc>
          <w:tcPr>
            <w:tcW w:type="dxa" w:w="5112"/>
          </w:tcPr>
          <w:p>
            <w:pPr>
              <w:spacing w:after="0"/>
            </w:pPr>
            <w:r>
              <w:rPr>
                <w:rFonts w:ascii="Arial" w:hAnsi="Arial"/>
                <w:b w:val="0"/>
                <w:sz w:val="14"/>
              </w:rPr>
              <w:t>Scoring boundary</w:t>
            </w:r>
          </w:p>
        </w:tc>
        <w:tc>
          <w:tcPr>
            <w:tcW w:type="dxa" w:w="5112"/>
          </w:tcPr>
          <w:p>
            <w:pPr>
              <w:spacing w:after="0"/>
            </w:pPr>
            <w:r>
              <w:rPr>
                <w:rFonts w:ascii="Arial" w:hAnsi="Arial"/>
                <w:b w:val="0"/>
                <w:sz w:val="14"/>
              </w:rPr>
              <w:t>RCCS/ALCS is an analytical scoring framework, not a legal compliance score.</w:t>
            </w:r>
          </w:p>
        </w:tc>
      </w:tr>
      <w:tr>
        <w:tc>
          <w:tcPr>
            <w:tcW w:type="dxa" w:w="5112"/>
          </w:tcPr>
          <w:p>
            <w:pPr>
              <w:spacing w:after="0"/>
            </w:pPr>
            <w:r>
              <w:rPr>
                <w:rFonts w:ascii="Arial" w:hAnsi="Arial"/>
                <w:b w:val="0"/>
                <w:sz w:val="14"/>
              </w:rPr>
              <w:t>System mapping boundary</w:t>
            </w:r>
          </w:p>
        </w:tc>
        <w:tc>
          <w:tcPr>
            <w:tcW w:type="dxa" w:w="5112"/>
          </w:tcPr>
          <w:p>
            <w:pPr>
              <w:spacing w:after="0"/>
            </w:pPr>
            <w:r>
              <w:rPr>
                <w:rFonts w:ascii="Arial" w:hAnsi="Arial"/>
                <w:b w:val="0"/>
                <w:sz w:val="14"/>
              </w:rPr>
              <w:t>System mappings are responsibility-semantics comparisons, not product endorsements or procurement recommendations.</w:t>
            </w:r>
          </w:p>
        </w:tc>
      </w:tr>
    </w:tbl>
    <w:p>
      <w:pPr>
        <w:pStyle w:val="Heading2"/>
      </w:pPr>
      <w:r>
        <w:t>Publication Scope and Boundary Statement</w:t>
      </w:r>
    </w:p>
    <w:p>
      <w:pPr>
        <w:spacing w:after="56"/>
      </w:pPr>
      <w:r>
        <w:t>This white paper is a non-legal technical governance analysis, not legal advice. It translates regulatory and standards language into engineering requirements for agentic and multi-agent systems.</w:t>
      </w:r>
    </w:p>
    <w:p>
      <w:pPr>
        <w:pStyle w:val="Heading3"/>
      </w:pPr>
      <w:r>
        <w:t>Purpose</w:t>
      </w:r>
    </w:p>
    <w:p>
      <w:pPr>
        <w:spacing w:after="56"/>
      </w:pPr>
      <w:r>
        <w:t>This research edition defines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3"/>
      </w:pPr>
      <w:r>
        <w:t>What This Paper Does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The report therefore separates three questions that are often confused:</w:t>
      </w:r>
    </w:p>
    <w:p>
      <w:pPr>
        <w:pStyle w:val="ListNumber"/>
        <w:spacing w:after="56"/>
      </w:pPr>
      <w:r>
        <w:t>What does existing regulation or governance guidance already require?</w:t>
      </w:r>
    </w:p>
    <w:p>
      <w:pPr>
        <w:pStyle w:val="ListNumber"/>
        <w:spacing w:after="56"/>
      </w:pPr>
      <w:r>
        <w:t>What must engineering systems represent to make those requirements testable in agentic workflows?</w:t>
      </w:r>
    </w:p>
    <w:p>
      <w:pPr>
        <w:pStyle w:val="ListNumber"/>
        <w:spacing w:after="56"/>
      </w:pPr>
      <w:r>
        <w:t>Which current frameworks, platforms, and protocols have primitives that can be mapped to those requirements, and where do their mappings stop?</w:t>
      </w:r>
    </w:p>
    <w:p>
      <w:pPr>
        <w:pStyle w:val="Heading3"/>
      </w:pPr>
      <w:r>
        <w:t>Scope Boundaries</w:t>
      </w:r>
    </w:p>
    <w:p>
      <w:pPr>
        <w:keepNext/>
      </w:pPr>
      <w:r>
        <w:rPr>
          <w:b/>
          <w:sz w:val="16"/>
        </w:rPr>
        <w:t>Table T-FM-02: Publication Scope Boundaries</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Conflict of Interest and Boundary Disclosure</w:t>
      </w:r>
    </w:p>
    <w:p>
      <w:pPr>
        <w:pStyle w:val="Heading3"/>
      </w:pPr>
      <w:r>
        <w:t>Conflict of Interest</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pStyle w:val="Heading3"/>
      </w:pPr>
      <w:r>
        <w:t>Boundary Controls</w:t>
      </w:r>
    </w:p>
    <w:p>
      <w:pPr>
        <w:spacing w:after="56"/>
      </w:pPr>
      <w:r>
        <w:t>The controls used to limit over-claiming are as follows:</w:t>
      </w:r>
    </w:p>
    <w:p>
      <w:pPr>
        <w:keepNext/>
      </w:pPr>
      <w:r>
        <w:rPr>
          <w:b/>
          <w:sz w:val="16"/>
        </w:rPr>
        <w:t>Table T-FM-03: Conflict of Interest Boundary Controls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A proposed analytical scoring framework</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2"/>
      </w:pPr>
      <w:r>
        <w:t>Citation and Evidence Basis</w:t>
      </w:r>
    </w:p>
    <w:p>
      <w:pPr>
        <w:spacing w:after="56"/>
      </w:pPr>
      <w:r>
        <w:t>This paper uses a five-level evidence hierarchy to ensure that claims are grounded in verifiable sources rather than marketing language or conceptual speculation.</w:t>
      </w:r>
    </w:p>
    <w:p>
      <w:pPr>
        <w:pStyle w:val="Heading3"/>
      </w:pPr>
      <w:r>
        <w:t>Evidence Levels</w:t>
      </w:r>
    </w:p>
    <w:p>
      <w:pPr>
        <w:keepNext/>
      </w:pPr>
      <w:r>
        <w:rPr>
          <w:b/>
          <w:sz w:val="16"/>
        </w:rPr>
        <w:t>Table T-FM-04: Evidence Levels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3"/>
      </w:pPr>
      <w:r>
        <w:t>Evidence Hierarchy Rationale</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pStyle w:val="Heading2"/>
      </w:pPr>
      <w:r>
        <w:t>How to Cite This White Paper</w:t>
      </w:r>
    </w:p>
    <w:p>
      <w:pPr>
        <w:pStyle w:val="Heading3"/>
      </w:pPr>
      <w:r>
        <w:t>Recommended Citation</w:t>
      </w:r>
    </w:p>
    <w:p>
      <w:pPr>
        <w:spacing w:after="56"/>
      </w:pPr>
      <w:r>
        <w:t>Global AI Compliance White Paper 2026: From Model Governance to Agentic Lifecycle Conformance. Version v0.3.2 Final Release Candidate R3 (GACWP-2026-v0.3.2-FRC-R3). May 2026. Publication URL to be assigned before release.</w:t>
      </w:r>
    </w:p>
    <w:p>
      <w:pPr>
        <w:pStyle w:val="Heading3"/>
      </w:pPr>
      <w:r>
        <w:t>Short Citation</w:t>
      </w:r>
    </w:p>
    <w:p>
      <w:pPr>
        <w:spacing w:after="56"/>
      </w:pPr>
      <w:r>
        <w:t>GAIC White Paper v0.3.2-FRC-R3 (May 2026)</w:t>
      </w:r>
    </w:p>
    <w:p>
      <w:pPr>
        <w:pStyle w:val="Heading3"/>
      </w:pPr>
      <w:r>
        <w:t>Trace Tag for Technical References</w:t>
      </w:r>
    </w:p>
    <w:p>
      <w:pPr>
        <w:spacing w:after="56"/>
      </w:pPr>
      <w:r>
        <w:t>GACWP-2026-v0.3.2-FRC-R3</w:t>
      </w:r>
    </w:p>
    <w:p>
      <w:pPr>
        <w:pStyle w:val="Heading2"/>
      </w:pPr>
      <w:r>
        <w:t>Version History</w:t>
      </w:r>
    </w:p>
    <w:p>
      <w:pPr>
        <w:keepNext/>
      </w:pPr>
      <w:r>
        <w:rPr>
          <w:b/>
          <w:sz w:val="16"/>
        </w:rPr>
        <w:t>Table T-FM-05: Version History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Version</w:t>
            </w:r>
          </w:p>
        </w:tc>
        <w:tc>
          <w:tcPr>
            <w:tcW w:type="dxa" w:w="2556"/>
          </w:tcPr>
          <w:p>
            <w:pPr>
              <w:spacing w:after="0"/>
            </w:pPr>
            <w:r>
              <w:rPr>
                <w:rFonts w:ascii="Arial" w:hAnsi="Arial"/>
                <w:b/>
                <w:sz w:val="14"/>
              </w:rPr>
              <w:t>Date</w:t>
            </w:r>
          </w:p>
        </w:tc>
        <w:tc>
          <w:tcPr>
            <w:tcW w:type="dxa" w:w="2556"/>
          </w:tcPr>
          <w:p>
            <w:pPr>
              <w:spacing w:after="0"/>
            </w:pPr>
            <w:r>
              <w:rPr>
                <w:rFonts w:ascii="Arial" w:hAnsi="Arial"/>
                <w:b/>
                <w:sz w:val="14"/>
              </w:rPr>
              <w:t>Trace Tag</w:t>
            </w:r>
          </w:p>
        </w:tc>
        <w:tc>
          <w:tcPr>
            <w:tcW w:type="dxa" w:w="2556"/>
          </w:tcPr>
          <w:p>
            <w:pPr>
              <w:spacing w:after="0"/>
            </w:pPr>
            <w:r>
              <w:rPr>
                <w:rFonts w:ascii="Arial" w:hAnsi="Arial"/>
                <w:b/>
                <w:sz w:val="14"/>
              </w:rPr>
              <w:t>Summary</w:t>
            </w:r>
          </w:p>
        </w:tc>
      </w:tr>
      <w:tr>
        <w:tc>
          <w:tcPr>
            <w:tcW w:type="dxa" w:w="2556"/>
          </w:tcPr>
          <w:p>
            <w:pPr>
              <w:spacing w:after="0"/>
            </w:pPr>
            <w:r>
              <w:rPr>
                <w:rFonts w:ascii="Arial" w:hAnsi="Arial"/>
                <w:b w:val="0"/>
                <w:sz w:val="14"/>
              </w:rPr>
              <w:t>v0.3.2-FRC-R3</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GACWP-2026-v0.3.2-FRC-R3</w:t>
            </w:r>
          </w:p>
        </w:tc>
        <w:tc>
          <w:tcPr>
            <w:tcW w:type="dxa" w:w="2556"/>
          </w:tcPr>
          <w:p>
            <w:pPr>
              <w:spacing w:after="0"/>
            </w:pPr>
            <w:r>
              <w:rPr>
                <w:rFonts w:ascii="Arial" w:hAnsi="Arial"/>
                <w:b w:val="0"/>
                <w:sz w:val="14"/>
              </w:rPr>
              <w:t>Expanded publication draft integrating lifecycle governance, MROs, RCCS/ALCS scoring, evidence validation, enterprise failure scenarios, adoption roadmap, and technical appendices.</w:t>
            </w:r>
          </w:p>
        </w:tc>
      </w:tr>
      <w:tr>
        <w:tc>
          <w:tcPr>
            <w:tcW w:type="dxa" w:w="2556"/>
          </w:tcPr>
          <w:p>
            <w:pPr>
              <w:spacing w:after="0"/>
            </w:pPr>
            <w:r>
              <w:rPr>
                <w:rFonts w:ascii="Arial" w:hAnsi="Arial"/>
                <w:b w:val="0"/>
                <w:sz w:val="14"/>
              </w:rPr>
              <w:t>v0.3.1-PC</w:t>
            </w:r>
          </w:p>
        </w:tc>
        <w:tc>
          <w:tcPr>
            <w:tcW w:type="dxa" w:w="2556"/>
          </w:tcPr>
          <w:p>
            <w:pPr>
              <w:spacing w:after="0"/>
            </w:pPr>
            <w:r>
              <w:rPr>
                <w:rFonts w:ascii="Arial" w:hAnsi="Arial"/>
                <w:b w:val="0"/>
                <w:sz w:val="14"/>
              </w:rPr>
              <w:t>May 2026</w:t>
            </w:r>
          </w:p>
        </w:tc>
        <w:tc>
          <w:tcPr>
            <w:tcW w:type="dxa" w:w="2556"/>
          </w:tcPr>
          <w:p>
            <w:pPr>
              <w:spacing w:after="0"/>
            </w:pPr>
            <w:r>
              <w:rPr>
                <w:rFonts w:ascii="Arial" w:hAnsi="Arial"/>
                <w:b w:val="0"/>
                <w:sz w:val="14"/>
              </w:rPr>
              <w:t>GACWP-2026-v0.3.1-PC</w:t>
            </w:r>
          </w:p>
        </w:tc>
        <w:tc>
          <w:tcPr>
            <w:tcW w:type="dxa" w:w="2556"/>
          </w:tcPr>
          <w:p>
            <w:pPr>
              <w:spacing w:after="0"/>
            </w:pPr>
            <w:r>
              <w:rPr>
                <w:rFonts w:ascii="Arial" w:hAnsi="Arial"/>
                <w:b w:val="0"/>
                <w:sz w:val="14"/>
              </w:rPr>
              <w:t>Publication candidate. Adds ALCS-to-MRO mapping, clarifies RCCS weighting and calculation reproducibility, updates Colorado AI Act status note as of 2026-05-07, aligns Singapore MGF wording with official four-part framing.</w:t>
            </w:r>
          </w:p>
        </w:tc>
      </w:tr>
      <w:tr>
        <w:tc>
          <w:tcPr>
            <w:tcW w:type="dxa" w:w="2556"/>
          </w:tcPr>
          <w:p>
            <w:pPr>
              <w:spacing w:after="0"/>
            </w:pPr>
            <w:r>
              <w:rPr>
                <w:rFonts w:ascii="Arial" w:hAnsi="Arial"/>
                <w:b w:val="0"/>
                <w:sz w:val="14"/>
              </w:rPr>
              <w:t>v0.3-FULL</w:t>
            </w:r>
          </w:p>
        </w:tc>
        <w:tc>
          <w:tcPr>
            <w:tcW w:type="dxa" w:w="2556"/>
          </w:tcPr>
          <w:p>
            <w:pPr>
              <w:spacing w:after="0"/>
            </w:pPr>
            <w:r>
              <w:rPr>
                <w:rFonts w:ascii="Arial" w:hAnsi="Arial"/>
                <w:b w:val="0"/>
                <w:sz w:val="14"/>
              </w:rPr>
              <w:t>April 2026</w:t>
            </w:r>
          </w:p>
        </w:tc>
        <w:tc>
          <w:tcPr>
            <w:tcW w:type="dxa" w:w="2556"/>
          </w:tcPr>
          <w:p>
            <w:pPr>
              <w:spacing w:after="0"/>
            </w:pPr>
            <w:r>
              <w:rPr>
                <w:rFonts w:ascii="Arial" w:hAnsi="Arial"/>
                <w:b w:val="0"/>
                <w:sz w:val="14"/>
              </w:rPr>
              <w:t>GACWP-2026-v0.3-FULL</w:t>
            </w:r>
          </w:p>
        </w:tc>
        <w:tc>
          <w:tcPr>
            <w:tcW w:type="dxa" w:w="2556"/>
          </w:tcPr>
          <w:p>
            <w:pPr>
              <w:spacing w:after="0"/>
            </w:pPr>
            <w:r>
              <w:rPr>
                <w:rFonts w:ascii="Arial" w:hAnsi="Arial"/>
                <w:b w:val="0"/>
                <w:sz w:val="14"/>
              </w:rPr>
              <w:t>Full research edition baseline (historical reference only)</w:t>
            </w:r>
          </w:p>
        </w:tc>
      </w:tr>
    </w:tbl>
    <w:p>
      <w:pPr>
        <w:pStyle w:val="Heading3"/>
      </w:pPr>
      <w:r>
        <w:t>Revision Note for v0.3.2-FRC-R3</w:t>
      </w:r>
    </w:p>
    <w:p>
      <w:pPr>
        <w:spacing w:after="56"/>
      </w:pPr>
      <w:r>
        <w:t>v0.3.2-FRC-R3 expands the white paper into a full publication draft with enterprise control mapping, lifecycle scoring, evidence validation, system assessment boundaries, adoption guidance, and technical appendices.</w:t>
      </w:r>
    </w:p>
    <w:p>
      <w:pPr>
        <w:spacing w:after="56"/>
      </w:pPr>
      <w:r>
        <w:t>Key improvements in R3:</w:t>
      </w:r>
    </w:p>
    <w:p>
      <w:pPr>
        <w:pStyle w:val="ListBullet"/>
        <w:spacing w:after="56"/>
      </w:pPr>
      <w:r>
        <w:t>Full lifecycle governance framing for agentic and multi-agent systems</w:t>
      </w:r>
    </w:p>
    <w:p>
      <w:pPr>
        <w:pStyle w:val="ListBullet"/>
        <w:spacing w:after="56"/>
      </w:pPr>
      <w:r>
        <w:t>Missing Regulatory Objects connected to RCCS and ALCS analysis</w:t>
      </w:r>
    </w:p>
    <w:p>
      <w:pPr>
        <w:pStyle w:val="ListBullet"/>
        <w:spacing w:after="56"/>
      </w:pPr>
      <w:r>
        <w:t>Evidence validation and enterprise failure scenario coverage</w:t>
      </w:r>
    </w:p>
    <w:p>
      <w:pPr>
        <w:pStyle w:val="ListBullet"/>
        <w:spacing w:after="56"/>
      </w:pPr>
      <w:r>
        <w:t>Adoption roadmap and enterprise control crosswalks</w:t>
      </w:r>
    </w:p>
    <w:p>
      <w:pPr>
        <w:pStyle w:val="ListBullet"/>
        <w:spacing w:after="56"/>
      </w:pPr>
      <w:r>
        <w:t>Strengthened boundary disclosure, conflict-of-interest discipline, and non-claim language</w:t>
      </w:r>
    </w:p>
    <w:p>
      <w:pPr>
        <w:pStyle w:val="Heading2"/>
      </w:pPr>
      <w:r>
        <w:t>Table of Contents</w:t>
      </w:r>
    </w:p>
    <w:p>
      <w:pPr>
        <w:pStyle w:val="Heading3"/>
      </w:pPr>
      <w:r>
        <w:t>Part I — Problem and Method</w:t>
      </w:r>
    </w:p>
    <w:p>
      <w:pPr>
        <w:pStyle w:val="ListNumber"/>
        <w:spacing w:after="56"/>
      </w:pPr>
      <w:r>
        <w:t>Scope, Methodology, and Non-Legal Boundary</w:t>
      </w:r>
    </w:p>
    <w:p>
      <w:pPr>
        <w:pStyle w:val="ListNumber"/>
        <w:spacing w:after="56"/>
      </w:pPr>
      <w:r>
        <w:t>The Missing Layer: AI Agent Lifecycle Governance</w:t>
      </w:r>
    </w:p>
    <w:p>
      <w:pPr>
        <w:pStyle w:val="ListNumber"/>
        <w:spacing w:after="56"/>
      </w:pPr>
      <w:r>
        <w:t>Why Agentic AI Breaks Model-Centric Compliance</w:t>
      </w:r>
    </w:p>
    <w:p>
      <w:pPr>
        <w:pStyle w:val="ListNumber"/>
        <w:spacing w:after="56"/>
      </w:pPr>
      <w:r>
        <w:t>Regulatory and Standards Baseline</w:t>
      </w:r>
    </w:p>
    <w:p>
      <w:pPr>
        <w:pStyle w:val="ListNumber"/>
        <w:spacing w:after="56"/>
      </w:pPr>
      <w:r>
        <w:t>From Regulatory Language to Engineering Objects</w:t>
      </w:r>
    </w:p>
    <w:p>
      <w:pPr>
        <w:pStyle w:val="Heading3"/>
      </w:pPr>
      <w:r>
        <w:t>Part II — Missing Regulatory Objects and Scoring</w:t>
      </w:r>
    </w:p>
    <w:p>
      <w:pPr>
        <w:pStyle w:val="ListNumber"/>
        <w:spacing w:after="56"/>
      </w:pPr>
      <w:r>
        <w:t>Missing Regulatory Objects for Agentic and MAS Compliance</w:t>
      </w:r>
    </w:p>
    <w:p>
      <w:pPr>
        <w:pStyle w:val="ListNumber"/>
        <w:spacing w:after="56"/>
      </w:pPr>
      <w:r>
        <w:t>RCCS - Regulatory Compliance Coverage Score</w:t>
      </w:r>
    </w:p>
    <w:p>
      <w:pPr>
        <w:pStyle w:val="ListNumber"/>
        <w:spacing w:after="56"/>
      </w:pPr>
      <w:r>
        <w:t>ALCS - Agentic Lifecycle Conformance Score</w:t>
      </w:r>
    </w:p>
    <w:p>
      <w:pPr>
        <w:pStyle w:val="ListNumber"/>
        <w:spacing w:after="56"/>
      </w:pPr>
      <w:r>
        <w:t>Composite Scoring Method</w:t>
      </w:r>
    </w:p>
    <w:p>
      <w:pPr>
        <w:pStyle w:val="Heading3"/>
      </w:pPr>
      <w:r>
        <w:t>Part III — System Mapping and Lifecycle Validation</w:t>
      </w:r>
    </w:p>
    <w:p>
      <w:pPr>
        <w:pStyle w:val="ListNumber"/>
        <w:spacing w:after="56"/>
      </w:pPr>
      <w:r>
        <w:t>Enterprise Adoption, Procurement, and Control Crosswalk</w:t>
      </w:r>
    </w:p>
    <w:p>
      <w:pPr>
        <w:pStyle w:val="ListNumber"/>
        <w:spacing w:after="56"/>
      </w:pPr>
      <w:r>
        <w:t>Comparative Field and System Positioning</w:t>
      </w:r>
    </w:p>
    <w:p>
      <w:pPr>
        <w:pStyle w:val="ListNumber"/>
        <w:spacing w:after="56"/>
      </w:pPr>
      <w:r>
        <w:t>Detailed System Mappings</w:t>
      </w:r>
    </w:p>
    <w:p>
      <w:pPr>
        <w:pStyle w:val="ListNumber"/>
        <w:spacing w:after="56"/>
      </w:pPr>
      <w:r>
        <w:t>MPLP Deep Mapping, Boundary, and Non-Claim Discipline</w:t>
      </w:r>
    </w:p>
    <w:p>
      <w:pPr>
        <w:pStyle w:val="ListNumber"/>
        <w:spacing w:after="56"/>
      </w:pPr>
      <w:r>
        <w:t>Evidence-Based Validation Pattern</w:t>
      </w:r>
    </w:p>
    <w:p>
      <w:pPr>
        <w:pStyle w:val="ListNumber"/>
        <w:spacing w:after="56"/>
      </w:pPr>
      <w:r>
        <w:t>Enterprise Failure Scenarios</w:t>
      </w:r>
    </w:p>
    <w:p>
      <w:pPr>
        <w:pStyle w:val="ListNumber"/>
        <w:spacing w:after="56"/>
      </w:pPr>
      <w:r>
        <w:t>Boundary to Companion Papers</w:t>
      </w:r>
    </w:p>
    <w:p>
      <w:pPr>
        <w:pStyle w:val="Heading3"/>
      </w:pPr>
      <w:r>
        <w:t>Part IV — Enterprise Adoption</w:t>
      </w:r>
    </w:p>
    <w:p>
      <w:pPr>
        <w:pStyle w:val="ListNumber"/>
        <w:spacing w:after="56"/>
      </w:pPr>
      <w:r>
        <w:t>Adoption Roadmap</w:t>
      </w:r>
    </w:p>
    <w:p>
      <w:pPr>
        <w:pStyle w:val="ListNumber"/>
        <w:spacing w:after="56"/>
      </w:pPr>
      <w:r>
        <w:t>Conclusion</w:t>
      </w:r>
    </w:p>
    <w:p>
      <w:pPr>
        <w:pStyle w:val="Heading3"/>
      </w:pPr>
      <w:r>
        <w:t>Part V — Technical Appendices</w:t>
      </w:r>
    </w:p>
    <w:p>
      <w:pPr>
        <w:pStyle w:val="ListNumber"/>
        <w:spacing w:after="56"/>
      </w:pPr>
      <w:r>
        <w:t>Appendices A-K</w:t>
      </w:r>
    </w:p>
    <w:p>
      <w:pPr>
        <w:pStyle w:val="Heading2"/>
      </w:pPr>
      <w:r>
        <w:t>List of Figures</w:t>
      </w:r>
    </w:p>
    <w:p>
      <w:pPr>
        <w:pStyle w:val="ListBullet"/>
        <w:spacing w:after="56"/>
      </w:pPr>
      <w:r>
        <w:t>Figure F-01 — AI Agent Lifecycle Governance Stack</w:t>
      </w:r>
    </w:p>
    <w:p>
      <w:pPr>
        <w:pStyle w:val="ListBullet"/>
        <w:spacing w:after="56"/>
      </w:pPr>
      <w:r>
        <w:t>Figure F-02 — Governance Stack / Missing Layer</w:t>
      </w:r>
    </w:p>
    <w:p>
      <w:pPr>
        <w:pStyle w:val="ListBullet"/>
        <w:spacing w:after="56"/>
      </w:pPr>
      <w:r>
        <w:t>Figure F-03 — MRO Topology</w:t>
      </w:r>
    </w:p>
    <w:p>
      <w:pPr>
        <w:pStyle w:val="ListBullet"/>
        <w:spacing w:after="56"/>
      </w:pPr>
      <w:r>
        <w:t>Figure F-04 — RCCS/ALCS Dual Scoring Model</w:t>
      </w:r>
    </w:p>
    <w:p>
      <w:pPr>
        <w:pStyle w:val="ListBullet"/>
        <w:spacing w:after="56"/>
      </w:pPr>
      <w:r>
        <w:t>Figure F-05 — Lifecycle Conformance Mapping Strength Heatmap</w:t>
      </w:r>
    </w:p>
    <w:p>
      <w:pPr>
        <w:pStyle w:val="ListBullet"/>
        <w:spacing w:after="56"/>
      </w:pPr>
      <w:r>
        <w:t>Figure F-06 — Enterprise Control Overlay for AI Agent Lifecycle Governance</w:t>
      </w:r>
    </w:p>
    <w:p>
      <w:pPr>
        <w:pStyle w:val="ListBullet"/>
        <w:spacing w:after="56"/>
      </w:pPr>
      <w:r>
        <w:t>Figure F-07 — Model Risk in Agentic Lifecycle</w:t>
      </w:r>
    </w:p>
    <w:p>
      <w:pPr>
        <w:pStyle w:val="ListBullet"/>
        <w:spacing w:after="56"/>
      </w:pPr>
      <w:r>
        <w:t>Figure F-08 — Evidence-Based Validation Pattern Flow</w:t>
      </w:r>
    </w:p>
    <w:p>
      <w:pPr>
        <w:pStyle w:val="ListBullet"/>
        <w:spacing w:after="56"/>
      </w:pPr>
      <w:r>
        <w:t>Figure F-09 — Enterprise Failure Scenario Chain</w:t>
      </w:r>
    </w:p>
    <w:p>
      <w:pPr>
        <w:pStyle w:val="ListBullet"/>
        <w:spacing w:after="56"/>
      </w:pPr>
      <w:r>
        <w:t>Figure F-10 — Companion Paper Boundary Map</w:t>
      </w:r>
    </w:p>
    <w:p>
      <w:pPr>
        <w:pStyle w:val="ListBullet"/>
        <w:spacing w:after="56"/>
      </w:pPr>
      <w:r>
        <w:t>Figure F-11 — Stage 0-to-7 Adoption Roadmap</w:t>
      </w:r>
    </w:p>
    <w:p>
      <w:pPr>
        <w:pStyle w:val="Heading2"/>
      </w:pPr>
      <w:r>
        <w:t>List of Tables</w:t>
      </w:r>
    </w:p>
    <w:p>
      <w:pPr>
        <w:spacing w:after="56"/>
      </w:pPr>
      <w:r>
        <w:t>The paper contains detailed body and appendix tables. The most important table groups are:</w:t>
      </w:r>
    </w:p>
    <w:p>
      <w:pPr>
        <w:spacing w:after="56"/>
      </w:pPr>
      <w:r>
        <w:t>A complete table inventory is maintained in the technical source ledger; this publication lists major table groups for reader navigation.</w:t>
      </w:r>
    </w:p>
    <w:p>
      <w:pPr>
        <w:pStyle w:val="ListBullet"/>
        <w:spacing w:after="56"/>
      </w:pPr>
      <w:r>
        <w:t>Scope, boundary, document-control, and evidence-basis tables in the front matter and Chapter 1</w:t>
      </w:r>
    </w:p>
    <w:p>
      <w:pPr>
        <w:pStyle w:val="ListBullet"/>
        <w:spacing w:after="56"/>
      </w:pPr>
      <w:r>
        <w:t>Regulatory and standards baseline tables in Chapter 4</w:t>
      </w:r>
    </w:p>
    <w:p>
      <w:pPr>
        <w:pStyle w:val="ListBullet"/>
        <w:spacing w:after="56"/>
      </w:pPr>
      <w:r>
        <w:t>Missing Regulatory Object tables in Chapter 6</w:t>
      </w:r>
    </w:p>
    <w:p>
      <w:pPr>
        <w:pStyle w:val="ListBullet"/>
        <w:spacing w:after="56"/>
      </w:pPr>
      <w:r>
        <w:t>RCCS, ALCS, and composite scoring tables in Chapters 7-9</w:t>
      </w:r>
    </w:p>
    <w:p>
      <w:pPr>
        <w:pStyle w:val="ListBullet"/>
        <w:spacing w:after="56"/>
      </w:pPr>
      <w:r>
        <w:t>Enterprise control, procurement, board reporting, model risk, and cybersecurity crosswalk tables in Chapter 10</w:t>
      </w:r>
    </w:p>
    <w:p>
      <w:pPr>
        <w:pStyle w:val="ListBullet"/>
        <w:spacing w:after="56"/>
      </w:pPr>
      <w:r>
        <w:t>System mapping and comparative posture tables in Chapters 11-13 and Appendix D</w:t>
      </w:r>
    </w:p>
    <w:p>
      <w:pPr>
        <w:pStyle w:val="ListBullet"/>
        <w:spacing w:after="56"/>
      </w:pPr>
      <w:r>
        <w:t>Evidence validation and failure scenario tables in Chapters 14-15</w:t>
      </w:r>
    </w:p>
    <w:p>
      <w:pPr>
        <w:pStyle w:val="ListBullet"/>
        <w:spacing w:after="56"/>
      </w:pPr>
      <w:r>
        <w:t>Adoption roadmap and contribution-summary tables in Chapters 17-18</w:t>
      </w:r>
    </w:p>
    <w:p>
      <w:pPr>
        <w:pStyle w:val="ListBullet"/>
        <w:spacing w:after="56"/>
      </w:pPr>
      <w:r>
        <w:t>Technical appendices A-K, including scorecard templates, source ledgers, detailed rubrics, Appendix G provisional system assessments, procurement scorecards, source audit registers, gap closure matrices, and editorial remediation records</w:t>
      </w:r>
    </w:p>
    <w:p>
      <w:pPr>
        <w:pStyle w:val="Heading2"/>
      </w:pPr>
      <w:r>
        <w:t>Executive Summary</w:t>
      </w:r>
    </w:p>
    <w:p>
      <w:pPr>
        <w:spacing w:after="56"/>
      </w:pPr>
      <w:r>
        <w:t>AI compliance is entering a structural transition. The compliance object is no longer limited to a model, a dataset, a prompt, or a single application output. In enterprise environments, AI systems increasingly plan work, use tools, call APIs, retrieve memory, delegate tasks, collaborate with other agents, and produce operational outcomes. This means the central compliance question is changing from whether a model produced a safe output to whether an organized and proven agentic unit of work was authorized, executed, evidenced, reviewed, accepted, disputed, remediated, and improved.</w:t>
      </w:r>
    </w:p>
    <w:p>
      <w:pPr>
        <w:pStyle w:val="Heading3"/>
      </w:pPr>
      <w:r>
        <w:t>The Missing Layer</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 A model answer becomes enterprise risk when it is embedded inside a workflow that can send an email, approve a refund, update a database, deploy code, modify access permissions, route a customer case, create a compliance record, or trigger another autonomous agent.</w:t>
      </w:r>
    </w:p>
    <w:p>
      <w:pPr>
        <w:spacing w:after="56"/>
      </w:pPr>
      <w:r>
        <w:t>This white paper names the missing layer AI Agent Lifecycle Governance. AI Agent Lifecycle Governance is the governance layer that defines how agentic work is authorized, executed, evidenced, reviewed, accepted, disputed, remediated, and reused across agents, humans, tools, projects, vendors, and organizational boundaries.</w:t>
      </w:r>
    </w:p>
    <w:p>
      <w:pPr>
        <w:pStyle w:val="Heading3"/>
      </w:pPr>
      <w:r>
        <w:t>Key Findings</w:t>
      </w:r>
    </w:p>
    <w:p>
      <w:pPr>
        <w:pStyle w:val="ListBullet"/>
        <w:spacing w:after="56"/>
      </w:pPr>
      <w:r>
        <w:t>Model governance remains necessary, but it is not sufficient for agentic and multi-agent workflows that act through tools, memory, APIs, and delegation.</w:t>
      </w:r>
    </w:p>
    <w:p>
      <w:pPr>
        <w:pStyle w:val="ListBullet"/>
        <w:spacing w:after="56"/>
      </w:pPr>
      <w:r>
        <w:t>Lifecycle responsibility objects are needed to connect intent, authority, evidence, review, accepted outcome, dispute, remediation, and reuse.</w:t>
      </w:r>
    </w:p>
    <w:p>
      <w:pPr>
        <w:pStyle w:val="ListBullet"/>
        <w:spacing w:after="56"/>
      </w:pPr>
      <w:r>
        <w:t>The sixteen Missing Regulatory Objects define engineering objects that help make existing governance expectations testable in agentic execution.</w:t>
      </w:r>
    </w:p>
    <w:p>
      <w:pPr>
        <w:pStyle w:val="ListBullet"/>
        <w:spacing w:after="56"/>
      </w:pPr>
      <w:r>
        <w:t>RCCS and ALCS measure different layers: regulatory coverage and agentic lifecycle conformance. A system can be strong in one layer and weak in the other.</w:t>
      </w:r>
    </w:p>
    <w:p>
      <w:pPr>
        <w:pStyle w:val="ListBullet"/>
        <w:spacing w:after="56"/>
      </w:pPr>
      <w:r>
        <w:t>Logs, traces, dashboards, and guardrails are useful, but they are not evidence chains by themselves unless tied to authority, responsibility, privacy, acceptance, and remediation semantics.</w:t>
      </w:r>
    </w:p>
    <w:p>
      <w:pPr>
        <w:pStyle w:val="ListBullet"/>
        <w:spacing w:after="56"/>
      </w:pPr>
      <w:r>
        <w:t>Validation verdicts can support evidence review, but they do not prove legal compliance, regulatory approval, certification, or procurement suitability.</w:t>
      </w:r>
    </w:p>
    <w:p>
      <w:pPr>
        <w:pStyle w:val="Heading3"/>
      </w:pPr>
      <w:r>
        <w:t>Core Thesis</w:t>
      </w:r>
    </w:p>
    <w:p>
      <w:pPr>
        <w:spacing w:after="56"/>
      </w:pPr>
      <w:r>
        <w:t>The paper argues that AI Agent / MAS compliance is not only model compliance. It is lifecycle responsibility compliance.</w:t>
      </w:r>
    </w:p>
    <w:p>
      <w:pPr>
        <w:spacing w:after="56"/>
      </w:pPr>
      <w:r>
        <w:t>That thesis has practical consequences. 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Figure F-01 - AI Agent Lifecycle Governance Stack</w:t>
      </w:r>
    </w:p>
    <w:p>
      <w:pPr>
        <w:spacing w:after="56"/>
      </w:pPr>
      <w:r>
        <w:t>Intent -&gt; Context -&gt; Plan -&gt; Authority -&gt; Agent Work -&gt; Tool Actions -&gt; Evidence -&gt; Review -&gt; Accepted Outcome -&gt; Dispute / Remediation</w:t>
      </w:r>
    </w:p>
    <w:p>
      <w:pPr>
        <w:spacing w:after="56"/>
      </w:pPr>
      <w:r>
        <w:t>Figure F-01 summarizes the lifecycle responsibility chain used throughout the paper. The chain is a governance model, not a certification path or legal compliance proof.</w:t>
      </w:r>
    </w:p>
    <w:p>
      <w:pPr>
        <w:pStyle w:val="Heading3"/>
      </w:pPr>
      <w:r>
        <w:t>Dual Scoring Framework</w:t>
      </w:r>
    </w:p>
    <w:p>
      <w:pPr>
        <w:spacing w:after="56"/>
      </w:pPr>
      <w:r>
        <w:t>The report introduces two scoring layers:</w:t>
      </w:r>
    </w:p>
    <w:p>
      <w:pPr>
        <w:pStyle w:val="ListNumber"/>
        <w:spacing w:after="56"/>
      </w:pPr>
      <w:r>
        <w:t>RCCS - Regulatory Compliance Coverage Score - measures how strongly a system covers existing regulatory and governance requirements such as risk management, data governance, documentation, record-keeping, transparency, human oversight, security, accountability, contestability, and monitoring.</w:t>
      </w:r>
    </w:p>
    <w:p>
      <w:pPr>
        <w:pStyle w:val="ListNumber"/>
        <w:spacing w:after="56"/>
      </w:pPr>
      <w:r>
        <w:t>ALCS - Agentic Lifecycle Conformance Score - measures whether a system defines the agentic lifecycle objects required for lifecycle responsibility compliance. A system can have a strong RCCS score and still have a weak ALCS score. That is not a contradiction. It means the system may be strong in existing model governance or platform controls while lacking deeper lifecycle responsibility semantics for multi-agent work.</w:t>
      </w:r>
    </w:p>
    <w:p>
      <w:pPr>
        <w:pStyle w:val="Heading3"/>
      </w:pPr>
      <w:r>
        <w:t>Missing Regulatory Objects</w:t>
      </w:r>
    </w:p>
    <w:p>
      <w:pPr>
        <w:spacing w:after="56"/>
      </w:pPr>
      <w:r>
        <w:t>The report also introduces sixteen Missing Regulatory Objects. These are not proposed legal mandates. They are engineering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The sixteen MROs are:</w:t>
      </w:r>
    </w:p>
    <w:p>
      <w:pPr>
        <w:pStyle w:val="ListBullet"/>
        <w:spacing w:after="56"/>
      </w:pPr>
      <w:r>
        <w:t>MRO-01: Human Role to MAS Responsibility Mapping</w:t>
      </w:r>
    </w:p>
    <w:p>
      <w:pPr>
        <w:pStyle w:val="ListBullet"/>
        <w:spacing w:after="56"/>
      </w:pPr>
      <w:r>
        <w:t>MRO-02: Delegated Authority Boundary</w:t>
      </w:r>
    </w:p>
    <w:p>
      <w:pPr>
        <w:pStyle w:val="ListBullet"/>
        <w:spacing w:after="56"/>
      </w:pPr>
      <w:r>
        <w:t>MRO-03: Agent Role is not Human Role</w:t>
      </w:r>
    </w:p>
    <w:p>
      <w:pPr>
        <w:pStyle w:val="ListBullet"/>
        <w:spacing w:after="56"/>
      </w:pPr>
      <w:r>
        <w:t>MRO-04: Accepted Outcome Compliance</w:t>
      </w:r>
    </w:p>
    <w:p>
      <w:pPr>
        <w:pStyle w:val="ListBullet"/>
        <w:spacing w:after="56"/>
      </w:pPr>
      <w:r>
        <w:t>MRO-05: Tool-Action Liability Boundary</w:t>
      </w:r>
    </w:p>
    <w:p>
      <w:pPr>
        <w:pStyle w:val="ListBullet"/>
        <w:spacing w:after="56"/>
      </w:pPr>
      <w:r>
        <w:t>MRO-06: Responsibility Transfer Across Agents</w:t>
      </w:r>
    </w:p>
    <w:p>
      <w:pPr>
        <w:pStyle w:val="ListBullet"/>
        <w:spacing w:after="56"/>
      </w:pPr>
      <w:r>
        <w:t>MRO-07: Authority Drift</w:t>
      </w:r>
    </w:p>
    <w:p>
      <w:pPr>
        <w:pStyle w:val="ListBullet"/>
        <w:spacing w:after="56"/>
      </w:pPr>
      <w:r>
        <w:t>MRO-08: MAS Evidence Partitioning</w:t>
      </w:r>
    </w:p>
    <w:p>
      <w:pPr>
        <w:pStyle w:val="ListBullet"/>
        <w:spacing w:after="56"/>
      </w:pPr>
      <w:r>
        <w:t>MRO-09: Cross-Project Reuse Compliance</w:t>
      </w:r>
    </w:p>
    <w:p>
      <w:pPr>
        <w:pStyle w:val="ListBullet"/>
        <w:spacing w:after="56"/>
      </w:pPr>
      <w:r>
        <w:t>MRO-10: Privacy / GDPR Lifecycle Mapping</w:t>
      </w:r>
    </w:p>
    <w:p>
      <w:pPr>
        <w:pStyle w:val="ListBullet"/>
        <w:spacing w:after="56"/>
      </w:pPr>
      <w:r>
        <w:t>MRO-11: Privacy-Preserving Third-Party Validation</w:t>
      </w:r>
    </w:p>
    <w:p>
      <w:pPr>
        <w:pStyle w:val="ListBullet"/>
        <w:spacing w:after="56"/>
      </w:pPr>
      <w:r>
        <w:t>MRO-12: Evidence Minimization and Selective Disclosure</w:t>
      </w:r>
    </w:p>
    <w:p>
      <w:pPr>
        <w:pStyle w:val="ListBullet"/>
        <w:spacing w:after="56"/>
      </w:pPr>
      <w:r>
        <w:t>MRO-13: Data Subject Rights vs Evidence Retention</w:t>
      </w:r>
    </w:p>
    <w:p>
      <w:pPr>
        <w:pStyle w:val="ListBullet"/>
        <w:spacing w:after="56"/>
      </w:pPr>
      <w:r>
        <w:t>MRO-14: Third-Party Processor / Subprocessor Chain</w:t>
      </w:r>
    </w:p>
    <w:p>
      <w:pPr>
        <w:pStyle w:val="ListBullet"/>
        <w:spacing w:after="56"/>
      </w:pPr>
      <w:r>
        <w:t>MRO-15: Vendor / Model / Runtime Substitution Conformance</w:t>
      </w:r>
    </w:p>
    <w:p>
      <w:pPr>
        <w:pStyle w:val="ListBullet"/>
        <w:spacing w:after="56"/>
      </w:pPr>
      <w:r>
        <w:t>MRO-16: Incident, Dispute, and Remediation Closure</w:t>
      </w:r>
    </w:p>
    <w:p>
      <w:pPr>
        <w:pStyle w:val="Heading3"/>
      </w:pPr>
      <w:r>
        <w:t>Comparative System Analysis</w:t>
      </w:r>
    </w:p>
    <w:p>
      <w:pPr>
        <w:spacing w:after="56"/>
      </w:pPr>
      <w:r>
        <w:t>Finally, the report compares the major system categories now shaping the enterprise agentic stack:</w:t>
      </w:r>
    </w:p>
    <w:p>
      <w:pPr>
        <w:pStyle w:val="ListBullet"/>
        <w:spacing w:after="56"/>
      </w:pPr>
      <w:r>
        <w:t>MPLP as a lifecycle protocol path</w:t>
      </w:r>
    </w:p>
    <w:p>
      <w:pPr>
        <w:pStyle w:val="ListBullet"/>
        <w:spacing w:after="56"/>
      </w:pPr>
      <w:r>
        <w:t>IBM watsonx.governance as an enterprise AI governance platform</w:t>
      </w:r>
    </w:p>
    <w:p>
      <w:pPr>
        <w:pStyle w:val="ListBullet"/>
        <w:spacing w:after="56"/>
      </w:pPr>
      <w:r>
        <w:t>Microsoft Azure AI Foundry as an enterprise AI platform and observability/control plane</w:t>
      </w:r>
    </w:p>
    <w:p>
      <w:pPr>
        <w:pStyle w:val="ListBullet"/>
        <w:spacing w:after="56"/>
      </w:pPr>
      <w:r>
        <w:t>AWS Bedrock and AgentCore as managed agent runtime and guardrail infrastructure</w:t>
      </w:r>
    </w:p>
    <w:p>
      <w:pPr>
        <w:pStyle w:val="ListBullet"/>
        <w:spacing w:after="56"/>
      </w:pPr>
      <w:r>
        <w:t>Google Vertex AI/ADK/Model Armor as managed AI and agent safety infrastructure</w:t>
      </w:r>
    </w:p>
    <w:p>
      <w:pPr>
        <w:pStyle w:val="ListBullet"/>
        <w:spacing w:after="56"/>
      </w:pPr>
      <w:r>
        <w:t>LangGraph/LangSmith as stateful orchestration and observability/evaluation tooling</w:t>
      </w:r>
    </w:p>
    <w:p>
      <w:pPr>
        <w:pStyle w:val="ListBullet"/>
        <w:spacing w:after="56"/>
      </w:pPr>
      <w:r>
        <w:t>OpenAI Agents SDK as a developer agent SDK</w:t>
      </w:r>
    </w:p>
    <w:p>
      <w:pPr>
        <w:pStyle w:val="ListBullet"/>
        <w:spacing w:after="56"/>
      </w:pPr>
      <w:r>
        <w:t>CrewAI as a multi-agent orchestration framework</w:t>
      </w:r>
    </w:p>
    <w:p>
      <w:pPr>
        <w:spacing w:after="56"/>
      </w:pPr>
      <w:r>
        <w:t>The comparison is not a ranking of product quality. It is a map of responsibility semantics. The key question is not which system is useful. Most of them are useful. The key question is whether the system defines the lifecycle responsibility objects required to prove that agentic work moved from intent to accepted outcome under controlled authority, evidence, privacy, and remediation constraints.</w:t>
      </w:r>
    </w:p>
    <w:p>
      <w:pPr>
        <w:pStyle w:val="Heading3"/>
      </w:pPr>
      <w:r>
        <w:t>Enterprise Action Implications</w:t>
      </w:r>
    </w:p>
    <w:p>
      <w:pPr>
        <w:pStyle w:val="ListBullet"/>
        <w:spacing w:after="56"/>
      </w:pPr>
      <w:r>
        <w:t>Start with an authority, responsibility, and evidence inventory before selecting or extending agentic platforms.</w:t>
      </w:r>
    </w:p>
    <w:p>
      <w:pPr>
        <w:pStyle w:val="ListBullet"/>
        <w:spacing w:after="56"/>
      </w:pPr>
      <w:r>
        <w:t>Separate model governance controls from lifecycle responsibility controls so that logs, traces, guardrails, and reviews are not over-read as proof of accepted outcomes.</w:t>
      </w:r>
    </w:p>
    <w:p>
      <w:pPr>
        <w:pStyle w:val="ListBullet"/>
        <w:spacing w:after="56"/>
      </w:pPr>
      <w:r>
        <w:t>Map current systems against MRO, RCCS, and ALCS dimensions to identify which controls are documented, which are implementation-dependent, and which remain analytical assumptions.</w:t>
      </w:r>
    </w:p>
    <w:p>
      <w:pPr>
        <w:pStyle w:val="ListBullet"/>
        <w:spacing w:after="56"/>
      </w:pPr>
      <w:r>
        <w:t>Treat MPLP, Validation Lab, and comparable lifecycle protocols or evidence tools as possible implementation patterns, not required paths or certification mechanisms.</w:t>
      </w:r>
    </w:p>
    <w:p>
      <w:pPr>
        <w:pStyle w:val="ListBullet"/>
        <w:spacing w:after="56"/>
      </w:pPr>
      <w:r>
        <w:t>Preserve source and evidence levels near high-risk product, protocol, validation, and system-mapping claims before publication or procurement use.</w:t>
      </w:r>
    </w:p>
    <w:p>
      <w:pPr>
        <w:pStyle w:val="Heading3"/>
      </w:pPr>
      <w:r>
        <w:t>Audience and Use</w:t>
      </w:r>
    </w:p>
    <w:p>
      <w:pPr>
        <w:spacing w:after="56"/>
      </w:pPr>
      <w:r>
        <w:t>This paper is written for AI governance leaders, enterprise architects, compliance teams, cybersecurity leaders, agent platform builders, insurance and assurance professionals, and protocol designers. It is a technical governance analysis, not legal advice. It translates regulatory and standards language into engineering requirements for agentic and multi-agent systems.</w:t>
      </w:r>
    </w:p>
    <w:p>
      <w:pPr>
        <w:pStyle w:val="Heading3"/>
      </w:pPr>
      <w:r>
        <w:t>Document Status</w:t>
      </w:r>
    </w:p>
    <w:p>
      <w:pPr>
        <w:spacing w:after="56"/>
      </w:pPr>
      <w:r>
        <w:t>This is v0.3.2 Final Release Candidate R3 (GACWP-2026-v0.3.2-FRC-R3) in Publication Draft status. It remains subject to editorial review, citation review, visual proofing, and final release approval.</w:t>
      </w:r>
    </w:p>
    <w:p>
      <w:pPr>
        <w:spacing w:after="56"/>
      </w:pPr>
      <w:r>
        <w:t>Author: Jearon Wong</w:t>
      </w:r>
    </w:p>
    <w:p>
      <w:pPr>
        <w:spacing w:after="56"/>
      </w:pPr>
      <w:r>
        <w:t>Author Position: Protocol Architect for the Agent Era</w:t>
      </w:r>
    </w:p>
    <w:p>
      <w:pPr>
        <w:spacing w:after="56"/>
      </w:pPr>
      <w:r>
        <w:t>Protocol Disclosure: Creator of MPLP — Multi-Agent Lifecycle Protocol</w:t>
      </w:r>
    </w:p>
    <w:p>
      <w:pPr>
        <w:spacing w:after="56"/>
      </w:pPr>
      <w:r>
        <w:t>Site: JearonWong.com</w:t>
      </w:r>
    </w:p>
    <w:p>
      <w:pPr>
        <w:spacing w:after="56"/>
      </w:pPr>
      <w:r>
        <w:t>Non-legal technical governance analysis. Not legal advice. MPLP is discussed with explicit conflict-of-interest disclosure.</w:t>
      </w:r>
    </w:p>
    <w:p>
      <w:pPr>
        <w:pStyle w:val="Heading1"/>
      </w:pPr>
      <w:r>
        <w:t>Chapter 1: Scope, Methodology, and Non-Legal Boundary</w:t>
      </w:r>
    </w:p>
    <w:p>
      <w:pPr>
        <w:spacing w:after="56"/>
      </w:pPr>
      <w:r>
        <w:t>Version: v0.3.2-FRC-R3</w:t>
      </w:r>
    </w:p>
    <w:p>
      <w:pPr>
        <w:pStyle w:val="Heading2"/>
      </w:pPr>
      <w:r>
        <w:t>1.1 Purpose and Positioning</w:t>
      </w:r>
    </w:p>
    <w:p>
      <w:pPr>
        <w:spacing w:after="56"/>
      </w:pPr>
      <w:r>
        <w:t>The front matter states the document boundary; this chapter explains how that boundary is operationalized as a technical governance method.</w:t>
      </w:r>
    </w:p>
    <w:p>
      <w:pPr>
        <w:spacing w:after="56"/>
      </w:pPr>
      <w:r>
        <w:t>This paper is a technical governance analysis, not legal advice. It translates regulatory and standards language into engineering requirements for agentic and multi-agent systems. It is written for AI governance leaders, enterprise architects, AI risk teams, compliance teams, cybersecurity leaders, agent platform builders, insurance and assurance professionals, and protocol designers.</w:t>
      </w:r>
    </w:p>
    <w:p>
      <w:pPr>
        <w:spacing w:after="56"/>
      </w:pPr>
      <w:r>
        <w:t>The paper does not claim that current AI regulation is absent or weak. The claim is narrower and more technical: current regulation and governance frameworks increasingly require human oversight, logging, documentation, monitoring, accountability, transparency, and privacy controls, but they do not yet fully specify the lifecycle objects required to prove those properties inside dynamic agentic and multi-agent execution.</w:t>
      </w:r>
    </w:p>
    <w:p>
      <w:pPr>
        <w:spacing w:after="56"/>
      </w:pPr>
      <w:r>
        <w:t>This full research edition expands the v0.3 framework into a publication-grade white paper. Its purpose is to define a missing semantic and engineering layer for AI agent and multi-agent system compliance. It is deliberately more detailed than an executive brief: the paper introduces a terminology layer, an object model, a dual scoring framework, system-specific mappings, comparative matrices, and implementation templates.</w:t>
      </w:r>
    </w:p>
    <w:p>
      <w:pPr>
        <w:pStyle w:val="Heading2"/>
      </w:pPr>
      <w:r>
        <w:t>1.2 Intended Audience</w:t>
      </w:r>
    </w:p>
    <w:p>
      <w:pPr>
        <w:spacing w:after="56"/>
      </w:pPr>
      <w:r>
        <w:t>This paper is designed for professionals who must translate regulatory obligations into operational systems:</w:t>
      </w:r>
    </w:p>
    <w:p>
      <w:pPr>
        <w:pStyle w:val="ListBullet"/>
        <w:spacing w:after="56"/>
      </w:pPr>
      <w:r>
        <w:t>AI Governance Leaders who must define enterprise AI governance frameworks that extend beyond model risk management</w:t>
      </w:r>
    </w:p>
    <w:p>
      <w:pPr>
        <w:pStyle w:val="ListBullet"/>
        <w:spacing w:after="56"/>
      </w:pPr>
      <w:r>
        <w:t>Enterprise Architects who must design agentic systems that can demonstrate lifecycle responsibility</w:t>
      </w:r>
    </w:p>
    <w:p>
      <w:pPr>
        <w:pStyle w:val="ListBullet"/>
        <w:spacing w:after="56"/>
      </w:pPr>
      <w:r>
        <w:t>AI Risk Teams who must assess whether agentic workflows meet regulatory and internal control requirements</w:t>
      </w:r>
    </w:p>
    <w:p>
      <w:pPr>
        <w:pStyle w:val="ListBullet"/>
        <w:spacing w:after="56"/>
      </w:pPr>
      <w:r>
        <w:t>Compliance Teams who must map regulatory language to technical controls</w:t>
      </w:r>
    </w:p>
    <w:p>
      <w:pPr>
        <w:pStyle w:val="ListBullet"/>
        <w:spacing w:after="56"/>
      </w:pPr>
      <w:r>
        <w:t>Cybersecurity Leaders who must secure agentic workflows across tool actions, memory, and delegation</w:t>
      </w:r>
    </w:p>
    <w:p>
      <w:pPr>
        <w:pStyle w:val="ListBullet"/>
        <w:spacing w:after="56"/>
      </w:pPr>
      <w:r>
        <w:t>Agent Platform Builders who must design platforms that support lifecycle governance primitives</w:t>
      </w:r>
    </w:p>
    <w:p>
      <w:pPr>
        <w:pStyle w:val="ListBullet"/>
        <w:spacing w:after="56"/>
      </w:pPr>
      <w:r>
        <w:t>Insurance and Assurance Professionals who must evaluate whether agentic systems are auditable and insurable</w:t>
      </w:r>
    </w:p>
    <w:p>
      <w:pPr>
        <w:pStyle w:val="ListBullet"/>
        <w:spacing w:after="56"/>
      </w:pPr>
      <w:r>
        <w:t>Protocol Designers who must create standards for agentic lifecycle responsibility</w:t>
      </w:r>
    </w:p>
    <w:p>
      <w:pPr>
        <w:pStyle w:val="Heading2"/>
      </w:pPr>
      <w:r>
        <w:t>1.3 Scope Boundary</w:t>
      </w:r>
    </w:p>
    <w:p>
      <w:pPr>
        <w:spacing w:after="56"/>
      </w:pPr>
      <w:r>
        <w:t>The scope includes internationally comparable legal frameworks, voluntary governance frameworks, management standards, web provenance standards, public cloud AI platforms, agent orchestration frameworks, developer SDKs, and protocol-level approaches. The analysis deliberately avoids jurisdiction-specific political content controls and focuses instead on lifecycle responsibility, auditability, privacy, evidence, and enterprise deployment readiness.</w:t>
      </w:r>
    </w:p>
    <w:p>
      <w:pPr>
        <w:keepNext/>
      </w:pPr>
      <w:r>
        <w:rPr>
          <w:b/>
          <w:sz w:val="16"/>
        </w:rPr>
        <w:t>Table T-01-01: In Scope / Out of Scope</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In Scope</w:t>
            </w:r>
          </w:p>
        </w:tc>
        <w:tc>
          <w:tcPr>
            <w:tcW w:type="dxa" w:w="5112"/>
          </w:tcPr>
          <w:p>
            <w:pPr>
              <w:spacing w:after="0"/>
            </w:pPr>
            <w:r>
              <w:rPr>
                <w:rFonts w:ascii="Arial" w:hAnsi="Arial"/>
                <w:b/>
                <w:sz w:val="14"/>
              </w:rPr>
              <w:t>Out of Scope</w:t>
            </w:r>
          </w:p>
        </w:tc>
      </w:tr>
      <w:tr>
        <w:tc>
          <w:tcPr>
            <w:tcW w:type="dxa" w:w="5112"/>
          </w:tcPr>
          <w:p>
            <w:pPr>
              <w:spacing w:after="0"/>
            </w:pPr>
            <w:r>
              <w:rPr>
                <w:rFonts w:ascii="Arial" w:hAnsi="Arial"/>
                <w:b w:val="0"/>
                <w:sz w:val="14"/>
              </w:rPr>
              <w:t>Agentic AI lifecycle responsibility</w:t>
            </w:r>
          </w:p>
        </w:tc>
        <w:tc>
          <w:tcPr>
            <w:tcW w:type="dxa" w:w="5112"/>
          </w:tcPr>
          <w:p>
            <w:pPr>
              <w:spacing w:after="0"/>
            </w:pPr>
            <w:r>
              <w:rPr>
                <w:rFonts w:ascii="Arial" w:hAnsi="Arial"/>
                <w:b w:val="0"/>
                <w:sz w:val="14"/>
              </w:rPr>
              <w:t>Legal advice for any specific jurisdiction</w:t>
            </w:r>
          </w:p>
        </w:tc>
      </w:tr>
      <w:tr>
        <w:tc>
          <w:tcPr>
            <w:tcW w:type="dxa" w:w="5112"/>
          </w:tcPr>
          <w:p>
            <w:pPr>
              <w:spacing w:after="0"/>
            </w:pPr>
            <w:r>
              <w:rPr>
                <w:rFonts w:ascii="Arial" w:hAnsi="Arial"/>
                <w:b w:val="0"/>
                <w:sz w:val="14"/>
              </w:rPr>
              <w:t>Multi-agent system responsibility transfer</w:t>
            </w:r>
          </w:p>
        </w:tc>
        <w:tc>
          <w:tcPr>
            <w:tcW w:type="dxa" w:w="5112"/>
          </w:tcPr>
          <w:p>
            <w:pPr>
              <w:spacing w:after="0"/>
            </w:pPr>
            <w:r>
              <w:rPr>
                <w:rFonts w:ascii="Arial" w:hAnsi="Arial"/>
                <w:b w:val="0"/>
                <w:sz w:val="14"/>
              </w:rPr>
              <w:t>Political content moderation regimes</w:t>
            </w:r>
          </w:p>
        </w:tc>
      </w:tr>
      <w:tr>
        <w:tc>
          <w:tcPr>
            <w:tcW w:type="dxa" w:w="5112"/>
          </w:tcPr>
          <w:p>
            <w:pPr>
              <w:spacing w:after="0"/>
            </w:pPr>
            <w:r>
              <w:rPr>
                <w:rFonts w:ascii="Arial" w:hAnsi="Arial"/>
                <w:b w:val="0"/>
                <w:sz w:val="14"/>
              </w:rPr>
              <w:t>Evidence, provenance, record-keeping, replay</w:t>
            </w:r>
          </w:p>
        </w:tc>
        <w:tc>
          <w:tcPr>
            <w:tcW w:type="dxa" w:w="5112"/>
          </w:tcPr>
          <w:p>
            <w:pPr>
              <w:spacing w:after="0"/>
            </w:pPr>
            <w:r>
              <w:rPr>
                <w:rFonts w:ascii="Arial" w:hAnsi="Arial"/>
                <w:b w:val="0"/>
                <w:sz w:val="14"/>
              </w:rPr>
              <w:t>Certification issuance or conformity assessment</w:t>
            </w:r>
          </w:p>
        </w:tc>
      </w:tr>
      <w:tr>
        <w:tc>
          <w:tcPr>
            <w:tcW w:type="dxa" w:w="5112"/>
          </w:tcPr>
          <w:p>
            <w:pPr>
              <w:spacing w:after="0"/>
            </w:pPr>
            <w:r>
              <w:rPr>
                <w:rFonts w:ascii="Arial" w:hAnsi="Arial"/>
                <w:b w:val="0"/>
                <w:sz w:val="14"/>
              </w:rPr>
              <w:t>Human oversight as an engineering control</w:t>
            </w:r>
          </w:p>
        </w:tc>
        <w:tc>
          <w:tcPr>
            <w:tcW w:type="dxa" w:w="5112"/>
          </w:tcPr>
          <w:p>
            <w:pPr>
              <w:spacing w:after="0"/>
            </w:pPr>
            <w:r>
              <w:rPr>
                <w:rFonts w:ascii="Arial" w:hAnsi="Arial"/>
                <w:b w:val="0"/>
                <w:sz w:val="14"/>
              </w:rPr>
              <w:t>Claims of regulatory approval</w:t>
            </w:r>
          </w:p>
        </w:tc>
      </w:tr>
      <w:tr>
        <w:tc>
          <w:tcPr>
            <w:tcW w:type="dxa" w:w="5112"/>
          </w:tcPr>
          <w:p>
            <w:pPr>
              <w:spacing w:after="0"/>
            </w:pPr>
            <w:r>
              <w:rPr>
                <w:rFonts w:ascii="Arial" w:hAnsi="Arial"/>
                <w:b w:val="0"/>
                <w:sz w:val="14"/>
              </w:rPr>
              <w:t>Privacy-preserving validation and selective disclosure</w:t>
            </w:r>
          </w:p>
        </w:tc>
        <w:tc>
          <w:tcPr>
            <w:tcW w:type="dxa" w:w="5112"/>
          </w:tcPr>
          <w:p>
            <w:pPr>
              <w:spacing w:after="0"/>
            </w:pPr>
            <w:r>
              <w:rPr>
                <w:rFonts w:ascii="Arial" w:hAnsi="Arial"/>
                <w:b w:val="0"/>
                <w:sz w:val="14"/>
              </w:rPr>
              <w:t>Full product security review of each vendor</w:t>
            </w:r>
          </w:p>
        </w:tc>
      </w:tr>
      <w:tr>
        <w:tc>
          <w:tcPr>
            <w:tcW w:type="dxa" w:w="5112"/>
          </w:tcPr>
          <w:p>
            <w:pPr>
              <w:spacing w:after="0"/>
            </w:pPr>
            <w:r>
              <w:rPr>
                <w:rFonts w:ascii="Arial" w:hAnsi="Arial"/>
                <w:b w:val="0"/>
                <w:sz w:val="14"/>
              </w:rPr>
              <w:t>Framework and platform semantic mapping</w:t>
            </w:r>
          </w:p>
        </w:tc>
        <w:tc>
          <w:tcPr>
            <w:tcW w:type="dxa" w:w="5112"/>
          </w:tcPr>
          <w:p>
            <w:pPr>
              <w:spacing w:after="0"/>
            </w:pPr>
            <w:r>
              <w:rPr>
                <w:rFonts w:ascii="Arial" w:hAnsi="Arial"/>
                <w:b w:val="0"/>
                <w:sz w:val="14"/>
              </w:rPr>
              <w:t>Performance benchmarking or model quality ranking</w:t>
            </w:r>
          </w:p>
        </w:tc>
      </w:tr>
    </w:tbl>
    <w:p>
      <w:pPr>
        <w:pStyle w:val="Heading2"/>
      </w:pPr>
      <w:r>
        <w:t>1.4 Methodology</w:t>
      </w:r>
    </w:p>
    <w:p>
      <w:pPr>
        <w:spacing w:after="56"/>
      </w:pPr>
      <w:r>
        <w:t>The methodology uses a layered approach:</w:t>
      </w:r>
    </w:p>
    <w:p>
      <w:pPr>
        <w:pStyle w:val="ListNumber"/>
        <w:spacing w:after="56"/>
      </w:pPr>
      <w:r>
        <w:t>Extract recurring regulatory concepts from the baseline frameworks: risk management, documentation, logs, transparency, oversight, accountability, security, monitoring, privacy, and redress.</w:t>
      </w:r>
    </w:p>
    <w:p>
      <w:pPr>
        <w:pStyle w:val="ListNumber"/>
        <w:spacing w:after="56"/>
      </w:pPr>
      <w:r>
        <w:t>Ask how these concepts must change when the AI system becomes agentic. The central question is: what must be represented differently when the unit of work is no longer a single model output, but a multi-step workflow involving planning, tool use, memory, delegation, collaboration, and external consequence?</w:t>
      </w:r>
    </w:p>
    <w:p>
      <w:pPr>
        <w:pStyle w:val="ListNumber"/>
        <w:spacing w:after="56"/>
      </w:pPr>
      <w:r>
        <w:t>Define Missing Regulatory Objects that make those obligations testable. These are not proposed legal mandates. They are engineering objects that appear necessary if existing regulatory ideals are to become auditable in multi-agent execution.</w:t>
      </w:r>
    </w:p>
    <w:p>
      <w:pPr>
        <w:pStyle w:val="ListNumber"/>
        <w:spacing w:after="56"/>
      </w:pPr>
      <w:r>
        <w:t>Introduce RCCS and ALCS scoring to separate ordinary governance coverage from lifecycle conformance. RCCS measures how strongly a system covers existing regulatory and governance requirements. ALCS measures whether a system defines the agentic lifecycle objects required for lifecycle responsibility compliance.</w:t>
      </w:r>
    </w:p>
    <w:p>
      <w:pPr>
        <w:pStyle w:val="ListNumber"/>
        <w:spacing w:after="56"/>
      </w:pPr>
      <w:r>
        <w:t>Map representative systems against those objects based on publicly available evidence. The comparison is not a ranking of product quality. It is a map of responsibility semantics.</w:t>
      </w:r>
    </w:p>
    <w:p>
      <w:pPr>
        <w:spacing w:after="56"/>
      </w:pPr>
      <w:r>
        <w:t>The paper avoids pretending that regulatory texts already contain every engineering primitive needed for MAS. It also avoids the opposite error of claiming that existing regulation is irrelevant. The correct position is that existing regulation establishes the direction of travel, while agentic systems require additional engineering object models to implement that direction faithfully.</w:t>
      </w:r>
    </w:p>
    <w:p>
      <w:pPr>
        <w:pStyle w:val="Heading2"/>
      </w:pPr>
      <w:r>
        <w:t>1.5 Evidence Basis</w:t>
      </w:r>
    </w:p>
    <w:p>
      <w:pPr>
        <w:spacing w:after="56"/>
      </w:pPr>
      <w:r>
        <w:t>This hierarchy is necessary because the AI governance market has rapidly overloaded terms such as trace, guardrail, oversight, agent governance, evidence, approval, and evaluation. A trace in an observability product, a log in a cloud service, a review step in an SDK, and an evidence chain in a lifecycle protocol may all sound similar, but they have different compliance strength. This paper therefore treats terminology as insufficient unless it is tied to an object, a rule, an evidence source, and an enforcement or verification mechanism.</w:t>
      </w:r>
    </w:p>
    <w:p>
      <w:pPr>
        <w:keepNext/>
      </w:pPr>
      <w:r>
        <w:rPr>
          <w:b/>
          <w:sz w:val="16"/>
        </w:rPr>
        <w:t>Table T-01-02: Evidence Basis Levels (detailed)</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Use in This Paper</w:t>
            </w:r>
          </w:p>
        </w:tc>
        <w:tc>
          <w:tcPr>
            <w:tcW w:type="dxa" w:w="2556"/>
          </w:tcPr>
          <w:p>
            <w:pPr>
              <w:spacing w:after="0"/>
            </w:pPr>
            <w:r>
              <w:rPr>
                <w:rFonts w:ascii="Arial" w:hAnsi="Arial"/>
                <w:b/>
                <w:sz w:val="14"/>
              </w:rPr>
              <w:t>Confidence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Used for baseline obligations and formal object requirements; does not prove implementation</w:t>
            </w:r>
          </w:p>
        </w:tc>
        <w:tc>
          <w:tcPr>
            <w:tcW w:type="dxa" w:w="2556"/>
          </w:tcPr>
          <w:p>
            <w:pPr>
              <w:spacing w:after="0"/>
            </w:pPr>
            <w:r>
              <w:rPr>
                <w:rFonts w:ascii="Arial" w:hAnsi="Arial"/>
                <w:b w:val="0"/>
                <w:sz w:val="14"/>
              </w:rPr>
              <w:t>Highest</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Used for system mapping and capability interpretation</w:t>
            </w:r>
          </w:p>
        </w:tc>
        <w:tc>
          <w:tcPr>
            <w:tcW w:type="dxa" w:w="2556"/>
          </w:tcPr>
          <w:p>
            <w:pPr>
              <w:spacing w:after="0"/>
            </w:pPr>
            <w:r>
              <w:rPr>
                <w:rFonts w:ascii="Arial" w:hAnsi="Arial"/>
                <w:b w:val="0"/>
                <w:sz w:val="14"/>
              </w:rPr>
              <w:t>High</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Used for supplemental confidence and risk interpretation</w:t>
            </w:r>
          </w:p>
        </w:tc>
        <w:tc>
          <w:tcPr>
            <w:tcW w:type="dxa" w:w="2556"/>
          </w:tcPr>
          <w:p>
            <w:pPr>
              <w:spacing w:after="0"/>
            </w:pPr>
            <w:r>
              <w:rPr>
                <w:rFonts w:ascii="Arial" w:hAnsi="Arial"/>
                <w:b w:val="0"/>
                <w:sz w:val="14"/>
              </w:rPr>
              <w:t>Medium</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Used only when lower-level technical evidence is unavailable or as positioning evidence</w:t>
            </w:r>
          </w:p>
        </w:tc>
        <w:tc>
          <w:tcPr>
            <w:tcW w:type="dxa" w:w="2556"/>
          </w:tcPr>
          <w:p>
            <w:pPr>
              <w:spacing w:after="0"/>
            </w:pPr>
            <w:r>
              <w:rPr>
                <w:rFonts w:ascii="Arial" w:hAnsi="Arial"/>
                <w:b w:val="0"/>
                <w:sz w:val="14"/>
              </w:rPr>
              <w:t>Low</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Allowed only when clearly marked as inference</w:t>
            </w:r>
          </w:p>
        </w:tc>
        <w:tc>
          <w:tcPr>
            <w:tcW w:type="dxa" w:w="2556"/>
          </w:tcPr>
          <w:p>
            <w:pPr>
              <w:spacing w:after="0"/>
            </w:pPr>
            <w:r>
              <w:rPr>
                <w:rFonts w:ascii="Arial" w:hAnsi="Arial"/>
                <w:b w:val="0"/>
                <w:sz w:val="14"/>
              </w:rPr>
              <w:t>Disclosed</w:t>
            </w:r>
          </w:p>
        </w:tc>
      </w:tr>
    </w:tbl>
    <w:p>
      <w:pPr>
        <w:pStyle w:val="Heading2"/>
      </w:pPr>
      <w:r>
        <w:t>1.6 Non-Legal Boundary and Conflict of Interest Disclosure</w:t>
      </w:r>
    </w:p>
    <w:p>
      <w:pPr>
        <w:spacing w:after="56"/>
      </w:pPr>
      <w:r>
        <w:t>Author position: Protocol Architect for the Agent Era</w:t>
      </w:r>
    </w:p>
    <w:p>
      <w:pPr>
        <w:spacing w:after="56"/>
      </w:pPr>
      <w:r>
        <w:t>Non-legal technical governance analysis. Not legal advice. MPLP is discussed with explicit conflict-of-interest disclosure.</w:t>
      </w:r>
    </w:p>
    <w:p>
      <w:pPr>
        <w:spacing w:after="56"/>
      </w:pPr>
      <w:r>
        <w:t>The author is the creator of MPLP - Multi-Agent Lifecycle Protocol. MPLP is one of the systems discussed in this paper. This creates an inherent conflict of interest. The conflict does not invalidate the analysis, but it must be disclosed clearly because this paper argues for a lifecycle protocol layer and then maps MPLP to that layer.</w:t>
      </w:r>
    </w:p>
    <w:p>
      <w:pPr>
        <w:spacing w:after="56"/>
      </w:pPr>
      <w:r>
        <w:t>The controls used to limit over-claiming are as follows:</w:t>
      </w:r>
    </w:p>
    <w:p>
      <w:pPr>
        <w:pStyle w:val="ListBullet"/>
        <w:spacing w:after="56"/>
      </w:pPr>
      <w:r>
        <w:t>MPLP is treated as a protocol path, not a regulator</w:t>
      </w:r>
    </w:p>
    <w:p>
      <w:pPr>
        <w:pStyle w:val="ListBullet"/>
        <w:spacing w:after="56"/>
      </w:pPr>
      <w:r>
        <w:t>Validation Lab is treated as non-certifying evidence adjudication, not legal certification</w:t>
      </w:r>
    </w:p>
    <w:p>
      <w:pPr>
        <w:pStyle w:val="ListBullet"/>
        <w:spacing w:after="56"/>
      </w:pPr>
      <w:r>
        <w:t>Other platforms are evaluated for their own strengths rather than dismissed</w:t>
      </w:r>
    </w:p>
    <w:p>
      <w:pPr>
        <w:pStyle w:val="ListBullet"/>
        <w:spacing w:after="56"/>
      </w:pPr>
      <w:r>
        <w:t>Scoring claims are separated into regulatory coverage and lifecycle conformance evidence levels</w:t>
      </w:r>
    </w:p>
    <w:p>
      <w:pPr>
        <w:pStyle w:val="ListBullet"/>
        <w:spacing w:after="56"/>
      </w:pPr>
      <w:r>
        <w:t>The paper distinguishes a conceptual object model from real-world legal compliance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Boundary</w:t>
            </w:r>
          </w:p>
        </w:tc>
        <w:tc>
          <w:tcPr>
            <w:tcW w:type="dxa" w:w="3408"/>
          </w:tcPr>
          <w:p>
            <w:pPr>
              <w:spacing w:after="0"/>
            </w:pPr>
            <w:r>
              <w:rPr>
                <w:rFonts w:ascii="Arial" w:hAnsi="Arial"/>
                <w:b/>
                <w:sz w:val="14"/>
              </w:rPr>
              <w:t>Required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A lifecycle protocol path for expressing agentic responsibility objects</w:t>
            </w:r>
          </w:p>
        </w:tc>
        <w:tc>
          <w:tcPr>
            <w:tcW w:type="dxa" w:w="3408"/>
          </w:tcPr>
          <w:p>
            <w:pPr>
              <w:spacing w:after="0"/>
            </w:pPr>
            <w:r>
              <w:rPr>
                <w:rFonts w:ascii="Arial" w:hAnsi="Arial"/>
                <w:b w:val="0"/>
                <w:sz w:val="14"/>
              </w:rPr>
              <w:t>The only compliant standard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A non-certifying evidence adjudication example</w:t>
            </w:r>
          </w:p>
        </w:tc>
        <w:tc>
          <w:tcPr>
            <w:tcW w:type="dxa" w:w="3408"/>
          </w:tcPr>
          <w:p>
            <w:pPr>
              <w:spacing w:after="0"/>
            </w:pPr>
            <w:r>
              <w:rPr>
                <w:rFonts w:ascii="Arial" w:hAnsi="Arial"/>
                <w:b w:val="0"/>
                <w:sz w:val="14"/>
              </w:rPr>
              <w:t>A certification authority</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A proposed analytical scoring framework</w:t>
            </w:r>
          </w:p>
        </w:tc>
        <w:tc>
          <w:tcPr>
            <w:tcW w:type="dxa" w:w="3408"/>
          </w:tcPr>
          <w:p>
            <w:pPr>
              <w:spacing w:after="0"/>
            </w:pPr>
            <w:r>
              <w:rPr>
                <w:rFonts w:ascii="Arial" w:hAnsi="Arial"/>
                <w:b w:val="0"/>
                <w:sz w:val="14"/>
              </w:rPr>
              <w:t>A regulator-approved benchmark</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A mapping of public primitives to lifecycle objects</w:t>
            </w:r>
          </w:p>
        </w:tc>
        <w:tc>
          <w:tcPr>
            <w:tcW w:type="dxa" w:w="3408"/>
          </w:tcPr>
          <w:p>
            <w:pPr>
              <w:spacing w:after="0"/>
            </w:pPr>
            <w:r>
              <w:rPr>
                <w:rFonts w:ascii="Arial" w:hAnsi="Arial"/>
                <w:b w:val="0"/>
                <w:sz w:val="14"/>
              </w:rPr>
              <w:t>A final legal compliance judgment</w:t>
            </w:r>
          </w:p>
        </w:tc>
      </w:tr>
      <w:tr>
        <w:tc>
          <w:tcPr>
            <w:tcW w:type="dxa" w:w="3408"/>
          </w:tcPr>
          <w:p>
            <w:pPr>
              <w:spacing w:after="0"/>
            </w:pPr>
            <w:r>
              <w:rPr>
                <w:rFonts w:ascii="Arial" w:hAnsi="Arial"/>
                <w:b w:val="0"/>
                <w:sz w:val="14"/>
              </w:rPr>
              <w:t>AI Agent Lifecycle Governance</w:t>
            </w:r>
          </w:p>
        </w:tc>
        <w:tc>
          <w:tcPr>
            <w:tcW w:type="dxa" w:w="3408"/>
          </w:tcPr>
          <w:p>
            <w:pPr>
              <w:spacing w:after="0"/>
            </w:pPr>
            <w:r>
              <w:rPr>
                <w:rFonts w:ascii="Arial" w:hAnsi="Arial"/>
                <w:b w:val="0"/>
                <w:sz w:val="14"/>
              </w:rPr>
              <w:t>A missing semantic and engineering layer</w:t>
            </w:r>
          </w:p>
        </w:tc>
        <w:tc>
          <w:tcPr>
            <w:tcW w:type="dxa" w:w="3408"/>
          </w:tcPr>
          <w:p>
            <w:pPr>
              <w:spacing w:after="0"/>
            </w:pPr>
            <w:r>
              <w:rPr>
                <w:rFonts w:ascii="Arial" w:hAnsi="Arial"/>
                <w:b w:val="0"/>
                <w:sz w:val="14"/>
              </w:rPr>
              <w:t>A binding regulatory standard</w:t>
            </w:r>
          </w:p>
        </w:tc>
      </w:tr>
    </w:tbl>
    <w:p>
      <w:pPr>
        <w:spacing w:after="56"/>
      </w:pPr>
      <w:r>
        <w:t>This boundary discipline strengthens the paper. The argument does not need to claim that MPLP is the only path. It only needs to show that agentic AI compliance requires lifecycle responsibility objects and that MPLP is one coherent way to express such objects.</w:t>
      </w:r>
    </w:p>
    <w:p>
      <w:pPr>
        <w:pStyle w:val="Heading1"/>
      </w:pPr>
      <w:r>
        <w:t>Chapter 2: The Missing Layer: AI Agent Lifecycle Governance</w:t>
      </w:r>
    </w:p>
    <w:p>
      <w:pPr>
        <w:spacing w:after="56"/>
      </w:pPr>
      <w:r>
        <w:t>Version: v0.3.2-FRC-R3</w:t>
      </w:r>
    </w:p>
    <w:p>
      <w:pPr>
        <w:pStyle w:val="Heading2"/>
      </w:pPr>
      <w:r>
        <w:t>2.1 Defining AI Agent Lifecycle Governance</w:t>
      </w:r>
    </w:p>
    <w:p>
      <w:pPr>
        <w:spacing w:after="56"/>
      </w:pPr>
      <w:r>
        <w:t>AI Agent Lifecycle Governance is the missing governance layer between model compliance and enterprise agent deployment. It defines how agentic work is authorized, executed, evidenced, reviewed, accepted, disputed, remediated, and reused across agents, humans, tools, projects, vendors, and organizational boundaries.</w:t>
      </w:r>
    </w:p>
    <w:p>
      <w:pPr>
        <w:spacing w:after="56"/>
      </w:pPr>
      <w:r>
        <w:t>The phrase matters because existing language is fragmented:</w:t>
      </w:r>
    </w:p>
    <w:p>
      <w:pPr>
        <w:pStyle w:val="ListBullet"/>
        <w:spacing w:after="56"/>
      </w:pPr>
      <w:r>
        <w:t>Model governance focuses on models</w:t>
      </w:r>
    </w:p>
    <w:p>
      <w:pPr>
        <w:pStyle w:val="ListBullet"/>
        <w:spacing w:after="56"/>
      </w:pPr>
      <w:r>
        <w:t>AI risk management focuses on organizational risk processes</w:t>
      </w:r>
    </w:p>
    <w:p>
      <w:pPr>
        <w:pStyle w:val="ListBullet"/>
        <w:spacing w:after="56"/>
      </w:pPr>
      <w:r>
        <w:t>Agent orchestration focuses on execution flow</w:t>
      </w:r>
    </w:p>
    <w:p>
      <w:pPr>
        <w:pStyle w:val="ListBullet"/>
        <w:spacing w:after="56"/>
      </w:pPr>
      <w:r>
        <w:t>Observability focuses on traces, metrics, and debugging</w:t>
      </w:r>
    </w:p>
    <w:p>
      <w:pPr>
        <w:pStyle w:val="ListBullet"/>
        <w:spacing w:after="56"/>
      </w:pPr>
      <w:r>
        <w:t>Human-in-the-loop focuses on review or approval moments</w:t>
      </w:r>
    </w:p>
    <w:p>
      <w:pPr>
        <w:spacing w:after="56"/>
      </w:pPr>
      <w:r>
        <w:t>None of these terms alone names the full lifecycle responsibility problem.</w:t>
      </w:r>
    </w:p>
    <w:p>
      <w:pPr>
        <w:spacing w:after="56"/>
      </w:pPr>
      <w:r>
        <w:t>AI Agent Lifecycle Governance names the whole accountability surface. It asks whether an organization can demonstrate continuity from intent to outcome, not merely whether a system completed a task. It asks whether a human role had the right responsibility boundary, not merely whether a person clicked approve. It asks whether a tool action had a liability boundary, not merely whether an API key existed. It asks whether evidence can be replayed for dispute, not merely whether logs exist. It asks whether privacy survives evidence retention, not merely whether a database has access control.</w:t>
      </w:r>
    </w:p>
    <w:p>
      <w:pPr>
        <w:spacing w:after="56"/>
      </w:pPr>
      <w:r>
        <w:t>Figure F-02 - Governance Stack / Missing Layer</w:t>
      </w:r>
    </w:p>
    <w:p>
      <w:pPr>
        <w:spacing w:after="56"/>
      </w:pPr>
      <w:r>
        <w:t>Model Governance -&gt; Agent Orchestration -&gt; AI Agent Lifecycle Governance -&gt; Enterprise Trust</w:t>
      </w:r>
    </w:p>
    <w:p>
      <w:pPr>
        <w:spacing w:after="56"/>
      </w:pPr>
      <w:r>
        <w:t>Figure F-02 shows the missing lifecycle governance layer between execution orchestration and enterprise trust. The figure is a conceptual governance model, not a certification path or legal compliance proof.</w:t>
      </w:r>
    </w:p>
    <w:p>
      <w:pPr>
        <w:pStyle w:val="Heading2"/>
      </w:pPr>
      <w:r>
        <w:t>2.2 Why Existing Terms Are Insufficient</w:t>
      </w:r>
    </w:p>
    <w:p>
      <w:pPr>
        <w:spacing w:after="56"/>
      </w:pPr>
      <w:r>
        <w:t>The table below shows how existing governance layers answer different questions and produce different artifacts. Each layer is necessary, but none alone addresses lifecycle responsibility for agentic work.</w:t>
      </w:r>
    </w:p>
    <w:p>
      <w:pPr>
        <w:keepNext/>
      </w:pPr>
      <w:r>
        <w:rPr>
          <w:b/>
          <w:sz w:val="16"/>
        </w:rPr>
        <w:t>Table T-02-01: Governance Layer Comparison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Question It Answers</w:t>
            </w:r>
          </w:p>
        </w:tc>
        <w:tc>
          <w:tcPr>
            <w:tcW w:type="dxa" w:w="2556"/>
          </w:tcPr>
          <w:p>
            <w:pPr>
              <w:spacing w:after="0"/>
            </w:pPr>
            <w:r>
              <w:rPr>
                <w:rFonts w:ascii="Arial" w:hAnsi="Arial"/>
                <w:b/>
                <w:sz w:val="14"/>
              </w:rPr>
              <w:t>Typical Artifact</w:t>
            </w:r>
          </w:p>
        </w:tc>
        <w:tc>
          <w:tcPr>
            <w:tcW w:type="dxa" w:w="2556"/>
          </w:tcPr>
          <w:p>
            <w:pPr>
              <w:spacing w:after="0"/>
            </w:pPr>
            <w:r>
              <w:rPr>
                <w:rFonts w:ascii="Arial" w:hAnsi="Arial"/>
                <w:b/>
                <w:sz w:val="14"/>
              </w:rPr>
              <w:t>Limitation if Used Alone</w:t>
            </w:r>
          </w:p>
        </w:tc>
      </w:tr>
      <w:tr>
        <w:tc>
          <w:tcPr>
            <w:tcW w:type="dxa" w:w="2556"/>
          </w:tcPr>
          <w:p>
            <w:pPr>
              <w:spacing w:after="0"/>
            </w:pPr>
            <w:r>
              <w:rPr>
                <w:rFonts w:ascii="Arial" w:hAnsi="Arial"/>
                <w:b w:val="0"/>
                <w:sz w:val="14"/>
              </w:rPr>
              <w:t>Model Governance</w:t>
            </w:r>
          </w:p>
        </w:tc>
        <w:tc>
          <w:tcPr>
            <w:tcW w:type="dxa" w:w="2556"/>
          </w:tcPr>
          <w:p>
            <w:pPr>
              <w:spacing w:after="0"/>
            </w:pPr>
            <w:r>
              <w:rPr>
                <w:rFonts w:ascii="Arial" w:hAnsi="Arial"/>
                <w:b w:val="0"/>
                <w:sz w:val="14"/>
              </w:rPr>
              <w:t>Is the model robust, documented, monitored, and aligned with policy?</w:t>
            </w:r>
          </w:p>
        </w:tc>
        <w:tc>
          <w:tcPr>
            <w:tcW w:type="dxa" w:w="2556"/>
          </w:tcPr>
          <w:p>
            <w:pPr>
              <w:spacing w:after="0"/>
            </w:pPr>
            <w:r>
              <w:rPr>
                <w:rFonts w:ascii="Arial" w:hAnsi="Arial"/>
                <w:b w:val="0"/>
                <w:sz w:val="14"/>
              </w:rPr>
              <w:t>Model cards, evaluations, risk assessments, monitoring reports</w:t>
            </w:r>
          </w:p>
        </w:tc>
        <w:tc>
          <w:tcPr>
            <w:tcW w:type="dxa" w:w="2556"/>
          </w:tcPr>
          <w:p>
            <w:pPr>
              <w:spacing w:after="0"/>
            </w:pPr>
            <w:r>
              <w:rPr>
                <w:rFonts w:ascii="Arial" w:hAnsi="Arial"/>
                <w:b w:val="0"/>
                <w:sz w:val="14"/>
              </w:rPr>
              <w:t>Does not prove lifecycle responsibility for agentic work</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How do agents, tools, state, and workflows execute?</w:t>
            </w:r>
          </w:p>
        </w:tc>
        <w:tc>
          <w:tcPr>
            <w:tcW w:type="dxa" w:w="2556"/>
          </w:tcPr>
          <w:p>
            <w:pPr>
              <w:spacing w:after="0"/>
            </w:pPr>
            <w:r>
              <w:rPr>
                <w:rFonts w:ascii="Arial" w:hAnsi="Arial"/>
                <w:b w:val="0"/>
                <w:sz w:val="14"/>
              </w:rPr>
              <w:t>Graphs, tasks, tools, handoffs, checkpoints</w:t>
            </w:r>
          </w:p>
        </w:tc>
        <w:tc>
          <w:tcPr>
            <w:tcW w:type="dxa" w:w="2556"/>
          </w:tcPr>
          <w:p>
            <w:pPr>
              <w:spacing w:after="0"/>
            </w:pPr>
            <w:r>
              <w:rPr>
                <w:rFonts w:ascii="Arial" w:hAnsi="Arial"/>
                <w:b w:val="0"/>
                <w:sz w:val="14"/>
              </w:rPr>
              <w:t>Does not by itself define legal or governance responsibility</w:t>
            </w:r>
          </w:p>
        </w:tc>
      </w:tr>
      <w:tr>
        <w:tc>
          <w:tcPr>
            <w:tcW w:type="dxa" w:w="2556"/>
          </w:tcPr>
          <w:p>
            <w:pPr>
              <w:spacing w:after="0"/>
            </w:pPr>
            <w:r>
              <w:rPr>
                <w:rFonts w:ascii="Arial" w:hAnsi="Arial"/>
                <w:b w:val="0"/>
                <w:sz w:val="14"/>
              </w:rPr>
              <w:t>Observability</w:t>
            </w:r>
          </w:p>
        </w:tc>
        <w:tc>
          <w:tcPr>
            <w:tcW w:type="dxa" w:w="2556"/>
          </w:tcPr>
          <w:p>
            <w:pPr>
              <w:spacing w:after="0"/>
            </w:pPr>
            <w:r>
              <w:rPr>
                <w:rFonts w:ascii="Arial" w:hAnsi="Arial"/>
                <w:b w:val="0"/>
                <w:sz w:val="14"/>
              </w:rPr>
              <w:t>What happened during execution?</w:t>
            </w:r>
          </w:p>
        </w:tc>
        <w:tc>
          <w:tcPr>
            <w:tcW w:type="dxa" w:w="2556"/>
          </w:tcPr>
          <w:p>
            <w:pPr>
              <w:spacing w:after="0"/>
            </w:pPr>
            <w:r>
              <w:rPr>
                <w:rFonts w:ascii="Arial" w:hAnsi="Arial"/>
                <w:b w:val="0"/>
                <w:sz w:val="14"/>
              </w:rPr>
              <w:t>Traces, logs, metrics, dashboards</w:t>
            </w:r>
          </w:p>
        </w:tc>
        <w:tc>
          <w:tcPr>
            <w:tcW w:type="dxa" w:w="2556"/>
          </w:tcPr>
          <w:p>
            <w:pPr>
              <w:spacing w:after="0"/>
            </w:pPr>
            <w:r>
              <w:rPr>
                <w:rFonts w:ascii="Arial" w:hAnsi="Arial"/>
                <w:b w:val="0"/>
                <w:sz w:val="14"/>
              </w:rPr>
              <w:t>Does not by itself prove authorization, acceptance, or dispute readiness</w:t>
            </w:r>
          </w:p>
        </w:tc>
      </w:tr>
      <w:tr>
        <w:tc>
          <w:tcPr>
            <w:tcW w:type="dxa" w:w="2556"/>
          </w:tcPr>
          <w:p>
            <w:pPr>
              <w:spacing w:after="0"/>
            </w:pPr>
            <w:r>
              <w:rPr>
                <w:rFonts w:ascii="Arial" w:hAnsi="Arial"/>
                <w:b w:val="0"/>
                <w:sz w:val="14"/>
              </w:rPr>
              <w:t>Human Review</w:t>
            </w:r>
          </w:p>
        </w:tc>
        <w:tc>
          <w:tcPr>
            <w:tcW w:type="dxa" w:w="2556"/>
          </w:tcPr>
          <w:p>
            <w:pPr>
              <w:spacing w:after="0"/>
            </w:pPr>
            <w:r>
              <w:rPr>
                <w:rFonts w:ascii="Arial" w:hAnsi="Arial"/>
                <w:b w:val="0"/>
                <w:sz w:val="14"/>
              </w:rPr>
              <w:t>Did a person approve, reject, or modify a step?</w:t>
            </w:r>
          </w:p>
        </w:tc>
        <w:tc>
          <w:tcPr>
            <w:tcW w:type="dxa" w:w="2556"/>
          </w:tcPr>
          <w:p>
            <w:pPr>
              <w:spacing w:after="0"/>
            </w:pPr>
            <w:r>
              <w:rPr>
                <w:rFonts w:ascii="Arial" w:hAnsi="Arial"/>
                <w:b w:val="0"/>
                <w:sz w:val="14"/>
              </w:rPr>
              <w:t>Approval UI, review event, interrupt</w:t>
            </w:r>
          </w:p>
        </w:tc>
        <w:tc>
          <w:tcPr>
            <w:tcW w:type="dxa" w:w="2556"/>
          </w:tcPr>
          <w:p>
            <w:pPr>
              <w:spacing w:after="0"/>
            </w:pPr>
            <w:r>
              <w:rPr>
                <w:rFonts w:ascii="Arial" w:hAnsi="Arial"/>
                <w:b w:val="0"/>
                <w:sz w:val="14"/>
              </w:rPr>
              <w:t>Does not by itself map human role to MAS responsibility</w:t>
            </w:r>
          </w:p>
        </w:tc>
      </w:tr>
      <w:tr>
        <w:tc>
          <w:tcPr>
            <w:tcW w:type="dxa" w:w="2556"/>
          </w:tcPr>
          <w:p>
            <w:pPr>
              <w:spacing w:after="0"/>
            </w:pPr>
            <w:r>
              <w:rPr>
                <w:rFonts w:ascii="Arial" w:hAnsi="Arial"/>
                <w:b w:val="0"/>
                <w:sz w:val="14"/>
              </w:rPr>
              <w:t>AI Agent Lifecycle Governance</w:t>
            </w:r>
          </w:p>
        </w:tc>
        <w:tc>
          <w:tcPr>
            <w:tcW w:type="dxa" w:w="2556"/>
          </w:tcPr>
          <w:p>
            <w:pPr>
              <w:spacing w:after="0"/>
            </w:pPr>
            <w:r>
              <w:rPr>
                <w:rFonts w:ascii="Arial" w:hAnsi="Arial"/>
                <w:b w:val="0"/>
                <w:sz w:val="14"/>
              </w:rPr>
              <w:t>How did intent become accepted outcome under responsibility, authority, privacy, evidence, and remediation controls?</w:t>
            </w:r>
          </w:p>
        </w:tc>
        <w:tc>
          <w:tcPr>
            <w:tcW w:type="dxa" w:w="2556"/>
          </w:tcPr>
          <w:p>
            <w:pPr>
              <w:spacing w:after="0"/>
            </w:pPr>
            <w:r>
              <w:rPr>
                <w:rFonts w:ascii="Arial" w:hAnsi="Arial"/>
                <w:b w:val="0"/>
                <w:sz w:val="14"/>
              </w:rPr>
              <w:t>Lifecycle responsibility objects, evidence packs, acceptance records, rulesets</w:t>
            </w:r>
          </w:p>
        </w:tc>
        <w:tc>
          <w:tcPr>
            <w:tcW w:type="dxa" w:w="2556"/>
          </w:tcPr>
          <w:p>
            <w:pPr>
              <w:spacing w:after="0"/>
            </w:pPr>
            <w:r>
              <w:rPr>
                <w:rFonts w:ascii="Arial" w:hAnsi="Arial"/>
                <w:b w:val="0"/>
                <w:sz w:val="14"/>
              </w:rPr>
              <w:t>Requires adoption across architecture and governance, not only tooling</w:t>
            </w:r>
          </w:p>
        </w:tc>
      </w:tr>
    </w:tbl>
    <w:p>
      <w:pPr>
        <w:pStyle w:val="Heading2"/>
      </w:pPr>
      <w:r>
        <w:t>2.3 The Core Move: Regulatory Abstractions to Lifecycle Objects</w:t>
      </w:r>
    </w:p>
    <w:p>
      <w:pPr>
        <w:spacing w:after="56"/>
      </w:pPr>
      <w:r>
        <w:t>The core move in this paper is to turn regulatory abstractions into lifecycle objects:</w:t>
      </w:r>
    </w:p>
    <w:p>
      <w:pPr>
        <w:pStyle w:val="ListBullet"/>
        <w:spacing w:after="56"/>
      </w:pPr>
      <w:r>
        <w:t>Human oversight becomes human-role-to-MAS responsibility mapping</w:t>
      </w:r>
    </w:p>
    <w:p>
      <w:pPr>
        <w:pStyle w:val="ListBullet"/>
        <w:spacing w:after="56"/>
      </w:pPr>
      <w:r>
        <w:t>Logging becomes partitioned evidence chain</w:t>
      </w:r>
    </w:p>
    <w:p>
      <w:pPr>
        <w:pStyle w:val="ListBullet"/>
        <w:spacing w:after="56"/>
      </w:pPr>
      <w:r>
        <w:t>Accountability becomes tool-action liability and responsibility transfer</w:t>
      </w:r>
    </w:p>
    <w:p>
      <w:pPr>
        <w:pStyle w:val="ListBullet"/>
        <w:spacing w:after="56"/>
      </w:pPr>
      <w:r>
        <w:t>Transparency becomes evidence-linked review and accepted outcome</w:t>
      </w:r>
    </w:p>
    <w:p>
      <w:pPr>
        <w:pStyle w:val="ListBullet"/>
        <w:spacing w:after="56"/>
      </w:pPr>
      <w:r>
        <w:t>Monitoring becomes authority drift detection, incident closure, and monitoring feedback</w:t>
      </w:r>
    </w:p>
    <w:p>
      <w:pPr>
        <w:pStyle w:val="ListBullet"/>
        <w:spacing w:after="56"/>
      </w:pPr>
      <w:r>
        <w:t>Privacy becomes lifecycle data-flow mapping, minimization, and selective disclosure</w:t>
      </w:r>
    </w:p>
    <w:p>
      <w:pPr>
        <w:spacing w:after="56"/>
      </w:pPr>
      <w:r>
        <w:t>This is not bureaucracy for its own sake. It is the recognition that agentic systems need explicit objects because the old system boundary has dissolved. The work unit is now distributed across agents, tools, memory, people, projects, and vendors.</w:t>
      </w:r>
    </w:p>
    <w:p>
      <w:pPr>
        <w:pStyle w:val="Heading2"/>
      </w:pPr>
      <w:r>
        <w:t>2.4 The Enterprise Implication</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1"/>
      </w:pPr>
      <w:r>
        <w:t>Chapter 3: Why Agentic AI Breaks Model-Centric Compliance</w:t>
      </w:r>
    </w:p>
    <w:p>
      <w:pPr>
        <w:spacing w:after="56"/>
      </w:pPr>
      <w:r>
        <w:t>Version: v0.3.2-FRC-R3</w:t>
      </w:r>
    </w:p>
    <w:p>
      <w:pPr>
        <w:pStyle w:val="Heading2"/>
      </w:pPr>
      <w:r>
        <w:t>3.1 The Unit of Risk Changes</w:t>
      </w:r>
    </w:p>
    <w:p>
      <w:pPr>
        <w:spacing w:after="56"/>
      </w:pPr>
      <w:r>
        <w:t>Agentic AI breaks model-centric compliance because the unit of risk changes. A model-centric system creates risk through prediction, generation, classification, or recommendation. An agentic system creates risk through action, delegation, state change, tool use, memory, collaboration, and external consequence.</w:t>
      </w:r>
    </w:p>
    <w:p>
      <w:pPr>
        <w:spacing w:after="56"/>
      </w:pPr>
      <w:r>
        <w:t>This does not mean models are unimportant. It means that model safety is no longer the outer boundary of system safety. A safe model can still be embedded inside a workflow that can send an email, approve a refund, update a database, deploy code, modify access permissions, route a customer case, create a compliance record, or trigger another autonomous agent.</w:t>
      </w:r>
    </w:p>
    <w:p>
      <w:pPr>
        <w:pStyle w:val="Heading2"/>
      </w:pPr>
      <w:r>
        <w:t>3.2 Model Governance Remains Necessary But Insufficient</w:t>
      </w:r>
    </w:p>
    <w:p>
      <w:pPr>
        <w:spacing w:after="56"/>
      </w:pPr>
      <w:r>
        <w:t>The first generation of AI governance focused on model governance. That work remains essential: risk management, documentation, transparency, robustness, bias mitigation, security, and monitoring are all foundational. But agentic AI adds a new layer of operational consequence.</w:t>
      </w:r>
    </w:p>
    <w:p>
      <w:pPr>
        <w:spacing w:after="56"/>
      </w:pPr>
      <w:r>
        <w:t>This is why model governance must be treated as a foundation rather than the system boundary. Once a model is embedded inside a workflow, compliance must follow the work unit, not only the model artifact.</w:t>
      </w:r>
    </w:p>
    <w:p>
      <w:pPr>
        <w:pStyle w:val="Heading2"/>
      </w:pPr>
      <w:r>
        <w:t>3.3 Failure Mode Comparison</w:t>
      </w:r>
    </w:p>
    <w:p>
      <w:pPr>
        <w:spacing w:after="56"/>
      </w:pPr>
      <w:r>
        <w:t>The table below compares how failure modes manifest differently in model-centric systems versus agentic lifecycle systems.</w:t>
      </w:r>
    </w:p>
    <w:p>
      <w:pPr>
        <w:keepNext/>
      </w:pPr>
      <w:r>
        <w:rPr>
          <w:b/>
          <w:sz w:val="16"/>
        </w:rPr>
        <w:t>Table T-03-01: Failure Mode Comparison</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Failure Mode</w:t>
            </w:r>
          </w:p>
        </w:tc>
        <w:tc>
          <w:tcPr>
            <w:tcW w:type="dxa" w:w="3408"/>
          </w:tcPr>
          <w:p>
            <w:pPr>
              <w:spacing w:after="0"/>
            </w:pPr>
            <w:r>
              <w:rPr>
                <w:rFonts w:ascii="Arial" w:hAnsi="Arial"/>
                <w:b/>
                <w:sz w:val="14"/>
              </w:rPr>
              <w:t>Model-Centric View</w:t>
            </w:r>
          </w:p>
        </w:tc>
        <w:tc>
          <w:tcPr>
            <w:tcW w:type="dxa" w:w="3408"/>
          </w:tcPr>
          <w:p>
            <w:pPr>
              <w:spacing w:after="0"/>
            </w:pPr>
            <w:r>
              <w:rPr>
                <w:rFonts w:ascii="Arial" w:hAnsi="Arial"/>
                <w:b/>
                <w:sz w:val="14"/>
              </w:rPr>
              <w:t>Lifecycle Governance View</w:t>
            </w:r>
          </w:p>
        </w:tc>
      </w:tr>
      <w:tr>
        <w:tc>
          <w:tcPr>
            <w:tcW w:type="dxa" w:w="3408"/>
          </w:tcPr>
          <w:p>
            <w:pPr>
              <w:spacing w:after="0"/>
            </w:pPr>
            <w:r>
              <w:rPr>
                <w:rFonts w:ascii="Arial" w:hAnsi="Arial"/>
                <w:b w:val="0"/>
                <w:sz w:val="14"/>
              </w:rPr>
              <w:t>Wrong output</w:t>
            </w:r>
          </w:p>
        </w:tc>
        <w:tc>
          <w:tcPr>
            <w:tcW w:type="dxa" w:w="3408"/>
          </w:tcPr>
          <w:p>
            <w:pPr>
              <w:spacing w:after="0"/>
            </w:pPr>
            <w:r>
              <w:rPr>
                <w:rFonts w:ascii="Arial" w:hAnsi="Arial"/>
                <w:b w:val="0"/>
                <w:sz w:val="14"/>
              </w:rPr>
              <w:t>Model produced incorrect text</w:t>
            </w:r>
          </w:p>
        </w:tc>
        <w:tc>
          <w:tcPr>
            <w:tcW w:type="dxa" w:w="3408"/>
          </w:tcPr>
          <w:p>
            <w:pPr>
              <w:spacing w:after="0"/>
            </w:pPr>
            <w:r>
              <w:rPr>
                <w:rFonts w:ascii="Arial" w:hAnsi="Arial"/>
                <w:b w:val="0"/>
                <w:sz w:val="14"/>
              </w:rPr>
              <w:t>Was the output accepted, used, challenged, corrected, and evidenced?</w:t>
            </w:r>
          </w:p>
        </w:tc>
      </w:tr>
      <w:tr>
        <w:tc>
          <w:tcPr>
            <w:tcW w:type="dxa" w:w="3408"/>
          </w:tcPr>
          <w:p>
            <w:pPr>
              <w:spacing w:after="0"/>
            </w:pPr>
            <w:r>
              <w:rPr>
                <w:rFonts w:ascii="Arial" w:hAnsi="Arial"/>
                <w:b w:val="0"/>
                <w:sz w:val="14"/>
              </w:rPr>
              <w:t>Unauthorized tool action</w:t>
            </w:r>
          </w:p>
        </w:tc>
        <w:tc>
          <w:tcPr>
            <w:tcW w:type="dxa" w:w="3408"/>
          </w:tcPr>
          <w:p>
            <w:pPr>
              <w:spacing w:after="0"/>
            </w:pPr>
            <w:r>
              <w:rPr>
                <w:rFonts w:ascii="Arial" w:hAnsi="Arial"/>
                <w:b w:val="0"/>
                <w:sz w:val="14"/>
              </w:rPr>
              <w:t>Agent called an external API</w:t>
            </w:r>
          </w:p>
        </w:tc>
        <w:tc>
          <w:tcPr>
            <w:tcW w:type="dxa" w:w="3408"/>
          </w:tcPr>
          <w:p>
            <w:pPr>
              <w:spacing w:after="0"/>
            </w:pPr>
            <w:r>
              <w:rPr>
                <w:rFonts w:ascii="Arial" w:hAnsi="Arial"/>
                <w:b w:val="0"/>
                <w:sz w:val="14"/>
              </w:rPr>
              <w:t>Was the action inside delegated authority and tied to a responsible owner?</w:t>
            </w:r>
          </w:p>
        </w:tc>
      </w:tr>
      <w:tr>
        <w:tc>
          <w:tcPr>
            <w:tcW w:type="dxa" w:w="3408"/>
          </w:tcPr>
          <w:p>
            <w:pPr>
              <w:spacing w:after="0"/>
            </w:pPr>
            <w:r>
              <w:rPr>
                <w:rFonts w:ascii="Arial" w:hAnsi="Arial"/>
                <w:b w:val="0"/>
                <w:sz w:val="14"/>
              </w:rPr>
              <w:t>Agent handoff</w:t>
            </w:r>
          </w:p>
        </w:tc>
        <w:tc>
          <w:tcPr>
            <w:tcW w:type="dxa" w:w="3408"/>
          </w:tcPr>
          <w:p>
            <w:pPr>
              <w:spacing w:after="0"/>
            </w:pPr>
            <w:r>
              <w:rPr>
                <w:rFonts w:ascii="Arial" w:hAnsi="Arial"/>
                <w:b w:val="0"/>
                <w:sz w:val="14"/>
              </w:rPr>
              <w:t>A workflow routed work to another agent</w:t>
            </w:r>
          </w:p>
        </w:tc>
        <w:tc>
          <w:tcPr>
            <w:tcW w:type="dxa" w:w="3408"/>
          </w:tcPr>
          <w:p>
            <w:pPr>
              <w:spacing w:after="0"/>
            </w:pPr>
            <w:r>
              <w:rPr>
                <w:rFonts w:ascii="Arial" w:hAnsi="Arial"/>
                <w:b w:val="0"/>
                <w:sz w:val="14"/>
              </w:rPr>
              <w:t>Were constraints and responsibility explicitly transferred?</w:t>
            </w:r>
          </w:p>
        </w:tc>
      </w:tr>
      <w:tr>
        <w:tc>
          <w:tcPr>
            <w:tcW w:type="dxa" w:w="3408"/>
          </w:tcPr>
          <w:p>
            <w:pPr>
              <w:spacing w:after="0"/>
            </w:pPr>
            <w:r>
              <w:rPr>
                <w:rFonts w:ascii="Arial" w:hAnsi="Arial"/>
                <w:b w:val="0"/>
                <w:sz w:val="14"/>
              </w:rPr>
              <w:t>Human approval</w:t>
            </w:r>
          </w:p>
        </w:tc>
        <w:tc>
          <w:tcPr>
            <w:tcW w:type="dxa" w:w="3408"/>
          </w:tcPr>
          <w:p>
            <w:pPr>
              <w:spacing w:after="0"/>
            </w:pPr>
            <w:r>
              <w:rPr>
                <w:rFonts w:ascii="Arial" w:hAnsi="Arial"/>
                <w:b w:val="0"/>
                <w:sz w:val="14"/>
              </w:rPr>
              <w:t>A person clicked approve</w:t>
            </w:r>
          </w:p>
        </w:tc>
        <w:tc>
          <w:tcPr>
            <w:tcW w:type="dxa" w:w="3408"/>
          </w:tcPr>
          <w:p>
            <w:pPr>
              <w:spacing w:after="0"/>
            </w:pPr>
            <w:r>
              <w:rPr>
                <w:rFonts w:ascii="Arial" w:hAnsi="Arial"/>
                <w:b w:val="0"/>
                <w:sz w:val="14"/>
              </w:rPr>
              <w:t>Was that human role authorized for this outcome and did the evidence support acceptance?</w:t>
            </w:r>
          </w:p>
        </w:tc>
      </w:tr>
      <w:tr>
        <w:tc>
          <w:tcPr>
            <w:tcW w:type="dxa" w:w="3408"/>
          </w:tcPr>
          <w:p>
            <w:pPr>
              <w:spacing w:after="0"/>
            </w:pPr>
            <w:r>
              <w:rPr>
                <w:rFonts w:ascii="Arial" w:hAnsi="Arial"/>
                <w:b w:val="0"/>
                <w:sz w:val="14"/>
              </w:rPr>
              <w:t>Audit log</w:t>
            </w:r>
          </w:p>
        </w:tc>
        <w:tc>
          <w:tcPr>
            <w:tcW w:type="dxa" w:w="3408"/>
          </w:tcPr>
          <w:p>
            <w:pPr>
              <w:spacing w:after="0"/>
            </w:pPr>
            <w:r>
              <w:rPr>
                <w:rFonts w:ascii="Arial" w:hAnsi="Arial"/>
                <w:b w:val="0"/>
                <w:sz w:val="14"/>
              </w:rPr>
              <w:t>System stored events</w:t>
            </w:r>
          </w:p>
        </w:tc>
        <w:tc>
          <w:tcPr>
            <w:tcW w:type="dxa" w:w="3408"/>
          </w:tcPr>
          <w:p>
            <w:pPr>
              <w:spacing w:after="0"/>
            </w:pPr>
            <w:r>
              <w:rPr>
                <w:rFonts w:ascii="Arial" w:hAnsi="Arial"/>
                <w:b w:val="0"/>
                <w:sz w:val="14"/>
              </w:rPr>
              <w:t>Can evidence be reconstructed across agents, tools, privacy boundaries, and plan versions?</w:t>
            </w:r>
          </w:p>
        </w:tc>
      </w:tr>
      <w:tr>
        <w:tc>
          <w:tcPr>
            <w:tcW w:type="dxa" w:w="3408"/>
          </w:tcPr>
          <w:p>
            <w:pPr>
              <w:spacing w:after="0"/>
            </w:pPr>
            <w:r>
              <w:rPr>
                <w:rFonts w:ascii="Arial" w:hAnsi="Arial"/>
                <w:b w:val="0"/>
                <w:sz w:val="14"/>
              </w:rPr>
              <w:t>Privacy issue</w:t>
            </w:r>
          </w:p>
        </w:tc>
        <w:tc>
          <w:tcPr>
            <w:tcW w:type="dxa" w:w="3408"/>
          </w:tcPr>
          <w:p>
            <w:pPr>
              <w:spacing w:after="0"/>
            </w:pPr>
            <w:r>
              <w:rPr>
                <w:rFonts w:ascii="Arial" w:hAnsi="Arial"/>
                <w:b w:val="0"/>
                <w:sz w:val="14"/>
              </w:rPr>
              <w:t>Database contained personal data</w:t>
            </w:r>
          </w:p>
        </w:tc>
        <w:tc>
          <w:tcPr>
            <w:tcW w:type="dxa" w:w="3408"/>
          </w:tcPr>
          <w:p>
            <w:pPr>
              <w:spacing w:after="0"/>
            </w:pPr>
            <w:r>
              <w:rPr>
                <w:rFonts w:ascii="Arial" w:hAnsi="Arial"/>
                <w:b w:val="0"/>
                <w:sz w:val="14"/>
              </w:rPr>
              <w:t>Did personal data flow through prompts, memory, tools, traces, and evidence packs under purpose limitation?</w:t>
            </w:r>
          </w:p>
        </w:tc>
      </w:tr>
    </w:tbl>
    <w:p>
      <w:pPr>
        <w:pStyle w:val="Heading2"/>
      </w:pPr>
      <w:r>
        <w:t>3.4 Why Well-Evaluated Agents Can Still Fail Governance</w:t>
      </w:r>
    </w:p>
    <w:p>
      <w:pPr>
        <w:spacing w:after="56"/>
      </w:pPr>
      <w:r>
        <w:t>A well-evaluated agent can still act under the wrong authority. A perfectly traced workflow can still lack accepted outcome governance. A strong guardrail can still fail to define who owns a tool action. A human approval event can still fail to show whether the human had the correct responsibility role.</w:t>
      </w:r>
    </w:p>
    <w:p>
      <w:pPr>
        <w:spacing w:after="56"/>
      </w:pPr>
      <w:r>
        <w:t>The enterprise implication is severe.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3.5 The Compliance Question Changes</w:t>
      </w:r>
    </w:p>
    <w:p>
      <w:pPr>
        <w:spacing w:after="56"/>
      </w:pPr>
      <w:r>
        <w:t>The central compliance question is changing:</w:t>
      </w:r>
    </w:p>
    <w:p>
      <w:pPr>
        <w:pStyle w:val="ListBullet"/>
        <w:spacing w:after="56"/>
      </w:pPr>
      <w:r>
        <w:t>Model-centric question: Did the model produce a safe output?</w:t>
      </w:r>
    </w:p>
    <w:p>
      <w:pPr>
        <w:pStyle w:val="ListBullet"/>
        <w:spacing w:after="56"/>
      </w:pPr>
      <w:r>
        <w:t>Agentic lifecycle question: Was an agentic unit of work authorized, executed, evidenced, reviewed, accepted, disputed, remediated, and improved under controlled authority, evidence, privacy, and remediation constraints?</w:t>
      </w:r>
    </w:p>
    <w:p>
      <w:pPr>
        <w:spacing w:after="56"/>
      </w:pPr>
      <w:r>
        <w:t>This shift changes the compliance question. The test is no longer only whether the model output was safe, but whether the unit of agentic work can be shown to have moved from intent to accepted outcome under controlled authority, evidence, privacy, and remediation constraints.</w:t>
      </w:r>
    </w:p>
    <w:p>
      <w:pPr>
        <w:spacing w:after="56"/>
      </w:pPr>
      <w:r>
        <w:t>The next chapter therefore turns to the regulatory and standards baseline: what existing frameworks already require, and where agentic lifecycle objects are still needed.</w:t>
      </w:r>
    </w:p>
    <w:p>
      <w:pPr>
        <w:pStyle w:val="Heading1"/>
      </w:pPr>
      <w:r>
        <w:t>Chapter 4: Regulatory and Standards Baseline</w:t>
      </w:r>
    </w:p>
    <w:p>
      <w:pPr>
        <w:spacing w:after="56"/>
      </w:pPr>
      <w:r>
        <w:t>Version: v0.3.2-FRC-R3</w:t>
      </w:r>
    </w:p>
    <w:p>
      <w:pPr>
        <w:pStyle w:val="Heading2"/>
      </w:pPr>
      <w:r>
        <w:t>4.1 Purpose of the Baseline</w:t>
      </w:r>
    </w:p>
    <w:p>
      <w:pPr>
        <w:spacing w:after="56"/>
      </w:pPr>
      <w:r>
        <w:t>This chapter establishes the regulatory and standards baseline that informs the Missing Regulatory Objects and scoring frameworks introduced later in the paper. The baseline is not exhaustive. It focuses on frameworks that establish recurring obligations around risk management, documentation, record-keeping, transparency, human oversight, security, accountability, contestability, and monitoring.</w:t>
      </w:r>
    </w:p>
    <w:p>
      <w:pPr>
        <w:spacing w:after="56"/>
      </w:pPr>
      <w:r>
        <w:t>The analysis does not claim that these frameworks are weak or absent. The claim is technical: these frameworks give baseline obligations and conceptual direction, but agentic systems require engineering objects that bind authority, responsibility, evidence, and privacy to concrete execution states.</w:t>
      </w:r>
    </w:p>
    <w:p>
      <w:pPr>
        <w:spacing w:after="56"/>
      </w:pPr>
      <w:r>
        <w:t>Each framework analyzed in this chapter contributes essential governance direction. The shared pattern across all frameworks is that they establish what must be governed, but they do not themselves define the lifecycle objects required to prove that agentic work moved from intent to accepted outcome under controlled authority, evidence, privacy, and remediation constraints. That engineering layer is the focus of Chapters 6 through 9.</w:t>
      </w:r>
    </w:p>
    <w:p>
      <w:pPr>
        <w:pStyle w:val="Heading2"/>
      </w:pPr>
      <w:r>
        <w:t>4.2 Regulatory Frameworks Baseline Table</w:t>
      </w:r>
    </w:p>
    <w:p>
      <w:pPr>
        <w:spacing w:after="56"/>
      </w:pPr>
      <w:r>
        <w:t>The table below summarizes the frameworks analyzed in this chapter, their type, relevant requirements, and the agentic gap that remains.</w:t>
      </w:r>
    </w:p>
    <w:p>
      <w:pPr>
        <w:keepNext/>
      </w:pPr>
      <w:r>
        <w:rPr>
          <w:b/>
          <w:sz w:val="16"/>
        </w:rPr>
        <w:t>Table T-04-01: Regulatory Frameworks Baseline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Framework</w:t>
            </w:r>
          </w:p>
        </w:tc>
        <w:tc>
          <w:tcPr>
            <w:tcW w:type="dxa" w:w="2556"/>
          </w:tcPr>
          <w:p>
            <w:pPr>
              <w:spacing w:after="0"/>
            </w:pPr>
            <w:r>
              <w:rPr>
                <w:rFonts w:ascii="Arial" w:hAnsi="Arial"/>
                <w:b/>
                <w:sz w:val="14"/>
              </w:rPr>
              <w:t>Type</w:t>
            </w:r>
          </w:p>
        </w:tc>
        <w:tc>
          <w:tcPr>
            <w:tcW w:type="dxa" w:w="2556"/>
          </w:tcPr>
          <w:p>
            <w:pPr>
              <w:spacing w:after="0"/>
            </w:pPr>
            <w:r>
              <w:rPr>
                <w:rFonts w:ascii="Arial" w:hAnsi="Arial"/>
                <w:b/>
                <w:sz w:val="14"/>
              </w:rPr>
              <w:t>Relevant Requirements</w:t>
            </w:r>
          </w:p>
        </w:tc>
        <w:tc>
          <w:tcPr>
            <w:tcW w:type="dxa" w:w="2556"/>
          </w:tcPr>
          <w:p>
            <w:pPr>
              <w:spacing w:after="0"/>
            </w:pPr>
            <w:r>
              <w:rPr>
                <w:rFonts w:ascii="Arial" w:hAnsi="Arial"/>
                <w:b/>
                <w:sz w:val="14"/>
              </w:rPr>
              <w:t>Agentic Gap</w:t>
            </w:r>
          </w:p>
        </w:tc>
      </w:tr>
      <w:tr>
        <w:tc>
          <w:tcPr>
            <w:tcW w:type="dxa" w:w="2556"/>
          </w:tcPr>
          <w:p>
            <w:pPr>
              <w:spacing w:after="0"/>
            </w:pPr>
            <w:r>
              <w:rPr>
                <w:rFonts w:ascii="Arial" w:hAnsi="Arial"/>
                <w:b w:val="0"/>
                <w:sz w:val="14"/>
              </w:rPr>
              <w:t>EU AI Act</w:t>
            </w:r>
          </w:p>
        </w:tc>
        <w:tc>
          <w:tcPr>
            <w:tcW w:type="dxa" w:w="2556"/>
          </w:tcPr>
          <w:p>
            <w:pPr>
              <w:spacing w:after="0"/>
            </w:pPr>
            <w:r>
              <w:rPr>
                <w:rFonts w:ascii="Arial" w:hAnsi="Arial"/>
                <w:b w:val="0"/>
                <w:sz w:val="14"/>
              </w:rPr>
              <w:t>Binding regulation</w:t>
            </w:r>
          </w:p>
        </w:tc>
        <w:tc>
          <w:tcPr>
            <w:tcW w:type="dxa" w:w="2556"/>
          </w:tcPr>
          <w:p>
            <w:pPr>
              <w:spacing w:after="0"/>
            </w:pPr>
            <w:r>
              <w:rPr>
                <w:rFonts w:ascii="Arial" w:hAnsi="Arial"/>
                <w:b w:val="0"/>
                <w:sz w:val="14"/>
              </w:rPr>
              <w:t>Technical documentation, record-keeping, transparency, human oversight, accuracy/robustness/cybersecurity, post-market monitoring</w:t>
            </w:r>
          </w:p>
        </w:tc>
        <w:tc>
          <w:tcPr>
            <w:tcW w:type="dxa" w:w="2556"/>
          </w:tcPr>
          <w:p>
            <w:pPr>
              <w:spacing w:after="0"/>
            </w:pPr>
            <w:r>
              <w:rPr>
                <w:rFonts w:ascii="Arial" w:hAnsi="Arial"/>
                <w:b w:val="0"/>
                <w:sz w:val="14"/>
              </w:rPr>
              <w:t>Strong legal baseline for high-risk systems; does not itself define MAS responsibility-transfer object models</w:t>
            </w:r>
          </w:p>
        </w:tc>
      </w:tr>
      <w:tr>
        <w:tc>
          <w:tcPr>
            <w:tcW w:type="dxa" w:w="2556"/>
          </w:tcPr>
          <w:p>
            <w:pPr>
              <w:spacing w:after="0"/>
            </w:pPr>
            <w:r>
              <w:rPr>
                <w:rFonts w:ascii="Arial" w:hAnsi="Arial"/>
                <w:b w:val="0"/>
                <w:sz w:val="14"/>
              </w:rPr>
              <w:t>GDPR</w:t>
            </w:r>
          </w:p>
        </w:tc>
        <w:tc>
          <w:tcPr>
            <w:tcW w:type="dxa" w:w="2556"/>
          </w:tcPr>
          <w:p>
            <w:pPr>
              <w:spacing w:after="0"/>
            </w:pPr>
            <w:r>
              <w:rPr>
                <w:rFonts w:ascii="Arial" w:hAnsi="Arial"/>
                <w:b w:val="0"/>
                <w:sz w:val="14"/>
              </w:rPr>
              <w:t>Binding privacy regulation</w:t>
            </w:r>
          </w:p>
        </w:tc>
        <w:tc>
          <w:tcPr>
            <w:tcW w:type="dxa" w:w="2556"/>
          </w:tcPr>
          <w:p>
            <w:pPr>
              <w:spacing w:after="0"/>
            </w:pPr>
            <w:r>
              <w:rPr>
                <w:rFonts w:ascii="Arial" w:hAnsi="Arial"/>
                <w:b w:val="0"/>
                <w:sz w:val="14"/>
              </w:rPr>
              <w:t>Lawfulness, fairness, transparency, purpose limitation, minimization, storage limitation, integrity/confidentiality, accountability</w:t>
            </w:r>
          </w:p>
        </w:tc>
        <w:tc>
          <w:tcPr>
            <w:tcW w:type="dxa" w:w="2556"/>
          </w:tcPr>
          <w:p>
            <w:pPr>
              <w:spacing w:after="0"/>
            </w:pPr>
            <w:r>
              <w:rPr>
                <w:rFonts w:ascii="Arial" w:hAnsi="Arial"/>
                <w:b w:val="0"/>
                <w:sz w:val="14"/>
              </w:rPr>
              <w:t>Applies strongly to agentic memory, prompt payloads, traces, evidence packs, and cross-project reuse; lifecycle mapping remains an engineering task</w:t>
            </w:r>
          </w:p>
        </w:tc>
      </w:tr>
      <w:tr>
        <w:tc>
          <w:tcPr>
            <w:tcW w:type="dxa" w:w="2556"/>
          </w:tcPr>
          <w:p>
            <w:pPr>
              <w:spacing w:after="0"/>
            </w:pPr>
            <w:r>
              <w:rPr>
                <w:rFonts w:ascii="Arial" w:hAnsi="Arial"/>
                <w:b w:val="0"/>
                <w:sz w:val="14"/>
              </w:rPr>
              <w:t>NIST AI RMF 1.0</w:t>
            </w:r>
          </w:p>
        </w:tc>
        <w:tc>
          <w:tcPr>
            <w:tcW w:type="dxa" w:w="2556"/>
          </w:tcPr>
          <w:p>
            <w:pPr>
              <w:spacing w:after="0"/>
            </w:pPr>
            <w:r>
              <w:rPr>
                <w:rFonts w:ascii="Arial" w:hAnsi="Arial"/>
                <w:b w:val="0"/>
                <w:sz w:val="14"/>
              </w:rPr>
              <w:t>Voluntary risk framework</w:t>
            </w:r>
          </w:p>
        </w:tc>
        <w:tc>
          <w:tcPr>
            <w:tcW w:type="dxa" w:w="2556"/>
          </w:tcPr>
          <w:p>
            <w:pPr>
              <w:spacing w:after="0"/>
            </w:pPr>
            <w:r>
              <w:rPr>
                <w:rFonts w:ascii="Arial" w:hAnsi="Arial"/>
                <w:b w:val="0"/>
                <w:sz w:val="14"/>
              </w:rPr>
              <w:t>Govern, Map, Measure, Manage functions across the AI lifecycle</w:t>
            </w:r>
          </w:p>
        </w:tc>
        <w:tc>
          <w:tcPr>
            <w:tcW w:type="dxa" w:w="2556"/>
          </w:tcPr>
          <w:p>
            <w:pPr>
              <w:spacing w:after="0"/>
            </w:pPr>
            <w:r>
              <w:rPr>
                <w:rFonts w:ascii="Arial" w:hAnsi="Arial"/>
                <w:b w:val="0"/>
                <w:sz w:val="14"/>
              </w:rPr>
              <w:t>Excellent risk-management umbrella; intentionally not a MAS protocol or delegated-authority object model</w:t>
            </w:r>
          </w:p>
        </w:tc>
      </w:tr>
      <w:tr>
        <w:tc>
          <w:tcPr>
            <w:tcW w:type="dxa" w:w="2556"/>
          </w:tcPr>
          <w:p>
            <w:pPr>
              <w:spacing w:after="0"/>
            </w:pPr>
            <w:r>
              <w:rPr>
                <w:rFonts w:ascii="Arial" w:hAnsi="Arial"/>
                <w:b w:val="0"/>
                <w:sz w:val="14"/>
              </w:rPr>
              <w:t>ISO/IEC 42001</w:t>
            </w:r>
          </w:p>
        </w:tc>
        <w:tc>
          <w:tcPr>
            <w:tcW w:type="dxa" w:w="2556"/>
          </w:tcPr>
          <w:p>
            <w:pPr>
              <w:spacing w:after="0"/>
            </w:pPr>
            <w:r>
              <w:rPr>
                <w:rFonts w:ascii="Arial" w:hAnsi="Arial"/>
                <w:b w:val="0"/>
                <w:sz w:val="14"/>
              </w:rPr>
              <w:t>Management system standard</w:t>
            </w:r>
          </w:p>
        </w:tc>
        <w:tc>
          <w:tcPr>
            <w:tcW w:type="dxa" w:w="2556"/>
          </w:tcPr>
          <w:p>
            <w:pPr>
              <w:spacing w:after="0"/>
            </w:pPr>
            <w:r>
              <w:rPr>
                <w:rFonts w:ascii="Arial" w:hAnsi="Arial"/>
                <w:b w:val="0"/>
                <w:sz w:val="14"/>
              </w:rPr>
              <w:t>AIMS requirements for establishing, implementing, maintaining, and improving AI management systems</w:t>
            </w:r>
          </w:p>
        </w:tc>
        <w:tc>
          <w:tcPr>
            <w:tcW w:type="dxa" w:w="2556"/>
          </w:tcPr>
          <w:p>
            <w:pPr>
              <w:spacing w:after="0"/>
            </w:pPr>
            <w:r>
              <w:rPr>
                <w:rFonts w:ascii="Arial" w:hAnsi="Arial"/>
                <w:b w:val="0"/>
                <w:sz w:val="14"/>
              </w:rPr>
              <w:t>Supports organizational governance; needs technical lifecycle evidence objects for agentic execution</w:t>
            </w:r>
          </w:p>
        </w:tc>
      </w:tr>
      <w:tr>
        <w:tc>
          <w:tcPr>
            <w:tcW w:type="dxa" w:w="2556"/>
          </w:tcPr>
          <w:p>
            <w:pPr>
              <w:spacing w:after="0"/>
            </w:pPr>
            <w:r>
              <w:rPr>
                <w:rFonts w:ascii="Arial" w:hAnsi="Arial"/>
                <w:b w:val="0"/>
                <w:sz w:val="14"/>
              </w:rPr>
              <w:t>Singapore IMDA Model AI Governance Framework for Agentic AI</w:t>
            </w:r>
          </w:p>
        </w:tc>
        <w:tc>
          <w:tcPr>
            <w:tcW w:type="dxa" w:w="2556"/>
          </w:tcPr>
          <w:p>
            <w:pPr>
              <w:spacing w:after="0"/>
            </w:pPr>
            <w:r>
              <w:rPr>
                <w:rFonts w:ascii="Arial" w:hAnsi="Arial"/>
                <w:b w:val="0"/>
                <w:sz w:val="14"/>
              </w:rPr>
              <w:t>Voluntary governance framework</w:t>
            </w:r>
          </w:p>
        </w:tc>
        <w:tc>
          <w:tcPr>
            <w:tcW w:type="dxa" w:w="2556"/>
          </w:tcPr>
          <w:p>
            <w:pPr>
              <w:spacing w:after="0"/>
            </w:pPr>
            <w:r>
              <w:rPr>
                <w:rFonts w:ascii="Arial" w:hAnsi="Arial"/>
                <w:b w:val="0"/>
                <w:sz w:val="14"/>
              </w:rPr>
              <w:t>Assessing and bounding risks upfront; making humans meaningfully accountable; implementing technical controls and processes; enabling end-user responsibility</w:t>
            </w:r>
          </w:p>
        </w:tc>
        <w:tc>
          <w:tcPr>
            <w:tcW w:type="dxa" w:w="2556"/>
          </w:tcPr>
          <w:p>
            <w:pPr>
              <w:spacing w:after="0"/>
            </w:pPr>
            <w:r>
              <w:rPr>
                <w:rFonts w:ascii="Arial" w:hAnsi="Arial"/>
                <w:b w:val="0"/>
                <w:sz w:val="14"/>
              </w:rPr>
              <w:t>Strong agentic governance signal; voluntary framework rather than protocol schema, certification, or binding law</w:t>
            </w:r>
          </w:p>
        </w:tc>
      </w:tr>
      <w:tr>
        <w:tc>
          <w:tcPr>
            <w:tcW w:type="dxa" w:w="2556"/>
          </w:tcPr>
          <w:p>
            <w:pPr>
              <w:spacing w:after="0"/>
            </w:pPr>
            <w:r>
              <w:rPr>
                <w:rFonts w:ascii="Arial" w:hAnsi="Arial"/>
                <w:b w:val="0"/>
                <w:sz w:val="14"/>
              </w:rPr>
              <w:t>W3C PROV / Verifiable Credentials</w:t>
            </w:r>
          </w:p>
        </w:tc>
        <w:tc>
          <w:tcPr>
            <w:tcW w:type="dxa" w:w="2556"/>
          </w:tcPr>
          <w:p>
            <w:pPr>
              <w:spacing w:after="0"/>
            </w:pPr>
            <w:r>
              <w:rPr>
                <w:rFonts w:ascii="Arial" w:hAnsi="Arial"/>
                <w:b w:val="0"/>
                <w:sz w:val="14"/>
              </w:rPr>
              <w:t>Web provenance and credential standards</w:t>
            </w:r>
          </w:p>
        </w:tc>
        <w:tc>
          <w:tcPr>
            <w:tcW w:type="dxa" w:w="2556"/>
          </w:tcPr>
          <w:p>
            <w:pPr>
              <w:spacing w:after="0"/>
            </w:pPr>
            <w:r>
              <w:rPr>
                <w:rFonts w:ascii="Arial" w:hAnsi="Arial"/>
                <w:b w:val="0"/>
                <w:sz w:val="14"/>
              </w:rPr>
              <w:t>Provenance of entities, activities, agents; tamper-evident machine-verifiable claims</w:t>
            </w:r>
          </w:p>
        </w:tc>
        <w:tc>
          <w:tcPr>
            <w:tcW w:type="dxa" w:w="2556"/>
          </w:tcPr>
          <w:p>
            <w:pPr>
              <w:spacing w:after="0"/>
            </w:pPr>
            <w:r>
              <w:rPr>
                <w:rFonts w:ascii="Arial" w:hAnsi="Arial"/>
                <w:b w:val="0"/>
                <w:sz w:val="14"/>
              </w:rPr>
              <w:t>Useful foundation for evidence chain, selective disclosure, and third-party validation; not agent governance by itself</w:t>
            </w:r>
          </w:p>
        </w:tc>
      </w:tr>
      <w:tr>
        <w:tc>
          <w:tcPr>
            <w:tcW w:type="dxa" w:w="2556"/>
          </w:tcPr>
          <w:p>
            <w:pPr>
              <w:spacing w:after="0"/>
            </w:pPr>
            <w:r>
              <w:rPr>
                <w:rFonts w:ascii="Arial" w:hAnsi="Arial"/>
                <w:b w:val="0"/>
                <w:sz w:val="14"/>
              </w:rPr>
              <w:t>Colorado AI Act (SB24-205 / SB25B-004)</w:t>
            </w:r>
          </w:p>
        </w:tc>
        <w:tc>
          <w:tcPr>
            <w:tcW w:type="dxa" w:w="2556"/>
          </w:tcPr>
          <w:p>
            <w:pPr>
              <w:spacing w:after="0"/>
            </w:pPr>
            <w:r>
              <w:rPr>
                <w:rFonts w:ascii="Arial" w:hAnsi="Arial"/>
                <w:b w:val="0"/>
                <w:sz w:val="14"/>
              </w:rPr>
              <w:t>U.S. state law sample; not yet effective at 2026-05-07 snapshot</w:t>
            </w:r>
          </w:p>
        </w:tc>
        <w:tc>
          <w:tcPr>
            <w:tcW w:type="dxa" w:w="2556"/>
          </w:tcPr>
          <w:p>
            <w:pPr>
              <w:spacing w:after="0"/>
            </w:pPr>
            <w:r>
              <w:rPr>
                <w:rFonts w:ascii="Arial" w:hAnsi="Arial"/>
                <w:b w:val="0"/>
                <w:sz w:val="14"/>
              </w:rPr>
              <w:t>Consumer protections for high-risk AI systems; effective date extended to 2026-06-30 by SB25B-004</w:t>
            </w:r>
          </w:p>
        </w:tc>
        <w:tc>
          <w:tcPr>
            <w:tcW w:type="dxa" w:w="2556"/>
          </w:tcPr>
          <w:p>
            <w:pPr>
              <w:spacing w:after="0"/>
            </w:pPr>
            <w:r>
              <w:rPr>
                <w:rFonts w:ascii="Arial" w:hAnsi="Arial"/>
                <w:b w:val="0"/>
                <w:sz w:val="14"/>
              </w:rPr>
              <w:t>Useful state-level signal for algorithmic accountability; should be treated as forward-looking in this paper, not as an active effective-law baseline at the snapshot date</w:t>
            </w:r>
          </w:p>
        </w:tc>
      </w:tr>
    </w:tbl>
    <w:p>
      <w:pPr>
        <w:pStyle w:val="Heading2"/>
      </w:pPr>
      <w:r>
        <w:t>4.3 EU AI Act</w:t>
      </w:r>
    </w:p>
    <w:p>
      <w:pPr>
        <w:spacing w:after="56"/>
      </w:pPr>
      <w:r>
        <w:t>[EU-AI-ACT-ART-11] [EU-AI-ACT-ART-12] [EU-AI-ACT-ART-14] [EU-AI-ACT-ART-15] [EU-AI-ACT-ART-72]</w:t>
      </w:r>
    </w:p>
    <w:p>
      <w:pPr>
        <w:spacing w:after="56"/>
      </w:pPr>
      <w:r>
        <w:t>EU AI Act functions in this paper as binding regulation. Its relevance to agentic lifecycle conformance comes from the following requirement cluster: technical documentation, record-keeping, transparency, human oversight, accuracy/robustness/cybersecurity, post-market monitoring.</w:t>
      </w:r>
    </w:p>
    <w:p>
      <w:pPr>
        <w:spacing w:after="56"/>
      </w:pPr>
      <w:r>
        <w:t>What it contributes: Strong legal baseline for high-risk systems; binding direction around technical documentation, record-keeping, human oversight, and post-market monitoring.</w:t>
      </w:r>
    </w:p>
    <w:p>
      <w:pPr>
        <w:spacing w:after="56"/>
      </w:pPr>
      <w:r>
        <w:t>Why it matters for agentic AI: Articles 11, 12, 14, and 72 together indicate that high-risk AI systems must be documentable, loggable, supervisable, and monitored across their lifecycle. The missing agentic engineering question is how those obligations apply when a single outcome is produced by a moving graph of agents, tools, memory, delegated tasks, and human confirmations.</w:t>
      </w:r>
    </w:p>
    <w:p>
      <w:pPr>
        <w:spacing w:after="56"/>
      </w:pPr>
      <w:r>
        <w:t>What it does not define (the agentic gap): The framework does not itself define MAS responsibility-transfer object models.</w:t>
      </w:r>
    </w:p>
    <w:p>
      <w:pPr>
        <w:spacing w:after="56"/>
      </w:pPr>
      <w:r>
        <w:t>How it connects to lifecycle objects: The EU AI Act establishes binding direction around technical documentation, record-keeping, human oversight, and post-market monitoring. In agentic workflows, those obligations need lifecycle evidence boundaries: which agent or human role acted, which authority applied, which logs support the action, how oversight occurred, and how post-market monitoring reaches the workflow state rather than only the model artifact.</w:t>
      </w:r>
    </w:p>
    <w:p>
      <w:pPr>
        <w:pStyle w:val="Heading2"/>
      </w:pPr>
      <w:r>
        <w:t>4.4 GDPR</w:t>
      </w:r>
    </w:p>
    <w:p>
      <w:pPr>
        <w:spacing w:after="56"/>
      </w:pPr>
      <w:r>
        <w:t>[GDPR-ART-5]</w:t>
      </w:r>
    </w:p>
    <w:p>
      <w:pPr>
        <w:spacing w:after="56"/>
      </w:pPr>
      <w:r>
        <w:t>GDPR functions in this paper as binding privacy regulation. Its relevance to agentic lifecycle conformance comes from the following requirement cluster: lawfulness, fairness, transparency, purpose limitation, minimization, storage limitation, integrity/confidentiality, accountability.</w:t>
      </w:r>
    </w:p>
    <w:p>
      <w:pPr>
        <w:spacing w:after="56"/>
      </w:pPr>
      <w:r>
        <w:t>What it contributes: Binding privacy regulation with strong requirements for lawfulness, fairness, transparency, purpose limitation, minimization, storage limitation, integrity, confidentiality, and accountability.</w:t>
      </w:r>
    </w:p>
    <w:p>
      <w:pPr>
        <w:spacing w:after="56"/>
      </w:pPr>
      <w:r>
        <w:t>Why it matters for agentic AI: GDPR is crucial because agentic systems do not keep personal data in one place. Personal data may appear in user intent, prompt context, retrieval results, memory, tool payloads, trace records, review packets, evidence packs, and third-party validation artifacts. Therefore privacy controls need to be mapped to lifecycle phases, not merely database tables.</w:t>
      </w:r>
    </w:p>
    <w:p>
      <w:pPr>
        <w:spacing w:after="56"/>
      </w:pPr>
      <w:r>
        <w:t>What it does not define (the agentic gap): Lifecycle mapping remains an engineering task.</w:t>
      </w:r>
    </w:p>
    <w:p>
      <w:pPr>
        <w:spacing w:after="56"/>
      </w:pPr>
      <w:r>
        <w:t>How it connects to lifecycle objects: GDPR pushes the lifecycle question into data flow. Privacy controls must follow prompts, memory, retrieval context, tool payloads, traces, evidence packs, redaction profiles, and validation artifacts. A lifecycle object model makes those flows reviewable without treating a database policy or privacy notice as the whole control surface.</w:t>
      </w:r>
    </w:p>
    <w:p>
      <w:pPr>
        <w:pStyle w:val="Heading2"/>
      </w:pPr>
      <w:r>
        <w:t>4.5 NIST AI RMF 1.0</w:t>
      </w:r>
    </w:p>
    <w:p>
      <w:pPr>
        <w:spacing w:after="56"/>
      </w:pPr>
      <w:r>
        <w:t>[NIST-AI-RMF-1.0]</w:t>
      </w:r>
    </w:p>
    <w:p>
      <w:pPr>
        <w:spacing w:after="56"/>
      </w:pPr>
      <w:r>
        <w:t>NIST AI RMF 1.0 functions in this paper as voluntary risk framework. Its relevance to agentic lifecycle conformance comes from the following requirement cluster: Govern, Map, Measure, Manage functions across the AI lifecycle.</w:t>
      </w:r>
    </w:p>
    <w:p>
      <w:pPr>
        <w:spacing w:after="56"/>
      </w:pPr>
      <w:r>
        <w:t>What it contributes: Excellent risk-management umbrella covering Govern, Map, Measure, and Manage functions across the AI lifecycle.</w:t>
      </w:r>
    </w:p>
    <w:p>
      <w:pPr>
        <w:spacing w:after="56"/>
      </w:pPr>
      <w:r>
        <w:t>Why it matters for agentic AI: Provides a comprehensive risk management structure that applies to all AI systems, including agentic systems. The framework establishes the risk management direction; lifecycle objects make that direction testable in agentic workflows.</w:t>
      </w:r>
    </w:p>
    <w:p>
      <w:pPr>
        <w:spacing w:after="56"/>
      </w:pPr>
      <w:r>
        <w:t>What it does not define (the agentic gap): Intentionally not a MAS protocol or delegated-authority object model.</w:t>
      </w:r>
    </w:p>
    <w:p>
      <w:pPr>
        <w:spacing w:after="56"/>
      </w:pPr>
      <w:r>
        <w:t>How it connects to lifecycle objects: NIST AI RMF supplies the risk-management frame; agentic execution needs the frame to bind to action classes, delegated authority, evidence sufficiency, monitoring triggers, remediation records, and accepted-outcome review. Lifecycle objects make the Govern, Map, Measure, and Manage functions concrete inside multi-step workflows.</w:t>
      </w:r>
    </w:p>
    <w:p>
      <w:pPr>
        <w:pStyle w:val="Heading2"/>
      </w:pPr>
      <w:r>
        <w:t>4.6 ISO/IEC 42001</w:t>
      </w:r>
    </w:p>
    <w:p>
      <w:pPr>
        <w:spacing w:after="56"/>
      </w:pPr>
      <w:r>
        <w:t>[ISO-IEC-42001]</w:t>
      </w:r>
    </w:p>
    <w:p>
      <w:pPr>
        <w:spacing w:after="56"/>
      </w:pPr>
      <w:r>
        <w:t>ISO/IEC 42001 functions in this paper as management system standard. Its relevance to agentic lifecycle conformance comes from the following requirement cluster: AIMS requirements for establishing, implementing, maintaining, and improving AI management systems.</w:t>
      </w:r>
    </w:p>
    <w:p>
      <w:pPr>
        <w:spacing w:after="56"/>
      </w:pPr>
      <w:r>
        <w:t>What it contributes: Management system standard for AI governance; provides organizational structure for AI governance programs.</w:t>
      </w:r>
    </w:p>
    <w:p>
      <w:pPr>
        <w:spacing w:after="56"/>
      </w:pPr>
      <w:r>
        <w:t>Why it matters for agentic AI: Establishes organizational governance requirements that apply to agentic systems. Organizational governance must be supported by technical lifecycle objects that prove governance was enforced at execution boundaries.</w:t>
      </w:r>
    </w:p>
    <w:p>
      <w:pPr>
        <w:spacing w:after="56"/>
      </w:pPr>
      <w:r>
        <w:t>What it does not define (the agentic gap): Needs technical lifecycle evidence objects for agentic execution.</w:t>
      </w:r>
    </w:p>
    <w:p>
      <w:pPr>
        <w:spacing w:after="56"/>
      </w:pPr>
      <w:r>
        <w:t>How it connects to lifecycle objects: ISO/IEC 42001 can organize the management system around AI governance, but agentic systems still need execution-level evidence objects. The management system needs records that show where policy, responsibility, authorization, monitoring, correction, and improvement were enforced in the actual agentic lifecycle.</w:t>
      </w:r>
    </w:p>
    <w:p>
      <w:pPr>
        <w:pStyle w:val="Heading2"/>
      </w:pPr>
      <w:r>
        <w:t>4.7 Singapore IMDA Model AI Governance Framework for Agentic AI</w:t>
      </w:r>
    </w:p>
    <w:p>
      <w:pPr>
        <w:spacing w:after="56"/>
      </w:pPr>
      <w:r>
        <w:t>[SINGAPORE-MGF-AGENTIC-AI]</w:t>
      </w:r>
    </w:p>
    <w:p>
      <w:pPr>
        <w:spacing w:after="56"/>
      </w:pPr>
      <w:r>
        <w:t>Singapore MGF for Agentic AI functions in this paper as a voluntary governance framework. Its relevance comes from its four-part framing: assessing and bounding risks upfront; making humans meaningfully accountable; implementing technical controls and processes; and enabling end-user responsibility. Technical controls are especially relevant for agent planning, tools, protocol interactions, testing, monitoring, and lifecycle controls.</w:t>
      </w:r>
    </w:p>
    <w:p>
      <w:pPr>
        <w:spacing w:after="56"/>
      </w:pPr>
      <w:r>
        <w:t>What it contributes: Most directly aligned with agentic-specific risk language; provides clear guidance on human accountability, technical controls, and end-user responsibility in agentic contexts.</w:t>
      </w:r>
    </w:p>
    <w:p>
      <w:pPr>
        <w:spacing w:after="56"/>
      </w:pPr>
      <w:r>
        <w:t>Why it matters for agentic AI: Singapore's agentic AI framework is a signal that governance bodies are now treating agent planning, tool use, human accountability, testing, monitoring, and end-user responsibility as agent-specific concerns. The framework names the agentic lifecycle control problem; lifecycle objects make those controls testable.</w:t>
      </w:r>
    </w:p>
    <w:p>
      <w:pPr>
        <w:spacing w:after="56"/>
      </w:pPr>
      <w:r>
        <w:t>What it does not define (the agentic gap): Still a governance framework rather than a protocol schema. It should not be overstated as a protocol, law, or certification regime; it is a voluntary framework that helps name the agentic lifecycle control problem.</w:t>
      </w:r>
    </w:p>
    <w:p>
      <w:pPr>
        <w:spacing w:after="56"/>
      </w:pPr>
      <w:r>
        <w:t>How it connects to lifecycle objects: The Singapore framework names the agentic governance problem more directly than many general AI frameworks. The implementation step is to translate that framing into protocol or schema-level controls for authority, human accountability, testing, monitoring, tool use, and lifecycle evidence.</w:t>
      </w:r>
    </w:p>
    <w:p>
      <w:pPr>
        <w:pStyle w:val="Heading2"/>
      </w:pPr>
      <w:r>
        <w:t>4.8 W3C PROV / Verifiable Credentials</w:t>
      </w:r>
    </w:p>
    <w:p>
      <w:pPr>
        <w:spacing w:after="56"/>
      </w:pPr>
      <w:r>
        <w:t>[W3C-PROV] [W3C-VC-DM-2.0]</w:t>
      </w:r>
    </w:p>
    <w:p>
      <w:pPr>
        <w:spacing w:after="56"/>
      </w:pPr>
      <w:r>
        <w:t>W3C PROV / Verifiable Credentials functions in this paper as web provenance and credential standards. Its relevance to agentic lifecycle conformance comes from the following requirement cluster: provenance of entities, activities, agents; tamper-evident machine-verifiable claims.</w:t>
      </w:r>
    </w:p>
    <w:p>
      <w:pPr>
        <w:spacing w:after="56"/>
      </w:pPr>
      <w:r>
        <w:t>What it contributes: Useful foundation for evidence chain, selective disclosure, and third-party validation.</w:t>
      </w:r>
    </w:p>
    <w:p>
      <w:pPr>
        <w:spacing w:after="56"/>
      </w:pPr>
      <w:r>
        <w:t>Why it matters for agentic AI: Provides standards for tamper-evident, machine-verifiable claims that can support evidence chains and third-party validation. Provenance standards provide the technical foundation for evidence chains; lifecycle objects define what must be proven.</w:t>
      </w:r>
    </w:p>
    <w:p>
      <w:pPr>
        <w:spacing w:after="56"/>
      </w:pPr>
      <w:r>
        <w:t>What it does not define (the agentic gap): Not agent governance by itself.</w:t>
      </w:r>
    </w:p>
    <w:p>
      <w:pPr>
        <w:spacing w:after="56"/>
      </w:pPr>
      <w:r>
        <w:t>How it connects to lifecycle objects: W3C PROV and Verifiable Credentials can represent provenance and machine-verifiable claims, but they do not decide which agentic governance facts must exist. Lifecycle objects define the semantics that provenance and credential structures may carry: authority, responsibility, evidence partition, selective disclosure, validation verdict, dispute, and remediation state.</w:t>
      </w:r>
    </w:p>
    <w:p>
      <w:pPr>
        <w:pStyle w:val="Heading2"/>
      </w:pPr>
      <w:r>
        <w:t>4.9 Colorado AI Act (SB24-205 / SB25B-004)</w:t>
      </w:r>
    </w:p>
    <w:p>
      <w:pPr>
        <w:spacing w:after="56"/>
      </w:pPr>
      <w:r>
        <w:t>[COLORADO-SB25B-004]</w:t>
      </w:r>
    </w:p>
    <w:p>
      <w:pPr>
        <w:spacing w:after="56"/>
      </w:pPr>
      <w:r>
        <w:t>Colorado AI Act (SB24-205 / SB25B-004) functions in this paper as U.S. state law sample; not yet effective at 2026-05-07 snapshot. Consumer protections for high-risk AI systems; effective date extended to 2026-06-30 by SB25B-004.</w:t>
      </w:r>
    </w:p>
    <w:p>
      <w:pPr>
        <w:spacing w:after="56"/>
      </w:pPr>
      <w:r>
        <w:t>What it contributes: Useful state-level signal for algorithmic accountability.</w:t>
      </w:r>
    </w:p>
    <w:p>
      <w:pPr>
        <w:spacing w:after="56"/>
      </w:pPr>
      <w:r>
        <w:t>Why it matters for agentic AI: Demonstrates U.S. state-level movement toward algorithmic accountability requirements. At the 2026-05-07 snapshot date used in this paper, the effective date had been extended to 2026-06-30 by SB25B-004. It should therefore be treated as a forward-looking indicator of U.S. state-level algorithmic accountability requirements, not as an active baseline law at the time of writing.</w:t>
      </w:r>
    </w:p>
    <w:p>
      <w:pPr>
        <w:spacing w:after="56"/>
      </w:pPr>
      <w:r>
        <w:t>What it does not define (the agentic gap): Should be treated as forward-looking in this paper, not as an active effective-law baseline at the snapshot date.</w:t>
      </w:r>
    </w:p>
    <w:p>
      <w:pPr>
        <w:spacing w:after="56"/>
      </w:pPr>
      <w:r>
        <w:t>How it connects to lifecycle objects: State-level accountability requirements point toward a need for lifecycle evidence that can connect risk management, notice, review, impact, and accountability to actual system behavior. This paper keeps the Colorado discussion snapshot-bound and treats final legal-status verification as a publication QA item.</w:t>
      </w:r>
    </w:p>
    <w:p>
      <w:pPr>
        <w:pStyle w:val="Heading1"/>
      </w:pPr>
      <w:r>
        <w:t>Chapter 5: From Regulatory Language to Engineering Objects</w:t>
      </w:r>
    </w:p>
    <w:p>
      <w:pPr>
        <w:spacing w:after="56"/>
      </w:pPr>
      <w:r>
        <w:t>Version: v0.3.2-FRC-R3</w:t>
      </w:r>
    </w:p>
    <w:p>
      <w:pPr>
        <w:pStyle w:val="Heading2"/>
      </w:pPr>
      <w:r>
        <w:t>5.1 The Gap Between Regulation and Engineering</w:t>
      </w:r>
    </w:p>
    <w:p>
      <w:pPr>
        <w:spacing w:after="56"/>
      </w:pPr>
      <w:r>
        <w:t>The gap between regulation and engineering is often hidden by familiar words. A regulation may say record-keeping, but an engineer must decide what fields exist, when records are emitted, whether they are tamper-evident, how they are partitioned, what retention policy applies, how they reference plan versions, how personal data is minimized, whether they support selective disclosure, and how the record is used in dispute.</w:t>
      </w:r>
    </w:p>
    <w:p>
      <w:pPr>
        <w:spacing w:after="56"/>
      </w:pPr>
      <w:r>
        <w:t>A governance document may say human oversight, but an implementation must decide which human role can approve which tool action, under which risk class, with what evidence, with what override path, and how that responsibility boundary is preserved across agent handoffs.</w:t>
      </w:r>
    </w:p>
    <w:p>
      <w:pPr>
        <w:spacing w:after="56"/>
      </w:pPr>
      <w:r>
        <w:t>A framework may require transparency, but an agentic system must decide whether evidence can be replayed for review, whether the replay is reconstructable from partitioned evidence, whether privacy constraints allow disclosure, and whether the review is linked to accepted outcome governance.</w:t>
      </w:r>
    </w:p>
    <w:p>
      <w:pPr>
        <w:spacing w:after="56"/>
      </w:pPr>
      <w:r>
        <w:t>A standard may mandate accountability, but a multi-agent workflow must determine who owns a tool action, how liability transfers across agents, how responsibility is recorded, and how ownership is proven when disputes arise.</w:t>
      </w:r>
    </w:p>
    <w:p>
      <w:pPr>
        <w:spacing w:after="56"/>
      </w:pPr>
      <w:r>
        <w:t>Familiar regulatory words establish direction. Engineering objects make that direction testable, auditable, and enforceable in distributed agentic execution.</w:t>
      </w:r>
    </w:p>
    <w:p>
      <w:pPr>
        <w:spacing w:after="56"/>
      </w:pPr>
      <w:r>
        <w:t>This chapter provides the bridge from regulatory language to the Missing Regulatory Objects that will be defined in Chapter 6.</w:t>
      </w:r>
    </w:p>
    <w:p>
      <w:pPr>
        <w:pStyle w:val="Heading2"/>
      </w:pPr>
      <w:r>
        <w:t>5.2 Regulatory Language to Engineering Objects Mapping</w:t>
      </w:r>
    </w:p>
    <w:p>
      <w:pPr>
        <w:spacing w:after="56"/>
      </w:pPr>
      <w:r>
        <w:t>The table below maps recurring regulatory language to the agentic engineering questions that must be answered, and the required lifecycle objects that make those answers testable.</w:t>
      </w:r>
    </w:p>
    <w:p>
      <w:pPr>
        <w:keepNext/>
      </w:pPr>
      <w:r>
        <w:rPr>
          <w:b/>
          <w:sz w:val="16"/>
        </w:rPr>
        <w:t>Table T-05-01: Regulatory Language to Engineering Objects Mapping</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Regulatory Language</w:t>
            </w:r>
          </w:p>
        </w:tc>
        <w:tc>
          <w:tcPr>
            <w:tcW w:type="dxa" w:w="3408"/>
          </w:tcPr>
          <w:p>
            <w:pPr>
              <w:spacing w:after="0"/>
            </w:pPr>
            <w:r>
              <w:rPr>
                <w:rFonts w:ascii="Arial" w:hAnsi="Arial"/>
                <w:b/>
                <w:sz w:val="14"/>
              </w:rPr>
              <w:t>Agentic Engineering Question</w:t>
            </w:r>
          </w:p>
        </w:tc>
        <w:tc>
          <w:tcPr>
            <w:tcW w:type="dxa" w:w="3408"/>
          </w:tcPr>
          <w:p>
            <w:pPr>
              <w:spacing w:after="0"/>
            </w:pPr>
            <w:r>
              <w:rPr>
                <w:rFonts w:ascii="Arial" w:hAnsi="Arial"/>
                <w:b/>
                <w:sz w:val="14"/>
              </w:rPr>
              <w:t>Required Lifecycle Object</w:t>
            </w:r>
          </w:p>
        </w:tc>
      </w:tr>
      <w:tr>
        <w:tc>
          <w:tcPr>
            <w:tcW w:type="dxa" w:w="3408"/>
          </w:tcPr>
          <w:p>
            <w:pPr>
              <w:spacing w:after="0"/>
            </w:pPr>
            <w:r>
              <w:rPr>
                <w:rFonts w:ascii="Arial" w:hAnsi="Arial"/>
                <w:b w:val="0"/>
                <w:sz w:val="14"/>
              </w:rPr>
              <w:t>Risk management</w:t>
            </w:r>
          </w:p>
        </w:tc>
        <w:tc>
          <w:tcPr>
            <w:tcW w:type="dxa" w:w="3408"/>
          </w:tcPr>
          <w:p>
            <w:pPr>
              <w:spacing w:after="0"/>
            </w:pPr>
            <w:r>
              <w:rPr>
                <w:rFonts w:ascii="Arial" w:hAnsi="Arial"/>
                <w:b w:val="0"/>
                <w:sz w:val="14"/>
              </w:rPr>
              <w:t>What can go wrong as agents plan, delegate, call tools, and modify state?</w:t>
            </w:r>
          </w:p>
        </w:tc>
        <w:tc>
          <w:tcPr>
            <w:tcW w:type="dxa" w:w="3408"/>
          </w:tcPr>
          <w:p>
            <w:pPr>
              <w:spacing w:after="0"/>
            </w:pPr>
            <w:r>
              <w:rPr>
                <w:rFonts w:ascii="Arial" w:hAnsi="Arial"/>
                <w:b w:val="0"/>
                <w:sz w:val="14"/>
              </w:rPr>
              <w:t>Risk register linked to lifecycle phases and action classes</w:t>
            </w:r>
          </w:p>
        </w:tc>
      </w:tr>
      <w:tr>
        <w:tc>
          <w:tcPr>
            <w:tcW w:type="dxa" w:w="3408"/>
          </w:tcPr>
          <w:p>
            <w:pPr>
              <w:spacing w:after="0"/>
            </w:pPr>
            <w:r>
              <w:rPr>
                <w:rFonts w:ascii="Arial" w:hAnsi="Arial"/>
                <w:b w:val="0"/>
                <w:sz w:val="14"/>
              </w:rPr>
              <w:t>Technical documentation</w:t>
            </w:r>
          </w:p>
        </w:tc>
        <w:tc>
          <w:tcPr>
            <w:tcW w:type="dxa" w:w="3408"/>
          </w:tcPr>
          <w:p>
            <w:pPr>
              <w:spacing w:after="0"/>
            </w:pPr>
            <w:r>
              <w:rPr>
                <w:rFonts w:ascii="Arial" w:hAnsi="Arial"/>
                <w:b w:val="0"/>
                <w:sz w:val="14"/>
              </w:rPr>
              <w:t>Can the system describe its agent roles, authority boundaries, evidence schema, and limitations?</w:t>
            </w:r>
          </w:p>
        </w:tc>
        <w:tc>
          <w:tcPr>
            <w:tcW w:type="dxa" w:w="3408"/>
          </w:tcPr>
          <w:p>
            <w:pPr>
              <w:spacing w:after="0"/>
            </w:pPr>
            <w:r>
              <w:rPr>
                <w:rFonts w:ascii="Arial" w:hAnsi="Arial"/>
                <w:b w:val="0"/>
                <w:sz w:val="14"/>
              </w:rPr>
              <w:t>Versioned architecture and lifecycle object documentation</w:t>
            </w:r>
          </w:p>
        </w:tc>
      </w:tr>
      <w:tr>
        <w:tc>
          <w:tcPr>
            <w:tcW w:type="dxa" w:w="3408"/>
          </w:tcPr>
          <w:p>
            <w:pPr>
              <w:spacing w:after="0"/>
            </w:pPr>
            <w:r>
              <w:rPr>
                <w:rFonts w:ascii="Arial" w:hAnsi="Arial"/>
                <w:b w:val="0"/>
                <w:sz w:val="14"/>
              </w:rPr>
              <w:t>Record-keeping</w:t>
            </w:r>
          </w:p>
        </w:tc>
        <w:tc>
          <w:tcPr>
            <w:tcW w:type="dxa" w:w="3408"/>
          </w:tcPr>
          <w:p>
            <w:pPr>
              <w:spacing w:after="0"/>
            </w:pPr>
            <w:r>
              <w:rPr>
                <w:rFonts w:ascii="Arial" w:hAnsi="Arial"/>
                <w:b w:val="0"/>
                <w:sz w:val="14"/>
              </w:rPr>
              <w:t>Can the organization reconstruct what happened across agents and tools?</w:t>
            </w:r>
          </w:p>
        </w:tc>
        <w:tc>
          <w:tcPr>
            <w:tcW w:type="dxa" w:w="3408"/>
          </w:tcPr>
          <w:p>
            <w:pPr>
              <w:spacing w:after="0"/>
            </w:pPr>
            <w:r>
              <w:rPr>
                <w:rFonts w:ascii="Arial" w:hAnsi="Arial"/>
                <w:b w:val="0"/>
                <w:sz w:val="14"/>
              </w:rPr>
              <w:t>Partitioned evidence chain with plan, role, tool, and outcome links</w:t>
            </w:r>
          </w:p>
        </w:tc>
      </w:tr>
      <w:tr>
        <w:tc>
          <w:tcPr>
            <w:tcW w:type="dxa" w:w="3408"/>
          </w:tcPr>
          <w:p>
            <w:pPr>
              <w:spacing w:after="0"/>
            </w:pPr>
            <w:r>
              <w:rPr>
                <w:rFonts w:ascii="Arial" w:hAnsi="Arial"/>
                <w:b w:val="0"/>
                <w:sz w:val="14"/>
              </w:rPr>
              <w:t>Transparency</w:t>
            </w:r>
          </w:p>
        </w:tc>
        <w:tc>
          <w:tcPr>
            <w:tcW w:type="dxa" w:w="3408"/>
          </w:tcPr>
          <w:p>
            <w:pPr>
              <w:spacing w:after="0"/>
            </w:pPr>
            <w:r>
              <w:rPr>
                <w:rFonts w:ascii="Arial" w:hAnsi="Arial"/>
                <w:b w:val="0"/>
                <w:sz w:val="14"/>
              </w:rPr>
              <w:t>Can reviewers understand the evidence behind an outcome?</w:t>
            </w:r>
          </w:p>
        </w:tc>
        <w:tc>
          <w:tcPr>
            <w:tcW w:type="dxa" w:w="3408"/>
          </w:tcPr>
          <w:p>
            <w:pPr>
              <w:spacing w:after="0"/>
            </w:pPr>
            <w:r>
              <w:rPr>
                <w:rFonts w:ascii="Arial" w:hAnsi="Arial"/>
                <w:b w:val="0"/>
                <w:sz w:val="14"/>
              </w:rPr>
              <w:t>Evidence pointer graph and explanation packet</w:t>
            </w:r>
          </w:p>
        </w:tc>
      </w:tr>
      <w:tr>
        <w:tc>
          <w:tcPr>
            <w:tcW w:type="dxa" w:w="3408"/>
          </w:tcPr>
          <w:p>
            <w:pPr>
              <w:spacing w:after="0"/>
            </w:pPr>
            <w:r>
              <w:rPr>
                <w:rFonts w:ascii="Arial" w:hAnsi="Arial"/>
                <w:b w:val="0"/>
                <w:sz w:val="14"/>
              </w:rPr>
              <w:t>Human oversight</w:t>
            </w:r>
          </w:p>
        </w:tc>
        <w:tc>
          <w:tcPr>
            <w:tcW w:type="dxa" w:w="3408"/>
          </w:tcPr>
          <w:p>
            <w:pPr>
              <w:spacing w:after="0"/>
            </w:pPr>
            <w:r>
              <w:rPr>
                <w:rFonts w:ascii="Arial" w:hAnsi="Arial"/>
                <w:b w:val="0"/>
                <w:sz w:val="14"/>
              </w:rPr>
              <w:t>Which human can approve, reject, override, or accept which action?</w:t>
            </w:r>
          </w:p>
        </w:tc>
        <w:tc>
          <w:tcPr>
            <w:tcW w:type="dxa" w:w="3408"/>
          </w:tcPr>
          <w:p>
            <w:pPr>
              <w:spacing w:after="0"/>
            </w:pPr>
            <w:r>
              <w:rPr>
                <w:rFonts w:ascii="Arial" w:hAnsi="Arial"/>
                <w:b w:val="0"/>
                <w:sz w:val="14"/>
              </w:rPr>
              <w:t>Human-role-to-MAS responsibility map and confirmation boundary</w:t>
            </w:r>
          </w:p>
        </w:tc>
      </w:tr>
      <w:tr>
        <w:tc>
          <w:tcPr>
            <w:tcW w:type="dxa" w:w="3408"/>
          </w:tcPr>
          <w:p>
            <w:pPr>
              <w:spacing w:after="0"/>
            </w:pPr>
            <w:r>
              <w:rPr>
                <w:rFonts w:ascii="Arial" w:hAnsi="Arial"/>
                <w:b w:val="0"/>
                <w:sz w:val="14"/>
              </w:rPr>
              <w:t>Accountability</w:t>
            </w:r>
          </w:p>
        </w:tc>
        <w:tc>
          <w:tcPr>
            <w:tcW w:type="dxa" w:w="3408"/>
          </w:tcPr>
          <w:p>
            <w:pPr>
              <w:spacing w:after="0"/>
            </w:pPr>
            <w:r>
              <w:rPr>
                <w:rFonts w:ascii="Arial" w:hAnsi="Arial"/>
                <w:b w:val="0"/>
                <w:sz w:val="14"/>
              </w:rPr>
              <w:t>Who owns a decision, tool action, or outcome?</w:t>
            </w:r>
          </w:p>
        </w:tc>
        <w:tc>
          <w:tcPr>
            <w:tcW w:type="dxa" w:w="3408"/>
          </w:tcPr>
          <w:p>
            <w:pPr>
              <w:spacing w:after="0"/>
            </w:pPr>
            <w:r>
              <w:rPr>
                <w:rFonts w:ascii="Arial" w:hAnsi="Arial"/>
                <w:b w:val="0"/>
                <w:sz w:val="14"/>
              </w:rPr>
              <w:t>Responsibility boundary, transfer record, and accepted outcome owner</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Can an affected party challenge the result and trigger review?</w:t>
            </w:r>
          </w:p>
        </w:tc>
        <w:tc>
          <w:tcPr>
            <w:tcW w:type="dxa" w:w="3408"/>
          </w:tcPr>
          <w:p>
            <w:pPr>
              <w:spacing w:after="0"/>
            </w:pPr>
            <w:r>
              <w:rPr>
                <w:rFonts w:ascii="Arial" w:hAnsi="Arial"/>
                <w:b w:val="0"/>
                <w:sz w:val="14"/>
              </w:rPr>
              <w:t>Dispute-ready replay and remediation closure object</w:t>
            </w:r>
          </w:p>
        </w:tc>
      </w:tr>
      <w:tr>
        <w:tc>
          <w:tcPr>
            <w:tcW w:type="dxa" w:w="3408"/>
          </w:tcPr>
          <w:p>
            <w:pPr>
              <w:spacing w:after="0"/>
            </w:pPr>
            <w:r>
              <w:rPr>
                <w:rFonts w:ascii="Arial" w:hAnsi="Arial"/>
                <w:b w:val="0"/>
                <w:sz w:val="14"/>
              </w:rPr>
              <w:t>Privacy</w:t>
            </w:r>
          </w:p>
        </w:tc>
        <w:tc>
          <w:tcPr>
            <w:tcW w:type="dxa" w:w="3408"/>
          </w:tcPr>
          <w:p>
            <w:pPr>
              <w:spacing w:after="0"/>
            </w:pPr>
            <w:r>
              <w:rPr>
                <w:rFonts w:ascii="Arial" w:hAnsi="Arial"/>
                <w:b w:val="0"/>
                <w:sz w:val="14"/>
              </w:rPr>
              <w:t>How is personal data constrained across memory, tools, traces, and evidence?</w:t>
            </w:r>
          </w:p>
        </w:tc>
        <w:tc>
          <w:tcPr>
            <w:tcW w:type="dxa" w:w="3408"/>
          </w:tcPr>
          <w:p>
            <w:pPr>
              <w:spacing w:after="0"/>
            </w:pPr>
            <w:r>
              <w:rPr>
                <w:rFonts w:ascii="Arial" w:hAnsi="Arial"/>
                <w:b w:val="0"/>
                <w:sz w:val="14"/>
              </w:rPr>
              <w:t>Privacy lifecycle map and selective disclosure policy</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How are drift, incident, and lifecycle failures detected?</w:t>
            </w:r>
          </w:p>
        </w:tc>
        <w:tc>
          <w:tcPr>
            <w:tcW w:type="dxa" w:w="3408"/>
          </w:tcPr>
          <w:p>
            <w:pPr>
              <w:spacing w:after="0"/>
            </w:pPr>
            <w:r>
              <w:rPr>
                <w:rFonts w:ascii="Arial" w:hAnsi="Arial"/>
                <w:b w:val="0"/>
                <w:sz w:val="14"/>
              </w:rPr>
              <w:t>Continuous monitoring and incident closure records</w:t>
            </w:r>
          </w:p>
        </w:tc>
      </w:tr>
    </w:tbl>
    <w:p>
      <w:pPr>
        <w:spacing w:after="56"/>
      </w:pPr>
      <w:r>
        <w:t>This table is the bridge from legal language to the Missing Regulatory Objects defined in Chapter 6. The point is not to invent bureaucracy for its own sake. The point is to recognize that agentic systems need explicit objects because the old system boundary has dissolved. The work unit is now distributed across agents, tools, memory, people, projects, and vendors.</w:t>
      </w:r>
    </w:p>
    <w:p>
      <w:pPr>
        <w:pStyle w:val="Heading2"/>
      </w:pPr>
      <w:r>
        <w:t>5.3 Why Explicit Objects Are Necessary</w:t>
      </w:r>
    </w:p>
    <w:p>
      <w:pPr>
        <w:spacing w:after="56"/>
      </w:pPr>
      <w:r>
        <w:t>Without explicit lifecycle objects, regulatory language remains aspirational rather than enforceable:</w:t>
      </w:r>
    </w:p>
    <w:p>
      <w:pPr>
        <w:pStyle w:val="ListBullet"/>
        <w:spacing w:after="56"/>
      </w:pPr>
      <w:r>
        <w:t>Risk management becomes a policy document that cannot be tied to actual agent actions. A risk register must link to lifecycle phases, action classes, and delegated authority boundaries.</w:t>
      </w:r>
    </w:p>
    <w:p>
      <w:pPr>
        <w:pStyle w:val="ListBullet"/>
        <w:spacing w:after="56"/>
      </w:pPr>
      <w:r>
        <w:t>Technical documentation describes intent but not how authority, evidence, and privacy are enforced. Versioned architecture documentation must specify agent roles, authority boundaries, evidence schema, and limitations.</w:t>
      </w:r>
    </w:p>
    <w:p>
      <w:pPr>
        <w:pStyle w:val="ListBullet"/>
        <w:spacing w:after="56"/>
      </w:pPr>
      <w:r>
        <w:t>Record-keeping produces flat logs that cannot reconstruct cross-agent responsibility. Evidence must be partitioned by agent, tool, human confirmation, plan version, authority boundary, privacy boundary, and accepted outcome.</w:t>
      </w:r>
    </w:p>
    <w:p>
      <w:pPr>
        <w:pStyle w:val="ListBullet"/>
        <w:spacing w:after="56"/>
      </w:pPr>
      <w:r>
        <w:t>Transparency provides dashboards that show execution but not accepted outcome governance. Evidence pointer graphs must link outcomes to the authority, evidence, and review that made them accepted.</w:t>
      </w:r>
    </w:p>
    <w:p>
      <w:pPr>
        <w:pStyle w:val="ListBullet"/>
        <w:spacing w:after="56"/>
      </w:pPr>
      <w:r>
        <w:t>Human oversight becomes a button click without role-to-responsibility mapping. The system must map which human role can approve, reject, override, or accept which action, under which risk class, with what evidence, and with what escalation path.</w:t>
      </w:r>
    </w:p>
    <w:p>
      <w:pPr>
        <w:pStyle w:val="ListBullet"/>
        <w:spacing w:after="56"/>
      </w:pPr>
      <w:r>
        <w:t>Accountability becomes a narrative claim without evidence-backed ownership. Responsibility boundaries must record who owns a decision, tool action, or outcome, how liability transfers across agents, and how ownership is proven in disputes.</w:t>
      </w:r>
    </w:p>
    <w:p>
      <w:pPr>
        <w:pStyle w:val="ListBullet"/>
        <w:spacing w:after="56"/>
      </w:pPr>
      <w:r>
        <w:t>Contestability becomes impossible because evidence cannot be replayed under privacy constraints. Dispute-ready replay requires partitioned evidence, selective disclosure, and remediation closure objects.</w:t>
      </w:r>
    </w:p>
    <w:p>
      <w:pPr>
        <w:pStyle w:val="ListBullet"/>
        <w:spacing w:after="56"/>
      </w:pPr>
      <w:r>
        <w:t>Privacy becomes a database policy that does not govern prompts, memory, tools, traces, and evidence packs. Privacy lifecycle mapping must bind lawful basis, purpose, minimization, retention, access, erasure, redaction, and disclosure to every lifecycle surface where data may flow or persist.</w:t>
      </w:r>
    </w:p>
    <w:p>
      <w:pPr>
        <w:pStyle w:val="ListBullet"/>
        <w:spacing w:after="56"/>
      </w:pPr>
      <w:r>
        <w:t>Monitoring detects failures but cannot close incidents through evidence, responsibility, correction, and acceptance. Continuous monitoring must link drift detection, incident triggers, evidence packs, responsible roles, corrective actions, and closure states.</w:t>
      </w:r>
    </w:p>
    <w:p>
      <w:pPr>
        <w:pStyle w:val="Heading2"/>
      </w:pPr>
      <w:r>
        <w:t>5.4 The Engineering Object Requirement</w:t>
      </w:r>
    </w:p>
    <w:p>
      <w:pPr>
        <w:spacing w:after="56"/>
      </w:pPr>
      <w:r>
        <w:t>At this point in the argument, the thesis becomes operational: lifecycle responsibility compliance requires objects that can be represented, emitted, reviewed, and replayed.</w:t>
      </w:r>
    </w:p>
    <w:p>
      <w:pPr>
        <w:spacing w:after="56"/>
      </w:pPr>
      <w:r>
        <w:t>Enterprise buyers, auditors, insurers, regulators, and internal governance teams need more than dashboards, logs, or guardrails. They need lifecycle objects: delegated authority boundaries, human-role-to-agent-responsibility mappings, tool-action liability records, evidence partitions, accepted outcome states, cross-project reuse controls, privacy-preserving validation packs, and dispute closure records.</w:t>
      </w:r>
    </w:p>
    <w:p>
      <w:pPr>
        <w:spacing w:after="56"/>
      </w:pPr>
      <w:r>
        <w:t>These objects are not proposed legal mandates. They are engineering and assurance objects that appear necessary if existing regulatory ideals are to become auditable in multi-agent execution. The objects are designed to make visible the difference between model governance, orchestration observability, and lifecycle responsibility governance.</w:t>
      </w:r>
    </w:p>
    <w:p>
      <w:pPr>
        <w:spacing w:after="56"/>
      </w:pPr>
      <w:r>
        <w:t>Existing regulation establishes the direction of travel. Agentic systems require additional engineering object models to implement that direction faithfully.</w:t>
      </w:r>
    </w:p>
    <w:p>
      <w:pPr>
        <w:pStyle w:val="Heading2"/>
      </w:pPr>
      <w:r>
        <w:t>5.5 Bridge to Chapter 6</w:t>
      </w:r>
    </w:p>
    <w:p>
      <w:pPr>
        <w:spacing w:after="56"/>
      </w:pPr>
      <w:r>
        <w:t>The following chapter defines sixteen Missing Regulatory Objects. These are not proposed legal mandates. They are engineering objects that appear necessary if existing regulatory ideals are to become auditable in multi-agent execution.</w:t>
      </w:r>
    </w:p>
    <w:p>
      <w:pPr>
        <w:spacing w:after="56"/>
      </w:pPr>
      <w:r>
        <w:t>The objects are designed to make visible the difference between model governance, orchestration observability, and lifecycle responsibility governance. They address the gap between regulatory language and agentic execution by providing concrete, testable, evidence-backed structures for:</w:t>
      </w:r>
    </w:p>
    <w:p>
      <w:pPr>
        <w:pStyle w:val="ListBullet"/>
        <w:spacing w:after="56"/>
      </w:pPr>
      <w:r>
        <w:t>Human-to-agent responsibility mapping</w:t>
      </w:r>
    </w:p>
    <w:p>
      <w:pPr>
        <w:pStyle w:val="ListBullet"/>
        <w:spacing w:after="56"/>
      </w:pPr>
      <w:r>
        <w:t>Delegated authority boundaries</w:t>
      </w:r>
    </w:p>
    <w:p>
      <w:pPr>
        <w:pStyle w:val="ListBullet"/>
        <w:spacing w:after="56"/>
      </w:pPr>
      <w:r>
        <w:t>Agent role definitions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Evidence partitioning</w:t>
      </w:r>
    </w:p>
    <w:p>
      <w:pPr>
        <w:pStyle w:val="ListBullet"/>
        <w:spacing w:after="56"/>
      </w:pPr>
      <w:r>
        <w:t>Cross-project reuse compliance</w:t>
      </w:r>
    </w:p>
    <w:p>
      <w:pPr>
        <w:pStyle w:val="ListBullet"/>
        <w:spacing w:after="56"/>
      </w:pPr>
      <w:r>
        <w:t>Privacy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w:t>
      </w:r>
    </w:p>
    <w:p>
      <w:pPr>
        <w:pStyle w:val="ListBullet"/>
        <w:spacing w:after="56"/>
      </w:pPr>
      <w:r>
        <w:t>Third-party processor / subprocessor chains</w:t>
      </w:r>
    </w:p>
    <w:p>
      <w:pPr>
        <w:pStyle w:val="ListBullet"/>
        <w:spacing w:after="56"/>
      </w:pPr>
      <w:r>
        <w:t>Vendor / model / runtime substitution conformance</w:t>
      </w:r>
    </w:p>
    <w:p>
      <w:pPr>
        <w:pStyle w:val="ListBullet"/>
        <w:spacing w:after="56"/>
      </w:pPr>
      <w:r>
        <w:t>Incident, dispute, and remediation closure</w:t>
      </w:r>
    </w:p>
    <w:p>
      <w:pPr>
        <w:spacing w:after="56"/>
      </w:pPr>
      <w:r>
        <w:t>The bridge from this chapter to Chapter 6 is direct: regulatory language establishes what must be proven; Missing Regulatory Objects define how to prove it in agentic workflows.</w:t>
      </w:r>
    </w:p>
    <w:p>
      <w:pPr>
        <w:pStyle w:val="Heading1"/>
      </w:pPr>
      <w:r>
        <w:t>6. Missing Regulatory Objects for Agentic and MAS Compliance</w:t>
      </w:r>
    </w:p>
    <w:p>
      <w:pPr>
        <w:pStyle w:val="Heading2"/>
      </w:pPr>
      <w:r>
        <w:t>6.0 Why Missing Regulatory Objects Matter</w:t>
      </w:r>
    </w:p>
    <w:p>
      <w:pPr>
        <w:spacing w:after="56"/>
      </w:pPr>
      <w:r>
        <w:t>This chapter defines sixteen Missing Regulatory Objects. They are called missing because existing governance language implies their necessity but usually does not define their concrete machine-readable form. They are not proposed statutes. They are engineering and assurance objects that allow regulatory concepts to become testable in agentic workflows.</w:t>
      </w:r>
    </w:p>
    <w:p>
      <w:pPr>
        <w:spacing w:after="56"/>
      </w:pPr>
      <w:r>
        <w:t>The phrase matters because existing language is fragmented. Model governance focuses on models. AI risk management focuses on organizational risk processes. Agent orchestration focuses on execution flow. Observability focuses on traces, metrics, and debugging. Human-in-the-loop focuses on review or approval moments. None of these terms alone names the full lifecycle responsibility problem.</w:t>
      </w:r>
    </w:p>
    <w:p>
      <w:pPr>
        <w:spacing w:after="56"/>
      </w:pPr>
      <w:r>
        <w:t>These objects bridge the gap between regulatory abstractions and lifecycle implementation. Human oversight becomes human-role-to-MAS responsibility mapping. Logging becomes partitioned evidence chain. Accountability becomes tool-action liability and responsibility transfer. Transparency becomes evidence-linked review and accepted outcome. Monitoring becomes lifecycle drift, incident closure, and continuous improvement. Privacy becomes lifecycle data-flow mapping, minimization, and selective disclosure.</w:t>
      </w:r>
    </w:p>
    <w:p>
      <w:pPr>
        <w:spacing w:after="56"/>
      </w:pPr>
      <w:r>
        <w:t>The core move in this paper is to turn regulatory abstractions into lifecycle objects. Regulatory compliance coverage remains the baseline, but agentic lifecycle conformance is the differentiating layer. If agentic workflows cannot prove lifecycle responsibility, they will remain difficult to audit, insure, delegate, reuse, and scale. This is the reason that AI Agent Lifecycle Governance is not a philosophical category. It is an operational prerequisite for agentic AI becoming trusted enterprise infrastructure.</w:t>
      </w:r>
    </w:p>
    <w:p>
      <w:pPr>
        <w:pStyle w:val="Heading2"/>
      </w:pPr>
      <w:r>
        <w:t>6.1 Summary of the Sixteen Missing Regulatory Objects</w:t>
      </w:r>
    </w:p>
    <w:p>
      <w:pPr>
        <w:spacing w:after="56"/>
      </w:pPr>
      <w:r>
        <w:t>The following table summarizes all sixteen MROs. Full detail for MRO-01 through MRO-16 is provided in this chapter.</w:t>
      </w:r>
    </w:p>
    <w:p>
      <w:pPr>
        <w:spacing w:after="56"/>
      </w:pPr>
      <w:r>
        <w:t>Figure F-03 - MRO Topology</w:t>
      </w:r>
    </w:p>
    <w:p>
      <w:pPr>
        <w:spacing w:after="56"/>
      </w:pPr>
      <w:r>
        <w:t>Responsibility -&gt; Authority -&gt; Evidence -&gt; Privacy -&gt; Substitution -&gt; Closure</w:t>
      </w:r>
    </w:p>
    <w:p>
      <w:pPr>
        <w:spacing w:after="56"/>
      </w:pPr>
      <w:r>
        <w:t>Figure F-03 groups the Missing Regulatory Objects by lifecycle control surface. It is a topology for engineering interpretation, not a new legal taxonomy, certification path, or compliance proof.</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ID</w:t>
            </w:r>
          </w:p>
        </w:tc>
        <w:tc>
          <w:tcPr>
            <w:tcW w:type="dxa" w:w="2556"/>
          </w:tcPr>
          <w:p>
            <w:pPr>
              <w:spacing w:after="0"/>
            </w:pPr>
            <w:r>
              <w:rPr>
                <w:rFonts w:ascii="Arial" w:hAnsi="Arial"/>
                <w:b/>
                <w:sz w:val="14"/>
              </w:rPr>
              <w:t>Object</w:t>
            </w:r>
          </w:p>
        </w:tc>
        <w:tc>
          <w:tcPr>
            <w:tcW w:type="dxa" w:w="2556"/>
          </w:tcPr>
          <w:p>
            <w:pPr>
              <w:spacing w:after="0"/>
            </w:pPr>
            <w:r>
              <w:rPr>
                <w:rFonts w:ascii="Arial" w:hAnsi="Arial"/>
                <w:b/>
                <w:sz w:val="14"/>
              </w:rPr>
              <w:t>Core Judgment</w:t>
            </w:r>
          </w:p>
        </w:tc>
        <w:tc>
          <w:tcPr>
            <w:tcW w:type="dxa" w:w="2556"/>
          </w:tcPr>
          <w:p>
            <w:pPr>
              <w:spacing w:after="0"/>
            </w:pPr>
            <w:r>
              <w:rPr>
                <w:rFonts w:ascii="Arial" w:hAnsi="Arial"/>
                <w:b/>
                <w:sz w:val="14"/>
              </w:rPr>
              <w:t>Primary Lifecycle Concern</w:t>
            </w:r>
          </w:p>
        </w:tc>
      </w:tr>
      <w:tr>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Human Role to MAS Responsibility Mapping</w:t>
            </w:r>
          </w:p>
        </w:tc>
        <w:tc>
          <w:tcPr>
            <w:tcW w:type="dxa" w:w="2556"/>
          </w:tcPr>
          <w:p>
            <w:pPr>
              <w:spacing w:after="0"/>
            </w:pPr>
            <w:r>
              <w:rPr>
                <w:rFonts w:ascii="Arial" w:hAnsi="Arial"/>
                <w:b w:val="0"/>
                <w:sz w:val="14"/>
              </w:rPr>
              <w:t>Human oversight without human-to-agent responsibility mapping is supervision theater.</w:t>
            </w:r>
          </w:p>
        </w:tc>
        <w:tc>
          <w:tcPr>
            <w:tcW w:type="dxa" w:w="2556"/>
          </w:tcPr>
          <w:p>
            <w:pPr>
              <w:spacing w:after="0"/>
            </w:pPr>
            <w:r>
              <w:rPr>
                <w:rFonts w:ascii="Arial" w:hAnsi="Arial"/>
                <w:b w:val="0"/>
                <w:sz w:val="14"/>
              </w:rPr>
              <w:t>Accountability, human oversight, role mapping</w:t>
            </w:r>
          </w:p>
        </w:tc>
      </w:tr>
      <w:tr>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IAM permission decides access. Delegated authority decides responsibility.</w:t>
            </w:r>
          </w:p>
        </w:tc>
        <w:tc>
          <w:tcPr>
            <w:tcW w:type="dxa" w:w="2556"/>
          </w:tcPr>
          <w:p>
            <w:pPr>
              <w:spacing w:after="0"/>
            </w:pPr>
            <w:r>
              <w:rPr>
                <w:rFonts w:ascii="Arial" w:hAnsi="Arial"/>
                <w:b w:val="0"/>
                <w:sz w:val="14"/>
              </w:rPr>
              <w:t>Authority, delegation, scope control</w:t>
            </w:r>
          </w:p>
        </w:tc>
      </w:tr>
      <w:tr>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Agent Role is not Human Role</w:t>
            </w:r>
          </w:p>
        </w:tc>
        <w:tc>
          <w:tcPr>
            <w:tcW w:type="dxa" w:w="2556"/>
          </w:tcPr>
          <w:p>
            <w:pPr>
              <w:spacing w:after="0"/>
            </w:pPr>
            <w:r>
              <w:rPr>
                <w:rFonts w:ascii="Arial" w:hAnsi="Arial"/>
                <w:b w:val="0"/>
                <w:sz w:val="14"/>
              </w:rPr>
              <w:t>An agent role is a bounded responsibility surface, not a human job title.</w:t>
            </w:r>
          </w:p>
        </w:tc>
        <w:tc>
          <w:tcPr>
            <w:tcW w:type="dxa" w:w="2556"/>
          </w:tcPr>
          <w:p>
            <w:pPr>
              <w:spacing w:after="0"/>
            </w:pPr>
            <w:r>
              <w:rPr>
                <w:rFonts w:ascii="Arial" w:hAnsi="Arial"/>
                <w:b w:val="0"/>
                <w:sz w:val="14"/>
              </w:rPr>
              <w:t>Role semantics, capability boundaries</w:t>
            </w:r>
          </w:p>
        </w:tc>
      </w:tr>
      <w:tr>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Output is a system event. Accepted outcome is a governance state.</w:t>
            </w:r>
          </w:p>
        </w:tc>
        <w:tc>
          <w:tcPr>
            <w:tcW w:type="dxa" w:w="2556"/>
          </w:tcPr>
          <w:p>
            <w:pPr>
              <w:spacing w:after="0"/>
            </w:pPr>
            <w:r>
              <w:rPr>
                <w:rFonts w:ascii="Arial" w:hAnsi="Arial"/>
                <w:b w:val="0"/>
                <w:sz w:val="14"/>
              </w:rPr>
              <w:t>Outcome acceptance, review, evidence</w:t>
            </w:r>
          </w:p>
        </w:tc>
      </w:tr>
      <w:tr>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Tool use is where AI output becomes external consequence.</w:t>
            </w:r>
          </w:p>
        </w:tc>
        <w:tc>
          <w:tcPr>
            <w:tcW w:type="dxa" w:w="2556"/>
          </w:tcPr>
          <w:p>
            <w:pPr>
              <w:spacing w:after="0"/>
            </w:pPr>
            <w:r>
              <w:rPr>
                <w:rFonts w:ascii="Arial" w:hAnsi="Arial"/>
                <w:b w:val="0"/>
                <w:sz w:val="14"/>
              </w:rPr>
              <w:t>External actions, liability, reversibility</w:t>
            </w:r>
          </w:p>
        </w:tc>
      </w:tr>
      <w:tr>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Handoff without explicit responsibility transfer is just routing.</w:t>
            </w:r>
          </w:p>
        </w:tc>
        <w:tc>
          <w:tcPr>
            <w:tcW w:type="dxa" w:w="2556"/>
          </w:tcPr>
          <w:p>
            <w:pPr>
              <w:spacing w:after="0"/>
            </w:pPr>
            <w:r>
              <w:rPr>
                <w:rFonts w:ascii="Arial" w:hAnsi="Arial"/>
                <w:b w:val="0"/>
                <w:sz w:val="14"/>
              </w:rPr>
              <w:t>Multi-agent handoff, constraint inheritance</w:t>
            </w:r>
          </w:p>
        </w:tc>
      </w:tr>
      <w:tr>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The most dangerous agent failures are often unauthorized authority transitions.</w:t>
            </w:r>
          </w:p>
        </w:tc>
        <w:tc>
          <w:tcPr>
            <w:tcW w:type="dxa" w:w="2556"/>
          </w:tcPr>
          <w:p>
            <w:pPr>
              <w:spacing w:after="0"/>
            </w:pPr>
            <w:r>
              <w:rPr>
                <w:rFonts w:ascii="Arial" w:hAnsi="Arial"/>
                <w:b w:val="0"/>
                <w:sz w:val="14"/>
              </w:rPr>
              <w:t>Authority monitoring, drift detection</w:t>
            </w:r>
          </w:p>
        </w:tc>
      </w:tr>
      <w:tr>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In MAS, evidence must be partitioned, linked, and reconstructable.</w:t>
            </w:r>
          </w:p>
        </w:tc>
        <w:tc>
          <w:tcPr>
            <w:tcW w:type="dxa" w:w="2556"/>
          </w:tcPr>
          <w:p>
            <w:pPr>
              <w:spacing w:after="0"/>
            </w:pPr>
            <w:r>
              <w:rPr>
                <w:rFonts w:ascii="Arial" w:hAnsi="Arial"/>
                <w:b w:val="0"/>
                <w:sz w:val="14"/>
              </w:rPr>
              <w:t>Evidence chain, multi-agent traceability</w:t>
            </w:r>
          </w:p>
        </w:tc>
      </w:tr>
      <w:tr>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Cross-project reuse is not just efficiency. It is a compliance boundary.</w:t>
            </w:r>
          </w:p>
        </w:tc>
        <w:tc>
          <w:tcPr>
            <w:tcW w:type="dxa" w:w="2556"/>
          </w:tcPr>
          <w:p>
            <w:pPr>
              <w:spacing w:after="0"/>
            </w:pPr>
            <w:r>
              <w:rPr>
                <w:rFonts w:ascii="Arial" w:hAnsi="Arial"/>
                <w:b w:val="0"/>
                <w:sz w:val="14"/>
              </w:rPr>
              <w:t>Reuse, context reset, privacy review</w:t>
            </w:r>
          </w:p>
        </w:tc>
      </w:tr>
      <w:tr>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Privacy / GDPR Lifecycle Mapping</w:t>
            </w:r>
          </w:p>
        </w:tc>
        <w:tc>
          <w:tcPr>
            <w:tcW w:type="dxa" w:w="2556"/>
          </w:tcPr>
          <w:p>
            <w:pPr>
              <w:spacing w:after="0"/>
            </w:pPr>
            <w:r>
              <w:rPr>
                <w:rFonts w:ascii="Arial" w:hAnsi="Arial"/>
                <w:b w:val="0"/>
                <w:sz w:val="14"/>
              </w:rPr>
              <w:t>Privacy compliance in agentic systems must be mapped across the agent lifecycle.</w:t>
            </w:r>
          </w:p>
        </w:tc>
        <w:tc>
          <w:tcPr>
            <w:tcW w:type="dxa" w:w="2556"/>
          </w:tcPr>
          <w:p>
            <w:pPr>
              <w:spacing w:after="0"/>
            </w:pPr>
            <w:r>
              <w:rPr>
                <w:rFonts w:ascii="Arial" w:hAnsi="Arial"/>
                <w:b w:val="0"/>
                <w:sz w:val="14"/>
              </w:rPr>
              <w:t>Privacy, data flow, lifecycle stages</w:t>
            </w:r>
          </w:p>
        </w:tc>
      </w:tr>
      <w:tr>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External validation without raw sensitive data is a prerequisite for enterprise audit-readiness.</w:t>
            </w:r>
          </w:p>
        </w:tc>
        <w:tc>
          <w:tcPr>
            <w:tcW w:type="dxa" w:w="2556"/>
          </w:tcPr>
          <w:p>
            <w:pPr>
              <w:spacing w:after="0"/>
            </w:pPr>
            <w:r>
              <w:rPr>
                <w:rFonts w:ascii="Arial" w:hAnsi="Arial"/>
                <w:b w:val="0"/>
                <w:sz w:val="14"/>
              </w:rPr>
              <w:t>External validation, privacy preservation</w:t>
            </w:r>
          </w:p>
        </w:tc>
      </w:tr>
      <w:tr>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Evidence without minimization becomes a privacy risk. Privacy without evidence becomes an accountability gap.</w:t>
            </w:r>
          </w:p>
        </w:tc>
        <w:tc>
          <w:tcPr>
            <w:tcW w:type="dxa" w:w="2556"/>
          </w:tcPr>
          <w:p>
            <w:pPr>
              <w:spacing w:after="0"/>
            </w:pPr>
            <w:r>
              <w:rPr>
                <w:rFonts w:ascii="Arial" w:hAnsi="Arial"/>
                <w:b w:val="0"/>
                <w:sz w:val="14"/>
              </w:rPr>
              <w:t>Evidence minimization, selective disclosure</w:t>
            </w:r>
          </w:p>
        </w:tc>
      </w:tr>
      <w:tr>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Agentic audit systems must preserve accountability without hoarding personal data.</w:t>
            </w:r>
          </w:p>
        </w:tc>
        <w:tc>
          <w:tcPr>
            <w:tcW w:type="dxa" w:w="2556"/>
          </w:tcPr>
          <w:p>
            <w:pPr>
              <w:spacing w:after="0"/>
            </w:pPr>
            <w:r>
              <w:rPr>
                <w:rFonts w:ascii="Arial" w:hAnsi="Arial"/>
                <w:b w:val="0"/>
                <w:sz w:val="14"/>
              </w:rPr>
              <w:t>Data subject rights, retention, accountability</w:t>
            </w:r>
          </w:p>
        </w:tc>
      </w:tr>
      <w:tr>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Third-Party Processor / Subprocessor Chain</w:t>
            </w:r>
          </w:p>
        </w:tc>
        <w:tc>
          <w:tcPr>
            <w:tcW w:type="dxa" w:w="2556"/>
          </w:tcPr>
          <w:p>
            <w:pPr>
              <w:spacing w:after="0"/>
            </w:pPr>
            <w:r>
              <w:rPr>
                <w:rFonts w:ascii="Arial" w:hAnsi="Arial"/>
                <w:b w:val="0"/>
                <w:sz w:val="14"/>
              </w:rPr>
              <w:t>A multi-agent system is also a multi-party responsibility chain.</w:t>
            </w:r>
          </w:p>
        </w:tc>
        <w:tc>
          <w:tcPr>
            <w:tcW w:type="dxa" w:w="2556"/>
          </w:tcPr>
          <w:p>
            <w:pPr>
              <w:spacing w:after="0"/>
            </w:pPr>
            <w:r>
              <w:rPr>
                <w:rFonts w:ascii="Arial" w:hAnsi="Arial"/>
                <w:b w:val="0"/>
                <w:sz w:val="14"/>
              </w:rPr>
              <w:t>Processor chain, vendor responsibility</w:t>
            </w:r>
          </w:p>
        </w:tc>
      </w:tr>
      <w:tr>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 Model / Runtime Substitution Conformance</w:t>
            </w:r>
          </w:p>
        </w:tc>
        <w:tc>
          <w:tcPr>
            <w:tcW w:type="dxa" w:w="2556"/>
          </w:tcPr>
          <w:p>
            <w:pPr>
              <w:spacing w:after="0"/>
            </w:pPr>
            <w:r>
              <w:rPr>
                <w:rFonts w:ascii="Arial" w:hAnsi="Arial"/>
                <w:b w:val="0"/>
                <w:sz w:val="14"/>
              </w:rPr>
              <w:t>Vendor neutrality is not real unless compliance survives substitution.</w:t>
            </w:r>
          </w:p>
        </w:tc>
        <w:tc>
          <w:tcPr>
            <w:tcW w:type="dxa" w:w="2556"/>
          </w:tcPr>
          <w:p>
            <w:pPr>
              <w:spacing w:after="0"/>
            </w:pPr>
            <w:r>
              <w:rPr>
                <w:rFonts w:ascii="Arial" w:hAnsi="Arial"/>
                <w:b w:val="0"/>
                <w:sz w:val="14"/>
              </w:rPr>
              <w:t>Substitution, vendor changes, conformance continuity</w:t>
            </w:r>
          </w:p>
        </w:tc>
      </w:tr>
      <w:tr>
        <w:tc>
          <w:tcPr>
            <w:tcW w:type="dxa" w:w="2556"/>
          </w:tcPr>
          <w:p>
            <w:pPr>
              <w:spacing w:after="0"/>
            </w:pPr>
            <w:r>
              <w:rPr>
                <w:rFonts w:ascii="Arial" w:hAnsi="Arial"/>
                <w:b w:val="0"/>
                <w:sz w:val="14"/>
              </w:rPr>
              <w:t>MRO-16</w:t>
            </w:r>
          </w:p>
        </w:tc>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A compliance incident closes when evidence, responsibility, correction, and acceptance are resolved.</w:t>
            </w:r>
          </w:p>
        </w:tc>
        <w:tc>
          <w:tcPr>
            <w:tcW w:type="dxa" w:w="2556"/>
          </w:tcPr>
          <w:p>
            <w:pPr>
              <w:spacing w:after="0"/>
            </w:pPr>
            <w:r>
              <w:rPr>
                <w:rFonts w:ascii="Arial" w:hAnsi="Arial"/>
                <w:b w:val="0"/>
                <w:sz w:val="14"/>
              </w:rPr>
              <w:t>Incident closure, dispute resolution, remediation</w:t>
            </w:r>
          </w:p>
        </w:tc>
      </w:tr>
    </w:tbl>
    <w:p>
      <w:pPr>
        <w:spacing w:after="56"/>
      </w:pPr>
      <w:r>
        <w:t>Table T-06-01: Summary of the Sixteen Missing Regulatory Objects</w:t>
      </w:r>
    </w:p>
    <w:p>
      <w:pPr>
        <w:pStyle w:val="Heading2"/>
      </w:pPr>
      <w:r>
        <w:t>6.1.1 Common MRO Field Model</w:t>
      </w:r>
    </w:p>
    <w:p>
      <w:pPr>
        <w:spacing w:after="56"/>
      </w:pPr>
      <w:r>
        <w:t>All sixteen MRO object cards share a common set of identity and evidence fields. This common field model avoids repeating generic fields across every object card and establishes a consistent structure for lifecycle governance objects.</w:t>
      </w:r>
    </w:p>
    <w:p>
      <w:pPr>
        <w:spacing w:after="56"/>
      </w:pPr>
      <w:r>
        <w:t>The following table defines the common fields that apply to all MROs:</w:t>
      </w:r>
    </w:p>
    <w:p>
      <w:pPr>
        <w:spacing w:after="56"/>
      </w:pPr>
      <w:r>
        <w:t>Table T-06-01A: Common MRO Field Model</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Common Field</w:t>
            </w:r>
          </w:p>
        </w:tc>
        <w:tc>
          <w:tcPr>
            <w:tcW w:type="dxa" w:w="5112"/>
          </w:tcPr>
          <w:p>
            <w:pPr>
              <w:spacing w:after="0"/>
            </w:pPr>
            <w:r>
              <w:rPr>
                <w:rFonts w:ascii="Arial" w:hAnsi="Arial"/>
                <w:b/>
                <w:sz w:val="14"/>
              </w:rPr>
              <w:t>Purpose</w:t>
            </w:r>
          </w:p>
        </w:tc>
      </w:tr>
      <w:tr>
        <w:tc>
          <w:tcPr>
            <w:tcW w:type="dxa" w:w="5112"/>
          </w:tcPr>
          <w:p>
            <w:pPr>
              <w:spacing w:after="0"/>
            </w:pPr>
            <w:r>
              <w:rPr>
                <w:rFonts w:ascii="Arial" w:hAnsi="Arial"/>
                <w:b w:val="0"/>
                <w:sz w:val="14"/>
              </w:rPr>
              <w:t>object_id</w:t>
            </w:r>
          </w:p>
        </w:tc>
        <w:tc>
          <w:tcPr>
            <w:tcW w:type="dxa" w:w="5112"/>
          </w:tcPr>
          <w:p>
            <w:pPr>
              <w:spacing w:after="0"/>
            </w:pPr>
            <w:r>
              <w:rPr>
                <w:rFonts w:ascii="Arial" w:hAnsi="Arial"/>
                <w:b w:val="0"/>
                <w:sz w:val="14"/>
              </w:rPr>
              <w:t>Unique identifier for the object instance</w:t>
            </w:r>
          </w:p>
        </w:tc>
      </w:tr>
      <w:tr>
        <w:tc>
          <w:tcPr>
            <w:tcW w:type="dxa" w:w="5112"/>
          </w:tcPr>
          <w:p>
            <w:pPr>
              <w:spacing w:after="0"/>
            </w:pPr>
            <w:r>
              <w:rPr>
                <w:rFonts w:ascii="Arial" w:hAnsi="Arial"/>
                <w:b w:val="0"/>
                <w:sz w:val="14"/>
              </w:rPr>
              <w:t>object_type</w:t>
            </w:r>
          </w:p>
        </w:tc>
        <w:tc>
          <w:tcPr>
            <w:tcW w:type="dxa" w:w="5112"/>
          </w:tcPr>
          <w:p>
            <w:pPr>
              <w:spacing w:after="0"/>
            </w:pPr>
            <w:r>
              <w:rPr>
                <w:rFonts w:ascii="Arial" w:hAnsi="Arial"/>
                <w:b w:val="0"/>
                <w:sz w:val="14"/>
              </w:rPr>
              <w:t>MRO type identifier for the object instance</w:t>
            </w:r>
          </w:p>
        </w:tc>
      </w:tr>
      <w:tr>
        <w:tc>
          <w:tcPr>
            <w:tcW w:type="dxa" w:w="5112"/>
          </w:tcPr>
          <w:p>
            <w:pPr>
              <w:spacing w:after="0"/>
            </w:pPr>
            <w:r>
              <w:rPr>
                <w:rFonts w:ascii="Arial" w:hAnsi="Arial"/>
                <w:b w:val="0"/>
                <w:sz w:val="14"/>
              </w:rPr>
              <w:t>lifecycle_id</w:t>
            </w:r>
          </w:p>
        </w:tc>
        <w:tc>
          <w:tcPr>
            <w:tcW w:type="dxa" w:w="5112"/>
          </w:tcPr>
          <w:p>
            <w:pPr>
              <w:spacing w:after="0"/>
            </w:pPr>
            <w:r>
              <w:rPr>
                <w:rFonts w:ascii="Arial" w:hAnsi="Arial"/>
                <w:b w:val="0"/>
                <w:sz w:val="14"/>
              </w:rPr>
              <w:t>Identifier linking the object to a specific lifecycle execution</w:t>
            </w:r>
          </w:p>
        </w:tc>
      </w:tr>
      <w:tr>
        <w:tc>
          <w:tcPr>
            <w:tcW w:type="dxa" w:w="5112"/>
          </w:tcPr>
          <w:p>
            <w:pPr>
              <w:spacing w:after="0"/>
            </w:pPr>
            <w:r>
              <w:rPr>
                <w:rFonts w:ascii="Arial" w:hAnsi="Arial"/>
                <w:b w:val="0"/>
                <w:sz w:val="14"/>
              </w:rPr>
              <w:t>project_id</w:t>
            </w:r>
          </w:p>
        </w:tc>
        <w:tc>
          <w:tcPr>
            <w:tcW w:type="dxa" w:w="5112"/>
          </w:tcPr>
          <w:p>
            <w:pPr>
              <w:spacing w:after="0"/>
            </w:pPr>
            <w:r>
              <w:rPr>
                <w:rFonts w:ascii="Arial" w:hAnsi="Arial"/>
                <w:b w:val="0"/>
                <w:sz w:val="14"/>
              </w:rPr>
              <w:t>Project or regulated context in which the object applies</w:t>
            </w:r>
          </w:p>
        </w:tc>
      </w:tr>
      <w:tr>
        <w:tc>
          <w:tcPr>
            <w:tcW w:type="dxa" w:w="5112"/>
          </w:tcPr>
          <w:p>
            <w:pPr>
              <w:spacing w:after="0"/>
            </w:pPr>
            <w:r>
              <w:rPr>
                <w:rFonts w:ascii="Arial" w:hAnsi="Arial"/>
                <w:b w:val="0"/>
                <w:sz w:val="14"/>
              </w:rPr>
              <w:t>object_version</w:t>
            </w:r>
          </w:p>
        </w:tc>
        <w:tc>
          <w:tcPr>
            <w:tcW w:type="dxa" w:w="5112"/>
          </w:tcPr>
          <w:p>
            <w:pPr>
              <w:spacing w:after="0"/>
            </w:pPr>
            <w:r>
              <w:rPr>
                <w:rFonts w:ascii="Arial" w:hAnsi="Arial"/>
                <w:b w:val="0"/>
                <w:sz w:val="14"/>
              </w:rPr>
              <w:t>Version identifier for the object schema or instance</w:t>
            </w:r>
          </w:p>
        </w:tc>
      </w:tr>
      <w:tr>
        <w:tc>
          <w:tcPr>
            <w:tcW w:type="dxa" w:w="5112"/>
          </w:tcPr>
          <w:p>
            <w:pPr>
              <w:spacing w:after="0"/>
            </w:pPr>
            <w:r>
              <w:rPr>
                <w:rFonts w:ascii="Arial" w:hAnsi="Arial"/>
                <w:b w:val="0"/>
                <w:sz w:val="14"/>
              </w:rPr>
              <w:t>related_human_role_id</w:t>
            </w:r>
          </w:p>
        </w:tc>
        <w:tc>
          <w:tcPr>
            <w:tcW w:type="dxa" w:w="5112"/>
          </w:tcPr>
          <w:p>
            <w:pPr>
              <w:spacing w:after="0"/>
            </w:pPr>
            <w:r>
              <w:rPr>
                <w:rFonts w:ascii="Arial" w:hAnsi="Arial"/>
                <w:b w:val="0"/>
                <w:sz w:val="14"/>
              </w:rPr>
              <w:t>Human role identifier associated with the object</w:t>
            </w:r>
          </w:p>
        </w:tc>
      </w:tr>
      <w:tr>
        <w:tc>
          <w:tcPr>
            <w:tcW w:type="dxa" w:w="5112"/>
          </w:tcPr>
          <w:p>
            <w:pPr>
              <w:spacing w:after="0"/>
            </w:pPr>
            <w:r>
              <w:rPr>
                <w:rFonts w:ascii="Arial" w:hAnsi="Arial"/>
                <w:b w:val="0"/>
                <w:sz w:val="14"/>
              </w:rPr>
              <w:t>related_agent_role_id</w:t>
            </w:r>
          </w:p>
        </w:tc>
        <w:tc>
          <w:tcPr>
            <w:tcW w:type="dxa" w:w="5112"/>
          </w:tcPr>
          <w:p>
            <w:pPr>
              <w:spacing w:after="0"/>
            </w:pPr>
            <w:r>
              <w:rPr>
                <w:rFonts w:ascii="Arial" w:hAnsi="Arial"/>
                <w:b w:val="0"/>
                <w:sz w:val="14"/>
              </w:rPr>
              <w:t>Agent role identifier associated with the object, where applicable</w:t>
            </w:r>
          </w:p>
        </w:tc>
      </w:tr>
      <w:tr>
        <w:tc>
          <w:tcPr>
            <w:tcW w:type="dxa" w:w="5112"/>
          </w:tcPr>
          <w:p>
            <w:pPr>
              <w:spacing w:after="0"/>
            </w:pPr>
            <w:r>
              <w:rPr>
                <w:rFonts w:ascii="Arial" w:hAnsi="Arial"/>
                <w:b w:val="0"/>
                <w:sz w:val="14"/>
              </w:rPr>
              <w:t>authority_scope</w:t>
            </w:r>
          </w:p>
        </w:tc>
        <w:tc>
          <w:tcPr>
            <w:tcW w:type="dxa" w:w="5112"/>
          </w:tcPr>
          <w:p>
            <w:pPr>
              <w:spacing w:after="0"/>
            </w:pPr>
            <w:r>
              <w:rPr>
                <w:rFonts w:ascii="Arial" w:hAnsi="Arial"/>
                <w:b w:val="0"/>
                <w:sz w:val="14"/>
              </w:rPr>
              <w:t>Scope of authority for this object</w:t>
            </w:r>
          </w:p>
        </w:tc>
      </w:tr>
      <w:tr>
        <w:tc>
          <w:tcPr>
            <w:tcW w:type="dxa" w:w="5112"/>
          </w:tcPr>
          <w:p>
            <w:pPr>
              <w:spacing w:after="0"/>
            </w:pPr>
            <w:r>
              <w:rPr>
                <w:rFonts w:ascii="Arial" w:hAnsi="Arial"/>
                <w:b w:val="0"/>
                <w:sz w:val="14"/>
              </w:rPr>
              <w:t>risk_class</w:t>
            </w:r>
          </w:p>
        </w:tc>
        <w:tc>
          <w:tcPr>
            <w:tcW w:type="dxa" w:w="5112"/>
          </w:tcPr>
          <w:p>
            <w:pPr>
              <w:spacing w:after="0"/>
            </w:pPr>
            <w:r>
              <w:rPr>
                <w:rFonts w:ascii="Arial" w:hAnsi="Arial"/>
                <w:b w:val="0"/>
                <w:sz w:val="14"/>
              </w:rPr>
              <w:t>Risk classification for this object</w:t>
            </w:r>
          </w:p>
        </w:tc>
      </w:tr>
      <w:tr>
        <w:tc>
          <w:tcPr>
            <w:tcW w:type="dxa" w:w="5112"/>
          </w:tcPr>
          <w:p>
            <w:pPr>
              <w:spacing w:after="0"/>
            </w:pPr>
            <w:r>
              <w:rPr>
                <w:rFonts w:ascii="Arial" w:hAnsi="Arial"/>
                <w:b w:val="0"/>
                <w:sz w:val="14"/>
              </w:rPr>
              <w:t>evidence_pointer</w:t>
            </w:r>
          </w:p>
        </w:tc>
        <w:tc>
          <w:tcPr>
            <w:tcW w:type="dxa" w:w="5112"/>
          </w:tcPr>
          <w:p>
            <w:pPr>
              <w:spacing w:after="0"/>
            </w:pPr>
            <w:r>
              <w:rPr>
                <w:rFonts w:ascii="Arial" w:hAnsi="Arial"/>
                <w:b w:val="0"/>
                <w:sz w:val="14"/>
              </w:rPr>
              <w:t>Reference to evidence supporting the object's validity</w:t>
            </w:r>
          </w:p>
        </w:tc>
      </w:tr>
      <w:tr>
        <w:tc>
          <w:tcPr>
            <w:tcW w:type="dxa" w:w="5112"/>
          </w:tcPr>
          <w:p>
            <w:pPr>
              <w:spacing w:after="0"/>
            </w:pPr>
            <w:r>
              <w:rPr>
                <w:rFonts w:ascii="Arial" w:hAnsi="Arial"/>
                <w:b w:val="0"/>
                <w:sz w:val="14"/>
              </w:rPr>
              <w:t>privacy_treatment</w:t>
            </w:r>
          </w:p>
        </w:tc>
        <w:tc>
          <w:tcPr>
            <w:tcW w:type="dxa" w:w="5112"/>
          </w:tcPr>
          <w:p>
            <w:pPr>
              <w:spacing w:after="0"/>
            </w:pPr>
            <w:r>
              <w:rPr>
                <w:rFonts w:ascii="Arial" w:hAnsi="Arial"/>
                <w:b w:val="0"/>
                <w:sz w:val="14"/>
              </w:rPr>
              <w:t>Privacy treatment for this object</w:t>
            </w:r>
          </w:p>
        </w:tc>
      </w:tr>
      <w:tr>
        <w:tc>
          <w:tcPr>
            <w:tcW w:type="dxa" w:w="5112"/>
          </w:tcPr>
          <w:p>
            <w:pPr>
              <w:spacing w:after="0"/>
            </w:pPr>
            <w:r>
              <w:rPr>
                <w:rFonts w:ascii="Arial" w:hAnsi="Arial"/>
                <w:b w:val="0"/>
                <w:sz w:val="14"/>
              </w:rPr>
              <w:t>status</w:t>
            </w:r>
          </w:p>
        </w:tc>
        <w:tc>
          <w:tcPr>
            <w:tcW w:type="dxa" w:w="5112"/>
          </w:tcPr>
          <w:p>
            <w:pPr>
              <w:spacing w:after="0"/>
            </w:pPr>
            <w:r>
              <w:rPr>
                <w:rFonts w:ascii="Arial" w:hAnsi="Arial"/>
                <w:b w:val="0"/>
                <w:sz w:val="14"/>
              </w:rPr>
              <w:t>Current lifecycle status of the object (active, closed, revoked, etc.)</w:t>
            </w:r>
          </w:p>
        </w:tc>
      </w:tr>
      <w:tr>
        <w:tc>
          <w:tcPr>
            <w:tcW w:type="dxa" w:w="5112"/>
          </w:tcPr>
          <w:p>
            <w:pPr>
              <w:spacing w:after="0"/>
            </w:pPr>
            <w:r>
              <w:rPr>
                <w:rFonts w:ascii="Arial" w:hAnsi="Arial"/>
                <w:b w:val="0"/>
                <w:sz w:val="14"/>
              </w:rPr>
              <w:t>created_at</w:t>
            </w:r>
          </w:p>
        </w:tc>
        <w:tc>
          <w:tcPr>
            <w:tcW w:type="dxa" w:w="5112"/>
          </w:tcPr>
          <w:p>
            <w:pPr>
              <w:spacing w:after="0"/>
            </w:pPr>
            <w:r>
              <w:rPr>
                <w:rFonts w:ascii="Arial" w:hAnsi="Arial"/>
                <w:b w:val="0"/>
                <w:sz w:val="14"/>
              </w:rPr>
              <w:t>Timestamp when this object was created</w:t>
            </w:r>
          </w:p>
        </w:tc>
      </w:tr>
      <w:tr>
        <w:tc>
          <w:tcPr>
            <w:tcW w:type="dxa" w:w="5112"/>
          </w:tcPr>
          <w:p>
            <w:pPr>
              <w:spacing w:after="0"/>
            </w:pPr>
            <w:r>
              <w:rPr>
                <w:rFonts w:ascii="Arial" w:hAnsi="Arial"/>
                <w:b w:val="0"/>
                <w:sz w:val="14"/>
              </w:rPr>
              <w:t>updated_at</w:t>
            </w:r>
          </w:p>
        </w:tc>
        <w:tc>
          <w:tcPr>
            <w:tcW w:type="dxa" w:w="5112"/>
          </w:tcPr>
          <w:p>
            <w:pPr>
              <w:spacing w:after="0"/>
            </w:pPr>
            <w:r>
              <w:rPr>
                <w:rFonts w:ascii="Arial" w:hAnsi="Arial"/>
                <w:b w:val="0"/>
                <w:sz w:val="14"/>
              </w:rPr>
              <w:t>Timestamp when this object was last updated</w:t>
            </w:r>
          </w:p>
        </w:tc>
      </w:tr>
      <w:tr>
        <w:tc>
          <w:tcPr>
            <w:tcW w:type="dxa" w:w="5112"/>
          </w:tcPr>
          <w:p>
            <w:pPr>
              <w:spacing w:after="0"/>
            </w:pPr>
            <w:r>
              <w:rPr>
                <w:rFonts w:ascii="Arial" w:hAnsi="Arial"/>
                <w:b w:val="0"/>
                <w:sz w:val="14"/>
              </w:rPr>
              <w:t>closure_reason</w:t>
            </w:r>
          </w:p>
        </w:tc>
        <w:tc>
          <w:tcPr>
            <w:tcW w:type="dxa" w:w="5112"/>
          </w:tcPr>
          <w:p>
            <w:pPr>
              <w:spacing w:after="0"/>
            </w:pPr>
            <w:r>
              <w:rPr>
                <w:rFonts w:ascii="Arial" w:hAnsi="Arial"/>
                <w:b w:val="0"/>
                <w:sz w:val="14"/>
              </w:rPr>
              <w:t>Reason for closure, if the object is closed</w:t>
            </w:r>
          </w:p>
        </w:tc>
      </w:tr>
    </w:tbl>
    <w:p>
      <w:pPr>
        <w:spacing w:after="56"/>
      </w:pPr>
      <w:r>
        <w:t>Implementation aliases may appear in specific systems. In this paper, actor_role_id is treated as an implementation alias for related_human_role_id, and timestamp is treated as implementation shorthand for created_at / updated_at, not as separate canonical fields.</w:t>
      </w:r>
    </w:p>
    <w:p>
      <w:pPr>
        <w:spacing w:after="56"/>
      </w:pPr>
      <w:r>
        <w:t>Individual MRO object cards below therefore emphasize MRO-specific purpose, controls, failure mode, and audit question rather than repeating the full common field model.</w:t>
      </w:r>
    </w:p>
    <w:p>
      <w:pPr>
        <w:pStyle w:val="Heading2"/>
      </w:pPr>
      <w:r>
        <w:t>6.2 MRO-01 — Human Role to MAS Responsibility Mapping</w:t>
      </w:r>
    </w:p>
    <w:p>
      <w:pPr>
        <w:pStyle w:val="Heading3"/>
      </w:pPr>
      <w:r>
        <w:t>Problem</w:t>
      </w:r>
    </w:p>
    <w:p>
      <w:pPr>
        <w:spacing w:after="56"/>
      </w:pPr>
      <w:r>
        <w:t>Regulation can require oversight, but agentic execution needs a precise map from human accountable roles to agent roles, tasks, tools, evidence, and accepted outcomes.</w:t>
      </w:r>
    </w:p>
    <w:p>
      <w:pPr>
        <w:pStyle w:val="Heading3"/>
      </w:pPr>
      <w:r>
        <w:t>Required Object</w:t>
      </w:r>
    </w:p>
    <w:p>
      <w:pPr>
        <w:spacing w:after="56"/>
      </w:pPr>
      <w:r>
        <w:t>A role-responsibility map binding human role IDs, agent role IDs, permitted delegated scopes, reserved human decisions, review duties, and evidence obligations.</w:t>
      </w:r>
    </w:p>
    <w:p>
      <w:pPr>
        <w:pStyle w:val="Heading3"/>
      </w:pPr>
      <w:r>
        <w:t>Judgment</w:t>
      </w:r>
    </w:p>
    <w:p>
      <w:pPr>
        <w:spacing w:after="56"/>
      </w:pPr>
      <w:r>
        <w:t>Human oversight without human-to-agent responsibility mapping is supervision theater.</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human role to MAS responsibility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human role to MAS responsibility mapping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human role to MAS responsibility mapping was properly established and preserved for the relevant lifecycle phase?</w:t>
            </w:r>
          </w:p>
        </w:tc>
      </w:tr>
    </w:tbl>
    <w:p>
      <w:pPr>
        <w:spacing w:after="56"/>
      </w:pPr>
      <w:r>
        <w:t>Table T-06-02: MRO-01 Object Card — Human Role to MAS Responsibility Mapping</w:t>
      </w:r>
    </w:p>
    <w:p>
      <w:pPr>
        <w:pStyle w:val="Heading3"/>
      </w:pPr>
      <w:r>
        <w:t>Detailed Discussion</w:t>
      </w:r>
    </w:p>
    <w:p>
      <w:pPr>
        <w:spacing w:after="56"/>
      </w:pPr>
      <w:r>
        <w:t>This object is the bridge between human organizational accountability and machine execution. In a MAS, a product owner, reviewer, compliance officer, operator, or customer-success lead may each retain different decision rights even when agents perform the underlying work. The mapping must therefore distinguish who owns intent, who approves risk, who reviews evidence, and who accepts the final outcome.</w:t>
      </w:r>
    </w:p>
    <w:p>
      <w:pPr>
        <w:spacing w:after="56"/>
      </w:pPr>
      <w:r>
        <w:t>The core question for MRO-01 is whether a system can identify the accountable human role for each agentic lifecycle state, not merely whether a user account or approval button exists. Strong mapping requires a durable relationship among human role, agent role, delegated scope, evidence obligation, review duty, and accepted outcome authority.</w:t>
      </w:r>
    </w:p>
    <w:p>
      <w:pPr>
        <w:spacing w:after="56"/>
      </w:pPr>
      <w:r>
        <w:t>The difficulty is that a human may own business acceptance while an agent owns evidence collection, and another agent owns execution. A governance object must preserve those differences instead of flattening them into a single owner field.</w:t>
      </w:r>
    </w:p>
    <w:p>
      <w:pPr>
        <w:pStyle w:val="Heading3"/>
      </w:pPr>
      <w:r>
        <w:t>Enterprise Implication</w:t>
      </w:r>
    </w:p>
    <w:p>
      <w:pPr>
        <w:spacing w:after="56"/>
      </w:pPr>
      <w:r>
        <w:t>Without this map, a company can show that a human was somewhere in the loop but cannot prove that the right human held the right responsibility at the right lifecycle point. This weakens internal audit, customer assurance, and board-level accountability because role labels become narrative claims rather than evidence-backed assignments.</w:t>
      </w:r>
    </w:p>
    <w:p>
      <w:pPr>
        <w:spacing w:after="56"/>
      </w:pPr>
      <w:r>
        <w:t>Adjacent identity, approval, or workflow controls may support this object, but lifecycle conformance requires explicit object semantics that preserve responsibility mapping across multi-agent delegation, cross-project reuse, and external validation. The implementation test is to select a completed run and ask: who owned intent, who approved risk, who executed each step, who reviewed evidence, and who accepted the outcome? If the answer requires tribal memory, the mapping is not audit-grade.</w:t>
      </w:r>
    </w:p>
    <w:p>
      <w:pPr>
        <w:pStyle w:val="Heading3"/>
      </w:pPr>
      <w:r>
        <w:t>Design Implication</w:t>
      </w:r>
    </w:p>
    <w:p>
      <w:pPr>
        <w:spacing w:after="56"/>
      </w:pPr>
      <w:r>
        <w:t>The object should be represented as a role-responsibility graph linking human role IDs, agent role IDs, delegated scopes, reserved decisions, review duties, evidence obligations, and accepted-outcome authority. It must be updated when responsibilities move across teams or projects.</w:t>
      </w:r>
    </w:p>
    <w:p>
      <w:pPr>
        <w:spacing w:after="56"/>
      </w:pPr>
      <w:r>
        <w:t>The design should separate persona labels from capability boundaries, evidence duties, and human accountability so that collaboration structure does not substitute for responsibility semantics.</w:t>
      </w:r>
    </w:p>
    <w:p>
      <w:pPr>
        <w:pStyle w:val="Heading3"/>
      </w:pPr>
      <w:r>
        <w:t>Audit Question</w:t>
      </w:r>
    </w:p>
    <w:p>
      <w:pPr>
        <w:spacing w:after="56"/>
      </w:pPr>
      <w:r>
        <w:t>For any completed agentic workflow, can the system reconstruct which human role held which responsibility at each lifecycle phase, backed by evidence pointers and acceptance records?</w:t>
      </w:r>
    </w:p>
    <w:p>
      <w:pPr>
        <w:pStyle w:val="Heading2"/>
      </w:pPr>
      <w:r>
        <w:t>6.3 MRO-02 — Delegated Authority Boundary</w:t>
      </w:r>
    </w:p>
    <w:p>
      <w:pPr>
        <w:pStyle w:val="Heading3"/>
      </w:pPr>
      <w:r>
        <w:t>Problem</w:t>
      </w:r>
    </w:p>
    <w:p>
      <w:pPr>
        <w:spacing w:after="56"/>
      </w:pPr>
      <w:r>
        <w:t>API access and tool permission do not prove that a particular business action was authorized under the correct scope, condition, risk level, and escalation path.</w:t>
      </w:r>
    </w:p>
    <w:p>
      <w:pPr>
        <w:pStyle w:val="Heading3"/>
      </w:pPr>
      <w:r>
        <w:t>Required Object</w:t>
      </w:r>
    </w:p>
    <w:p>
      <w:pPr>
        <w:spacing w:after="56"/>
      </w:pPr>
      <w:r>
        <w:t>A delegated-authority object binding role, action, scope, condition, risk class, evidence requirement, expiry, revocation, and escalation path.</w:t>
      </w:r>
    </w:p>
    <w:p>
      <w:pPr>
        <w:pStyle w:val="Heading3"/>
      </w:pPr>
      <w:r>
        <w:t>Judgment</w:t>
      </w:r>
    </w:p>
    <w:p>
      <w:pPr>
        <w:spacing w:after="56"/>
      </w:pPr>
      <w:r>
        <w:t>IAM permission decides access. Delegated authority decides responsibility.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delegated authority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delegated authority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delegated authority boundary was properly established and preserved for the relevant lifecycle phase?</w:t>
            </w:r>
          </w:p>
        </w:tc>
      </w:tr>
    </w:tbl>
    <w:p>
      <w:pPr>
        <w:spacing w:after="56"/>
      </w:pPr>
      <w:r>
        <w:t>Table T-06-03: MRO-02 Object Card — Delegated Authority Boundary</w:t>
      </w:r>
    </w:p>
    <w:p>
      <w:pPr>
        <w:pStyle w:val="Heading3"/>
      </w:pPr>
      <w:r>
        <w:t>Detailed Discussion</w:t>
      </w:r>
    </w:p>
    <w:p>
      <w:pPr>
        <w:spacing w:after="56"/>
      </w:pPr>
      <w:r>
        <w:t>Delegated authority is narrower than access control. A model or agent may technically possess a credential while lacking business authority to use it for a particular action. The compliance object must describe not only who can call a tool, but why that call is authorized under a specific intent, plan, risk class, condition, and time window.</w:t>
      </w:r>
    </w:p>
    <w:p>
      <w:pPr>
        <w:spacing w:after="56"/>
      </w:pPr>
      <w:r>
        <w:t>The core question for MRO-02 is whether a system distinguishes technical permission from business authority. Strong support requires action-level delegation tied to scope, condition, risk class, expiry, escalation, and evidence. The same tool call can be harmless in one context and impermissible in another. Authority must therefore be evaluated against intent and plan state, not only against static credentials.</w:t>
      </w:r>
    </w:p>
    <w:p>
      <w:pPr>
        <w:pStyle w:val="Heading3"/>
      </w:pPr>
      <w:r>
        <w:t>Enterprise Implication</w:t>
      </w:r>
    </w:p>
    <w:p>
      <w:pPr>
        <w:spacing w:after="56"/>
      </w:pPr>
      <w:r>
        <w:t>If authority is reduced to IAM, API keys, or tool availability, a low-risk task can silently become a high-impact act. The organization may later discover that the system had permission to act but no evidence that the action was approved under the relevant business scope.</w:t>
      </w:r>
    </w:p>
    <w:p>
      <w:pPr>
        <w:spacing w:after="56"/>
      </w:pPr>
      <w:r>
        <w:t>Adjacent controls such as IAM, guardrails, and workflow approvals may support this object, but lifecycle conformance requires explicit object semantics that bind a specific action to delegated authority, escalation rules, and evidence.</w:t>
      </w:r>
    </w:p>
    <w:p>
      <w:pPr>
        <w:pStyle w:val="Heading3"/>
      </w:pPr>
      <w:r>
        <w:t>Design Implication</w:t>
      </w:r>
    </w:p>
    <w:p>
      <w:pPr>
        <w:spacing w:after="56"/>
      </w:pPr>
      <w:r>
        <w:t>The boundary should be checked before high-impact tool calls and should include action class, permitted scope, expiration, revocation, escalation path, evidence pointer, and human override requirements. It should fail closed when authority cannot be reconstructed.</w:t>
      </w:r>
    </w:p>
    <w:p>
      <w:pPr>
        <w:spacing w:after="56"/>
      </w:pPr>
      <w:r>
        <w:t>Adjacent platform capabilities can support lifecycle governance, but they do not automatically define accepted outcome, human-role-to-MAS mapping, or cross-project responsibility continuity.</w:t>
      </w:r>
    </w:p>
    <w:p>
      <w:pPr>
        <w:pStyle w:val="Heading3"/>
      </w:pPr>
      <w:r>
        <w:t>Audit Question</w:t>
      </w:r>
    </w:p>
    <w:p>
      <w:pPr>
        <w:spacing w:after="56"/>
      </w:pPr>
      <w:r>
        <w:t>Before a high-impact tool call, can the system show the exact authority basis and escalation rule for that action? If not, permission is being mistaken for authority.</w:t>
      </w:r>
    </w:p>
    <w:p>
      <w:pPr>
        <w:pStyle w:val="Heading2"/>
      </w:pPr>
      <w:r>
        <w:t>6.4 MRO-03 — Agent Role is not Human Role</w:t>
      </w:r>
    </w:p>
    <w:p>
      <w:pPr>
        <w:pStyle w:val="Heading3"/>
      </w:pPr>
      <w:r>
        <w:t>Problem</w:t>
      </w:r>
    </w:p>
    <w:p>
      <w:pPr>
        <w:spacing w:after="56"/>
      </w:pPr>
      <w:r>
        <w:t>Agent names such as researcher, writer, reviewer, or manager are useful UI metaphors but are not adequate compliance identities.</w:t>
      </w:r>
    </w:p>
    <w:p>
      <w:pPr>
        <w:pStyle w:val="Heading3"/>
      </w:pPr>
      <w:r>
        <w:t>Required Object</w:t>
      </w:r>
    </w:p>
    <w:p>
      <w:pPr>
        <w:spacing w:after="56"/>
      </w:pPr>
      <w:r>
        <w:t>An agent responsibility boundary declaring duties, non-duties, allowed tools, inherited constraints, verification expectations, and human accountability linkage.</w:t>
      </w:r>
    </w:p>
    <w:p>
      <w:pPr>
        <w:pStyle w:val="Heading3"/>
      </w:pPr>
      <w:r>
        <w:t>Judgment</w:t>
      </w:r>
    </w:p>
    <w:p>
      <w:pPr>
        <w:spacing w:after="56"/>
      </w:pPr>
      <w:r>
        <w:t>An agent role is a bounded responsibility surface, not a human job title.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agent role boundaries explicit, inspectable, and replayable within an agentic lifecycle, separating persona labels from responsibility semantics.</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agent role responsibility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agent role boundaries were properly established and preserved for the relevant lifecycle phase?</w:t>
            </w:r>
          </w:p>
        </w:tc>
      </w:tr>
    </w:tbl>
    <w:p>
      <w:pPr>
        <w:spacing w:after="56"/>
      </w:pPr>
      <w:r>
        <w:t>Table T-06-04: MRO-03 Object Card — Agent Role is not Human Role</w:t>
      </w:r>
    </w:p>
    <w:p>
      <w:pPr>
        <w:pStyle w:val="Heading3"/>
      </w:pPr>
      <w:r>
        <w:t>Detailed Discussion</w:t>
      </w:r>
    </w:p>
    <w:p>
      <w:pPr>
        <w:spacing w:after="56"/>
      </w:pPr>
      <w:r>
        <w:t>Agent labels such as researcher, writer, analyst, or reviewer are useful interface metaphors, but they do not automatically carry legal, organizational, or professional responsibility. A compliance-grade role must define bounded capabilities, evidence obligations, escalation duties, and non-delegable human responsibilities.</w:t>
      </w:r>
    </w:p>
    <w:p>
      <w:pPr>
        <w:spacing w:after="56"/>
      </w:pPr>
      <w:r>
        <w:t>The core question for MRO-03 is whether agent roles are governance identities or only execution personas. Strong support requires separating persona labels from capability boundaries, evidence duties, and human accountability. Human-like role labels are persuasive in UI and documentation, but they can obscure the fact that legal and business accountability remains with humans and organizations.</w:t>
      </w:r>
    </w:p>
    <w:p>
      <w:pPr>
        <w:pStyle w:val="Heading3"/>
      </w:pPr>
      <w:r>
        <w:t>Enterprise Implication</w:t>
      </w:r>
    </w:p>
    <w:p>
      <w:pPr>
        <w:spacing w:after="56"/>
      </w:pPr>
      <w:r>
        <w:t>Treating an agent persona as a human job role creates false accountability. The company may believe that a reviewer agent has performed review while no accountable human or approved review boundary exists.</w:t>
      </w:r>
    </w:p>
    <w:p>
      <w:pPr>
        <w:spacing w:after="56"/>
      </w:pPr>
      <w:r>
        <w:t>Adjacent controls may support this object, but lifecycle conformance requires explicit object semantics for responsibility, evidence, escalation duties, and human accountability linkage.</w:t>
      </w:r>
    </w:p>
    <w:p>
      <w:pPr>
        <w:pStyle w:val="Heading3"/>
      </w:pPr>
      <w:r>
        <w:t>Design Implication</w:t>
      </w:r>
    </w:p>
    <w:p>
      <w:pPr>
        <w:spacing w:after="56"/>
      </w:pPr>
      <w:r>
        <w:t>Separate UX persona, runtime capability, and governance role. The role object should identify what the agent can do, what it must prove, what it must escalate, and which human role remains accountable for acceptance or rejection.</w:t>
      </w:r>
    </w:p>
    <w:p>
      <w:pPr>
        <w:spacing w:after="56"/>
      </w:pPr>
      <w:r>
        <w:t>The implementation test is to replace the agent name with a neutral identifier. If the governance meaning disappears, the system is relying on persona language rather than responsibility structure.</w:t>
      </w:r>
    </w:p>
    <w:p>
      <w:pPr>
        <w:pStyle w:val="Heading3"/>
      </w:pPr>
      <w:r>
        <w:t>Audit Question</w:t>
      </w:r>
    </w:p>
    <w:p>
      <w:pPr>
        <w:spacing w:after="56"/>
      </w:pPr>
      <w:r>
        <w:t>If the agent name is replaced with a neutral identifier, does the governance meaning remain intact, or was the system relying on persona language rather than responsibility structure?</w:t>
      </w:r>
    </w:p>
    <w:p>
      <w:pPr>
        <w:pStyle w:val="Heading2"/>
      </w:pPr>
      <w:r>
        <w:t>6.5 MRO-04 — Accepted Outcome Compliance</w:t>
      </w:r>
    </w:p>
    <w:p>
      <w:pPr>
        <w:pStyle w:val="Heading3"/>
      </w:pPr>
      <w:r>
        <w:t>Problem</w:t>
      </w:r>
    </w:p>
    <w:p>
      <w:pPr>
        <w:spacing w:after="56"/>
      </w:pPr>
      <w:r>
        <w:t>A model output or orchestrator completion event does not become enterprise work until the right role has reviewed, accepted, or rejected it under evidence.</w:t>
      </w:r>
    </w:p>
    <w:p>
      <w:pPr>
        <w:pStyle w:val="Heading3"/>
      </w:pPr>
      <w:r>
        <w:t>Required Object</w:t>
      </w:r>
    </w:p>
    <w:p>
      <w:pPr>
        <w:spacing w:after="56"/>
      </w:pPr>
      <w:r>
        <w:t>An accepted_outcome state linking source intent, plan, trace, reviewer, acceptance status, dispute window, remediation route, and evidence pointers.</w:t>
      </w:r>
    </w:p>
    <w:p>
      <w:pPr>
        <w:pStyle w:val="Heading3"/>
      </w:pPr>
      <w:r>
        <w:t>Judgment</w:t>
      </w:r>
    </w:p>
    <w:p>
      <w:pPr>
        <w:spacing w:after="56"/>
      </w:pPr>
      <w:r>
        <w:t>Output is a system event. Accepted outcome is a governance state.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accepted outcome compliance explicit, inspectable, and replayable within an agentic lifecycle, separating execution completion from governance acceptance.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accepted outcome compliance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accepted outcome compliance was properly established and preserved for the relevant lifecycle phase?</w:t>
            </w:r>
          </w:p>
        </w:tc>
      </w:tr>
    </w:tbl>
    <w:p>
      <w:pPr>
        <w:spacing w:after="56"/>
      </w:pPr>
      <w:r>
        <w:t>Table T-06-05: MRO-04 Object Card — Accepted Outcome Compliance</w:t>
      </w:r>
    </w:p>
    <w:p>
      <w:pPr>
        <w:pStyle w:val="Heading3"/>
      </w:pPr>
      <w:r>
        <w:t>Detailed Discussion</w:t>
      </w:r>
    </w:p>
    <w:p>
      <w:pPr>
        <w:spacing w:after="56"/>
      </w:pPr>
      <w:r>
        <w:t>Agentic systems often mark work as complete when execution reaches a terminal state. Compliance requires a stronger state: the output must be reviewed against intent, evidence, risk, and acceptance criteria before it becomes an accepted outcome.</w:t>
      </w:r>
    </w:p>
    <w:p>
      <w:pPr>
        <w:spacing w:after="56"/>
      </w:pPr>
      <w:r>
        <w:t>The core question for MRO-04 is whether output completion is separated from outcome acceptance. Strong support requires acceptance criteria, reviewer identity, evidence linkage, and dispute/remediation state. Execution engines naturally optimize for terminal states, while governance requires a second state transition from completed output to accepted outcome.</w:t>
      </w:r>
    </w:p>
    <w:p>
      <w:pPr>
        <w:pStyle w:val="Heading3"/>
      </w:pPr>
      <w:r>
        <w:t>Enterprise Implication</w:t>
      </w:r>
    </w:p>
    <w:p>
      <w:pPr>
        <w:spacing w:after="56"/>
      </w:pPr>
      <w:r>
        <w:t>Without accepted-outcome semantics, completed tasks may enter business processes without accountable review. This creates disputes when customers, regulators, or internal stakeholders ask who accepted the work and on what evidence.</w:t>
      </w:r>
    </w:p>
    <w:p>
      <w:pPr>
        <w:spacing w:after="56"/>
      </w:pPr>
      <w:r>
        <w:t>Adjacent execution controls may complete work reliably, but lifecycle conformance requires explicit object semantics for accepted delivery rather than executed task closure. In a dispute, the enterprise must be able to distinguish execution quality, review failure, and missing acceptance policy.</w:t>
      </w:r>
    </w:p>
    <w:p>
      <w:pPr>
        <w:pStyle w:val="Heading3"/>
      </w:pPr>
      <w:r>
        <w:t>Design Implication</w:t>
      </w:r>
    </w:p>
    <w:p>
      <w:pPr>
        <w:spacing w:after="56"/>
      </w:pPr>
      <w:r>
        <w:t>The accepted_outcome object should bind deliverable ID, plan version, trace reference, reviewer role, acceptance criteria, acceptance decision, dispute window, and remediation path. Completion and acceptance should remain separate states.</w:t>
      </w:r>
    </w:p>
    <w:p>
      <w:pPr>
        <w:spacing w:after="56"/>
      </w:pPr>
      <w:r>
        <w:t>The implementation test is to identify a completed task and ask: who accepted it, against what criteria, with what evidence, and what is the dispute window? If the answer is that completion equals acceptance, the system has collapsed execution into governance.</w:t>
      </w:r>
    </w:p>
    <w:p>
      <w:pPr>
        <w:pStyle w:val="Heading3"/>
      </w:pPr>
      <w:r>
        <w:t>Audit Question</w:t>
      </w:r>
    </w:p>
    <w:p>
      <w:pPr>
        <w:spacing w:after="56"/>
      </w:pPr>
      <w:r>
        <w:t>For any completed task, can the system identify the acceptance criteria, evidence reviewed, reviewer role, decision timestamp, and dispute window?</w:t>
      </w:r>
    </w:p>
    <w:p>
      <w:pPr>
        <w:pStyle w:val="Heading2"/>
      </w:pPr>
      <w:r>
        <w:t>6.6 MRO-05 — Tool-Action Liability Boundary</w:t>
      </w:r>
    </w:p>
    <w:p>
      <w:pPr>
        <w:pStyle w:val="Heading3"/>
      </w:pPr>
      <w:r>
        <w:t>Problem</w:t>
      </w:r>
    </w:p>
    <w:p>
      <w:pPr>
        <w:spacing w:after="56"/>
      </w:pPr>
      <w:r>
        <w:t>Agentic AI becomes operationally consequential when it sends, modifies, deploys, purchases, transfers, deletes, or triggers external actions.</w:t>
      </w:r>
    </w:p>
    <w:p>
      <w:pPr>
        <w:pStyle w:val="Heading3"/>
      </w:pPr>
      <w:r>
        <w:t>Required Object</w:t>
      </w:r>
    </w:p>
    <w:p>
      <w:pPr>
        <w:spacing w:after="56"/>
      </w:pPr>
      <w:r>
        <w:t>A tool-action liability object recording initiator, tool identity, external system, authority credential, reversibility, rollback plan, affected data, and owner.</w:t>
      </w:r>
    </w:p>
    <w:p>
      <w:pPr>
        <w:pStyle w:val="Heading3"/>
      </w:pPr>
      <w:r>
        <w:t>Judgment</w:t>
      </w:r>
    </w:p>
    <w:p>
      <w:pPr>
        <w:spacing w:after="56"/>
      </w:pPr>
      <w:r>
        <w:t>Tool use is where AI output becomes external consequence.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tool-action liability boundary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tool-action liability boundary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tool-action liability boundary was properly established and preserved for the relevant lifecycle phase?</w:t>
            </w:r>
          </w:p>
        </w:tc>
      </w:tr>
    </w:tbl>
    <w:p>
      <w:pPr>
        <w:spacing w:after="56"/>
      </w:pPr>
      <w:r>
        <w:t>Table T-06-06: MRO-05 Object Card — Tool-Action Liability Boundary</w:t>
      </w:r>
    </w:p>
    <w:p>
      <w:pPr>
        <w:pStyle w:val="Heading3"/>
      </w:pPr>
      <w:r>
        <w:t>Detailed Discussion</w:t>
      </w:r>
    </w:p>
    <w:p>
      <w:pPr>
        <w:spacing w:after="56"/>
      </w:pPr>
      <w:r>
        <w:t>Tool use is the moment where AI output becomes external consequence. Sending email, changing records, deploying code, querying regulated data, or triggering payment workflows each carries different liability and reversibility properties.</w:t>
      </w:r>
    </w:p>
    <w:p>
      <w:pPr>
        <w:spacing w:after="56"/>
      </w:pPr>
      <w:r>
        <w:t>A tool call is not only an execution event. It is the point where AI output can affect external systems, records, customers, code, money, permissions, communications, or regulated data. The governance object must bind action, affected system, authority source, reversibility, rollback path, data sensitivity, evidence pointer, and accountable owner.</w:t>
      </w:r>
    </w:p>
    <w:p>
      <w:pPr>
        <w:spacing w:after="56"/>
      </w:pPr>
      <w:r>
        <w:t>The core question for MRO-05 is whether the system can reconstruct the liability boundary for each consequential tool action. Strong support requires recording initiator, tool identity, external system, authority credential, reversibility status, rollback plan, affected data categories, and accountable owner. The same tool may be low-risk in one context and high-impact in another.</w:t>
      </w:r>
    </w:p>
    <w:p>
      <w:pPr>
        <w:spacing w:after="56"/>
      </w:pPr>
      <w:r>
        <w:t>The difficulty is that a tool log alone may show that an action happened, but not whether the agent had authority, whether the action was reversible, which system was affected, or who owns the resulting consequence.</w:t>
      </w:r>
    </w:p>
    <w:p>
      <w:pPr>
        <w:pStyle w:val="Heading3"/>
      </w:pPr>
      <w:r>
        <w:t>Enterprise Implication</w:t>
      </w:r>
    </w:p>
    <w:p>
      <w:pPr>
        <w:spacing w:after="56"/>
      </w:pPr>
      <w:r>
        <w:t>Without liability boundaries, enterprises face disputes when external actions cause customer impact, regulatory violations, or financial loss. The organization cannot prove who authorized the action, whether it was within delegated scope, or whether rollback procedures were available.</w:t>
      </w:r>
    </w:p>
    <w:p>
      <w:pPr>
        <w:spacing w:after="56"/>
      </w:pPr>
      <w:r>
        <w:t>Adjacent controls such as IAM and API permissions may support this object, but lifecycle conformance requires explicit object semantics that bind the specific tool action to authority, reversibility, affected systems, and accountable ownership.</w:t>
      </w:r>
    </w:p>
    <w:p>
      <w:pPr>
        <w:pStyle w:val="Heading3"/>
      </w:pPr>
      <w:r>
        <w:t>Design Implication</w:t>
      </w:r>
    </w:p>
    <w:p>
      <w:pPr>
        <w:spacing w:after="56"/>
      </w:pPr>
      <w:r>
        <w:t>Every consequential tool action should produce a liability boundary record: initiator, authority source, target system, action type, reversibility, rollback path, data sensitivity, evidence pointer, and accountable owner.</w:t>
      </w:r>
    </w:p>
    <w:p>
      <w:pPr>
        <w:spacing w:after="56"/>
      </w:pPr>
      <w:r>
        <w:t>The implementation test is to select a high-impact tool action and ask: who initiated it, under what authority, affecting which system, with what reversibility, and who owns the consequence? If the answer requires tribal memory or manual investigation, the liability boundary is not audit-grade.</w:t>
      </w:r>
    </w:p>
    <w:p>
      <w:pPr>
        <w:pStyle w:val="Heading3"/>
      </w:pPr>
      <w:r>
        <w:t>Audit Question</w:t>
      </w:r>
    </w:p>
    <w:p>
      <w:pPr>
        <w:spacing w:after="56"/>
      </w:pPr>
      <w:r>
        <w:t>For any consequential tool action, can the system reconstruct the initiator, authority source, affected system, reversibility status, rollback path, and accountable owner?</w:t>
      </w:r>
    </w:p>
    <w:p>
      <w:pPr>
        <w:pStyle w:val="Heading2"/>
      </w:pPr>
      <w:r>
        <w:t>6.7 MRO-06 — Responsibility Transfer Across Agents</w:t>
      </w:r>
    </w:p>
    <w:p>
      <w:pPr>
        <w:pStyle w:val="Heading3"/>
      </w:pPr>
      <w:r>
        <w:t>Problem</w:t>
      </w:r>
    </w:p>
    <w:p>
      <w:pPr>
        <w:spacing w:after="56"/>
      </w:pPr>
      <w:r>
        <w:t>Handoff in a workflow engine does not automatically transfer responsibility, inherited constraints, retained obligations, or evidence duties.</w:t>
      </w:r>
    </w:p>
    <w:p>
      <w:pPr>
        <w:pStyle w:val="Heading3"/>
      </w:pPr>
      <w:r>
        <w:t>Required Object</w:t>
      </w:r>
    </w:p>
    <w:p>
      <w:pPr>
        <w:spacing w:after="56"/>
      </w:pPr>
      <w:r>
        <w:t>A transfer object declaring transferred scope, source role, receiving role, retained responsibilities, inherited constraints, and receiving-role acceptance.</w:t>
      </w:r>
    </w:p>
    <w:p>
      <w:pPr>
        <w:pStyle w:val="Heading3"/>
      </w:pPr>
      <w:r>
        <w:t>Judgment</w:t>
      </w:r>
    </w:p>
    <w:p>
      <w:pPr>
        <w:spacing w:after="56"/>
      </w:pPr>
      <w:r>
        <w:t>Handoff without explicit responsibility transfer is just routing.</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responsibility transfer across agents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responsibility transfer across agents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responsibility transfer across agents was properly established and preserved for the relevant lifecycle phase?</w:t>
            </w:r>
          </w:p>
        </w:tc>
      </w:tr>
    </w:tbl>
    <w:p>
      <w:pPr>
        <w:spacing w:after="56"/>
      </w:pPr>
      <w:r>
        <w:t>Table T-06-07: MRO-06 Object Card — Responsibility Transfer Across Agents</w:t>
      </w:r>
    </w:p>
    <w:p>
      <w:pPr>
        <w:pStyle w:val="Heading3"/>
      </w:pPr>
      <w:r>
        <w:t>Detailed Discussion</w:t>
      </w:r>
    </w:p>
    <w:p>
      <w:pPr>
        <w:spacing w:after="56"/>
      </w:pPr>
      <w:r>
        <w:t>Handoff is an execution event; responsibility transfer is a governance event. When one agent delegates to another, the receiving agent must inherit constraints, evidence duties, privacy restrictions, and escalation conditions rather than merely receiving a prompt or task payload.</w:t>
      </w:r>
    </w:p>
    <w:p>
      <w:pPr>
        <w:spacing w:after="56"/>
      </w:pPr>
      <w:r>
        <w:t>The core question for MRO-06 is whether the system distinguishes workflow routing from responsibility transfer. Strong support requires explicit transfer records declaring transferred scope, retained scope, inherited constraints, evidence obligations, receiving-role acceptance, and rejection/escalation behavior.</w:t>
      </w:r>
    </w:p>
    <w:p>
      <w:pPr>
        <w:spacing w:after="56"/>
      </w:pPr>
      <w:r>
        <w:t>The difficulty is that workflow engines naturally optimize for task routing, while governance requires explicit responsibility semantics. A downstream agent can claim it only followed instructions while the upstream agent no longer controls execution, leaving a gap in audit and remediation.</w:t>
      </w:r>
    </w:p>
    <w:p>
      <w:pPr>
        <w:pStyle w:val="Heading3"/>
      </w:pPr>
      <w:r>
        <w:t>Enterprise Implication</w:t>
      </w:r>
    </w:p>
    <w:p>
      <w:pPr>
        <w:spacing w:after="56"/>
      </w:pPr>
      <w:r>
        <w:t>Without explicit transfer semantics, multi-agent workflows create accountability gaps. When disputes arise, the organization cannot prove which agent held which responsibility at which lifecycle point. This weakens internal audit, customer assurance, and regulatory defense.</w:t>
      </w:r>
    </w:p>
    <w:p>
      <w:pPr>
        <w:spacing w:after="56"/>
      </w:pPr>
      <w:r>
        <w:t>Adjacent orchestration controls may support this object, but lifecycle conformance requires explicit object semantics for transferred responsibility, retained responsibility, inherited constraints, evidence duties, and escalation.</w:t>
      </w:r>
    </w:p>
    <w:p>
      <w:pPr>
        <w:pStyle w:val="Heading3"/>
      </w:pPr>
      <w:r>
        <w:t>Design Implication</w:t>
      </w:r>
    </w:p>
    <w:p>
      <w:pPr>
        <w:spacing w:after="56"/>
      </w:pPr>
      <w:r>
        <w:t>Responsibility transfer should be explicit: transferred scope, retained scope, inherited constraints, evidence obligations, receiving-role acceptance, and rejection/escalation behavior must be recorded.</w:t>
      </w:r>
    </w:p>
    <w:p>
      <w:pPr>
        <w:spacing w:after="56"/>
      </w:pPr>
      <w:r>
        <w:t>The implementation test is to select a multi-agent workflow and ask: at each handoff, what responsibility was transferred, what was retained, what constraints were inherited, and did the receiving agent accept? If the answer is that handoff equals transfer, the system has collapsed execution into governance.</w:t>
      </w:r>
    </w:p>
    <w:p>
      <w:pPr>
        <w:pStyle w:val="Heading3"/>
      </w:pPr>
      <w:r>
        <w:t>Audit Question</w:t>
      </w:r>
    </w:p>
    <w:p>
      <w:pPr>
        <w:spacing w:after="56"/>
      </w:pPr>
      <w:r>
        <w:t>For any multi-agent workflow, can the system reconstruct which agent held which responsibility at each handoff, including transferred scope, retained scope, and inherited constraints?</w:t>
      </w:r>
    </w:p>
    <w:p>
      <w:pPr>
        <w:pStyle w:val="Heading2"/>
      </w:pPr>
      <w:r>
        <w:t>6.8 MRO-07 — Authority Drift</w:t>
      </w:r>
    </w:p>
    <w:p>
      <w:pPr>
        <w:pStyle w:val="Heading3"/>
      </w:pPr>
      <w:r>
        <w:t>Problem</w:t>
      </w:r>
    </w:p>
    <w:p>
      <w:pPr>
        <w:spacing w:after="56"/>
      </w:pPr>
      <w:r>
        <w:t>Agents can drift from advising to executing, drafting to sending, reading to modifying, or summarizing to committing changes.</w:t>
      </w:r>
    </w:p>
    <w:p>
      <w:pPr>
        <w:pStyle w:val="Heading3"/>
      </w:pPr>
      <w:r>
        <w:t>Required Object</w:t>
      </w:r>
    </w:p>
    <w:p>
      <w:pPr>
        <w:spacing w:after="56"/>
      </w:pPr>
      <w:r>
        <w:t>A drift event model comparing observed behavior against original delegated authority, risk class, tool scope, and required confirmation boundary.</w:t>
      </w:r>
    </w:p>
    <w:p>
      <w:pPr>
        <w:pStyle w:val="Heading3"/>
      </w:pPr>
      <w:r>
        <w:t>Judgment</w:t>
      </w:r>
    </w:p>
    <w:p>
      <w:pPr>
        <w:spacing w:after="56"/>
      </w:pPr>
      <w:r>
        <w:t>The most dangerous agent failures are often unauthorized authority transitions.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authority drift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authority drift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authority drift was properly established and preserved for the relevant lifecycle phase?</w:t>
            </w:r>
          </w:p>
        </w:tc>
      </w:tr>
    </w:tbl>
    <w:p>
      <w:pPr>
        <w:spacing w:after="56"/>
      </w:pPr>
      <w:r>
        <w:t>Table T-06-08: MRO-07 Object Card — Authority Drift</w:t>
      </w:r>
    </w:p>
    <w:p>
      <w:pPr>
        <w:pStyle w:val="Heading3"/>
      </w:pPr>
      <w:r>
        <w:t>Detailed Discussion</w:t>
      </w:r>
    </w:p>
    <w:p>
      <w:pPr>
        <w:spacing w:after="56"/>
      </w:pPr>
      <w:r>
        <w:t>Authority drift occurs when an agent gradually moves from advice to execution, from draft to send, from read-only to write, or from internal recommendation to external commitment. It is often a transition problem rather than a single bad output.</w:t>
      </w:r>
    </w:p>
    <w:p>
      <w:pPr>
        <w:spacing w:after="56"/>
      </w:pPr>
      <w:r>
        <w:t>The core question for MRO-07 is whether the system monitors for unauthorized authority transitions. Strong support requires comparing observed behavior against original authority boundaries and plan state. Unauthorized transitions should trigger stop, downgrade, or human confirmation rather than being treated as ordinary execution variance.</w:t>
      </w:r>
    </w:p>
    <w:p>
      <w:pPr>
        <w:spacing w:after="56"/>
      </w:pPr>
      <w:r>
        <w:t>The difficulty is that drift is dangerous because each local step may appear reasonable while the cumulative lifecycle state exceeds the original delegation. This is especially acute in long-running workflows, autonomous retries, or agent loops.</w:t>
      </w:r>
    </w:p>
    <w:p>
      <w:pPr>
        <w:pStyle w:val="Heading3"/>
      </w:pPr>
      <w:r>
        <w:t>Enterprise Implication</w:t>
      </w:r>
    </w:p>
    <w:p>
      <w:pPr>
        <w:spacing w:after="56"/>
      </w:pPr>
      <w:r>
        <w:t>Without drift detection, agents can silently escalate from low-risk to high-impact actions. The organization may discover the problem only after customer impact, regulatory violation, or financial loss. Drift detection is a lifecycle monitoring requirement, not merely a model safety feature.</w:t>
      </w:r>
    </w:p>
    <w:p>
      <w:pPr>
        <w:spacing w:after="56"/>
      </w:pPr>
      <w:r>
        <w:t>Adjacent guardrails and content filters may support this object, but lifecycle conformance requires explicit object semantics that monitor authority boundaries across the full execution timeline.</w:t>
      </w:r>
    </w:p>
    <w:p>
      <w:pPr>
        <w:pStyle w:val="Heading3"/>
      </w:pPr>
      <w:r>
        <w:t>Design Implication</w:t>
      </w:r>
    </w:p>
    <w:p>
      <w:pPr>
        <w:spacing w:after="56"/>
      </w:pPr>
      <w:r>
        <w:t>The system should compare observed behavior against original authority boundaries and plan state. Unauthorized transitions should trigger stop, downgrade, or human confirmation rather than being treated as ordinary execution variance.</w:t>
      </w:r>
    </w:p>
    <w:p>
      <w:pPr>
        <w:spacing w:after="56"/>
      </w:pPr>
      <w:r>
        <w:t>The implementation test is to simulate a long-running workflow where an agent gradually escalates from read-only to write, or from draft to send. Can the system detect the transition and halt execution before external consequence? If not, authority drift is unmonitored.</w:t>
      </w:r>
    </w:p>
    <w:p>
      <w:pPr>
        <w:pStyle w:val="Heading3"/>
      </w:pPr>
      <w:r>
        <w:t>Audit Question</w:t>
      </w:r>
    </w:p>
    <w:p>
      <w:pPr>
        <w:spacing w:after="56"/>
      </w:pPr>
      <w:r>
        <w:t>For any long-running workflow, can the system detect when an agent's observed behavior exceeds its original authority boundary, and does it halt or escalate before external consequence?</w:t>
      </w:r>
    </w:p>
    <w:p>
      <w:pPr>
        <w:pStyle w:val="Heading2"/>
      </w:pPr>
      <w:r>
        <w:t>6.9 MRO-08 — MAS Evidence Partitioning</w:t>
      </w:r>
    </w:p>
    <w:p>
      <w:pPr>
        <w:pStyle w:val="Heading3"/>
      </w:pPr>
      <w:r>
        <w:t>Problem</w:t>
      </w:r>
    </w:p>
    <w:p>
      <w:pPr>
        <w:spacing w:after="56"/>
      </w:pPr>
      <w:r>
        <w:t>A flat chronological log cannot show how different agents, tools, humans, plans, privacy constraints, and evidence fragments relate.</w:t>
      </w:r>
    </w:p>
    <w:p>
      <w:pPr>
        <w:pStyle w:val="Heading3"/>
      </w:pPr>
      <w:r>
        <w:t>Required Object</w:t>
      </w:r>
    </w:p>
    <w:p>
      <w:pPr>
        <w:spacing w:after="56"/>
      </w:pPr>
      <w:r>
        <w:t>Partitioned evidence by agent, tool, human confirmation, plan version, authority boundary, privacy boundary, and accepted outcome.</w:t>
      </w:r>
    </w:p>
    <w:p>
      <w:pPr>
        <w:pStyle w:val="Heading3"/>
      </w:pPr>
      <w:r>
        <w:t>Judgment</w:t>
      </w:r>
    </w:p>
    <w:p>
      <w:pPr>
        <w:spacing w:after="56"/>
      </w:pPr>
      <w:r>
        <w:t>In MAS, evidence must be partitioned, linked, and reconstructable.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MAS evidence partitioning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scope boundary, risk class, evidence requirement, privacy treatment, review/approval rule, revocation or closure rule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system may appear governed at UI or workflow level while lacking enforceable MAS evidence partitioning semantics.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MAS evidence partitioning was properly established and preserved for the relevant lifecycle phase?</w:t>
            </w:r>
          </w:p>
        </w:tc>
      </w:tr>
    </w:tbl>
    <w:p>
      <w:pPr>
        <w:spacing w:after="56"/>
      </w:pPr>
      <w:r>
        <w:t>Table T-06-09: MRO-08 Object Card — MAS Evidence Partitioning</w:t>
      </w:r>
    </w:p>
    <w:p>
      <w:pPr>
        <w:pStyle w:val="Heading3"/>
      </w:pPr>
      <w:r>
        <w:t>Detailed Discussion</w:t>
      </w:r>
    </w:p>
    <w:p>
      <w:pPr>
        <w:spacing w:after="56"/>
      </w:pPr>
      <w:r>
        <w:t>Multi-agent evidence is not a single log stream. It includes plan versions, agent messages, tool calls, human confirmations, data accesses, privacy decisions, model outputs, evidence hashes, and outcome states. Different auditors may need different partitions.</w:t>
      </w:r>
    </w:p>
    <w:p>
      <w:pPr>
        <w:spacing w:after="56"/>
      </w:pPr>
      <w:r>
        <w:t>The core question for MRO-08 is whether evidence can be partitioned, linked, and reconstructed for different audit purposes. Strong support requires partitioning by agent, tool, authority boundary, privacy class, confirmation event, plan version, and accepted outcome. Partitions should be linked by stable identifiers and integrity hashes.</w:t>
      </w:r>
    </w:p>
    <w:p>
      <w:pPr>
        <w:spacing w:after="56"/>
      </w:pPr>
      <w:r>
        <w:t>The difficulty is that flat logs are difficult to use in disputes because they mix irrelevant telemetry with critical proof. They also make selective disclosure and privacy minimization harder because sensitive payloads and governance metadata are not separated.</w:t>
      </w:r>
    </w:p>
    <w:p>
      <w:pPr>
        <w:pStyle w:val="Heading3"/>
      </w:pPr>
      <w:r>
        <w:t>Enterprise Implication</w:t>
      </w:r>
    </w:p>
    <w:p>
      <w:pPr>
        <w:spacing w:after="56"/>
      </w:pPr>
      <w:r>
        <w:t>Without evidence partitioning, multi-agent workflows become difficult to audit, dispute, or selectively disclose. The organization cannot prove which agent performed which action under which authority without exposing unnecessary sensitive data. This weakens regulatory defense, customer assurance, and external validation.</w:t>
      </w:r>
    </w:p>
    <w:p>
      <w:pPr>
        <w:spacing w:after="56"/>
      </w:pPr>
      <w:r>
        <w:t>Adjacent observability and trace systems may support this object, but lifecycle conformance requires explicit object semantics that partition evidence by governance boundaries rather than only by execution timeline.</w:t>
      </w:r>
    </w:p>
    <w:p>
      <w:pPr>
        <w:pStyle w:val="Heading3"/>
      </w:pPr>
      <w:r>
        <w:t>Design Implication</w:t>
      </w:r>
    </w:p>
    <w:p>
      <w:pPr>
        <w:spacing w:after="56"/>
      </w:pPr>
      <w:r>
        <w:t>Evidence should be partitioned by agent, tool, authority boundary, privacy class, confirmation event, plan version, and accepted outcome. Partitions should be linked by stable identifiers and integrity hashes.</w:t>
      </w:r>
    </w:p>
    <w:p>
      <w:pPr>
        <w:spacing w:after="56"/>
      </w:pPr>
      <w:r>
        <w:t>The implementation test is to select a completed multi-agent workflow and ask: can the system produce evidence for a specific agent's actions, a specific tool's usage, a specific privacy class, or a specific accepted outcome without exposing the full raw log? If not, evidence partitioning is not audit-grade.</w:t>
      </w:r>
    </w:p>
    <w:p>
      <w:pPr>
        <w:pStyle w:val="Heading3"/>
      </w:pPr>
      <w:r>
        <w:t>Audit Question</w:t>
      </w:r>
    </w:p>
    <w:p>
      <w:pPr>
        <w:spacing w:after="56"/>
      </w:pPr>
      <w:r>
        <w:t>For any completed multi-agent workflow, can the system reconstruct evidence partitions for specific agents, tools, privacy classes, and accepted outcomes without exposing unnecessary raw data?</w:t>
      </w:r>
    </w:p>
    <w:p>
      <w:pPr>
        <w:pStyle w:val="Heading2"/>
      </w:pPr>
      <w:r>
        <w:t>6.10 MRO-09 — Cross-Project Reuse Compliance</w:t>
      </w:r>
    </w:p>
    <w:p>
      <w:pPr>
        <w:pStyle w:val="Heading3"/>
      </w:pPr>
      <w:r>
        <w:t>Problem</w:t>
      </w:r>
    </w:p>
    <w:p>
      <w:pPr>
        <w:spacing w:after="56"/>
      </w:pPr>
      <w:r>
        <w:t>Agent workflows are increasingly reused across projects, but reuse without revalidation creates compliance drift. A workflow validated for one context, risk class, or privacy boundary may be deployed in a different context without resetting authority, evidence, or privacy constraints.</w:t>
      </w:r>
    </w:p>
    <w:p>
      <w:pPr>
        <w:pStyle w:val="Heading3"/>
      </w:pPr>
      <w:r>
        <w:t>Required Object</w:t>
      </w:r>
    </w:p>
    <w:p>
      <w:pPr>
        <w:spacing w:after="56"/>
      </w:pPr>
      <w:r>
        <w:t>A cross-project reuse compliance record linking original validation context to new deployment context, including authority reset, privacy review, evidence revalidation, and acceptance criteria adjustment.</w:t>
      </w:r>
    </w:p>
    <w:p>
      <w:pPr>
        <w:pStyle w:val="Heading3"/>
      </w:pPr>
      <w:r>
        <w:t>Judgment</w:t>
      </w:r>
    </w:p>
    <w:p>
      <w:pPr>
        <w:spacing w:after="56"/>
      </w:pPr>
      <w:r>
        <w:t>Reuse without revalidation is the most common lifecycle governance failure.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cross-project reuse compliance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receiving project context, reuse authorization, context delta, privacy review, evidence revalidation, acceptance criteria adjustment</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A workflow may be reused in a new project, risk class, or privacy context without authority reset, evidence revalidation, or privacy reassessment.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determine whether cross-project reuse was authorized, revalidated, and privacy-reviewed for the new deployment context?</w:t>
            </w:r>
          </w:p>
        </w:tc>
      </w:tr>
    </w:tbl>
    <w:p>
      <w:pPr>
        <w:spacing w:after="56"/>
      </w:pPr>
      <w:r>
        <w:t>Table T-06-10: MRO-09 Object Card — Cross-Project Reuse Compliance</w:t>
      </w:r>
    </w:p>
    <w:p>
      <w:pPr>
        <w:pStyle w:val="Heading3"/>
      </w:pPr>
      <w:r>
        <w:t>Detailed Discussion</w:t>
      </w:r>
    </w:p>
    <w:p>
      <w:pPr>
        <w:spacing w:after="56"/>
      </w:pPr>
      <w:r>
        <w:t>Reuse is a powerful efficiency mechanism, but it is also a compliance boundary. A workflow validated for internal analytics may be reused for customer-facing decisions without recognizing that the risk class, privacy obligations, and evidence requirements have changed. The original validation context does not automatically transfer.</w:t>
      </w:r>
    </w:p>
    <w:p>
      <w:pPr>
        <w:spacing w:after="56"/>
      </w:pPr>
      <w:r>
        <w:t>The governance challenge is that reuse often happens through copy-paste, template libraries, or shared agent definitions. These mechanisms optimize for speed but do not enforce context reset. A reused workflow may carry forward authority assumptions, privacy treatments, or evidence obligations that no longer apply.</w:t>
      </w:r>
    </w:p>
    <w:p>
      <w:pPr>
        <w:spacing w:after="56"/>
      </w:pPr>
      <w:r>
        <w:t>Cross-project reuse requires explicit revalidation. The reuse record must link the original validation context to the new deployment context and document what changed: authority scope, risk class, privacy boundary, data sources, tool permissions, human oversight requirements, and acceptance criteria. If the new context is materially different, the workflow must be revalidated rather than merely copied.</w:t>
      </w:r>
    </w:p>
    <w:p>
      <w:pPr>
        <w:spacing w:after="56"/>
      </w:pPr>
      <w:r>
        <w:t>The difficulty is that reuse is often invisible to governance systems. A developer may copy a workflow definition, adjust a few parameters, and deploy it in a new project without triggering any compliance review. The organization discovers the problem only when a dispute arises and the reused workflow cannot prove that it was authorized for the new context.</w:t>
      </w:r>
    </w:p>
    <w:p>
      <w:pPr>
        <w:pStyle w:val="Heading3"/>
      </w:pPr>
      <w:r>
        <w:t>Enterprise Implication</w:t>
      </w:r>
    </w:p>
    <w:p>
      <w:pPr>
        <w:spacing w:after="56"/>
      </w:pPr>
      <w:r>
        <w:t>Without reuse compliance, organizations face hidden governance debt. A workflow validated once may be reused dozens of times across different projects, risk classes, and privacy contexts without any record of revalidation. This creates audit gaps, privacy violations, and liability exposure.</w:t>
      </w:r>
    </w:p>
    <w:p>
      <w:pPr>
        <w:spacing w:after="56"/>
      </w:pPr>
      <w:r>
        <w:t>Adjacent template libraries and shared agent definitions may support this object, but lifecycle conformance requires explicit object semantics for context reset, privacy review, and evidence revalidation when deployment context changes.</w:t>
      </w:r>
    </w:p>
    <w:p>
      <w:pPr>
        <w:pStyle w:val="Heading3"/>
      </w:pPr>
      <w:r>
        <w:t>Design Implication</w:t>
      </w:r>
    </w:p>
    <w:p>
      <w:pPr>
        <w:spacing w:after="56"/>
      </w:pPr>
      <w:r>
        <w:t>The reuse record should bind original workflow ID, original validation record, receiving project ID, reuse authorization, context delta analysis, privacy review, evidence revalidation, and acceptance criteria adjustment. Reuse should trigger a compliance checkpoint rather than being treated as a copy operation.</w:t>
      </w:r>
    </w:p>
    <w:p>
      <w:pPr>
        <w:spacing w:after="56"/>
      </w:pPr>
      <w:r>
        <w:t>The implementation test is to select a reused workflow and ask: was it revalidated for the new context, was the privacy boundary reassessed, were authority and evidence requirements reset, and who approved the reuse? If the answer is that reuse was automatic, the system has no reuse compliance boundary.</w:t>
      </w:r>
    </w:p>
    <w:p>
      <w:pPr>
        <w:pStyle w:val="Heading3"/>
      </w:pPr>
      <w:r>
        <w:t>Audit Question</w:t>
      </w:r>
    </w:p>
    <w:p>
      <w:pPr>
        <w:spacing w:after="56"/>
      </w:pPr>
      <w:r>
        <w:t>For any reused workflow, can the system prove that it was revalidated for the new deployment context, including authority reset, privacy review, and evidence revalidation?</w:t>
      </w:r>
    </w:p>
    <w:p>
      <w:pPr>
        <w:pStyle w:val="Heading2"/>
      </w:pPr>
      <w:r>
        <w:t>6.11 MRO-10 — Privacy / GDPR Lifecycle Mapping</w:t>
      </w:r>
    </w:p>
    <w:p>
      <w:pPr>
        <w:pStyle w:val="Heading3"/>
      </w:pPr>
      <w:r>
        <w:t>Problem</w:t>
      </w:r>
    </w:p>
    <w:p>
      <w:pPr>
        <w:spacing w:after="56"/>
      </w:pPr>
      <w:r>
        <w:t>GDPR applies to the full lifecycle, but most AI governance focuses on model training data. Agentic systems retrieve, process, store, share, and delete personal data across agents, tools, memory systems, and handoffs. Privacy compliance requires lifecycle data-flow mapping, not only model-level controls.</w:t>
      </w:r>
    </w:p>
    <w:p>
      <w:pPr>
        <w:pStyle w:val="Heading3"/>
      </w:pPr>
      <w:r>
        <w:t>Required Object</w:t>
      </w:r>
    </w:p>
    <w:p>
      <w:pPr>
        <w:spacing w:after="56"/>
      </w:pPr>
      <w:r>
        <w:t>A lifecycle data-flow map showing what personal data enters, flows through, and exits each agent, tool, memory, and handoff, including legal basis, purpose limitation, retention period, and data subject rights.</w:t>
      </w:r>
    </w:p>
    <w:p>
      <w:pPr>
        <w:pStyle w:val="Heading3"/>
      </w:pPr>
      <w:r>
        <w:t>Judgment</w:t>
      </w:r>
    </w:p>
    <w:p>
      <w:pPr>
        <w:spacing w:after="56"/>
      </w:pPr>
      <w:r>
        <w:t>Privacy compliance in MAS requires lifecycle data-flow mapping, not only model-level controls.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 / GDPR lifecycle mapping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data-flow map, legal-basis reference, purpose-limitation record, retention policy, data subject rights workflow, privacy impact assessment reference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Personal data may move through agents, tools, memory, and handoffs without lifecycle-level evidence of purpose, retention, rights handling, or privacy treatment.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what personal data entered, flowed through, and exited each agent, tool, and memory system, and verify that legal basis, purpose limitation, and retention policies were enforced?</w:t>
            </w:r>
          </w:p>
        </w:tc>
      </w:tr>
    </w:tbl>
    <w:p>
      <w:pPr>
        <w:spacing w:after="56"/>
      </w:pPr>
      <w:r>
        <w:t>Table T-06-11: MRO-10 Object Card — Privacy / GDPR Lifecycle Mapping</w:t>
      </w:r>
    </w:p>
    <w:p>
      <w:pPr>
        <w:pStyle w:val="Heading3"/>
      </w:pPr>
      <w:r>
        <w:t>Detailed Discussion</w:t>
      </w:r>
    </w:p>
    <w:p>
      <w:pPr>
        <w:spacing w:after="56"/>
      </w:pPr>
      <w:r>
        <w:t>Privacy compliance in agentic systems is not limited to model training data. Agents retrieve customer records, process personal data in tool calls, store conversation history in memory systems, share data across agent handoffs, and delete data in response to data subject requests. Each of these operations is a privacy event.</w:t>
      </w:r>
    </w:p>
    <w:p>
      <w:pPr>
        <w:spacing w:after="56"/>
      </w:pPr>
      <w:r>
        <w:t>The governance challenge is that privacy controls are often applied at the model or database layer but not at the agent lifecycle layer. An agent may retrieve personal data from a compliant database, process it through multiple tools, store it in a memory system, and share it with another agent without any lifecycle-level privacy tracking. The organization cannot prove what personal data was accessed, for what purpose, under what legal basis, or how long it was retained.</w:t>
      </w:r>
    </w:p>
    <w:p>
      <w:pPr>
        <w:spacing w:after="56"/>
      </w:pPr>
      <w:r>
        <w:t>GDPR requires data controllers to document processing activities, enforce purpose limitation, implement retention policies, and honor data subject rights. In a multi-agent system, this requires a lifecycle data-flow map that shows what personal data enters each agent, how it flows through tools and memory, where it is stored, when it is deleted, and how data subject rights are implemented.</w:t>
      </w:r>
    </w:p>
    <w:p>
      <w:pPr>
        <w:spacing w:after="56"/>
      </w:pPr>
      <w:r>
        <w:t>The difficulty is that agentic systems are dynamic. Data flows change based on runtime decisions, tool availability, and agent handoffs. A static data-flow diagram is insufficient. The map must be reconstructable from lifecycle evidence, showing actual data flows rather than only intended flows.</w:t>
      </w:r>
    </w:p>
    <w:p>
      <w:pPr>
        <w:pStyle w:val="Heading3"/>
      </w:pPr>
      <w:r>
        <w:t>Enterprise Implication</w:t>
      </w:r>
    </w:p>
    <w:p>
      <w:pPr>
        <w:spacing w:after="56"/>
      </w:pPr>
      <w:r>
        <w:t>Without lifecycle data-flow mapping, organizations cannot prove GDPR compliance for agentic systems. A data subject access request may require reconstructing what personal data was processed by which agents, for what purpose, under what legal basis, and where it is now stored. If the organization cannot answer these questions, it faces regulatory penalties and reputational damage.</w:t>
      </w:r>
    </w:p>
    <w:p>
      <w:pPr>
        <w:spacing w:after="56"/>
      </w:pPr>
      <w:r>
        <w:t>Adjacent privacy dashboards and data governance systems may support this object, but lifecycle conformance requires explicit object semantics that track personal data through the full agent lifecycle, not only model training or database layers.</w:t>
      </w:r>
    </w:p>
    <w:p>
      <w:pPr>
        <w:pStyle w:val="Heading3"/>
      </w:pPr>
      <w:r>
        <w:t>Design Implication</w:t>
      </w:r>
    </w:p>
    <w:p>
      <w:pPr>
        <w:spacing w:after="56"/>
      </w:pPr>
      <w:r>
        <w:t>The data-flow map should be reconstructable from lifecycle evidence. Each agent, tool, memory system, and handoff should record what personal data was accessed, for what purpose, under what legal basis, how long it was retained, and how data subject rights were implemented. The map should support data subject access requests, rectification, erasure, and portability.</w:t>
      </w:r>
    </w:p>
    <w:p>
      <w:pPr>
        <w:spacing w:after="56"/>
      </w:pPr>
      <w:r>
        <w:t>The implementation test is to simulate a data subject access request and ask: can the system reconstruct what personal data was processed by which agents, for what purpose, under what legal basis, and where it is now stored? If the answer requires manual investigation, the lifecycle data-flow map is not audit-grade.</w:t>
      </w:r>
    </w:p>
    <w:p>
      <w:pPr>
        <w:pStyle w:val="Heading3"/>
      </w:pPr>
      <w:r>
        <w:t>Audit Question</w:t>
      </w:r>
    </w:p>
    <w:p>
      <w:pPr>
        <w:spacing w:after="56"/>
      </w:pPr>
      <w:r>
        <w:t>For any completed workflow involving personal data, can the system reconstruct what personal data entered, flowed through, and exited each agent, tool, and memory system, and verify that legal basis, purpose limitation, and retention policies were enforced?</w:t>
      </w:r>
    </w:p>
    <w:p>
      <w:pPr>
        <w:pStyle w:val="Heading2"/>
      </w:pPr>
      <w:r>
        <w:t>6.12 MRO-11 — Privacy-Preserving Third-Party Validation</w:t>
      </w:r>
    </w:p>
    <w:p>
      <w:pPr>
        <w:pStyle w:val="Heading3"/>
      </w:pPr>
      <w:r>
        <w:t>Problem</w:t>
      </w:r>
    </w:p>
    <w:p>
      <w:pPr>
        <w:spacing w:after="56"/>
      </w:pPr>
      <w:r>
        <w:t>Enterprise buyers want independent validation, but full evidence disclosure violates privacy and trade secrets. Third-party validators need to verify compliance without accessing raw sensitive data, model weights, or proprietary workflows.</w:t>
      </w:r>
    </w:p>
    <w:p>
      <w:pPr>
        <w:pStyle w:val="Heading3"/>
      </w:pPr>
      <w:r>
        <w:t>Required Object</w:t>
      </w:r>
    </w:p>
    <w:p>
      <w:pPr>
        <w:spacing w:after="56"/>
      </w:pPr>
      <w:r>
        <w:t>A privacy-preserving validation protocol allowing selective disclosure and zero-knowledge proofs, enabling validators to verify compliance properties without accessing raw evidence.</w:t>
      </w:r>
    </w:p>
    <w:p>
      <w:pPr>
        <w:pStyle w:val="Heading3"/>
      </w:pPr>
      <w:r>
        <w:t>Judgment</w:t>
      </w:r>
    </w:p>
    <w:p>
      <w:pPr>
        <w:spacing w:after="56"/>
      </w:pPr>
      <w:r>
        <w:t>Third-party validation must not require full evidence disclosure.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privacy-preserving third-party validation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validation scope definition, selective disclosure policy, redaction profile, proof or hash manifest, evidence-owner authorization, validator access boundary</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External validation may require raw sensitive evidence access, creating privacy, trade-secret, and over-disclosure risk.</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validator verify compliance properties without accessing raw sensitive data, and can the evidence owner prove that only authorized evidence was disclosed?</w:t>
            </w:r>
          </w:p>
        </w:tc>
      </w:tr>
    </w:tbl>
    <w:p>
      <w:pPr>
        <w:spacing w:after="56"/>
      </w:pPr>
      <w:r>
        <w:t>Table T-06-12: MRO-11 Object Card — Privacy-Preserving Third-Party Validation</w:t>
      </w:r>
    </w:p>
    <w:p>
      <w:pPr>
        <w:pStyle w:val="Heading3"/>
      </w:pPr>
      <w:r>
        <w:t>Detailed Discussion</w:t>
      </w:r>
    </w:p>
    <w:p>
      <w:pPr>
        <w:spacing w:after="56"/>
      </w:pPr>
      <w:r>
        <w:t>Third-party validation is a trust mechanism. Enterprise buyers, insurers, and regulators want independent verification that an agentic system meets compliance requirements. But full evidence disclosure creates privacy and trade secret risks. A validator who accesses raw customer data, model weights, or proprietary workflows becomes a privacy risk and a competitive threat.</w:t>
      </w:r>
    </w:p>
    <w:p>
      <w:pPr>
        <w:spacing w:after="56"/>
      </w:pPr>
      <w:r>
        <w:t>The governance challenge is that traditional audit models assume full evidence access. A financial auditor expects to see transaction records. A security auditor expects to see system logs. But in agentic systems, full evidence access may violate GDPR, expose trade secrets, or create insider threat risks.</w:t>
      </w:r>
    </w:p>
    <w:p>
      <w:pPr>
        <w:spacing w:after="56"/>
      </w:pPr>
      <w:r>
        <w:t>Privacy-preserving validation requires a different model. The evidence owner must be able to prove compliance properties without disclosing raw evidence. This can be achieved through selective disclosure, where only governance metadata is shared, or through zero-knowledge proofs, where the validator can verify a property without seeing the underlying data.</w:t>
      </w:r>
    </w:p>
    <w:p>
      <w:pPr>
        <w:spacing w:after="56"/>
      </w:pPr>
      <w:r>
        <w:t>The difficulty is that privacy-preserving validation is technically complex. Zero-knowledge proofs require cryptographic expertise. Selective disclosure requires careful evidence partitioning. Validators may resist these approaches because they reduce audit confidence. The market needs validation protocols that balance privacy preservation with audit rigor.</w:t>
      </w:r>
    </w:p>
    <w:p>
      <w:pPr>
        <w:pStyle w:val="Heading3"/>
      </w:pPr>
      <w:r>
        <w:t>Enterprise Implication</w:t>
      </w:r>
    </w:p>
    <w:p>
      <w:pPr>
        <w:spacing w:after="56"/>
      </w:pPr>
      <w:r>
        <w:t>Without privacy-preserving validation, enterprises face a dilemma: accept unvalidated systems or disclose sensitive data to validators. This slows adoption, increases risk, and creates vendor lock-in because switching vendors requires re-disclosing evidence.</w:t>
      </w:r>
    </w:p>
    <w:p>
      <w:pPr>
        <w:spacing w:after="56"/>
      </w:pPr>
      <w:r>
        <w:t>Adjacent validation programs may support this object, but lifecycle conformance requires explicit object semantics for selective disclosure and independent verification without unnecessary raw data access.</w:t>
      </w:r>
    </w:p>
    <w:p>
      <w:pPr>
        <w:pStyle w:val="Heading3"/>
      </w:pPr>
      <w:r>
        <w:t>Design Implication</w:t>
      </w:r>
    </w:p>
    <w:p>
      <w:pPr>
        <w:spacing w:after="56"/>
      </w:pPr>
      <w:r>
        <w:t>The validation protocol should support selective disclosure and zero-knowledge proofs. Evidence should be partitioned so that governance metadata can be shared without exposing raw payloads. Validators should be able to verify compliance properties such as authority boundaries, evidence completeness, and privacy controls without accessing customer data or model weights.</w:t>
      </w:r>
    </w:p>
    <w:p>
      <w:pPr>
        <w:spacing w:after="56"/>
      </w:pPr>
      <w:r>
        <w:t>The implementation test is to simulate a third-party validation and ask: can the validator verify compliance properties without accessing raw sensitive data, and can the evidence owner prove that only authorized evidence was disclosed? If the answer is that full evidence access is required, the validation protocol is not privacy-preserving.</w:t>
      </w:r>
    </w:p>
    <w:p>
      <w:pPr>
        <w:pStyle w:val="Heading3"/>
      </w:pPr>
      <w:r>
        <w:t>Audit Question</w:t>
      </w:r>
    </w:p>
    <w:p>
      <w:pPr>
        <w:spacing w:after="56"/>
      </w:pPr>
      <w:r>
        <w:t>Can an independent validator verify compliance properties without accessing raw sensitive data, and can the evidence owner prove that only authorized evidence was disclosed?</w:t>
      </w:r>
    </w:p>
    <w:p>
      <w:pPr>
        <w:pStyle w:val="Heading2"/>
      </w:pPr>
      <w:r>
        <w:t>6.13 MRO-12 — Evidence Minimization and Selective Disclosure</w:t>
      </w:r>
    </w:p>
    <w:p>
      <w:pPr>
        <w:pStyle w:val="Heading3"/>
      </w:pPr>
      <w:r>
        <w:t>Problem</w:t>
      </w:r>
    </w:p>
    <w:p>
      <w:pPr>
        <w:spacing w:after="56"/>
      </w:pPr>
      <w:r>
        <w:t>Lifecycle governance requires evidence retention, but GDPR requires data minimization. Retaining full execution logs, conversation history, and tool payloads creates privacy risk. Deleting evidence creates accountability gaps.</w:t>
      </w:r>
    </w:p>
    <w:p>
      <w:pPr>
        <w:pStyle w:val="Heading3"/>
      </w:pPr>
      <w:r>
        <w:t>Required Object</w:t>
      </w:r>
    </w:p>
    <w:p>
      <w:pPr>
        <w:spacing w:after="56"/>
      </w:pPr>
      <w:r>
        <w:t>An evidence minimization and selective disclosure policy defining retention periods, redaction rules, and disclosure boundaries for different evidence classes.</w:t>
      </w:r>
    </w:p>
    <w:p>
      <w:pPr>
        <w:pStyle w:val="Heading3"/>
      </w:pPr>
      <w:r>
        <w:t>Judgment</w:t>
      </w:r>
    </w:p>
    <w:p>
      <w:pPr>
        <w:spacing w:after="56"/>
      </w:pPr>
      <w:r>
        <w:t>Evidence retention must balance auditability with privacy minimization.</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evidence minimization and selective disclosure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redaction rules, disclosure boundaries, deletion schedule, audit trail, evidence class handling</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Evidence retention may become a privacy risk, while evidence deletion may create accountability gaps.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minimized to what is necessary for accountability, and that disclosure was limited to authorized parties and purposes?</w:t>
            </w:r>
          </w:p>
        </w:tc>
      </w:tr>
    </w:tbl>
    <w:p>
      <w:pPr>
        <w:spacing w:after="56"/>
      </w:pPr>
      <w:r>
        <w:t>Table T-06-13: MRO-12 Object Card — Evidence Minimization and Selective Disclosure</w:t>
      </w:r>
    </w:p>
    <w:p>
      <w:pPr>
        <w:pStyle w:val="Heading3"/>
      </w:pPr>
      <w:r>
        <w:t>Detailed Discussion</w:t>
      </w:r>
    </w:p>
    <w:p>
      <w:pPr>
        <w:spacing w:after="56"/>
      </w:pPr>
      <w:r>
        <w:t>Evidence retention is a governance requirement. Auditors, regulators, and dispute resolution processes need evidence to reconstruct what happened. But GDPR requires data minimization: personal data should be retained only as long as necessary for the specified purpose. These requirements are in tension.</w:t>
      </w:r>
    </w:p>
    <w:p>
      <w:pPr>
        <w:spacing w:after="56"/>
      </w:pPr>
      <w:r>
        <w:t>The governance challenge is that agentic systems generate large volumes of evidence: execution logs, conversation history, tool payloads, model outputs, memory snapshots, and handoff records. Retaining all of this evidence creates privacy risk. Deleting it creates accountability gaps. The organization must balance auditability with privacy minimization.</w:t>
      </w:r>
    </w:p>
    <w:p>
      <w:pPr>
        <w:spacing w:after="56"/>
      </w:pPr>
      <w:r>
        <w:t>Evidence minimization requires a retention policy that distinguishes different evidence classes. Governance metadata such as authority boundaries, acceptance decisions, and responsibility transfers may need long retention periods. Raw payloads such as customer messages, tool responses, and memory snapshots may need short retention periods or immediate redaction. The policy must define what is retained, for how long, in what form, and for what purpose.</w:t>
      </w:r>
    </w:p>
    <w:p>
      <w:pPr>
        <w:spacing w:after="56"/>
      </w:pPr>
      <w:r>
        <w:t>Selective disclosure requires disclosure boundaries. Different auditors may need different evidence partitions. A privacy regulator may need data-flow evidence but not model weights. A financial auditor may need transaction evidence but not conversation history. A customer dispute may require specific evidence without exposing unrelated data. The system must support selective disclosure without requiring full evidence access.</w:t>
      </w:r>
    </w:p>
    <w:p>
      <w:pPr>
        <w:pStyle w:val="Heading3"/>
      </w:pPr>
      <w:r>
        <w:t>Enterprise Implication</w:t>
      </w:r>
    </w:p>
    <w:p>
      <w:pPr>
        <w:spacing w:after="56"/>
      </w:pPr>
      <w:r>
        <w:t>Without evidence minimization, organizations face privacy violations and regulatory penalties. Retaining full execution logs indefinitely violates GDPR data minimization principles. Without selective disclosure, organizations face dilemmas: deny audit requests or expose unnecessary sensitive data.</w:t>
      </w:r>
    </w:p>
    <w:p>
      <w:pPr>
        <w:spacing w:after="56"/>
      </w:pPr>
      <w:r>
        <w:t>Adjacent observability and evidence management systems may support this object, but lifecycle conformance requires explicit object semantics that balance auditability with privacy minimization and selective disclosure.</w:t>
      </w:r>
    </w:p>
    <w:p>
      <w:pPr>
        <w:pStyle w:val="Heading3"/>
      </w:pPr>
      <w:r>
        <w:t>Design Implication</w:t>
      </w:r>
    </w:p>
    <w:p>
      <w:pPr>
        <w:spacing w:after="56"/>
      </w:pPr>
      <w:r>
        <w:t>The evidence policy should define retention periods, redaction rules, and disclosure boundaries for different evidence classes. Governance metadata should be retained longer than raw payloads. Personal data should be redacted or pseudonymized unless required for accountability. Disclosure should be partitioned by audit purpose.</w:t>
      </w:r>
    </w:p>
    <w:p>
      <w:pPr>
        <w:spacing w:after="56"/>
      </w:pPr>
      <w:r>
        <w:t>The implementation test is to simulate a data subject erasure request and ask: can the system delete personal data while preserving accountability evidence, and can it prove that only necessary evidence was retained? If the answer is that all evidence must be retained or all evidence must be deleted, the policy does not balance auditability with privacy minimization.</w:t>
      </w:r>
    </w:p>
    <w:p>
      <w:pPr>
        <w:pStyle w:val="Heading3"/>
      </w:pPr>
      <w:r>
        <w:t>Audit Question</w:t>
      </w:r>
    </w:p>
    <w:p>
      <w:pPr>
        <w:spacing w:after="56"/>
      </w:pPr>
      <w:r>
        <w:t>For any evidence retention decision, can the system prove that evidence was minimized to what is necessary for accountability, and that disclosure was limited to authorized parties and purposes?</w:t>
      </w:r>
    </w:p>
    <w:p>
      <w:pPr>
        <w:pStyle w:val="Heading2"/>
      </w:pPr>
      <w:r>
        <w:t>6.14 MRO-13 — Data Subject Rights vs Evidence Retention</w:t>
      </w:r>
    </w:p>
    <w:p>
      <w:pPr>
        <w:pStyle w:val="Heading3"/>
      </w:pPr>
      <w:r>
        <w:t>Problem</w:t>
      </w:r>
    </w:p>
    <w:p>
      <w:pPr>
        <w:spacing w:after="56"/>
      </w:pPr>
      <w:r>
        <w:t>GDPR grants data subjects the right to erasure, but lifecycle governance requires evidence retention for audit, dispute resolution, and regulatory defense. These requirements are in structural tension in agentic systems where evidence chains must be preserved to prove accountability.</w:t>
      </w:r>
    </w:p>
    <w:p>
      <w:pPr>
        <w:pStyle w:val="Heading3"/>
      </w:pPr>
      <w:r>
        <w:t>Required Object</w:t>
      </w:r>
    </w:p>
    <w:p>
      <w:pPr>
        <w:spacing w:after="56"/>
      </w:pPr>
      <w:r>
        <w:t>A data subject rights vs evidence retention policy defining retention periods, anonymization rules, legal basis for retention, and reconciliation procedures when erasure requests conflict with evidence obligations.</w:t>
      </w:r>
    </w:p>
    <w:p>
      <w:pPr>
        <w:pStyle w:val="Heading3"/>
      </w:pPr>
      <w:r>
        <w:t>Judgment</w:t>
      </w:r>
    </w:p>
    <w:p>
      <w:pPr>
        <w:spacing w:after="56"/>
      </w:pPr>
      <w:r>
        <w:t>Data subject rights and evidence retention are in structural tension in agentic systems.</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data subject rights versus evidence retention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retention policy, legal-basis documentation, anonymization procedures, erasure request log, retention override justification, escalation path</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The organization may either lose accountability evidence or over-retain personal data without a documented reconciliation process.</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evidence retention was limited to what is legally necessary for accountability, and that data subject rights were honored except where legal retention obligations apply?</w:t>
            </w:r>
          </w:p>
        </w:tc>
      </w:tr>
    </w:tbl>
    <w:p>
      <w:pPr>
        <w:spacing w:after="56"/>
      </w:pPr>
      <w:r>
        <w:t>Table T-06-14: MRO-13 Object Card — Data Subject Rights vs Evidence Retention</w:t>
      </w:r>
    </w:p>
    <w:p>
      <w:pPr>
        <w:pStyle w:val="Heading3"/>
      </w:pPr>
      <w:r>
        <w:t>Detailed Discussion</w:t>
      </w:r>
    </w:p>
    <w:p>
      <w:pPr>
        <w:spacing w:after="56"/>
      </w:pPr>
      <w:r>
        <w:t>The tension between data subject rights and evidence retention is fundamental. GDPR Article 17 grants individuals the right to erasure when personal data is no longer necessary for the original purpose. But lifecycle governance requires retaining evidence to prove that agentic work was authorized, executed under proper authority, reviewed, and accepted. If a customer later disputes an outcome, the organization needs evidence to reconstruct what happened.</w:t>
      </w:r>
    </w:p>
    <w:p>
      <w:pPr>
        <w:spacing w:after="56"/>
      </w:pPr>
      <w:r>
        <w:t>This tension becomes acute in agentic systems because evidence chains are distributed across agents, tools, memory systems, and handoffs. A data subject erasure request may require deleting conversation history, tool payloads, and memory snapshots while preserving governance metadata such as authority boundaries, acceptance decisions, and responsibility transfers. The challenge is determining what can be deleted without breaking the accountability chain.</w:t>
      </w:r>
    </w:p>
    <w:p>
      <w:pPr>
        <w:spacing w:after="56"/>
      </w:pPr>
      <w:r>
        <w:t>The policy must define retention periods for different evidence classes. Raw payloads containing personal data may have short retention periods. Governance metadata may have longer retention periods based on legal, regulatory, or contractual obligations. When a data subject requests erasure, the system must determine whether the request can be honored immediately, whether evidence can be anonymized instead of deleted, or whether retention is legally required.</w:t>
      </w:r>
    </w:p>
    <w:p>
      <w:pPr>
        <w:spacing w:after="56"/>
      </w:pPr>
      <w:r>
        <w:t>The difficulty is that legal retention obligations vary by jurisdiction, industry, and context. Financial services may require seven-year retention. Healthcare may require longer. Employment records may have different rules. The policy must map these obligations to evidence classes and provide clear procedures for handling erasure requests that conflict with retention requirements.</w:t>
      </w:r>
    </w:p>
    <w:p>
      <w:pPr>
        <w:pStyle w:val="Heading3"/>
      </w:pPr>
      <w:r>
        <w:t>Enterprise Implication</w:t>
      </w:r>
    </w:p>
    <w:p>
      <w:pPr>
        <w:spacing w:after="56"/>
      </w:pPr>
      <w:r>
        <w:t>Without a clear policy, organizations face impossible choices: honor erasure requests and lose accountability evidence, or deny erasure requests and violate GDPR. Both paths create legal risk. The organization needs a documented policy that defines when evidence retention overrides erasure rights, what legal basis applies, and how to minimize retained personal data.</w:t>
      </w:r>
    </w:p>
    <w:p>
      <w:pPr>
        <w:spacing w:after="56"/>
      </w:pPr>
      <w:r>
        <w:t>Adjacent evidence retention controls may support this object, but lifecycle conformance requires explicit object semantics that distinguish governance metadata from raw payloads and reconcile data subject requests with accountability needs.</w:t>
      </w:r>
    </w:p>
    <w:p>
      <w:pPr>
        <w:pStyle w:val="Heading3"/>
      </w:pPr>
      <w:r>
        <w:t>Design Implication</w:t>
      </w:r>
    </w:p>
    <w:p>
      <w:pPr>
        <w:spacing w:after="56"/>
      </w:pPr>
      <w:r>
        <w:t>The policy should define retention periods by evidence class, legal basis for retention, anonymization procedures, and escalation paths for erasure requests that conflict with retention obligations. The system should support selective erasure: deleting raw payloads while preserving anonymized governance metadata.</w:t>
      </w:r>
    </w:p>
    <w:p>
      <w:pPr>
        <w:spacing w:after="56"/>
      </w:pPr>
      <w:r>
        <w:t>The implementation test is to simulate a data subject erasure request and ask: can the system delete personal data while preserving accountability evidence, can it document the legal basis for any retained evidence, and can it prove that retention was minimized to what is legally necessary? If the answer is that all evidence must be retained or all evidence must be deleted, the policy does not resolve the tension.</w:t>
      </w:r>
    </w:p>
    <w:p>
      <w:pPr>
        <w:pStyle w:val="Heading3"/>
      </w:pPr>
      <w:r>
        <w:t>Audit Question</w:t>
      </w:r>
    </w:p>
    <w:p>
      <w:pPr>
        <w:spacing w:after="56"/>
      </w:pPr>
      <w:r>
        <w:t>For any data subject erasure request, can the system prove that personal data was deleted except where legal retention obligations apply, and that retained evidence was minimized and anonymized where possible?</w:t>
      </w:r>
    </w:p>
    <w:p>
      <w:pPr>
        <w:pStyle w:val="Heading2"/>
      </w:pPr>
      <w:r>
        <w:t>6.15 MRO-14 — Third-Party Processor / Subprocessor Chain</w:t>
      </w:r>
    </w:p>
    <w:p>
      <w:pPr>
        <w:pStyle w:val="Heading3"/>
      </w:pPr>
      <w:r>
        <w:t>Problem</w:t>
      </w:r>
    </w:p>
    <w:p>
      <w:pPr>
        <w:spacing w:after="56"/>
      </w:pPr>
      <w:r>
        <w:t>GDPR requires data controllers to maintain processor agreements and notify data subjects of subprocessors. In multi-agent systems, the processor chain is dynamic: agents call tools, tools call APIs, APIs invoke third-party services, and the chain changes based on runtime decisions. Static processor lists cannot capture this dynamic reality.</w:t>
      </w:r>
    </w:p>
    <w:p>
      <w:pPr>
        <w:pStyle w:val="Heading3"/>
      </w:pPr>
      <w:r>
        <w:t>Required Object</w:t>
      </w:r>
    </w:p>
    <w:p>
      <w:pPr>
        <w:spacing w:after="56"/>
      </w:pPr>
      <w:r>
        <w:t>A dynamic processor chain record tracking which processors and subprocessors handled which personal data at which lifecycle phase, including processor identity, data categories, processing purpose, legal basis, and data flow timestamps.</w:t>
      </w:r>
    </w:p>
    <w:p>
      <w:pPr>
        <w:pStyle w:val="Heading3"/>
      </w:pPr>
      <w:r>
        <w:t>Judgment</w:t>
      </w:r>
    </w:p>
    <w:p>
      <w:pPr>
        <w:spacing w:after="56"/>
      </w:pPr>
      <w:r>
        <w:t>In MAS, the processor chain is dynamic and must be tracked at lifecycle granularity.</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third-party processor / subprocessor chain handling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processor identity, subprocessor identity, data categories, processing purpose, legal-basis reference, processor agreement reference, data-flow timestamps</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Static vendor or processor lists may fail to show which third parties processed which personal data during actual agentic execution.</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reconstruct which processors and subprocessors handled which personal data at which lifecycle phase, and verify that processor agreements and legal basis were in place?</w:t>
            </w:r>
          </w:p>
        </w:tc>
      </w:tr>
    </w:tbl>
    <w:p>
      <w:pPr>
        <w:spacing w:after="56"/>
      </w:pPr>
      <w:r>
        <w:t>Table T-06-15: MRO-14 Object Card — Third-Party Processor / Subprocessor Chain</w:t>
      </w:r>
    </w:p>
    <w:p>
      <w:pPr>
        <w:pStyle w:val="Heading3"/>
      </w:pPr>
      <w:r>
        <w:t>Detailed Discussion</w:t>
      </w:r>
    </w:p>
    <w:p>
      <w:pPr>
        <w:spacing w:after="56"/>
      </w:pPr>
      <w:r>
        <w:t>GDPR Article 28 requires data controllers to use only processors that provide sufficient guarantees of compliance, to maintain written processor agreements, and to notify data subjects of subprocessors. This works well for static systems where the processor list is known in advance. But in multi-agent systems, the processor chain is dynamic and context-dependent.</w:t>
      </w:r>
    </w:p>
    <w:p>
      <w:pPr>
        <w:spacing w:after="56"/>
      </w:pPr>
      <w:r>
        <w:t>An agent may retrieve customer data from an internal database, send it to a third-party API for enrichment, store the result in a cloud memory service, and pass it to another agent that uses a different model provider. Each of these steps may involve a different processor or subprocessor. The chain changes based on which tools are available, which models are selected, and which agents are invoked.</w:t>
      </w:r>
    </w:p>
    <w:p>
      <w:pPr>
        <w:spacing w:after="56"/>
      </w:pPr>
      <w:r>
        <w:t>The governance challenge is that static processor lists become outdated immediately. A data subject access request may ask: which third parties processed my data? The organization cannot answer without reconstructing the actual processor chain from lifecycle evidence. The record must show which processors handled which data categories at which lifecycle phase, under which legal basis, and pursuant to which processor agreement.</w:t>
      </w:r>
    </w:p>
    <w:p>
      <w:pPr>
        <w:spacing w:after="56"/>
      </w:pPr>
      <w:r>
        <w:t>The difficulty is that processor chains can be long and nested. A tool may call an API that invokes a subprocessor that uses another subprocessor. The organization may not have direct visibility into nested subprocessor relationships unless the primary processor discloses them. The record must capture what is known and flag what is unknown or unverified.</w:t>
      </w:r>
    </w:p>
    <w:p>
      <w:pPr>
        <w:pStyle w:val="Heading3"/>
      </w:pPr>
      <w:r>
        <w:t>Enterprise Implication</w:t>
      </w:r>
    </w:p>
    <w:p>
      <w:pPr>
        <w:spacing w:after="56"/>
      </w:pPr>
      <w:r>
        <w:t>Without dynamic processor chain tracking, organizations cannot answer data subject access requests, cannot verify processor compliance, and cannot detect unauthorized subprocessor usage. This creates GDPR violation risk and weakens vendor management.</w:t>
      </w:r>
    </w:p>
    <w:p>
      <w:pPr>
        <w:spacing w:after="56"/>
      </w:pPr>
      <w:r>
        <w:t>Adjacent vendor management systems may support this object, but lifecycle conformance requires explicit object semantics that track processor and subprocessor usage at lifecycle granularity, not only at configuration time.</w:t>
      </w:r>
    </w:p>
    <w:p>
      <w:pPr>
        <w:pStyle w:val="Heading3"/>
      </w:pPr>
      <w:r>
        <w:t>Design Implication</w:t>
      </w:r>
    </w:p>
    <w:p>
      <w:pPr>
        <w:spacing w:after="56"/>
      </w:pPr>
      <w:r>
        <w:t>The processor chain record should capture processor identity, subprocessor identity, data categories, processing purpose, legal basis, processor agreement reference, and data flow timestamps for each lifecycle phase. The record should be reconstructable from tool call evidence and should support data subject access requests.</w:t>
      </w:r>
    </w:p>
    <w:p>
      <w:pPr>
        <w:spacing w:after="56"/>
      </w:pPr>
      <w:r>
        <w:t>The implementation test is to select a completed workflow involving personal data and ask: which processors and subprocessors handled which data categories, under which legal basis, and pursuant to which processor agreements? If the answer requires manual investigation or vendor inquiry, the processor chain record is not audit-grade.</w:t>
      </w:r>
    </w:p>
    <w:p>
      <w:pPr>
        <w:pStyle w:val="Heading3"/>
      </w:pPr>
      <w:r>
        <w:t>Audit Question</w:t>
      </w:r>
    </w:p>
    <w:p>
      <w:pPr>
        <w:spacing w:after="56"/>
      </w:pPr>
      <w:r>
        <w:t>For any completed workflow involving personal data, can the system reconstruct which processors and subprocessors handled which data categories at which lifecycle phase, and verify that processor agreements and legal basis were in place?</w:t>
      </w:r>
    </w:p>
    <w:p>
      <w:pPr>
        <w:pStyle w:val="Heading2"/>
      </w:pPr>
      <w:r>
        <w:t>6.16 MRO-15 — Vendor / Model / Runtime Substitution Conformance</w:t>
      </w:r>
    </w:p>
    <w:p>
      <w:pPr>
        <w:pStyle w:val="Heading3"/>
      </w:pPr>
      <w:r>
        <w:t>Problem</w:t>
      </w:r>
    </w:p>
    <w:p>
      <w:pPr>
        <w:spacing w:after="56"/>
      </w:pPr>
      <w:r>
        <w:t>Enterprises want vendor optionality and the ability to substitute models, agent runtimes, or tool vendors without revalidation. But substitution without conformance verification breaks lifecycle governance. A workflow validated with one model may behave differently with another model. A tool validated with one vendor may have different authority boundaries with another vendor.</w:t>
      </w:r>
    </w:p>
    <w:p>
      <w:pPr>
        <w:pStyle w:val="Heading3"/>
      </w:pPr>
      <w:r>
        <w:t>Required Object</w:t>
      </w:r>
    </w:p>
    <w:p>
      <w:pPr>
        <w:spacing w:after="56"/>
      </w:pPr>
      <w:r>
        <w:t>A vendor substitution conformance record proving that substitution preserved lifecycle responsibility properties, including authority boundaries, evidence requirements, privacy constraints, and acceptance criteria.</w:t>
      </w:r>
    </w:p>
    <w:p>
      <w:pPr>
        <w:pStyle w:val="Heading3"/>
      </w:pPr>
      <w:r>
        <w:t>Judgment</w:t>
      </w:r>
    </w:p>
    <w:p>
      <w:pPr>
        <w:spacing w:after="56"/>
      </w:pPr>
      <w:r>
        <w:t>Vendor substitution without revalidation breaks lifecycle conformance.</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vendor / model / runtime substitution conformance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original validation record, substitution authorization, delta analysis, conformance check record, privacy boundary review, revalidation decision</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Vendor, model, or runtime substitution may create compliance drift while appearing to be only a configuration change.</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vendor substitution preserved lifecycle responsibility properties, and that conformance was revalidated before deployment?</w:t>
            </w:r>
          </w:p>
        </w:tc>
      </w:tr>
    </w:tbl>
    <w:p>
      <w:pPr>
        <w:spacing w:after="56"/>
      </w:pPr>
      <w:r>
        <w:t>Table T-06-16: MRO-15 Object Card — Vendor / Model / Runtime Substitution Conformance</w:t>
      </w:r>
    </w:p>
    <w:p>
      <w:pPr>
        <w:pStyle w:val="Heading3"/>
      </w:pPr>
      <w:r>
        <w:t>Detailed Discussion</w:t>
      </w:r>
    </w:p>
    <w:p>
      <w:pPr>
        <w:spacing w:after="56"/>
      </w:pPr>
      <w:r>
        <w:t>Vendor neutrality is a strategic goal for many enterprises. Organizations want to avoid vendor lock-in, negotiate better pricing, and maintain optionality. But vendor neutrality is not real unless compliance survives substitution. Swapping one model for another, one agent runtime for another, or one tool vendor for another can change behavior in ways that break lifecycle conformance.</w:t>
      </w:r>
    </w:p>
    <w:p>
      <w:pPr>
        <w:spacing w:after="56"/>
      </w:pPr>
      <w:r>
        <w:t>A model substitution may change output quality, reasoning patterns, or tool-calling behavior. A runtime substitution may change how authority boundaries are enforced, how evidence is collected, or how privacy constraints are applied. A tool vendor substitution may change API semantics, error handling, or reversibility properties. These changes can be subtle but consequential.</w:t>
      </w:r>
    </w:p>
    <w:p>
      <w:pPr>
        <w:spacing w:after="56"/>
      </w:pPr>
      <w:r>
        <w:t>The governance challenge is that substitution is often treated as a configuration change rather than a compliance event. A developer may swap model providers, update an API endpoint, or switch agent frameworks without triggering any revalidation. The organization discovers the problem only when a dispute arises and the substituted system cannot prove that it preserved the original lifecycle responsibility properties.</w:t>
      </w:r>
    </w:p>
    <w:p>
      <w:pPr>
        <w:spacing w:after="56"/>
      </w:pPr>
      <w:r>
        <w:t>The conformance record must document what was substituted, why, what changed, what was tested, and whether the substitution preserved authority boundaries, evidence requirements, privacy constraints, and acceptance criteria. If the substitution introduces material changes, the workflow must be revalidated rather than merely reconfigured.</w:t>
      </w:r>
    </w:p>
    <w:p>
      <w:pPr>
        <w:pStyle w:val="Heading3"/>
      </w:pPr>
      <w:r>
        <w:t>Enterprise Implication</w:t>
      </w:r>
    </w:p>
    <w:p>
      <w:pPr>
        <w:spacing w:after="56"/>
      </w:pPr>
      <w:r>
        <w:t>Without substitution conformance, vendor optionality becomes compliance drift. The organization may believe it has validated workflows when in fact it has validated only the original vendor configuration. Substitution without revalidation creates hidden governance debt that surfaces during audits or disputes.</w:t>
      </w:r>
    </w:p>
    <w:p>
      <w:pPr>
        <w:spacing w:after="56"/>
      </w:pPr>
      <w:r>
        <w:t>Adjacent vendor-neutral architectures may support this object, but lifecycle conformance requires explicit object semantics proving that substitution preserved responsibility properties rather than merely preserving technical capability.</w:t>
      </w:r>
    </w:p>
    <w:p>
      <w:pPr>
        <w:pStyle w:val="Heading3"/>
      </w:pPr>
      <w:r>
        <w:t>Design Implication</w:t>
      </w:r>
    </w:p>
    <w:p>
      <w:pPr>
        <w:spacing w:after="56"/>
      </w:pPr>
      <w:r>
        <w:t>The substitution record should bind original workflow ID, original validation record, substitution authorization, conformance test results, delta analysis, and revalidation decision. Substitution should trigger a conformance checkpoint rather than being treated as a transparent configuration change.</w:t>
      </w:r>
    </w:p>
    <w:p>
      <w:pPr>
        <w:spacing w:after="56"/>
      </w:pPr>
      <w:r>
        <w:t>The implementation test is to simulate a vendor substitution and ask: was conformance revalidated, were lifecycle responsibility properties preserved, and can the system prove that the substituted configuration meets the same governance requirements as the original? If the answer is that substitution was automatic, the system has no substitution conformance boundary.</w:t>
      </w:r>
    </w:p>
    <w:p>
      <w:pPr>
        <w:pStyle w:val="Heading3"/>
      </w:pPr>
      <w:r>
        <w:t>Audit Question</w:t>
      </w:r>
    </w:p>
    <w:p>
      <w:pPr>
        <w:spacing w:after="56"/>
      </w:pPr>
      <w:r>
        <w:t>For any vendor substitution, can the system prove that lifecycle responsibility properties were preserved, and that conformance was revalidated before deployment?</w:t>
      </w:r>
    </w:p>
    <w:p>
      <w:pPr>
        <w:pStyle w:val="Heading2"/>
      </w:pPr>
      <w:r>
        <w:t>6.17 MRO-16 — Incident, Dispute, and Remediation Closure</w:t>
      </w:r>
    </w:p>
    <w:p>
      <w:pPr>
        <w:pStyle w:val="Heading3"/>
      </w:pPr>
      <w:r>
        <w:t>Problem</w:t>
      </w:r>
    </w:p>
    <w:p>
      <w:pPr>
        <w:spacing w:after="56"/>
      </w:pPr>
      <w:r>
        <w:t>Most AI governance focuses on prevention: risk assessment, guardrails, human oversight, and monitoring. But lifecycle governance is incomplete without incident detection, dispute resolution, remediation, and closure. When an agentic system produces an incorrect outcome, violates a policy, or causes customer harm, the organization needs a structured process to detect the incident, investigate root cause, remediate the problem, close the dispute, and implement continuous improvement.</w:t>
      </w:r>
    </w:p>
    <w:p>
      <w:pPr>
        <w:pStyle w:val="Heading3"/>
      </w:pPr>
      <w:r>
        <w:t>Required Object</w:t>
      </w:r>
    </w:p>
    <w:p>
      <w:pPr>
        <w:spacing w:after="56"/>
      </w:pPr>
      <w:r>
        <w:t>An incident, dispute, and remediation closure record linking incident detection to root cause analysis, remediation action, dispute resolution, acceptance of closure, and continuous improvement measures.</w:t>
      </w:r>
    </w:p>
    <w:p>
      <w:pPr>
        <w:pStyle w:val="Heading3"/>
      </w:pPr>
      <w:r>
        <w:t>Judgment</w:t>
      </w:r>
    </w:p>
    <w:p>
      <w:pPr>
        <w:spacing w:after="56"/>
      </w:pPr>
      <w:r>
        <w:t>Lifecycle governance is incomplete without incident closure and continuous improvement.</w:t>
      </w:r>
    </w:p>
    <w:p>
      <w:pPr>
        <w:pStyle w:val="Heading3"/>
      </w:pPr>
      <w:r>
        <w:t>Object Card</w:t>
      </w:r>
    </w:p>
    <w:tbl>
      <w:tblPr>
        <w:tblStyle w:val="TableGrid"/>
        <w:tblW w:type="auto" w:w="0"/>
        <w:tblLayout w:type="autofit"/>
        <w:tblLook w:firstColumn="1" w:firstRow="1" w:lastColumn="0" w:lastRow="0" w:noHBand="0" w:noVBand="1" w:val="04A0"/>
      </w:tblPr>
      <w:tblGrid>
        <w:gridCol w:w="5112"/>
        <w:gridCol w:w="5112"/>
      </w:tblGrid>
      <w:tr>
        <w:tc>
          <w:tcPr>
            <w:tcW w:type="dxa" w:w="5112"/>
          </w:tcPr>
          <w:p>
            <w:pPr>
              <w:spacing w:after="0"/>
            </w:pPr>
            <w:r>
              <w:rPr>
                <w:rFonts w:ascii="Arial" w:hAnsi="Arial"/>
                <w:b/>
                <w:sz w:val="14"/>
              </w:rPr>
              <w:t>Field</w:t>
            </w:r>
          </w:p>
        </w:tc>
        <w:tc>
          <w:tcPr>
            <w:tcW w:type="dxa" w:w="5112"/>
          </w:tcPr>
          <w:p>
            <w:pPr>
              <w:spacing w:after="0"/>
            </w:pPr>
            <w:r>
              <w:rPr>
                <w:rFonts w:ascii="Arial" w:hAnsi="Arial"/>
                <w:b/>
                <w:sz w:val="14"/>
              </w:rPr>
              <w:t>Description</w:t>
            </w:r>
          </w:p>
        </w:tc>
      </w:tr>
      <w:tr>
        <w:tc>
          <w:tcPr>
            <w:tcW w:type="dxa" w:w="5112"/>
          </w:tcPr>
          <w:p>
            <w:pPr>
              <w:spacing w:after="0"/>
            </w:pPr>
            <w:r>
              <w:rPr>
                <w:rFonts w:ascii="Arial" w:hAnsi="Arial"/>
                <w:b w:val="0"/>
                <w:sz w:val="14"/>
              </w:rPr>
              <w:t>Object purpose</w:t>
            </w:r>
          </w:p>
        </w:tc>
        <w:tc>
          <w:tcPr>
            <w:tcW w:type="dxa" w:w="5112"/>
          </w:tcPr>
          <w:p>
            <w:pPr>
              <w:spacing w:after="0"/>
            </w:pPr>
            <w:r>
              <w:rPr>
                <w:rFonts w:ascii="Arial" w:hAnsi="Arial"/>
                <w:b w:val="0"/>
                <w:sz w:val="14"/>
              </w:rPr>
              <w:t>To make incident, dispute, and remediation closure explicit, inspectable, and replayable within an agentic lifecycle.</w:t>
            </w:r>
          </w:p>
        </w:tc>
      </w:tr>
      <w:tr>
        <w:tc>
          <w:tcPr>
            <w:tcW w:type="dxa" w:w="5112"/>
          </w:tcPr>
          <w:p>
            <w:pPr>
              <w:spacing w:after="0"/>
            </w:pPr>
            <w:r>
              <w:rPr>
                <w:rFonts w:ascii="Arial" w:hAnsi="Arial"/>
                <w:b w:val="0"/>
                <w:sz w:val="14"/>
              </w:rPr>
              <w:t>Minimum identity fields</w:t>
            </w:r>
          </w:p>
        </w:tc>
        <w:tc>
          <w:tcPr>
            <w:tcW w:type="dxa" w:w="5112"/>
          </w:tcPr>
          <w:p>
            <w:pPr>
              <w:spacing w:after="0"/>
            </w:pPr>
            <w:r>
              <w:rPr>
                <w:rFonts w:ascii="Arial" w:hAnsi="Arial"/>
                <w:b w:val="0"/>
                <w:sz w:val="14"/>
              </w:rPr>
              <w:t>object_id, object_type, lifecycle_id, project_id, object_version, related_human_role_id, related_agent_role_id where applicable, evidence_pointer, status, created_at, updated_at</w:t>
            </w:r>
          </w:p>
        </w:tc>
      </w:tr>
      <w:tr>
        <w:tc>
          <w:tcPr>
            <w:tcW w:type="dxa" w:w="5112"/>
          </w:tcPr>
          <w:p>
            <w:pPr>
              <w:spacing w:after="0"/>
            </w:pPr>
            <w:r>
              <w:rPr>
                <w:rFonts w:ascii="Arial" w:hAnsi="Arial"/>
                <w:b w:val="0"/>
                <w:sz w:val="14"/>
              </w:rPr>
              <w:t>Required controls</w:t>
            </w:r>
          </w:p>
        </w:tc>
        <w:tc>
          <w:tcPr>
            <w:tcW w:type="dxa" w:w="5112"/>
          </w:tcPr>
          <w:p>
            <w:pPr>
              <w:spacing w:after="0"/>
            </w:pPr>
            <w:r>
              <w:rPr>
                <w:rFonts w:ascii="Arial" w:hAnsi="Arial"/>
                <w:b w:val="0"/>
                <w:sz w:val="14"/>
              </w:rPr>
              <w:t>incident detection record, root cause analysis, remediation action, dispute resolution decision, closure acceptance, continuous improvement plan, privacy-limited evidence disclosure</w:t>
            </w:r>
          </w:p>
        </w:tc>
      </w:tr>
      <w:tr>
        <w:tc>
          <w:tcPr>
            <w:tcW w:type="dxa" w:w="5112"/>
          </w:tcPr>
          <w:p>
            <w:pPr>
              <w:spacing w:after="0"/>
            </w:pPr>
            <w:r>
              <w:rPr>
                <w:rFonts w:ascii="Arial" w:hAnsi="Arial"/>
                <w:b w:val="0"/>
                <w:sz w:val="14"/>
              </w:rPr>
              <w:t>Failure if missing</w:t>
            </w:r>
          </w:p>
        </w:tc>
        <w:tc>
          <w:tcPr>
            <w:tcW w:type="dxa" w:w="5112"/>
          </w:tcPr>
          <w:p>
            <w:pPr>
              <w:spacing w:after="0"/>
            </w:pPr>
            <w:r>
              <w:rPr>
                <w:rFonts w:ascii="Arial" w:hAnsi="Arial"/>
                <w:b w:val="0"/>
                <w:sz w:val="14"/>
              </w:rPr>
              <w:t>Incidents may be detected or handled manually without evidence-linked remediation, dispute closure, or continuous improvement.</w:t>
            </w:r>
          </w:p>
        </w:tc>
      </w:tr>
      <w:tr>
        <w:tc>
          <w:tcPr>
            <w:tcW w:type="dxa" w:w="5112"/>
          </w:tcPr>
          <w:p>
            <w:pPr>
              <w:spacing w:after="0"/>
            </w:pPr>
            <w:r>
              <w:rPr>
                <w:rFonts w:ascii="Arial" w:hAnsi="Arial"/>
                <w:b w:val="0"/>
                <w:sz w:val="14"/>
              </w:rPr>
              <w:t>Audit question</w:t>
            </w:r>
          </w:p>
        </w:tc>
        <w:tc>
          <w:tcPr>
            <w:tcW w:type="dxa" w:w="5112"/>
          </w:tcPr>
          <w:p>
            <w:pPr>
              <w:spacing w:after="0"/>
            </w:pPr>
            <w:r>
              <w:rPr>
                <w:rFonts w:ascii="Arial" w:hAnsi="Arial"/>
                <w:b w:val="0"/>
                <w:sz w:val="14"/>
              </w:rPr>
              <w:t>Can an independent reviewer verify that incidents were detected, investigated, remediated, and closed with documented root cause and continuous improvement measures?</w:t>
            </w:r>
          </w:p>
        </w:tc>
      </w:tr>
    </w:tbl>
    <w:p>
      <w:pPr>
        <w:spacing w:after="56"/>
      </w:pPr>
      <w:r>
        <w:t>Table T-06-17: MRO-16 Object Card — Incident, Dispute, and Remediation Closure</w:t>
      </w:r>
    </w:p>
    <w:p>
      <w:pPr>
        <w:pStyle w:val="Heading3"/>
      </w:pPr>
      <w:r>
        <w:t>Detailed Discussion</w:t>
      </w:r>
    </w:p>
    <w:p>
      <w:pPr>
        <w:spacing w:after="56"/>
      </w:pPr>
      <w:r>
        <w:t>Incident closure is where lifecycle governance proves its value. Prevention is important, but no system is perfect. Agents will make mistakes, policies will be violated, and customers will be harmed. The question is whether the organization can detect incidents quickly, investigate root cause accurately, remediate effectively, resolve disputes fairly, and improve continuously.</w:t>
      </w:r>
    </w:p>
    <w:p>
      <w:pPr>
        <w:spacing w:after="56"/>
      </w:pPr>
      <w:r>
        <w:t>An incident is any event where an agentic system produces an outcome that violates policy, exceeds authority, causes harm, or fails to meet acceptance criteria. A dispute is any challenge to an outcome by a customer, regulator, or internal stakeholder. Remediation is the action taken to correct the problem. Closure is the state where the incident is resolved, the dispute is settled, and the organization has implemented measures to prevent recurrence.</w:t>
      </w:r>
    </w:p>
    <w:p>
      <w:pPr>
        <w:spacing w:after="56"/>
      </w:pPr>
      <w:r>
        <w:t>The governance challenge is that incident management is often ad hoc. A customer complaint may trigger an investigation, but the investigation may not link back to the original lifecycle evidence. The root cause may not be documented. The remediation may not be verified. The dispute may be settled without any continuous improvement. The organization learns nothing from the incident.</w:t>
      </w:r>
    </w:p>
    <w:p>
      <w:pPr>
        <w:spacing w:after="56"/>
      </w:pPr>
      <w:r>
        <w:t>The closure record must link incident detection to lifecycle evidence, root cause analysis, remediation action, dispute resolution decision, closure acceptance, and continuous improvement plan. The record must be auditable: an independent reviewer should be able to verify that the incident was handled properly and that the organization learned from it.</w:t>
      </w:r>
    </w:p>
    <w:p>
      <w:pPr>
        <w:pStyle w:val="Heading3"/>
      </w:pPr>
      <w:r>
        <w:t>Enterprise Implication</w:t>
      </w:r>
    </w:p>
    <w:p>
      <w:pPr>
        <w:spacing w:after="56"/>
      </w:pPr>
      <w:r>
        <w:t>Without incident closure, organizations cannot prove that they handle agentic failures responsibly. Customers lose trust. Regulators question accountability. Insurers raise premiums or deny coverage. The organization cannot demonstrate continuous improvement because it has no structured process for learning from incidents.</w:t>
      </w:r>
    </w:p>
    <w:p>
      <w:pPr>
        <w:spacing w:after="56"/>
      </w:pPr>
      <w:r>
        <w:t>Adjacent monitoring systems may support this object, but lifecycle conformance requires explicit object semantics that link incidents to remediation, dispute closure, and continuous improvement.</w:t>
      </w:r>
    </w:p>
    <w:p>
      <w:pPr>
        <w:pStyle w:val="Heading3"/>
      </w:pPr>
      <w:r>
        <w:t>Design Implication</w:t>
      </w:r>
    </w:p>
    <w:p>
      <w:pPr>
        <w:spacing w:after="56"/>
      </w:pPr>
      <w:r>
        <w:t>The closure record should bind incident ID, detection timestamp, lifecycle evidence pointers, root cause analysis, remediation action, dispute resolution decision, closure acceptance, and continuous improvement plan. Incidents should remain open until remediation is verified and closure is accepted by the accountable owner.</w:t>
      </w:r>
    </w:p>
    <w:p>
      <w:pPr>
        <w:spacing w:after="56"/>
      </w:pPr>
      <w:r>
        <w:t>The implementation test is to simulate an incident and ask: can the system detect it, link it to lifecycle evidence, document root cause, track remediation, resolve disputes, and close with continuous improvement measures? If the answer is that incidents are handled manually without structured records, the system has no incident closure capability.</w:t>
      </w:r>
    </w:p>
    <w:p>
      <w:pPr>
        <w:pStyle w:val="Heading3"/>
      </w:pPr>
      <w:r>
        <w:t>Audit Question</w:t>
      </w:r>
    </w:p>
    <w:p>
      <w:pPr>
        <w:spacing w:after="56"/>
      </w:pPr>
      <w:r>
        <w:t>For any incident, can the system verify that it was detected, investigated, remediated, and closed with documented root cause and continuous improvement measures?</w:t>
      </w:r>
    </w:p>
    <w:p>
      <w:pPr>
        <w:pStyle w:val="Heading2"/>
      </w:pPr>
      <w:r>
        <w:t>6.18 Chapter Summary</w:t>
      </w:r>
    </w:p>
    <w:p>
      <w:pPr>
        <w:spacing w:after="56"/>
      </w:pPr>
      <w:r>
        <w:t>The sixteen Missing Regulatory Objects defined in this chapter represent the missing object layer between regulatory abstractions and agentic lifecycle implementation. They are not proposed statutes or legal mandates. They are engineering and assurance objects that make regulatory concepts testable in multi-agent execution.</w:t>
      </w:r>
    </w:p>
    <w:p>
      <w:pPr>
        <w:spacing w:after="56"/>
      </w:pPr>
      <w:r>
        <w:t>Existing regulation and governance frameworks increasingly require human oversight, logging, documentation, monitoring, accountability, transparency, and privacy controls. But they do not yet fully specify the lifecycle objects required to prove those properties inside dynamic agentic workflows. The sixteen MROs bridge that gap. They turn regulatory abstractions into lifecycle objects: human oversight becomes human-role-to-MAS responsibility mapping, logging becomes partitioned evidence chain, accountability becomes tool-action liability and responsibility transfer, transparency becomes evidence-linked review and accepted outcome, monitoring becomes lifecycle drift and incident closure, privacy becomes lifecycle data-flow mapping and selective disclosure.</w:t>
      </w:r>
    </w:p>
    <w:p>
      <w:pPr>
        <w:spacing w:after="56"/>
      </w:pPr>
      <w:r>
        <w:t>These objects are necessary because agentic AI is not only model output. It is organized work that moves from intent to accepted outcome through delegation, execution, evidence collection, review, acceptance, dispute, remediation, and reuse. If that work cannot be proven under controlled authority, evidence, privacy, and remediation constraints, it remains difficult to audit, insure, delegate, reuse, and scale. This is why AI Agent Lifecycle Governance is not a philosophical category. It is an operational prerequisite for agentic AI becoming trusted enterprise infrastructure.</w:t>
      </w:r>
    </w:p>
    <w:p>
      <w:pPr>
        <w:spacing w:after="56"/>
      </w:pPr>
      <w:r>
        <w:t>The next chapters introduce two scoring frameworks that measure how systems map to these objects. RCCS measures regulatory compliance coverage. ALCS measures agentic lifecycle conformance. Together, they provide a dual-layer assessment of whether a system can prove lifecycle responsibility compliance.</w:t>
      </w:r>
    </w:p>
    <w:p>
      <w:pPr>
        <w:pStyle w:val="Heading1"/>
      </w:pPr>
      <w:r>
        <w:t>Chapter 7: Regulatory Compliance Coverage Score (RCCS)</w:t>
      </w:r>
    </w:p>
    <w:p>
      <w:pPr>
        <w:spacing w:after="56"/>
      </w:pPr>
      <w:r>
        <w:t>Version: v0.3.2-FRC-R3</w:t>
      </w:r>
    </w:p>
    <w:p>
      <w:pPr>
        <w:pStyle w:val="Heading2"/>
      </w:pPr>
      <w:r>
        <w:t>7.0 Chapter Overview</w:t>
      </w:r>
    </w:p>
    <w:p>
      <w:pPr>
        <w:spacing w:after="56"/>
      </w:pPr>
      <w:r>
        <w:t>This chapter introduces the Regulatory Compliance Coverage Score (RCCS), the first of two scoring frameworks used in this white paper. RCCS measures how strongly a system covers existing regulatory and governance requirements such as risk management, data governance, documentation, record-keeping, transparency, human oversight, security, accountability, contestability, and monitoring.</w:t>
      </w:r>
    </w:p>
    <w:p>
      <w:pPr>
        <w:spacing w:after="56"/>
      </w:pPr>
      <w:r>
        <w:t>RCCS is an analytical framework for comparing system capabilities against regulatory ideals. It is not a legal compliance certification, not a conformity assessment, and not a regulatory approval. It is a structured method for evaluating whether a system provides the primitives, controls, and evidence mechanisms that existing regulation and governance frameworks increasingly require.</w:t>
      </w:r>
    </w:p>
    <w:p>
      <w:pPr>
        <w:spacing w:after="56"/>
      </w:pPr>
      <w:r>
        <w:t>The chapter defines the ten RCCS dimensions, explains the shared scoring procedure used for both RCCS and ALCS, and establishes clear boundaries around what RCCS measures and what it does not measure. Detailed scoring rubrics for each dimension are provided in sections 7.6 through 7.15.</w:t>
      </w:r>
    </w:p>
    <w:p>
      <w:pPr>
        <w:pStyle w:val="Heading2"/>
      </w:pPr>
      <w:r>
        <w:t>7.1 What RCCS Measures</w:t>
      </w:r>
    </w:p>
    <w:p>
      <w:pPr>
        <w:spacing w:after="56"/>
      </w:pPr>
      <w:r>
        <w:t>RCCS measures how strongly a system covers existing regulatory and governance requirements. It evaluates whether a system provides the capabilities, controls, and evidence mechanisms that frameworks such as the EU AI Act, GDPR, NIST AI RMF, ISO/IEC 42001, and Singapore MGF increasingly require.</w:t>
      </w:r>
    </w:p>
    <w:p>
      <w:pPr>
        <w:spacing w:after="56"/>
      </w:pPr>
      <w:r>
        <w:t>RCCS is not a legal compliance score. A high RCCS score does not mean a system is legally compliant. A low RCCS score does not mean a system is non-compliant. Legal compliance depends on organizational practice, deployment context, jurisdiction, risk class, and how the system is used. RCCS measures system capability, not organizational conformance.</w:t>
      </w:r>
    </w:p>
    <w:p>
      <w:pPr>
        <w:spacing w:after="56"/>
      </w:pPr>
      <w:r>
        <w:t>RCCS is an analytical framework for comparing systems. It allows buyers, auditors, governance teams, and protocol designers to evaluate whether a system provides the primitives required to support regulatory obligations. It makes visible the difference between systems that provide governance controls and systems that provide only execution or observability features.</w:t>
      </w:r>
    </w:p>
    <w:p>
      <w:pPr>
        <w:spacing w:after="56"/>
      </w:pPr>
      <w:r>
        <w:t>The purpose of RCCS is to translate regulatory abstractions into measurable system capabilities. Regulation requires risk management, but what does that mean in a system? RCCS defines ten dimensions that operationalize regulatory requirements into system features that can be evaluated, compared, and improved. It is a bridge between regulatory language and engineering implementation.</w:t>
      </w:r>
    </w:p>
    <w:p>
      <w:pPr>
        <w:pStyle w:val="Heading2"/>
      </w:pPr>
      <w:r>
        <w:t>7.2 RCCS Dimensions Overview</w:t>
      </w:r>
    </w:p>
    <w:p>
      <w:pPr>
        <w:spacing w:after="56"/>
      </w:pPr>
      <w:r>
        <w:t>RCCS evaluates systems across ten dimensions. Each dimension corresponds to a recurring regulatory requirement. The dimensions are weighted to reflect their relative importance in the regulatory baseline analyzed in Chapter 4.</w:t>
      </w:r>
    </w:p>
    <w:p>
      <w:pPr>
        <w:spacing w:after="56"/>
      </w:pPr>
      <w:r>
        <w:t>The ten RCCS dimensions are:</w:t>
      </w:r>
    </w:p>
    <w:p>
      <w:pPr>
        <w:pStyle w:val="ListNumber"/>
        <w:spacing w:after="56"/>
      </w:pPr>
      <w:r>
        <w:t>Risk Management (20%) - Does the system support risk identification, assessment, and mitigation across the AI lifecycle?</w:t>
      </w:r>
    </w:p>
    <w:p>
      <w:pPr>
        <w:pStyle w:val="ListNumber"/>
        <w:spacing w:after="56"/>
      </w:pPr>
      <w:r>
        <w:t>Data Governance (10%) - Does the system track data lineage, quality, and lifecycle management?</w:t>
      </w:r>
    </w:p>
    <w:p>
      <w:pPr>
        <w:pStyle w:val="ListNumber"/>
        <w:spacing w:after="56"/>
      </w:pPr>
      <w:r>
        <w:t>Documentation (10%) - Does the system produce and maintain required technical documentation?</w:t>
      </w:r>
    </w:p>
    <w:p>
      <w:pPr>
        <w:pStyle w:val="ListNumber"/>
        <w:spacing w:after="56"/>
      </w:pPr>
      <w:r>
        <w:t>Record-Keeping (10%) - Does the system maintain audit trails and evidence records?</w:t>
      </w:r>
    </w:p>
    <w:p>
      <w:pPr>
        <w:pStyle w:val="ListNumber"/>
        <w:spacing w:after="56"/>
      </w:pPr>
      <w:r>
        <w:t>Transparency (10%) - Does the system provide explainability and disclosure mechanisms?</w:t>
      </w:r>
    </w:p>
    <w:p>
      <w:pPr>
        <w:pStyle w:val="ListNumber"/>
        <w:spacing w:after="56"/>
      </w:pPr>
      <w:r>
        <w:t>Human Oversight (15%) - Does the system support human review, approval, and intervention?</w:t>
      </w:r>
    </w:p>
    <w:p>
      <w:pPr>
        <w:pStyle w:val="ListNumber"/>
        <w:spacing w:after="56"/>
      </w:pPr>
      <w:r>
        <w:t>Security (5%) - Does the system implement security controls and access management?</w:t>
      </w:r>
    </w:p>
    <w:p>
      <w:pPr>
        <w:pStyle w:val="ListNumber"/>
        <w:spacing w:after="56"/>
      </w:pPr>
      <w:r>
        <w:t>Accountability (5%) - Does the system assign responsibility and track decisions?</w:t>
      </w:r>
    </w:p>
    <w:p>
      <w:pPr>
        <w:pStyle w:val="ListNumber"/>
        <w:spacing w:after="56"/>
      </w:pPr>
      <w:r>
        <w:t>Contestability (5%) - Does the system support dispute and appeal mechanisms?</w:t>
      </w:r>
    </w:p>
    <w:p>
      <w:pPr>
        <w:pStyle w:val="ListNumber"/>
        <w:spacing w:after="56"/>
      </w:pPr>
      <w:r>
        <w:t>Monitoring (10%) - Does the system support continuous monitoring and incident detection?</w:t>
      </w:r>
    </w:p>
    <w:p>
      <w:pPr>
        <w:spacing w:after="56"/>
      </w:pPr>
      <w:r>
        <w:t>The following table summarizes the ten dimensions, their regulatory sources, core questions, and weights.</w:t>
      </w:r>
    </w:p>
    <w:p>
      <w:pPr>
        <w:keepNext/>
      </w:pPr>
      <w:r>
        <w:rPr>
          <w:b/>
          <w:sz w:val="16"/>
        </w:rPr>
        <w:t>Table T-07-01: RCCS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Regulatory Source</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EU AI Act Art. 9, NIST AI RMF Govern/Map/Measure/Manage, ISO/IEC 42001</w:t>
            </w:r>
          </w:p>
        </w:tc>
        <w:tc>
          <w:tcPr>
            <w:tcW w:type="dxa" w:w="2556"/>
          </w:tcPr>
          <w:p>
            <w:pPr>
              <w:spacing w:after="0"/>
            </w:pPr>
            <w:r>
              <w:rPr>
                <w:rFonts w:ascii="Arial" w:hAnsi="Arial"/>
                <w:b w:val="0"/>
                <w:sz w:val="14"/>
              </w:rPr>
              <w:t>Does the system support risk identification, assessment, and mitigation across the AI lifecycle?</w:t>
            </w:r>
          </w:p>
        </w:tc>
        <w:tc>
          <w:tcPr>
            <w:tcW w:type="dxa" w:w="2556"/>
          </w:tcPr>
          <w:p>
            <w:pPr>
              <w:spacing w:after="0"/>
            </w:pPr>
            <w:r>
              <w:rPr>
                <w:rFonts w:ascii="Arial" w:hAnsi="Arial"/>
                <w:b w:val="0"/>
                <w:sz w:val="14"/>
              </w:rPr>
              <w:t>20%</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GDPR Art. 5, ISO/IEC 42001, NIST AI RMF Map</w:t>
            </w:r>
          </w:p>
        </w:tc>
        <w:tc>
          <w:tcPr>
            <w:tcW w:type="dxa" w:w="2556"/>
          </w:tcPr>
          <w:p>
            <w:pPr>
              <w:spacing w:after="0"/>
            </w:pPr>
            <w:r>
              <w:rPr>
                <w:rFonts w:ascii="Arial" w:hAnsi="Arial"/>
                <w:b w:val="0"/>
                <w:sz w:val="14"/>
              </w:rPr>
              <w:t>Does the system track data lineage, quality, and lifecycle management?</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EU AI Act Art. 11, ISO/IEC 42001, NIST AI RMF Govern</w:t>
            </w:r>
          </w:p>
        </w:tc>
        <w:tc>
          <w:tcPr>
            <w:tcW w:type="dxa" w:w="2556"/>
          </w:tcPr>
          <w:p>
            <w:pPr>
              <w:spacing w:after="0"/>
            </w:pPr>
            <w:r>
              <w:rPr>
                <w:rFonts w:ascii="Arial" w:hAnsi="Arial"/>
                <w:b w:val="0"/>
                <w:sz w:val="14"/>
              </w:rPr>
              <w:t>Does the system produce and maintain required technical documentation?</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EU AI Act Art. 12, GDPR Art. 30, ISO/IEC 42001</w:t>
            </w:r>
          </w:p>
        </w:tc>
        <w:tc>
          <w:tcPr>
            <w:tcW w:type="dxa" w:w="2556"/>
          </w:tcPr>
          <w:p>
            <w:pPr>
              <w:spacing w:after="0"/>
            </w:pPr>
            <w:r>
              <w:rPr>
                <w:rFonts w:ascii="Arial" w:hAnsi="Arial"/>
                <w:b w:val="0"/>
                <w:sz w:val="14"/>
              </w:rPr>
              <w:t>Does the system maintain audit trails and evidence records?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EU AI Act Art. 13, GDPR Art. 5, NIST AI RMF Govern</w:t>
            </w:r>
          </w:p>
        </w:tc>
        <w:tc>
          <w:tcPr>
            <w:tcW w:type="dxa" w:w="2556"/>
          </w:tcPr>
          <w:p>
            <w:pPr>
              <w:spacing w:after="0"/>
            </w:pPr>
            <w:r>
              <w:rPr>
                <w:rFonts w:ascii="Arial" w:hAnsi="Arial"/>
                <w:b w:val="0"/>
                <w:sz w:val="14"/>
              </w:rPr>
              <w:t>Does the system provide explainability and disclosure mechanisms?</w:t>
            </w:r>
          </w:p>
        </w:tc>
        <w:tc>
          <w:tcPr>
            <w:tcW w:type="dxa" w:w="2556"/>
          </w:tcPr>
          <w:p>
            <w:pPr>
              <w:spacing w:after="0"/>
            </w:pPr>
            <w:r>
              <w:rPr>
                <w:rFonts w:ascii="Arial" w:hAnsi="Arial"/>
                <w:b w:val="0"/>
                <w:sz w:val="14"/>
              </w:rPr>
              <w:t>10%</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EU AI Act Art. 14, Singapore MGF Agentic AI, NIST AI RMF Manage</w:t>
            </w:r>
          </w:p>
        </w:tc>
        <w:tc>
          <w:tcPr>
            <w:tcW w:type="dxa" w:w="2556"/>
          </w:tcPr>
          <w:p>
            <w:pPr>
              <w:spacing w:after="0"/>
            </w:pPr>
            <w:r>
              <w:rPr>
                <w:rFonts w:ascii="Arial" w:hAnsi="Arial"/>
                <w:b w:val="0"/>
                <w:sz w:val="14"/>
              </w:rPr>
              <w:t>Does the system support human review, approval, and intervention?</w:t>
            </w:r>
          </w:p>
        </w:tc>
        <w:tc>
          <w:tcPr>
            <w:tcW w:type="dxa" w:w="2556"/>
          </w:tcPr>
          <w:p>
            <w:pPr>
              <w:spacing w:after="0"/>
            </w:pPr>
            <w:r>
              <w:rPr>
                <w:rFonts w:ascii="Arial" w:hAnsi="Arial"/>
                <w:b w:val="0"/>
                <w:sz w:val="14"/>
              </w:rPr>
              <w:t>15%</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EU AI Act Art. 15, ISO/IEC 42001, NIST AI RMF Manage</w:t>
            </w:r>
          </w:p>
        </w:tc>
        <w:tc>
          <w:tcPr>
            <w:tcW w:type="dxa" w:w="2556"/>
          </w:tcPr>
          <w:p>
            <w:pPr>
              <w:spacing w:after="0"/>
            </w:pPr>
            <w:r>
              <w:rPr>
                <w:rFonts w:ascii="Arial" w:hAnsi="Arial"/>
                <w:b w:val="0"/>
                <w:sz w:val="14"/>
              </w:rPr>
              <w:t>Does the system implement security controls and access management?</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GDPR Art. 5, ISO/IEC 42001, Singapore MGF Agentic AI</w:t>
            </w:r>
          </w:p>
        </w:tc>
        <w:tc>
          <w:tcPr>
            <w:tcW w:type="dxa" w:w="2556"/>
          </w:tcPr>
          <w:p>
            <w:pPr>
              <w:spacing w:after="0"/>
            </w:pPr>
            <w:r>
              <w:rPr>
                <w:rFonts w:ascii="Arial" w:hAnsi="Arial"/>
                <w:b w:val="0"/>
                <w:sz w:val="14"/>
              </w:rPr>
              <w:t>Does the system assign responsibility and track decisions?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EU AI Act recitals, GDPR Art. 22, Singapore MGF Agentic AI</w:t>
            </w:r>
          </w:p>
        </w:tc>
        <w:tc>
          <w:tcPr>
            <w:tcW w:type="dxa" w:w="2556"/>
          </w:tcPr>
          <w:p>
            <w:pPr>
              <w:spacing w:after="0"/>
            </w:pPr>
            <w:r>
              <w:rPr>
                <w:rFonts w:ascii="Arial" w:hAnsi="Arial"/>
                <w:b w:val="0"/>
                <w:sz w:val="14"/>
              </w:rPr>
              <w:t>Does the system support dispute and appeal mechanisms?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EU AI Act Art. 72, NIST AI RMF Manage, ISO/IEC 42001</w:t>
            </w:r>
          </w:p>
        </w:tc>
        <w:tc>
          <w:tcPr>
            <w:tcW w:type="dxa" w:w="2556"/>
          </w:tcPr>
          <w:p>
            <w:pPr>
              <w:spacing w:after="0"/>
            </w:pPr>
            <w:r>
              <w:rPr>
                <w:rFonts w:ascii="Arial" w:hAnsi="Arial"/>
                <w:b w:val="0"/>
                <w:sz w:val="14"/>
              </w:rPr>
              <w:t>Does the system support continuous monitoring and incident detection?</w:t>
            </w:r>
          </w:p>
        </w:tc>
        <w:tc>
          <w:tcPr>
            <w:tcW w:type="dxa" w:w="2556"/>
          </w:tcPr>
          <w:p>
            <w:pPr>
              <w:spacing w:after="0"/>
            </w:pPr>
            <w:r>
              <w:rPr>
                <w:rFonts w:ascii="Arial" w:hAnsi="Arial"/>
                <w:b w:val="0"/>
                <w:sz w:val="14"/>
              </w:rPr>
              <w:t>10%</w:t>
            </w:r>
          </w:p>
        </w:tc>
      </w:tr>
    </w:tbl>
    <w:p>
      <w:pPr>
        <w:pStyle w:val="Heading2"/>
      </w:pPr>
      <w:r>
        <w:t>7.3 Shared Scoring Procedure</w:t>
      </w:r>
    </w:p>
    <w:p>
      <w:pPr>
        <w:spacing w:after="56"/>
      </w:pPr>
      <w:r>
        <w:t>RCCS and ALCS use the same scoring procedure. This section defines the shared raw scoring scale, evidence confidence multiplier, dimension score formula, and cross-framework composite score calculation used throughout the white paper.</w:t>
      </w:r>
    </w:p>
    <w:p>
      <w:pPr>
        <w:pStyle w:val="Heading3"/>
      </w:pPr>
      <w:r>
        <w:t>7.3.1 Raw Scoring Scale (0-5)</w:t>
      </w:r>
    </w:p>
    <w:p>
      <w:pPr>
        <w:spacing w:after="56"/>
      </w:pPr>
      <w:r>
        <w:t>Each dimension is scored on a 0-5 raw scale based on the strength of system support:</w:t>
      </w:r>
    </w:p>
    <w:p>
      <w:pPr>
        <w:pStyle w:val="ListBullet"/>
        <w:spacing w:after="56"/>
      </w:pPr>
      <w:r>
        <w:t>0 = No capability; no evidence - The system does not provide the capability, or no evidence is available to evaluate it.</w:t>
      </w:r>
    </w:p>
    <w:p>
      <w:pPr>
        <w:pStyle w:val="ListBullet"/>
        <w:spacing w:after="56"/>
      </w:pPr>
      <w:r>
        <w:t>1 = Minimal capability; weak evidence - Documentation mentions the capability, but no implementation primitives are evident.</w:t>
      </w:r>
    </w:p>
    <w:p>
      <w:pPr>
        <w:pStyle w:val="ListBullet"/>
        <w:spacing w:after="56"/>
      </w:pPr>
      <w:r>
        <w:t>2 = Partial capability; some evidence - Some primitives exist, but coverage is incomplete or limited to specific contexts.</w:t>
      </w:r>
    </w:p>
    <w:p>
      <w:pPr>
        <w:pStyle w:val="ListBullet"/>
        <w:spacing w:after="56"/>
      </w:pPr>
      <w:r>
        <w:t>3 = Moderate capability; documented evidence - Most primitives exist, with some gaps or limitations in integration or coverage.</w:t>
      </w:r>
    </w:p>
    <w:p>
      <w:pPr>
        <w:pStyle w:val="ListBullet"/>
        <w:spacing w:after="56"/>
      </w:pPr>
      <w:r>
        <w:t>4 = Strong capability; validated evidence - Strong primitives exist and are mostly integrated across the system's scope.</w:t>
      </w:r>
    </w:p>
    <w:p>
      <w:pPr>
        <w:pStyle w:val="ListBullet"/>
        <w:spacing w:after="56"/>
      </w:pPr>
      <w:r>
        <w:t>5 = Complete capability demonstrated by implementation evidence, formal audit evidence, protocol-level evidence, or validated operational artifacts - Legal text may establish a regulatory baseline but does not by itself prove implementation.</w:t>
      </w:r>
    </w:p>
    <w:p>
      <w:pPr>
        <w:spacing w:after="56"/>
      </w:pPr>
      <w:r>
        <w:t>This scale is applied consistently across all RCCS and ALCS dimensions. The score reflects system capability, not organizational practice. A system may score 5 on a dimension while the organization using it scores lower due to deployment gaps, policy weaknesses, or incomplete adoption.</w:t>
      </w:r>
    </w:p>
    <w:p>
      <w:pPr>
        <w:pStyle w:val="Heading3"/>
      </w:pPr>
      <w:r>
        <w:t>7.3.2 Evidence Confidence Multiplier</w:t>
      </w:r>
    </w:p>
    <w:p>
      <w:pPr>
        <w:spacing w:after="56"/>
      </w:pPr>
      <w:r>
        <w:t>The evidence multiplier adjusts the dimension score based on the quality and verifiability of evidence used to evaluate the system. It reflects the confidence level in the scoring assessment.</w:t>
      </w:r>
    </w:p>
    <w:p>
      <w:pPr>
        <w:spacing w:after="56"/>
      </w:pPr>
      <w:r>
        <w:t>Evidence multiplier values:</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The evidence multiplier is applied to each raw dimension score using the canonical normalized formula:</w:t>
      </w:r>
    </w:p>
    <w:p>
      <w:pPr>
        <w:spacing w:after="56"/>
      </w:pPr>
      <w:r>
        <w:t>Dimension Score = (Raw Score / 5) × 100 × Evidence Confidence Multiplier</w:t>
      </w:r>
    </w:p>
    <w:p>
      <w:pPr>
        <w:spacing w:after="56"/>
      </w:pPr>
      <w:r>
        <w:t>This ensures that scores based on weaker evidence are discounted appropriately.</w:t>
      </w:r>
    </w:p>
    <w:p>
      <w:pPr>
        <w:pStyle w:val="Heading3"/>
      </w:pPr>
      <w:r>
        <w:t>7.3.3 Dimension Weighting</w:t>
      </w:r>
    </w:p>
    <w:p>
      <w:pPr>
        <w:spacing w:after="56"/>
      </w:pPr>
      <w:r>
        <w:t>Each dimension has a weight that reflects its relative importance in the regulatory baseline. Weights are expressed as percentages and sum to 100% for each scoring framework.</w:t>
      </w:r>
    </w:p>
    <w:p>
      <w:pPr>
        <w:spacing w:after="56"/>
      </w:pPr>
      <w:r>
        <w:t>For RCCS, the weights are:</w:t>
      </w:r>
    </w:p>
    <w:p>
      <w:pPr>
        <w:pStyle w:val="ListBullet"/>
        <w:spacing w:after="56"/>
      </w:pPr>
      <w:r>
        <w:t>Risk Management: 20%</w:t>
      </w:r>
    </w:p>
    <w:p>
      <w:pPr>
        <w:pStyle w:val="ListBullet"/>
        <w:spacing w:after="56"/>
      </w:pPr>
      <w:r>
        <w:t>Human Oversight: 15%</w:t>
      </w:r>
    </w:p>
    <w:p>
      <w:pPr>
        <w:pStyle w:val="ListBullet"/>
        <w:spacing w:after="56"/>
      </w:pPr>
      <w:r>
        <w:t>Data Governance: 10%</w:t>
      </w:r>
    </w:p>
    <w:p>
      <w:pPr>
        <w:pStyle w:val="ListBullet"/>
        <w:spacing w:after="56"/>
      </w:pPr>
      <w:r>
        <w:t>Documentation: 10%</w:t>
      </w:r>
    </w:p>
    <w:p>
      <w:pPr>
        <w:pStyle w:val="ListBullet"/>
        <w:spacing w:after="56"/>
      </w:pPr>
      <w:r>
        <w:t>Record-Keeping: 10%</w:t>
      </w:r>
    </w:p>
    <w:p>
      <w:pPr>
        <w:pStyle w:val="ListBullet"/>
        <w:spacing w:after="56"/>
      </w:pPr>
      <w:r>
        <w:t>Transparency: 10%</w:t>
      </w:r>
    </w:p>
    <w:p>
      <w:pPr>
        <w:pStyle w:val="ListBullet"/>
        <w:spacing w:after="56"/>
      </w:pPr>
      <w:r>
        <w:t>Monitoring: 10%</w:t>
      </w:r>
    </w:p>
    <w:p>
      <w:pPr>
        <w:pStyle w:val="ListBullet"/>
        <w:spacing w:after="56"/>
      </w:pPr>
      <w:r>
        <w:t>Security: 5%</w:t>
      </w:r>
    </w:p>
    <w:p>
      <w:pPr>
        <w:pStyle w:val="ListBullet"/>
        <w:spacing w:after="56"/>
      </w:pPr>
      <w:r>
        <w:t>Accountability: 5%</w:t>
      </w:r>
    </w:p>
    <w:p>
      <w:pPr>
        <w:pStyle w:val="ListBullet"/>
        <w:spacing w:after="56"/>
      </w:pPr>
      <w:r>
        <w:t>Contestability: 5%</w:t>
      </w:r>
    </w:p>
    <w:p>
      <w:pPr>
        <w:spacing w:after="56"/>
      </w:pPr>
      <w:r>
        <w:t>Weights are fixed for this version of the white paper. Future versions may adjust weights based on regulatory evolution or stakeholder feedback.</w:t>
      </w:r>
    </w:p>
    <w:p>
      <w:pPr>
        <w:pStyle w:val="Heading3"/>
      </w:pPr>
      <w:r>
        <w:t>7.3.4 RCCS Score Calculation</w:t>
      </w:r>
    </w:p>
    <w:p>
      <w:pPr>
        <w:spacing w:after="56"/>
      </w:pPr>
      <w:r>
        <w:t>RCCS is calculated from adjusted RCCS dimension scores. Each dimension first receives a raw score and evidence multiplier:</w:t>
      </w:r>
    </w:p>
    <w:p>
      <w:pPr>
        <w:spacing w:after="56"/>
      </w:pPr>
      <w:r>
        <w:t>Dimension Score = (Raw Score / 5) × 100 × Evidence Confidence Multiplier</w:t>
      </w:r>
    </w:p>
    <w:p>
      <w:pPr>
        <w:spacing w:after="56"/>
      </w:pPr>
      <w:r>
        <w:t>Where:</w:t>
      </w:r>
    </w:p>
    <w:p>
      <w:pPr>
        <w:pStyle w:val="ListBullet"/>
        <w:spacing w:after="56"/>
      </w:pPr>
      <w:r>
        <w:t>Raw Score is the 0-5 capability score for each dimension</w:t>
      </w:r>
    </w:p>
    <w:p>
      <w:pPr>
        <w:pStyle w:val="ListBullet"/>
        <w:spacing w:after="56"/>
      </w:pPr>
      <w:r>
        <w:t>Evidence Confidence Multiplier is L1 = 1.00, L2 = 0.85, L3 = 0.75, L4 = 0.55, or L5 = 0.35</w:t>
      </w:r>
    </w:p>
    <w:p>
      <w:pPr>
        <w:spacing w:after="56"/>
      </w:pPr>
      <w:r>
        <w:t>The RCCS framework score is the aggregate of adjusted RCCS dimension scores. The cross-framework composite score is defined in Chapter 9 as:</w:t>
      </w:r>
    </w:p>
    <w:p>
      <w:pPr>
        <w:spacing w:after="56"/>
      </w:pPr>
      <w:r>
        <w:t>Composite Score = 0.40 × RCCS + 0.60 × ALCS</w:t>
      </w:r>
    </w:p>
    <w:p>
      <w:pPr>
        <w:spacing w:after="56"/>
      </w:pPr>
      <w:r>
        <w:t>The following table illustrates the calculation formula.</w:t>
      </w:r>
    </w:p>
    <w:p>
      <w:pPr>
        <w:keepNext/>
      </w:pPr>
      <w:r>
        <w:rPr>
          <w:b/>
          <w:sz w:val="16"/>
        </w:rPr>
        <w:t>Table T-07-02: RCCS Dimension Score Calculation Formula</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Formula</w:t>
            </w:r>
          </w:p>
        </w:tc>
        <w:tc>
          <w:tcPr>
            <w:tcW w:type="dxa" w:w="3408"/>
          </w:tcPr>
          <w:p>
            <w:pPr>
              <w:spacing w:after="0"/>
            </w:pPr>
            <w:r>
              <w:rPr>
                <w:rFonts w:ascii="Arial" w:hAnsi="Arial"/>
                <w:b/>
                <w:sz w:val="14"/>
              </w:rPr>
              <w:t>Example</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Framework Score</w:t>
            </w:r>
          </w:p>
        </w:tc>
        <w:tc>
          <w:tcPr>
            <w:tcW w:type="dxa" w:w="3408"/>
          </w:tcPr>
          <w:p>
            <w:pPr>
              <w:spacing w:after="0"/>
            </w:pPr>
            <w:r>
              <w:rPr>
                <w:rFonts w:ascii="Arial" w:hAnsi="Arial"/>
                <w:b w:val="0"/>
                <w:sz w:val="14"/>
              </w:rPr>
              <w:t>Aggregate of adjusted RCCS dimension scores</w:t>
            </w:r>
          </w:p>
        </w:tc>
        <w:tc>
          <w:tcPr>
            <w:tcW w:type="dxa" w:w="3408"/>
          </w:tcPr>
          <w:p>
            <w:pPr>
              <w:spacing w:after="0"/>
            </w:pPr>
            <w:r>
              <w:rPr>
                <w:rFonts w:ascii="Arial" w:hAnsi="Arial"/>
                <w:b w:val="0"/>
                <w:sz w:val="14"/>
              </w:rPr>
              <w:t>RCCS = aggregate RCCS score</w:t>
            </w:r>
          </w:p>
        </w:tc>
      </w:tr>
      <w:tr>
        <w:tc>
          <w:tcPr>
            <w:tcW w:type="dxa" w:w="3408"/>
          </w:tcPr>
          <w:p>
            <w:pPr>
              <w:spacing w:after="0"/>
            </w:pPr>
            <w:r>
              <w:rPr>
                <w:rFonts w:ascii="Arial" w:hAnsi="Arial"/>
                <w:b w:val="0"/>
                <w:sz w:val="14"/>
              </w:rPr>
              <w:t>Cross-Framework Composite</w:t>
            </w:r>
          </w:p>
        </w:tc>
        <w:tc>
          <w:tcPr>
            <w:tcW w:type="dxa" w:w="3408"/>
          </w:tcPr>
          <w:p>
            <w:pPr>
              <w:spacing w:after="0"/>
            </w:pPr>
            <w:r>
              <w:rPr>
                <w:rFonts w:ascii="Arial" w:hAnsi="Arial"/>
                <w:b w:val="0"/>
                <w:sz w:val="14"/>
              </w:rPr>
              <w:t>0.40 × RCCS + 0.60 × ALCS</w:t>
            </w:r>
          </w:p>
        </w:tc>
        <w:tc>
          <w:tcPr>
            <w:tcW w:type="dxa" w:w="3408"/>
          </w:tcPr>
          <w:p>
            <w:pPr>
              <w:spacing w:after="0"/>
            </w:pPr>
            <w:r>
              <w:rPr>
                <w:rFonts w:ascii="Arial" w:hAnsi="Arial"/>
                <w:b w:val="0"/>
                <w:sz w:val="14"/>
              </w:rPr>
              <w:t>See Chapter 9</w:t>
            </w:r>
          </w:p>
        </w:tc>
      </w:tr>
    </w:tbl>
    <w:p>
      <w:pPr>
        <w:spacing w:after="56"/>
      </w:pPr>
      <w:r>
        <w:t>This calculation method is used for both RCCS and ALCS. The only difference is the set of dimensions and their weights.</w:t>
      </w:r>
    </w:p>
    <w:p>
      <w:pPr>
        <w:pStyle w:val="Heading2"/>
      </w:pPr>
      <w:r>
        <w:t>7.4 RCCS Boundary Statement</w:t>
      </w:r>
    </w:p>
    <w:p>
      <w:pPr>
        <w:spacing w:after="56"/>
      </w:pPr>
      <w:r>
        <w:t>RCCS is an analytical scoring framework, not a legal compliance score. This boundary must be understood clearly to avoid misinterpretation.</w:t>
      </w:r>
    </w:p>
    <w:p>
      <w:pPr>
        <w:spacing w:after="56"/>
      </w:pPr>
      <w:r>
        <w:t>What RCCS is:</w:t>
      </w:r>
    </w:p>
    <w:p>
      <w:pPr>
        <w:pStyle w:val="ListBullet"/>
        <w:spacing w:after="56"/>
      </w:pPr>
      <w:r>
        <w:t>An analytical framework for comparing system capabilities against regulatory ideals</w:t>
      </w:r>
    </w:p>
    <w:p>
      <w:pPr>
        <w:pStyle w:val="ListBullet"/>
        <w:spacing w:after="56"/>
      </w:pPr>
      <w:r>
        <w:t>A structured method for evaluating whether a system provides governance primitives</w:t>
      </w:r>
    </w:p>
    <w:p>
      <w:pPr>
        <w:pStyle w:val="ListBullet"/>
        <w:spacing w:after="56"/>
      </w:pPr>
      <w:r>
        <w:t>A tool for buyers, auditors, and governance teams to assess system readiness</w:t>
      </w:r>
    </w:p>
    <w:p>
      <w:pPr>
        <w:pStyle w:val="ListBullet"/>
        <w:spacing w:after="56"/>
      </w:pPr>
      <w:r>
        <w:t>A bridge between regulatory language and engineering implementation</w:t>
      </w:r>
    </w:p>
    <w:p>
      <w:pPr>
        <w:spacing w:after="56"/>
      </w:pPr>
      <w:r>
        <w:t>What RCCS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RCCS score does NOT mean legal compliance. A system may score well on RCCS while the organization using it fails to comply with legal obligations due to deployment gaps, policy weaknesses, incomplete adoption, or jurisdictional differences.</w:t>
      </w:r>
    </w:p>
    <w:p>
      <w:pPr>
        <w:pStyle w:val="ListNumber"/>
        <w:spacing w:after="56"/>
      </w:pPr>
      <w:r>
        <w:t>Low RCCS score does NOT mean non-compliance. A system may score lower on RCCS while the organization achieves compliance through compensating controls, manual processes, or alternative governance mechanisms.</w:t>
      </w:r>
    </w:p>
    <w:p>
      <w:pPr>
        <w:pStyle w:val="ListNumber"/>
        <w:spacing w:after="56"/>
      </w:pPr>
      <w:r>
        <w:t>RCCS measures system capability, not organizational practice. A system may provide strong governance primitives while the organization fails to use them. Conversely, an organization may achieve strong governance through processes that are not reflected in system capabilities.</w:t>
      </w:r>
    </w:p>
    <w:p>
      <w:pPr>
        <w:pStyle w:val="ListNumber"/>
        <w:spacing w:after="56"/>
      </w:pPr>
      <w:r>
        <w:t>RCCS is context-independent, but compliance is context-dependent. RCCS evaluates system capabilities without regard to deployment context, risk class, jurisdiction, or use case. Legal compliance depends on all of these factors.</w:t>
      </w:r>
    </w:p>
    <w:p>
      <w:pPr>
        <w:spacing w:after="56"/>
      </w:pPr>
      <w:r>
        <w:t>The purpose of this boundary statement is to prevent over-claiming. RCCS is a useful analytical tool, but it is not a compliance certification. Organizations must not rely on RCCS scores as proof of legal compliance. Buyers must not treat high RCCS scores as a substitute for due diligence, legal review, or risk assessment.</w:t>
      </w:r>
    </w:p>
    <w:p>
      <w:pPr>
        <w:pStyle w:val="Heading2"/>
      </w:pPr>
      <w:r>
        <w:t>7.5 Bridge to Dimension Sections</w:t>
      </w:r>
    </w:p>
    <w:p>
      <w:pPr>
        <w:spacing w:after="56"/>
      </w:pPr>
      <w:r>
        <w:t>The following sections (7.6 through 7.15) detail each RCCS dimension. Each dimension section includes:</w:t>
      </w:r>
    </w:p>
    <w:p>
      <w:pPr>
        <w:pStyle w:val="ListBullet"/>
        <w:spacing w:after="56"/>
      </w:pPr>
      <w:r>
        <w:t>Regulatory basis - Which frameworks and requirements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regulatory abstractions into concrete system features that can be evaluated through documentation review, API inspection, and evidence analysis.</w:t>
      </w:r>
    </w:p>
    <w:p>
      <w:pPr>
        <w:spacing w:after="56"/>
      </w:pPr>
      <w:r>
        <w:t>The body chapter includes compact dimension rubrics for reader continuity; Appendix E provides the reusable detailed RCCS scoring reference.</w:t>
      </w:r>
    </w:p>
    <w:p>
      <w:pPr>
        <w:pStyle w:val="Heading2"/>
      </w:pPr>
      <w:r>
        <w:t>7.6 RCCS-01: Risk Management</w:t>
      </w:r>
    </w:p>
    <w:p>
      <w:pPr>
        <w:pStyle w:val="Heading3"/>
      </w:pPr>
      <w:r>
        <w:t>Regulatory Basis</w:t>
      </w:r>
    </w:p>
    <w:p>
      <w:pPr>
        <w:spacing w:after="56"/>
      </w:pPr>
      <w:r>
        <w:t>Risk management is the highest-weighted RCCS dimension because it appears as a core requirement across all major frameworks. EU AI Act Article 9 requires providers of high-risk AI systems to establish, implement, document, and maintain a risk management system. NIST AI RMF 1.0 structures its entire framework around four risk management functions: Govern, Map, Measure, and Manage. ISO/IEC 42001 requires organizations to establish and maintain processes for identifying, analyzing, evaluating, and treating AI-related risks throughout the system lifecycle.</w:t>
      </w:r>
    </w:p>
    <w:p>
      <w:pPr>
        <w:spacing w:after="56"/>
      </w:pPr>
      <w:r>
        <w:t>These frameworks converge on a shared expectation: AI systems must support continuous risk identification, assessment, mitigation, and monitoring. Risk management is not a one-time activity performed during model development. It is a lifecycle discipline that must be maintained across deployment, operation, updates, and decommissioning.</w:t>
      </w:r>
    </w:p>
    <w:p>
      <w:pPr>
        <w:pStyle w:val="Heading3"/>
      </w:pPr>
      <w:r>
        <w:t>Core Question</w:t>
      </w:r>
    </w:p>
    <w:p>
      <w:pPr>
        <w:spacing w:after="56"/>
      </w:pPr>
      <w:r>
        <w:t>Does the system support risk identification, assessment, mitigation, and continuous monitoring across the AI lifecycle?</w:t>
      </w:r>
    </w:p>
    <w:p>
      <w:pPr>
        <w:pStyle w:val="Heading3"/>
      </w:pPr>
      <w:r>
        <w:t>Scoring Rubric</w:t>
      </w:r>
    </w:p>
    <w:p>
      <w:pPr>
        <w:keepNext/>
      </w:pPr>
      <w:r>
        <w:rPr>
          <w:b/>
          <w:sz w:val="16"/>
        </w:rPr>
        <w:t>Table T-07-03: RCCS-01 Risk Management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risk management capability</w:t>
            </w:r>
          </w:p>
        </w:tc>
        <w:tc>
          <w:tcPr>
            <w:tcW w:type="dxa" w:w="3408"/>
          </w:tcPr>
          <w:p>
            <w:pPr>
              <w:spacing w:after="0"/>
            </w:pPr>
            <w:r>
              <w:rPr>
                <w:rFonts w:ascii="Arial" w:hAnsi="Arial"/>
                <w:b w:val="0"/>
                <w:sz w:val="14"/>
              </w:rPr>
              <w:t>No risk management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risk management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Risk assessment tools exist but are limited to specific phases (e.g., model development only) or lack integration with execution controls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Risk registers, assessment workflows, and mitigation tracking exist; some gaps in continuous monitoring or cross-lifecycle integration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risk lifecycle support including identification, assessment, mitigation tracking, continuous monitoring, and risk-based controls integrated across all system phases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When evaluating a system for risk management capability, look for evidence of four core functions: risk identification, risk assessment, risk mitigation, and continuous monitoring.</w:t>
      </w:r>
    </w:p>
    <w:p>
      <w:pPr>
        <w:spacing w:after="56"/>
      </w:pPr>
      <w:r>
        <w:t>Risk identification requires mechanisms for discovering and documenting risks. Strong systems provide risk registers, risk taxonomies, and workflows for capturing risks from multiple sources including model evaluation, deployment review, incident reports, and external threat intelligence. Weak systems rely on manual documentation without structured capture mechanisms.</w:t>
      </w:r>
    </w:p>
    <w:p>
      <w:pPr>
        <w:spacing w:after="56"/>
      </w:pPr>
      <w:r>
        <w:t>Risk assessment requires methods for analyzing and prioritizing risks. Look for risk scoring frameworks, impact and likelihood matrices, risk classification schemes, and decision workflows that route high-risk scenarios to appropriate review or mitigation. Systems that provide only generic risk labels without assessment workflows score lower.</w:t>
      </w:r>
    </w:p>
    <w:p>
      <w:pPr>
        <w:spacing w:after="56"/>
      </w:pPr>
      <w:r>
        <w:t>Risk mitigation requires tracking and verification of risk controls. Strong systems link identified risks to specific mitigation measures, track implementation status, and verify that controls are active before deployment. Systems that document mitigations without enforcement or verification score lower.</w:t>
      </w:r>
    </w:p>
    <w:p>
      <w:pPr>
        <w:spacing w:after="56"/>
      </w:pPr>
      <w:r>
        <w:t>Continuous monitoring requires runtime risk detection and response. Look for monitoring dashboards, alerting mechanisms, drift detection, and incident response workflows that connect runtime observations back to the risk register. Systems that perform risk assessment only at design time without runtime monitoring score lower.</w:t>
      </w:r>
    </w:p>
    <w:p>
      <w:pPr>
        <w:pStyle w:val="Heading3"/>
      </w:pPr>
      <w:r>
        <w:t>Common Gaps</w:t>
      </w:r>
    </w:p>
    <w:p>
      <w:pPr>
        <w:spacing w:after="56"/>
      </w:pPr>
      <w:r>
        <w:t>The most common gap is risk assessment that exists for model development but does not extend to agent execution, tool use, or multi-agent handoffs. Organizations may have strong ML risk management practices while lacking risk controls for agentic workflows. Another common gap is risk registers that document risks without linking them to runtime controls or monitoring, creating a disconnect between risk identification and risk mitigation.</w:t>
      </w:r>
    </w:p>
    <w:p>
      <w:pPr>
        <w:pStyle w:val="Heading2"/>
      </w:pPr>
      <w:r>
        <w:t>7.7 RCCS-02: Data Governance</w:t>
      </w:r>
    </w:p>
    <w:p>
      <w:pPr>
        <w:pStyle w:val="Heading3"/>
      </w:pPr>
      <w:r>
        <w:t>Regulatory Basis</w:t>
      </w:r>
    </w:p>
    <w:p>
      <w:pPr>
        <w:spacing w:after="56"/>
      </w:pPr>
      <w:r>
        <w:t>Data governance requirements stem from GDPR Article 5, which establishes principles for processing personal data including data quality, purpose limitation, and data minimization. EU AI Act Article 10 requires providers to ensure that training, validation, and testing datasets are subject to appropriate data governance and management practices. ISO/IEC 42001 requires organizations to establish and maintain data management processes covering data quality, data lifecycle, and data provenance.</w:t>
      </w:r>
    </w:p>
    <w:p>
      <w:pPr>
        <w:spacing w:after="56"/>
      </w:pPr>
      <w:r>
        <w:t>For agentic systems, data governance extends beyond training datasets to include runtime data flows: retrieval results, tool payloads, memory contents, agent handoff data, and evidence records. Data governance must track what data enters the system, how it flows through agents and tools, where it is stored, and when it is deleted.</w:t>
      </w:r>
    </w:p>
    <w:p>
      <w:pPr>
        <w:pStyle w:val="Heading3"/>
      </w:pPr>
      <w:r>
        <w:t>Core Question</w:t>
      </w:r>
    </w:p>
    <w:p>
      <w:pPr>
        <w:spacing w:after="56"/>
      </w:pPr>
      <w:r>
        <w:t>Does the system track data lineage, quality, lifecycle, and provenance across agent execution?</w:t>
      </w:r>
    </w:p>
    <w:p>
      <w:pPr>
        <w:pStyle w:val="Heading3"/>
      </w:pPr>
      <w:r>
        <w:t>Scoring Rubric</w:t>
      </w:r>
    </w:p>
    <w:p>
      <w:pPr>
        <w:keepNext/>
      </w:pPr>
      <w:r>
        <w:rPr>
          <w:b/>
          <w:sz w:val="16"/>
        </w:rPr>
        <w:t>Table T-07-04: RCCS-02 Data Governance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data governance capability</w:t>
            </w:r>
          </w:p>
        </w:tc>
        <w:tc>
          <w:tcPr>
            <w:tcW w:type="dxa" w:w="3408"/>
          </w:tcPr>
          <w:p>
            <w:pPr>
              <w:spacing w:after="0"/>
            </w:pPr>
            <w:r>
              <w:rPr>
                <w:rFonts w:ascii="Arial" w:hAnsi="Arial"/>
                <w:b w:val="0"/>
                <w:sz w:val="14"/>
              </w:rPr>
              <w:t>No data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governance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catalogs or lineage tracking exist but are limited to training data or specific data sources; runtime data flows are not tracked</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lineage, quality metrics, and lifecycle management exist for most data flows; some gaps in agent-to-agent data tracking or memory system governance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governance covering training data, runtime retrieval, tool payloads, memory contents, agent handoffs, and evidence records with full lineage, quality metrics, and lifecycle management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Data governance evaluation requires examining four capabilities: data cataloging, lineage tracking, quality management, and lifecycle controls.</w:t>
      </w:r>
    </w:p>
    <w:p>
      <w:pPr>
        <w:spacing w:after="56"/>
      </w:pPr>
      <w:r>
        <w:t>Data cataloging requires inventories of data sources, datasets, and data flows. Strong systems maintain catalogs that identify what data is available, where it originates, what sensitivity classifications apply, and what usage restrictions exist. Look for data catalogs that cover not only training datasets but also runtime data sources such as retrieval systems, tool APIs, and memory stores.</w:t>
      </w:r>
    </w:p>
    <w:p>
      <w:pPr>
        <w:spacing w:after="56"/>
      </w:pPr>
      <w:r>
        <w:t>Lineage tracking requires the ability to trace data from source to consumption. Evaluate whether the system can show where a piece of data originated, which agents accessed it, which tools processed it, and where it was stored or transmitted. Systems that track lineage only for training pipelines but not for runtime agent execution score lower.</w:t>
      </w:r>
    </w:p>
    <w:p>
      <w:pPr>
        <w:spacing w:after="56"/>
      </w:pPr>
      <w:r>
        <w:t>Quality management requires metrics and controls for data accuracy, completeness, consistency, and timeliness. Look for data quality dashboards, validation rules, and quality gates that prevent low-quality data from entering critical workflows. Systems that assume data quality without measurement or enforcement score lower.</w:t>
      </w:r>
    </w:p>
    <w:p>
      <w:pPr>
        <w:spacing w:after="56"/>
      </w:pPr>
      <w:r>
        <w:t>Lifecycle controls require policies and mechanisms for data retention, archival, and deletion. Evaluate whether the system enforces retention periods, supports data subject deletion requests, and can prove that data was deleted when required. Systems that retain data indefinitely without lifecycle policies score lower.</w:t>
      </w:r>
    </w:p>
    <w:p>
      <w:pPr>
        <w:pStyle w:val="Heading3"/>
      </w:pPr>
      <w:r>
        <w:t>Common Gaps</w:t>
      </w:r>
    </w:p>
    <w:p>
      <w:pPr>
        <w:spacing w:after="56"/>
      </w:pPr>
      <w:r>
        <w:t>The most common gap is data governance that covers training data but not runtime data flows. Organizations may have strong data catalogs and lineage tracking for ML pipelines while lacking visibility into what data agents retrieve, process, and store during execution. Another common gap is data quality controls that apply to databases but not to agent memory systems or tool payloads, creating blind spots in data governance coverage.</w:t>
      </w:r>
    </w:p>
    <w:p>
      <w:pPr>
        <w:pStyle w:val="Heading2"/>
      </w:pPr>
      <w:r>
        <w:t>7.8 RCCS-03: Documentation</w:t>
      </w:r>
    </w:p>
    <w:p>
      <w:pPr>
        <w:pStyle w:val="Heading3"/>
      </w:pPr>
      <w:r>
        <w:t>Regulatory Basis</w:t>
      </w:r>
    </w:p>
    <w:p>
      <w:pPr>
        <w:spacing w:after="56"/>
      </w:pPr>
      <w:r>
        <w:t>Documentation requirements are established in EU AI Act Article 11, which requires providers of high-risk AI systems to draw up technical documentation that demonstrates compliance with regulatory requirements. ISO/IEC 42001 requires organizations to maintain documented information necessary for the effectiveness of the AI management system. NIST AI RMF Govern function includes documentation of AI system characteristics, intended use, and risk management decisions.</w:t>
      </w:r>
    </w:p>
    <w:p>
      <w:pPr>
        <w:spacing w:after="56"/>
      </w:pPr>
      <w:r>
        <w:t>Documentation is not merely a compliance artifact. It is the primary mechanism for communicating system capabilities, limitations, and governance controls to deployers, operators, auditors, and regulators. For agentic systems, documentation must cover not only model characteristics but also agent roles, authority boundaries, tool permissions, and lifecycle controls.</w:t>
      </w:r>
    </w:p>
    <w:p>
      <w:pPr>
        <w:pStyle w:val="Heading3"/>
      </w:pPr>
      <w:r>
        <w:t>Core Question</w:t>
      </w:r>
    </w:p>
    <w:p>
      <w:pPr>
        <w:spacing w:after="56"/>
      </w:pPr>
      <w:r>
        <w:t>Does the system produce and maintain required technical documentation across the system lifecycle?</w:t>
      </w:r>
    </w:p>
    <w:p>
      <w:pPr>
        <w:pStyle w:val="Heading3"/>
      </w:pPr>
      <w:r>
        <w:t>Scoring Rubric</w:t>
      </w:r>
    </w:p>
    <w:p>
      <w:pPr>
        <w:keepNext/>
      </w:pPr>
      <w:r>
        <w:rPr>
          <w:b/>
          <w:sz w:val="16"/>
        </w:rPr>
        <w:t>Table T-07-05: RCCS-03 Documentation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documentation capability</w:t>
            </w:r>
          </w:p>
        </w:tc>
        <w:tc>
          <w:tcPr>
            <w:tcW w:type="dxa" w:w="3408"/>
          </w:tcPr>
          <w:p>
            <w:pPr>
              <w:spacing w:after="0"/>
            </w:pPr>
            <w:r>
              <w:rPr>
                <w:rFonts w:ascii="Arial" w:hAnsi="Arial"/>
                <w:b w:val="0"/>
                <w:sz w:val="14"/>
              </w:rPr>
              <w:t>No documentation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documentation requirements but provides no automated generation or maintenance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cards or system documentation exist but are manually maintained and not version-controlled or linked to deployments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Automated documentation generation exists for models and some system components; some gaps in agent role documentation, tool documentation, or deployment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automated documentation covering models, agents, tools, authority boundaries, deployment configurations, and change history with version control and deployment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Documentation evaluation requires examining four capabilities: documentation generation, version control, deployment linkage, and coverage completeness.</w:t>
      </w:r>
    </w:p>
    <w:p>
      <w:pPr>
        <w:spacing w:after="56"/>
      </w:pPr>
      <w:r>
        <w:t>Documentation generation requires mechanisms for producing required documentation artifacts. Look for automated generation of model cards, system cards, agent role definitions, tool specifications, and deployment documentation. Systems that rely entirely on manual documentation score lower because manual processes are error-prone and difficult to maintain.</w:t>
      </w:r>
    </w:p>
    <w:p>
      <w:pPr>
        <w:spacing w:after="56"/>
      </w:pPr>
      <w:r>
        <w:t>Version control requires tracking documentation changes over time. Evaluate whether documentation is version-controlled alongside code and configuration, whether changes are linked to specific releases or deployments, and whether historical documentation can be retrieved for audit purposes. Systems that maintain documentation in separate systems without version control score lower.</w:t>
      </w:r>
    </w:p>
    <w:p>
      <w:pPr>
        <w:spacing w:after="56"/>
      </w:pPr>
      <w:r>
        <w:t>Deployment linkage requires connecting documentation to specific deployed instances. Strong systems can show which documentation version applies to which deployment, enabling auditors to verify that deployed systems match their documentation. Systems that maintain documentation separately from deployment records score lower.</w:t>
      </w:r>
    </w:p>
    <w:p>
      <w:pPr>
        <w:spacing w:after="56"/>
      </w:pPr>
      <w:r>
        <w:t>Coverage completeness requires documentation for all system components that affect governance. For agentic systems, this includes not only model documentation but also agent role definitions, authority boundaries, tool permissions, memory system configurations, and human oversight mechanisms. Systems that document models but not agent governance primitives score lower.</w:t>
      </w:r>
    </w:p>
    <w:p>
      <w:pPr>
        <w:pStyle w:val="Heading3"/>
      </w:pPr>
      <w:r>
        <w:t>Common Gaps</w:t>
      </w:r>
    </w:p>
    <w:p>
      <w:pPr>
        <w:spacing w:after="56"/>
      </w:pPr>
      <w:r>
        <w:t>The most common gap is documentation that exists but is not version-controlled or linked to deployments. Organizations may maintain model cards and system documentation while lacking the ability to prove which documentation version applied to a specific deployment at a specific time. Another common gap is documentation that covers models but not agent roles, tool permissions, or authority boundaries, leaving governance controls undocumented.</w:t>
      </w:r>
    </w:p>
    <w:p>
      <w:pPr>
        <w:pStyle w:val="Heading2"/>
      </w:pPr>
      <w:r>
        <w:t>7.9 RCCS-04: Record-Keeping</w:t>
      </w:r>
    </w:p>
    <w:p>
      <w:pPr>
        <w:pStyle w:val="Heading3"/>
      </w:pPr>
      <w:r>
        <w:t>Regulatory Basis</w:t>
      </w:r>
    </w:p>
    <w:p>
      <w:pPr>
        <w:spacing w:after="56"/>
      </w:pPr>
      <w:r>
        <w:t>Record-keeping requirements are established in EU AI Act Article 12, which requires providers and deployers of high-risk AI systems to keep logs automatically generated by their systems. GDPR Article 30 requires controllers and processors to maintain records of processing activities. ISO/IEC 42001 requires organizations to maintain records necessary to demonstrate conformity with requirements.</w:t>
      </w:r>
    </w:p>
    <w:p>
      <w:pPr>
        <w:spacing w:after="56"/>
      </w:pPr>
      <w:r>
        <w:t>Record-keeping differs from documentation in that records capture what actually happened during system operation, while documentation describes what the system is designed to do. For agentic systems, records must capture agent decisions, tool invocations, human approvals, authority checks, and outcome acceptance events.</w:t>
      </w:r>
    </w:p>
    <w:p>
      <w:pPr>
        <w:pStyle w:val="Heading3"/>
      </w:pPr>
      <w:r>
        <w:t>Core Question</w:t>
      </w:r>
    </w:p>
    <w:p>
      <w:pPr>
        <w:spacing w:after="56"/>
      </w:pPr>
      <w:r>
        <w:t>Does the system maintain audit trails and evidence records across agent execution?</w:t>
      </w:r>
    </w:p>
    <w:p>
      <w:pPr>
        <w:pStyle w:val="Heading3"/>
      </w:pPr>
      <w:r>
        <w:t>Scoring Rubric</w:t>
      </w:r>
    </w:p>
    <w:p>
      <w:pPr>
        <w:keepNext/>
      </w:pPr>
      <w:r>
        <w:rPr>
          <w:b/>
          <w:sz w:val="16"/>
        </w:rPr>
        <w:t>Table T-07-06: RCCS-04 Record-Keeping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record-keeping capability</w:t>
            </w:r>
          </w:p>
        </w:tc>
        <w:tc>
          <w:tcPr>
            <w:tcW w:type="dxa" w:w="3408"/>
          </w:tcPr>
          <w:p>
            <w:pPr>
              <w:spacing w:after="0"/>
            </w:pPr>
            <w:r>
              <w:rPr>
                <w:rFonts w:ascii="Arial" w:hAnsi="Arial"/>
                <w:b w:val="0"/>
                <w:sz w:val="14"/>
              </w:rPr>
              <w:t>No logging or audit trail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logging but provides no structured record-keeping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logs exist but are not structured for audit purposes; no evidence retention policy or tamper-evident storage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Structured audit trails exist for most lifecycle events; some gaps in evidence retention policies, tamper-evident storage, or cross-agent record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tamper-evident audit trails covering all lifecycle events with structured records, evidence retention policies, integrity verification, and cross-agent record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Record-keeping evaluation requires examining four capabilities: structured logging, audit trail completeness, tamper-evident storage, and retention policies.</w:t>
      </w:r>
    </w:p>
    <w:p>
      <w:pPr>
        <w:spacing w:after="56"/>
      </w:pPr>
      <w:r>
        <w:t>Structured logging requires records that are machine-readable and queryable. Look for structured log formats, consistent schemas, and query interfaces that allow auditors to reconstruct specific events or workflows. Systems that produce only unstructured text logs score lower because they are difficult to audit and analyze.</w:t>
      </w:r>
    </w:p>
    <w:p>
      <w:pPr>
        <w:spacing w:after="56"/>
      </w:pPr>
      <w:r>
        <w:t>Audit trail completeness requires capturing all governance-relevant events. For agentic systems, this includes agent decisions, tool invocations, human approvals, authority checks, risk assessments, data accesses, and outcome acceptance events. Evaluate whether the system captures these events consistently and whether records can be linked across agents and lifecycle phases. Systems that log execution events but not governance events score lower.</w:t>
      </w:r>
    </w:p>
    <w:p>
      <w:pPr>
        <w:spacing w:after="56"/>
      </w:pPr>
      <w:r>
        <w:t>Tamper-evident storage requires mechanisms to detect unauthorized modification of records. Look for cryptographic integrity verification, append-only storage, or blockchain-based audit trails. Systems that store logs in mutable storage without integrity verification score lower because records cannot be trusted in disputes.</w:t>
      </w:r>
    </w:p>
    <w:p>
      <w:pPr>
        <w:spacing w:after="56"/>
      </w:pPr>
      <w:r>
        <w:t>Retention policies require defined periods for retaining different record types. Evaluate whether the system enforces retention periods, supports deletion of expired records, and can prove that records were retained for the required period. Systems that retain all records indefinitely or delete records without policy enforcement score lower.</w:t>
      </w:r>
    </w:p>
    <w:p>
      <w:pPr>
        <w:pStyle w:val="Heading3"/>
      </w:pPr>
      <w:r>
        <w:t>Common Gaps</w:t>
      </w:r>
    </w:p>
    <w:p>
      <w:pPr>
        <w:spacing w:after="56"/>
      </w:pPr>
      <w:r>
        <w:t>The most common gap is logs that exist but are not structured for audit purposes. Organizations may have extensive execution logs while lacking the ability to reconstruct governance events such as authority checks, human approvals, or outcome acceptance. Another common gap is logs stored in mutable systems without integrity verification, making it impossible to prove that records were not altered after the fact.</w:t>
      </w:r>
    </w:p>
    <w:p>
      <w:pPr>
        <w:pStyle w:val="Heading2"/>
      </w:pPr>
      <w:r>
        <w:t>7.10 RCCS-05: Transparency</w:t>
      </w:r>
    </w:p>
    <w:p>
      <w:pPr>
        <w:pStyle w:val="Heading3"/>
      </w:pPr>
      <w:r>
        <w:t>Regulatory Basis</w:t>
      </w:r>
    </w:p>
    <w:p>
      <w:pPr>
        <w:spacing w:after="56"/>
      </w:pPr>
      <w:r>
        <w:t>Transparency requirements are established in EU AI Act Article 13, which requires providers to design and develop high-risk AI systems to be sufficiently transparent to enable deployers to interpret system output and use it appropriately. GDPR Articles 13-14 require controllers to provide information to data subjects about automated decision-making. ISO/IEC 42001 requires organizations to establish transparency mechanisms appropriate to the AI system's risk level and context.</w:t>
      </w:r>
    </w:p>
    <w:p>
      <w:pPr>
        <w:spacing w:after="56"/>
      </w:pPr>
      <w:r>
        <w:t>Transparency serves multiple purposes: enabling deployers to understand system behavior, allowing users to challenge decisions, and supporting auditors in verifying compliance. For agentic systems, transparency must extend beyond model explainability to include agent decision rationale, tool selection justification, and authority boundary explanations.</w:t>
      </w:r>
    </w:p>
    <w:p>
      <w:pPr>
        <w:pStyle w:val="Heading3"/>
      </w:pPr>
      <w:r>
        <w:t>Core Question</w:t>
      </w:r>
    </w:p>
    <w:p>
      <w:pPr>
        <w:spacing w:after="56"/>
      </w:pPr>
      <w:r>
        <w:t>Does the system provide explainability and disclosure mechanisms for agent decisions and outcomes?</w:t>
      </w:r>
    </w:p>
    <w:p>
      <w:pPr>
        <w:pStyle w:val="Heading3"/>
      </w:pPr>
      <w:r>
        <w:t>Scoring Rubric</w:t>
      </w:r>
    </w:p>
    <w:p>
      <w:pPr>
        <w:keepNext/>
      </w:pPr>
      <w:r>
        <w:rPr>
          <w:b/>
          <w:sz w:val="16"/>
        </w:rPr>
        <w:t>Table T-07-07: RCCS-05 Transparency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transparency capability</w:t>
            </w:r>
          </w:p>
        </w:tc>
        <w:tc>
          <w:tcPr>
            <w:tcW w:type="dxa" w:w="3408"/>
          </w:tcPr>
          <w:p>
            <w:pPr>
              <w:spacing w:after="0"/>
            </w:pPr>
            <w:r>
              <w:rPr>
                <w:rFonts w:ascii="Arial" w:hAnsi="Arial"/>
                <w:b w:val="0"/>
                <w:sz w:val="14"/>
              </w:rPr>
              <w:t>No explainability or disclosure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transparency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Model explainability tools exist but do not extend to agent decisions, tool selection, or authority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Explainability mechanisms exist for models and some agent decisions; some gaps in tool selection rationale, authority boundary explanations, or user-facing disclosure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transparency covering model outputs, agent decision rationale, tool selection justification, authority boundaries, and user-facing disclosure mechanisms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Transparency evaluation requires examining four capabilities: model explainability, agent decision rationale, disclosure mechanisms, and user-facing transparency.</w:t>
      </w:r>
    </w:p>
    <w:p>
      <w:pPr>
        <w:spacing w:after="56"/>
      </w:pPr>
      <w:r>
        <w:t>Model explainability requires mechanisms for explaining model outputs. Look for feature importance, attention visualization, counterfactual explanations, or other explainability techniques. However, model explainability alone is insufficient for agentic systems. Evaluate whether explainability extends to agent-level decisions.</w:t>
      </w:r>
    </w:p>
    <w:p>
      <w:pPr>
        <w:spacing w:after="56"/>
      </w:pPr>
      <w:r>
        <w:t>Agent decision rationale requires explanations for why an agent chose a particular action, tool, or delegation path. Strong systems capture and expose the reasoning behind agent decisions, including which information was considered, which constraints were applied, and which alternatives were rejected. Systems that provide only execution traces without decision rationale score lower.</w:t>
      </w:r>
    </w:p>
    <w:p>
      <w:pPr>
        <w:spacing w:after="56"/>
      </w:pPr>
      <w:r>
        <w:t>Disclosure mechanisms require interfaces for communicating system capabilities and limitations to deployers and users. Look for system cards, capability statements, limitation disclosures, and risk warnings. Evaluate whether disclosures are specific and actionable rather than generic disclaimers.</w:t>
      </w:r>
    </w:p>
    <w:p>
      <w:pPr>
        <w:spacing w:after="56"/>
      </w:pPr>
      <w:r>
        <w:t>User-facing transparency requires mechanisms for informing users when they are interacting with an AI system and what decisions are being made. For agentic systems, this includes disclosing when agents are acting autonomously, when human review is required, and how users can challenge decisions. Systems that operate without user awareness score lower.</w:t>
      </w:r>
    </w:p>
    <w:p>
      <w:pPr>
        <w:pStyle w:val="Heading3"/>
      </w:pPr>
      <w:r>
        <w:t>Common Gaps</w:t>
      </w:r>
    </w:p>
    <w:p>
      <w:pPr>
        <w:spacing w:after="56"/>
      </w:pPr>
      <w:r>
        <w:t>The most common gap is model explainability that does not extend to agent decision-making. Organizations may have strong explainability tools for model outputs while lacking visibility into why an agent selected a particular tool, delegated to another agent, or escalated to human review. Another common gap is transparency mechanisms that exist for developers but not for end users, leaving users unable to understand or challenge agent decisions.</w:t>
      </w:r>
    </w:p>
    <w:p>
      <w:pPr>
        <w:pStyle w:val="Heading2"/>
      </w:pPr>
      <w:r>
        <w:t>7.11 RCCS-06: Human Oversight</w:t>
      </w:r>
    </w:p>
    <w:p>
      <w:pPr>
        <w:pStyle w:val="Heading3"/>
      </w:pPr>
      <w:r>
        <w:t>Regulatory Basis</w:t>
      </w:r>
    </w:p>
    <w:p>
      <w:pPr>
        <w:spacing w:after="56"/>
      </w:pPr>
      <w:r>
        <w:t>Human oversight requirements are established in EU AI Act Article 14, which requires high-risk AI systems to be designed and developed to enable effective oversight by natural persons. ISO/IEC 42001 requires organizations to establish human oversight mechanisms appropriate to the AI system's risk level. NIST AI RMF Manage function includes human-AI configuration as a key practice. Singapore MGF for Agentic AI emphasizes making humans meaningfully accountable for agentic system outcomes.</w:t>
      </w:r>
    </w:p>
    <w:p>
      <w:pPr>
        <w:spacing w:after="56"/>
      </w:pPr>
      <w:r>
        <w:t>Human oversight is the second-highest weighted RCCS dimension because it is the primary mechanism for ensuring that AI systems remain under human control. For agentic systems, oversight must be designed into the system architecture, not merely added as a review step after execution.</w:t>
      </w:r>
    </w:p>
    <w:p>
      <w:pPr>
        <w:pStyle w:val="Heading3"/>
      </w:pPr>
      <w:r>
        <w:t>Core Question</w:t>
      </w:r>
    </w:p>
    <w:p>
      <w:pPr>
        <w:spacing w:after="56"/>
      </w:pPr>
      <w:r>
        <w:t>Does the system support human review, approval, intervention, and escalation across agent execution?</w:t>
      </w:r>
    </w:p>
    <w:p>
      <w:pPr>
        <w:pStyle w:val="Heading3"/>
      </w:pPr>
      <w:r>
        <w:t>Scoring Rubric</w:t>
      </w:r>
    </w:p>
    <w:p>
      <w:pPr>
        <w:keepNext/>
      </w:pPr>
      <w:r>
        <w:rPr>
          <w:b/>
          <w:sz w:val="16"/>
        </w:rPr>
        <w:t>Table T-07-08: RCCS-06 Human Oversight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human oversight capability</w:t>
            </w:r>
          </w:p>
        </w:tc>
        <w:tc>
          <w:tcPr>
            <w:tcW w:type="dxa" w:w="3408"/>
          </w:tcPr>
          <w:p>
            <w:pPr>
              <w:spacing w:after="0"/>
            </w:pPr>
            <w:r>
              <w:rPr>
                <w:rFonts w:ascii="Arial" w:hAnsi="Arial"/>
                <w:b w:val="0"/>
                <w:sz w:val="14"/>
              </w:rPr>
              <w:t>No human review or intervention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approval workflows exist but are not mapped to responsibility boundaries or risk levels; no intervention or escalation mechanisms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Human review, approval, and intervention mechanisms exist for most high-risk actions; some gaps in escalation paths, responsibility mapping, or cross-agent oversight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human-in-the-loop controls including risk-based review, approval workflows, intervention mechanisms, escalation paths, and responsibility mapping across all agent actions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Human oversight evaluation requires examining four capabilities: review interfaces, approval workflows, intervention mechanisms, and escalation paths.</w:t>
      </w:r>
    </w:p>
    <w:p>
      <w:pPr>
        <w:spacing w:after="56"/>
      </w:pPr>
      <w:r>
        <w:t>Review interfaces require mechanisms for humans to examine agent plans, decisions, and outputs before they take effect. Look for review dashboards, approval queues, and decision summaries that present relevant information to human reviewers. Evaluate whether review interfaces are designed for the specific oversight task rather than generic log viewers. Systems that require humans to review raw execution logs score lower.</w:t>
      </w:r>
    </w:p>
    <w:p>
      <w:pPr>
        <w:spacing w:after="56"/>
      </w:pPr>
      <w:r>
        <w:t>Approval workflows require explicit human authorization before high-risk actions execute. Strong systems identify which actions require approval based on risk level, authority boundaries, or policy rules, and enforce approval requirements before execution. Look for approval routing, approval tracking, and approval evidence capture. Systems that allow high-risk actions to execute without approval score lower.</w:t>
      </w:r>
    </w:p>
    <w:p>
      <w:pPr>
        <w:spacing w:after="56"/>
      </w:pPr>
      <w:r>
        <w:t>Intervention mechanisms require the ability for humans to stop, modify, or override agent actions. Evaluate whether humans can intervene during execution, whether intervention is recorded as evidence, and whether agents respect intervention signals. Systems that allow agents to continue executing after human intervention requests score lower.</w:t>
      </w:r>
    </w:p>
    <w:p>
      <w:pPr>
        <w:spacing w:after="56"/>
      </w:pPr>
      <w:r>
        <w:t>Escalation paths require routing decisions to appropriate human roles based on risk, complexity, or policy violations. Look for escalation rules, escalation routing, and escalation tracking. Strong systems escalate automatically when agents encounter situations beyond their authority or capability. Systems that require agents to decide when to escalate score lower.</w:t>
      </w:r>
    </w:p>
    <w:p>
      <w:pPr>
        <w:pStyle w:val="Heading3"/>
      </w:pPr>
      <w:r>
        <w:t>Common Gaps</w:t>
      </w:r>
    </w:p>
    <w:p>
      <w:pPr>
        <w:spacing w:after="56"/>
      </w:pPr>
      <w:r>
        <w:t>The most common gap is human review that exists but is not mapped to responsibility boundaries. Organizations may have approval workflows while lacking clarity about which human role is accountable for which agent decision. Another common gap is oversight mechanisms that apply to final outputs but not to intermediate agent decisions, tool selections, or authority transitions, allowing agents to drift beyond their intended scope before human review occurs.</w:t>
      </w:r>
    </w:p>
    <w:p>
      <w:pPr>
        <w:pStyle w:val="Heading2"/>
      </w:pPr>
      <w:r>
        <w:t>7.12 RCCS-07: Security</w:t>
      </w:r>
    </w:p>
    <w:p>
      <w:pPr>
        <w:pStyle w:val="Heading3"/>
      </w:pPr>
      <w:r>
        <w:t>Regulatory Basis</w:t>
      </w:r>
    </w:p>
    <w:p>
      <w:pPr>
        <w:spacing w:after="56"/>
      </w:pPr>
      <w:r>
        <w:t>Security requirements are established in EU AI Act Article 15, which requires high-risk AI systems to be resilient against attempts to alter their use or performance through exploitation of system vulnerabilities. GDPR Article 32 requires controllers and processors to implement appropriate technical and organizational measures to ensure a level of security appropriate to the risk. ISO/IEC 42001 requires organizations to establish security controls for AI systems.</w:t>
      </w:r>
    </w:p>
    <w:p>
      <w:pPr>
        <w:spacing w:after="56"/>
      </w:pPr>
      <w:r>
        <w:t>Security is foundational for all other governance controls. Without security, risk management, documentation, record-keeping, and oversight mechanisms can be bypassed or manipulated. For agentic systems, security must cover not only platform security but also agent-to-agent communication, tool access controls, and authority boundary enforcement.</w:t>
      </w:r>
    </w:p>
    <w:p>
      <w:pPr>
        <w:pStyle w:val="Heading3"/>
      </w:pPr>
      <w:r>
        <w:t>Core Question</w:t>
      </w:r>
    </w:p>
    <w:p>
      <w:pPr>
        <w:spacing w:after="56"/>
      </w:pPr>
      <w:r>
        <w:t>Does the system implement security controls, access management, and threat protection across agent execution?</w:t>
      </w:r>
    </w:p>
    <w:p>
      <w:pPr>
        <w:pStyle w:val="Heading3"/>
      </w:pPr>
      <w:r>
        <w:t>Scoring Rubric</w:t>
      </w:r>
    </w:p>
    <w:p>
      <w:pPr>
        <w:keepNext/>
      </w:pPr>
      <w:r>
        <w:rPr>
          <w:b/>
          <w:sz w:val="16"/>
        </w:rPr>
        <w:t>Table T-07-09: RCCS-07 Security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security capability</w:t>
            </w:r>
          </w:p>
        </w:tc>
        <w:tc>
          <w:tcPr>
            <w:tcW w:type="dxa" w:w="3408"/>
          </w:tcPr>
          <w:p>
            <w:pPr>
              <w:spacing w:after="0"/>
            </w:pPr>
            <w:r>
              <w:rPr>
                <w:rFonts w:ascii="Arial" w:hAnsi="Arial"/>
                <w:b w:val="0"/>
                <w:sz w:val="14"/>
              </w:rPr>
              <w:t>No security controls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security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Platform security exists but does not extend to agent-to-agent communication, tool access controls, or authority boundary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Security controls exist for platform, agent communication, and tool access; some gaps in threat detection, security monitoring, or authority boundary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security architecture covering platform security, agent-to-agent communication, tool access controls, authority boundary enforcement, threat detection, and security monitoring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Security evaluation requires examining four capabilities: access controls, communication security, threat protection, and security monitoring.</w:t>
      </w:r>
    </w:p>
    <w:p>
      <w:pPr>
        <w:spacing w:after="56"/>
      </w:pPr>
      <w:r>
        <w:t>Access controls require authentication, authorization, and permission management. Look for identity management, role-based access control, and least-privilege enforcement. For agentic systems, evaluate whether access controls apply not only to human users but also to agents and tools. Systems that grant broad permissions to agents without fine-grained access control score lower.</w:t>
      </w:r>
    </w:p>
    <w:p>
      <w:pPr>
        <w:spacing w:after="56"/>
      </w:pPr>
      <w:r>
        <w:t>Communication security requires encryption and integrity protection for data in transit. Evaluate whether agent-to-agent communication, agent-to-tool communication, and agent-to-external-system communication are encrypted and authenticated. Systems that transmit sensitive data or credentials in plaintext score lower.</w:t>
      </w:r>
    </w:p>
    <w:p>
      <w:pPr>
        <w:spacing w:after="56"/>
      </w:pPr>
      <w:r>
        <w:t>Threat protection requires defenses against adversarial attacks, prompt injection, and unauthorized access. Look for input validation, output filtering, and adversarial robustness testing. For agentic systems, evaluate whether the system protects against prompt injection attacks that could manipulate agent behavior or bypass authority boundaries. Systems without adversarial defenses score lower.</w:t>
      </w:r>
    </w:p>
    <w:p>
      <w:pPr>
        <w:spacing w:after="56"/>
      </w:pPr>
      <w:r>
        <w:t>Security monitoring requires detection and response to security events. Look for security logging, anomaly detection, and incident response workflows. Evaluate whether security monitoring covers agent behavior, tool usage, and authority boundary violations. Systems that monitor platform security but not agent security score lower.</w:t>
      </w:r>
    </w:p>
    <w:p>
      <w:pPr>
        <w:pStyle w:val="Heading3"/>
      </w:pPr>
      <w:r>
        <w:t>Common Gaps</w:t>
      </w:r>
    </w:p>
    <w:p>
      <w:pPr>
        <w:spacing w:after="56"/>
      </w:pPr>
      <w:r>
        <w:t>The most common gap is platform security that does not extend to agent-to-agent communication or tool access controls. Organizations may have strong perimeter security while lacking visibility into how agents communicate with each other or which tools agents can access. Another common gap is security controls that protect against external threats but not against prompt injection or adversarial manipulation of agent behavior.</w:t>
      </w:r>
    </w:p>
    <w:p>
      <w:pPr>
        <w:pStyle w:val="Heading2"/>
      </w:pPr>
      <w:r>
        <w:t>7.13 RCCS-08: Accountability</w:t>
      </w:r>
    </w:p>
    <w:p>
      <w:pPr>
        <w:pStyle w:val="Heading3"/>
      </w:pPr>
      <w:r>
        <w:t>Regulatory Basis</w:t>
      </w:r>
    </w:p>
    <w:p>
      <w:pPr>
        <w:spacing w:after="56"/>
      </w:pPr>
      <w:r>
        <w:t>Accountability requirements are established in GDPR Article 5(2), which requires controllers to be responsible for and able to demonstrate compliance with data protection principles. EU AI Act Article 26 establishes responsibilities along the AI value chain, clarifying obligations for providers, deployers, importers, and distributors. ISO/IEC 42001 requires organizations to establish accountability mechanisms for AI system decisions and outcomes. Singapore MGF for Agentic AI emphasizes making humans meaningfully accountable for agentic system outcomes.</w:t>
      </w:r>
    </w:p>
    <w:p>
      <w:pPr>
        <w:spacing w:after="56"/>
      </w:pPr>
      <w:r>
        <w:t>Accountability is the principle that someone must be responsible for AI system decisions and outcomes. For agentic systems, accountability requires clear assignment of responsibility for agent actions, tool use, and outcomes, with evidence to prove who was responsible for what.</w:t>
      </w:r>
    </w:p>
    <w:p>
      <w:pPr>
        <w:pStyle w:val="Heading3"/>
      </w:pPr>
      <w:r>
        <w:t>Core Question</w:t>
      </w:r>
    </w:p>
    <w:p>
      <w:pPr>
        <w:spacing w:after="56"/>
      </w:pPr>
      <w:r>
        <w:t>Does the system assign responsibility and track accountability for agent decisions and outcomes?</w:t>
      </w:r>
    </w:p>
    <w:p>
      <w:pPr>
        <w:pStyle w:val="Heading3"/>
      </w:pPr>
      <w:r>
        <w:t>Scoring Rubric</w:t>
      </w:r>
    </w:p>
    <w:p>
      <w:pPr>
        <w:keepNext/>
      </w:pPr>
      <w:r>
        <w:rPr>
          <w:b/>
          <w:sz w:val="16"/>
        </w:rPr>
        <w:t>Table T-07-10: RCCS-08 Accountability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accountability capability</w:t>
            </w:r>
          </w:p>
        </w:tc>
        <w:tc>
          <w:tcPr>
            <w:tcW w:type="dxa" w:w="3408"/>
          </w:tcPr>
          <w:p>
            <w:pPr>
              <w:spacing w:after="0"/>
            </w:pPr>
            <w:r>
              <w:rPr>
                <w:rFonts w:ascii="Arial" w:hAnsi="Arial"/>
                <w:b w:val="0"/>
                <w:sz w:val="14"/>
              </w:rPr>
              <w:t>No responsibility assignment or accountability tracking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accountability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Responsibility assignment exists for models but does not extend to agent actions, tool use, or multi-agent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Accountability mechanisms exist for most agent actions and outcomes; some gaps in tool use accountability, cross-agent responsibility tracking, or evidence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accountability covering responsibility assignment for all agent actions, tool use, outcomes, and multi-agent handoffs with evidence linkage and accountability reports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Accountability evaluation requires examining four capabilities: responsibility assignment, decision tracking, accountability reports, and evidence linkage.</w:t>
      </w:r>
    </w:p>
    <w:p>
      <w:pPr>
        <w:spacing w:after="56"/>
      </w:pPr>
      <w:r>
        <w:t>Responsibility assignment requires explicit identification of who is accountable for each agent decision and outcome. Look for responsibility mappings that link human roles to agent roles, agent roles to specific actions, and actions to outcomes. Evaluate whether responsibility assignments are documented, enforced, and auditable. Systems that execute agent actions without clear responsibility assignment score lower.</w:t>
      </w:r>
    </w:p>
    <w:p>
      <w:pPr>
        <w:spacing w:after="56"/>
      </w:pPr>
      <w:r>
        <w:t>Decision tracking requires capturing who made each decision and on what basis. For agentic systems, this includes not only human decisions but also agent decisions that were delegated by humans. Look for decision logs that record decision maker, decision rationale, decision timestamp, and decision outcome. Systems that track execution events but not decision accountability score lower.</w:t>
      </w:r>
    </w:p>
    <w:p>
      <w:pPr>
        <w:spacing w:after="56"/>
      </w:pPr>
      <w:r>
        <w:t>Accountability reports require mechanisms for demonstrating who was responsible for what. Look for accountability dashboards, responsibility matrices, and audit reports that show responsibility assignments and decision outcomes. Evaluate whether reports can be generated for specific time periods, projects, or incidents. Systems without accountability reporting capabilities score lower.</w:t>
      </w:r>
    </w:p>
    <w:p>
      <w:pPr>
        <w:spacing w:after="56"/>
      </w:pPr>
      <w:r>
        <w:t>Evidence linkage requires connecting accountability assignments to evidence records. Strong systems can show not only who was responsible but also what evidence supports that responsibility assignment. Look for evidence pointers in responsibility records and responsibility metadata in evidence records. Systems that maintain responsibility assignments separately from evidence score lower.</w:t>
      </w:r>
    </w:p>
    <w:p>
      <w:pPr>
        <w:pStyle w:val="Heading3"/>
      </w:pPr>
      <w:r>
        <w:t>Common Gaps</w:t>
      </w:r>
    </w:p>
    <w:p>
      <w:pPr>
        <w:spacing w:after="56"/>
      </w:pPr>
      <w:r>
        <w:t>The most common gap is accountability for models but not for agent actions or tool use. Organizations may have clear responsibility assignments for model development and deployment while lacking accountability for what agents do with those models during execution. Another common gap is accountability assignments that exist in documentation but are not enforced or tracked during execution, making it impossible to prove who was actually responsible for a specific decision or outcome.</w:t>
      </w:r>
    </w:p>
    <w:p>
      <w:pPr>
        <w:pStyle w:val="Heading2"/>
      </w:pPr>
      <w:r>
        <w:t>7.14 RCCS-09: Contestability</w:t>
      </w:r>
    </w:p>
    <w:p>
      <w:pPr>
        <w:pStyle w:val="Heading3"/>
      </w:pPr>
      <w:r>
        <w:t>Regulatory Basis</w:t>
      </w:r>
    </w:p>
    <w:p>
      <w:pPr>
        <w:spacing w:after="56"/>
      </w:pPr>
      <w:r>
        <w:t>Contestability requirements are established in EU AI Act Article 86, which provides for the right to explanation and individual decision-making. GDPR Article 22 establishes the right not to be subject to automated decision-making without human involvement and the right to obtain human intervention, express one's point of view, and contest the decision. ISO/IEC 42001 requires organizations to establish mechanisms for challenging AI system decisions. Singapore MGF for Agentic AI emphasizes enabling end-user responsibility, which includes the ability to challenge outcomes.</w:t>
      </w:r>
    </w:p>
    <w:p>
      <w:pPr>
        <w:spacing w:after="56"/>
      </w:pPr>
      <w:r>
        <w:t>Contestability is the principle that individuals affected by AI decisions must have mechanisms to challenge those decisions and obtain remediation. For agentic systems, contestability requires not only dispute mechanisms but also the evidence needed to reconstruct what happened and why.</w:t>
      </w:r>
    </w:p>
    <w:p>
      <w:pPr>
        <w:pStyle w:val="Heading3"/>
      </w:pPr>
      <w:r>
        <w:t>Core Question</w:t>
      </w:r>
    </w:p>
    <w:p>
      <w:pPr>
        <w:spacing w:after="56"/>
      </w:pPr>
      <w:r>
        <w:t>Does the system support dispute, appeal, and remediation mechanisms for agent decisions and outcomes?</w:t>
      </w:r>
    </w:p>
    <w:p>
      <w:pPr>
        <w:pStyle w:val="Heading3"/>
      </w:pPr>
      <w:r>
        <w:t>Scoring Rubric</w:t>
      </w:r>
    </w:p>
    <w:p>
      <w:pPr>
        <w:keepNext/>
      </w:pPr>
      <w:r>
        <w:rPr>
          <w:b/>
          <w:sz w:val="16"/>
        </w:rPr>
        <w:t>Table T-07-11: RCCS-09 Contestability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contestability capability</w:t>
            </w:r>
          </w:p>
        </w:tc>
        <w:tc>
          <w:tcPr>
            <w:tcW w:type="dxa" w:w="3408"/>
          </w:tcPr>
          <w:p>
            <w:pPr>
              <w:spacing w:after="0"/>
            </w:pPr>
            <w:r>
              <w:rPr>
                <w:rFonts w:ascii="Arial" w:hAnsi="Arial"/>
                <w:b w:val="0"/>
                <w:sz w:val="14"/>
              </w:rPr>
              <w:t>No dispute or appeal mechanisms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contestability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Dispute mechanisms exist for final outputs but do not extend to intermediate agent decisions; no remediation tracking or evidence reconstruction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Dispute workflows, appeal mechanisms, and remediation tracking exist for most decisions; some gaps in evidence reconstruction, cross-agent dispute handling, or remediation verification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contestability covering dispute workflows, appeal mechanisms, evidence reconstruction, remediation tracking, and closure verification for all agent decisions and outcomes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Contestability evaluation requires examining four capabilities: dispute workflows, evidence reconstruction, remediation tracking, and closure verification.</w:t>
      </w:r>
    </w:p>
    <w:p>
      <w:pPr>
        <w:spacing w:after="56"/>
      </w:pPr>
      <w:r>
        <w:t>Dispute workflows require mechanisms for users to challenge decisions and outcomes. Look for dispute submission interfaces, dispute routing, dispute tracking, and dispute resolution workflows. Evaluate whether disputes can be filed for specific agent decisions or outcomes and whether disputes are routed to appropriate human reviewers. Systems without structured dispute mechanisms score lower.</w:t>
      </w:r>
    </w:p>
    <w:p>
      <w:pPr>
        <w:spacing w:after="56"/>
      </w:pPr>
      <w:r>
        <w:t>Evidence reconstruction requires the ability to retrieve and present the evidence underlying a disputed decision. For agentic systems, this includes agent decision rationale, tool outputs, data sources, authority boundaries, and human approvals. Look for evidence retrieval interfaces that can reconstruct the full context of a decision. Systems that cannot reconstruct decision evidence score lower.</w:t>
      </w:r>
    </w:p>
    <w:p>
      <w:pPr>
        <w:spacing w:after="56"/>
      </w:pPr>
      <w:r>
        <w:t>Remediation tracking requires mechanisms for documenting and verifying corrective actions. When a dispute is upheld, look for remediation workflows that specify what correction is required, who is responsible for implementing it, and how completion is verified. Systems that resolve disputes without tracking remediation score lower.</w:t>
      </w:r>
    </w:p>
    <w:p>
      <w:pPr>
        <w:spacing w:after="56"/>
      </w:pPr>
      <w:r>
        <w:t>Closure verification requires confirmation that disputes are resolved and remediation is complete. Look for closure workflows that require explicit acceptance by the disputing party or an independent reviewer. Evaluate whether closure is recorded as evidence and whether closed disputes can be reopened if new information emerges. Systems that close disputes without verification score lower.</w:t>
      </w:r>
    </w:p>
    <w:p>
      <w:pPr>
        <w:pStyle w:val="Heading3"/>
      </w:pPr>
      <w:r>
        <w:t>Common Gaps</w:t>
      </w:r>
    </w:p>
    <w:p>
      <w:pPr>
        <w:spacing w:after="56"/>
      </w:pPr>
      <w:r>
        <w:t>The most common gap is contestability for final outputs but not for intermediate agent decisions. Organizations may allow users to challenge final outcomes while lacking mechanisms to challenge specific agent decisions, tool selections, or authority transitions that contributed to the outcome. Another common gap is dispute mechanisms that exist but cannot reconstruct the evidence needed to evaluate the dispute, forcing manual investigation and delaying resolution.</w:t>
      </w:r>
    </w:p>
    <w:p>
      <w:pPr>
        <w:pStyle w:val="Heading2"/>
      </w:pPr>
      <w:r>
        <w:t>7.15 RCCS-10: Monitoring</w:t>
      </w:r>
    </w:p>
    <w:p>
      <w:pPr>
        <w:pStyle w:val="Heading3"/>
      </w:pPr>
      <w:r>
        <w:t>Regulatory Basis</w:t>
      </w:r>
    </w:p>
    <w:p>
      <w:pPr>
        <w:spacing w:after="56"/>
      </w:pPr>
      <w:r>
        <w:t>Monitoring requirements are established in EU AI Act Article 72, which requires providers to establish a post-market monitoring system proportionate to the nature of the AI technologies and the risks of the high-risk AI system. ISO/IEC 42001 requires organizations to establish monitoring and measurement processes for AI systems. NIST AI RMF Manage function includes continuous monitoring as a key practice for detecting and responding to AI system issues.</w:t>
      </w:r>
    </w:p>
    <w:p>
      <w:pPr>
        <w:spacing w:after="56"/>
      </w:pPr>
      <w:r>
        <w:t>Monitoring is the mechanism for detecting when systems deviate from expected behavior, when risks materialize, or when governance controls fail. For agentic systems, monitoring must cover not only model performance but also agent behavior, authority drift, and lifecycle conformance.</w:t>
      </w:r>
    </w:p>
    <w:p>
      <w:pPr>
        <w:pStyle w:val="Heading3"/>
      </w:pPr>
      <w:r>
        <w:t>Core Question</w:t>
      </w:r>
    </w:p>
    <w:p>
      <w:pPr>
        <w:spacing w:after="56"/>
      </w:pPr>
      <w:r>
        <w:t>Does the system support continuous monitoring, incident detection, and drift detection across agent execution?</w:t>
      </w:r>
    </w:p>
    <w:p>
      <w:pPr>
        <w:pStyle w:val="Heading3"/>
      </w:pPr>
      <w:r>
        <w:t>Scoring Rubric</w:t>
      </w:r>
    </w:p>
    <w:p>
      <w:pPr>
        <w:keepNext/>
      </w:pPr>
      <w:r>
        <w:rPr>
          <w:b/>
          <w:sz w:val="16"/>
        </w:rPr>
        <w:t>Table T-07-12: RCCS-10 Monitoring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monitoring capability</w:t>
            </w:r>
          </w:p>
        </w:tc>
        <w:tc>
          <w:tcPr>
            <w:tcW w:type="dxa" w:w="3408"/>
          </w:tcPr>
          <w:p>
            <w:pPr>
              <w:spacing w:after="0"/>
            </w:pPr>
            <w:r>
              <w:rPr>
                <w:rFonts w:ascii="Arial" w:hAnsi="Arial"/>
                <w:b w:val="0"/>
                <w:sz w:val="14"/>
              </w:rPr>
              <w:t>No monitoring or alerting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monitoring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Monitoring exists for model performance but does not extend to agent behavior, authority drift, or lifecycle conformance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Monitoring dashboards, alerting, and incident detection exist for models and some agent behaviors; some gaps in authority drift detection, lifecycle conformance monitoring, or incident response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continuous monitoring covering model performance, agent behavior, authority drift, lifecycle conformance, incident detection, and incident response with dashboards, alerting, and automated response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implementation</w:t>
            </w:r>
          </w:p>
        </w:tc>
      </w:tr>
    </w:tbl>
    <w:p>
      <w:pPr>
        <w:pStyle w:val="Heading3"/>
      </w:pPr>
      <w:r>
        <w:t>System Mapping Guidance</w:t>
      </w:r>
    </w:p>
    <w:p>
      <w:pPr>
        <w:spacing w:after="56"/>
      </w:pPr>
      <w:r>
        <w:t>Monitoring evaluation requires examining four capabilities: monitoring dashboards, alerting mechanisms, drift detection, and incident response.</w:t>
      </w:r>
    </w:p>
    <w:p>
      <w:pPr>
        <w:spacing w:after="56"/>
      </w:pPr>
      <w:r>
        <w:t>Monitoring dashboards require visibility into system behavior and performance. Look for dashboards that show model performance metrics, agent execution statistics, tool usage patterns, authority boundary violations, and governance control status. Evaluate whether dashboards are designed for different audiences including operators, governance teams, and auditors. Systems without monitoring dashboards score lower.</w:t>
      </w:r>
    </w:p>
    <w:p>
      <w:pPr>
        <w:spacing w:after="56"/>
      </w:pPr>
      <w:r>
        <w:t>Alerting mechanisms require automated detection and notification of anomalies, policy violations, or risk events. Look for configurable alert rules, alert routing, and alert escalation. For agentic systems, evaluate whether alerts cover not only model performance degradation but also agent behavior anomalies, authority drift, and governance control failures. Systems that require manual monitoring score lower.</w:t>
      </w:r>
    </w:p>
    <w:p>
      <w:pPr>
        <w:spacing w:after="56"/>
      </w:pPr>
      <w:r>
        <w:t>Drift detection requires mechanisms for identifying when system behavior deviates from baseline. Look for model drift detection, data drift detection, and authority drift detection. Evaluate whether drift detection is automated and whether detected drift triggers alerts or intervention workflows. Systems without drift detection score lower.</w:t>
      </w:r>
    </w:p>
    <w:p>
      <w:pPr>
        <w:spacing w:after="56"/>
      </w:pPr>
      <w:r>
        <w:t>Incident response requires workflows for investigating and resolving detected issues. Look for incident creation, incident assignment, incident investigation, and incident closure workflows. Evaluate whether incident response is integrated with monitoring and alerting and whether incidents are tracked to closure. Systems that detect issues but lack incident response workflows score lower.</w:t>
      </w:r>
    </w:p>
    <w:p>
      <w:pPr>
        <w:pStyle w:val="Heading3"/>
      </w:pPr>
      <w:r>
        <w:t>Common Gaps</w:t>
      </w:r>
    </w:p>
    <w:p>
      <w:pPr>
        <w:spacing w:after="56"/>
      </w:pPr>
      <w:r>
        <w:t>The most common gap is monitoring for model performance but not for agent behavior or authority drift. Organizations may have strong ML monitoring practices while lacking visibility into whether agents are operating within their intended authority boundaries or whether agent behavior is drifting over time. Another common gap is monitoring that detects issues but lacks automated incident response, requiring manual investigation and intervention for every alert.</w:t>
      </w:r>
    </w:p>
    <w:p>
      <w:pPr>
        <w:pStyle w:val="Heading2"/>
      </w:pPr>
      <w:r>
        <w:t>7.16 Chapter Summary</w:t>
      </w:r>
    </w:p>
    <w:p>
      <w:pPr>
        <w:spacing w:after="56"/>
      </w:pPr>
      <w:r>
        <w:t>This chapter introduced the Regulatory Compliance Coverage Score (RCCS), the first of two scoring frameworks used in this white paper. RCCS measures how strongly a system covers existing regulatory and governance requirements across ten dimensions: risk management, data governance, documentation, record-keeping, transparency, human oversight, security, accountability, contestability, and monitoring. It is an analytical framework for comparing system capabilities against regulatory ideals, not a legal compliance certification.</w:t>
      </w:r>
    </w:p>
    <w:p>
      <w:pPr>
        <w:spacing w:after="56"/>
      </w:pPr>
      <w:r>
        <w:t>The ten RCCS dimensions map directly to recurring requirements in EU AI Act, GDPR, NIST AI RMF, ISO/IEC 42001, and Singapore MGF for Agentic AI. Risk management corresponds to EU AI Act Article 9 and NIST AI RMF core functions. Data governance corresponds to GDPR Article 5 and EU AI Act Article 10. Documentation corresponds to EU AI Act Article 11. Record-keeping corresponds to EU AI Act Article 12 and GDPR Article 30. Transparency corresponds to EU AI Act Article 13 and GDPR Articles 13-14. Human oversight corresponds to EU AI Act Article 14. Security corresponds to EU AI Act Article 15 and GDPR Article 32. Accountability corresponds to GDPR Article 5(2) and EU AI Act Article 26. Contestability corresponds to EU AI Act Article 86 and GDPR Article 22. Monitoring corresponds to EU AI Act Article 72. These mappings demonstrate that RCCS is grounded in existing regulatory requirements, not speculative future obligations.</w:t>
      </w:r>
    </w:p>
    <w:p>
      <w:pPr>
        <w:spacing w:after="56"/>
      </w:pPr>
      <w:r>
        <w:t>RCCS provides a baseline for evaluating whether systems provide the governance primitives that regulation increasingly requires. However, RCCS alone is insufficient for agentic systems. A system may score well on RCCS while lacking the lifecycle objects required to prove that agentic work moved from intent to accepted outcome under controlled authority, evidence, privacy, and remediation constraints. This is where ALCS becomes necessary. Chapter 8 introduces the Agentic Lifecycle Conformance Score (ALCS), which measures a different layer: whether a system supports the sixteen Missing Regulatory Objects that enable lifecycle responsibility compliance in multi-agent execution. RCCS and ALCS together provide a dual-layer assessment of system governance capability.</w:t>
      </w:r>
    </w:p>
    <w:p>
      <w:pPr>
        <w:pStyle w:val="Heading1"/>
      </w:pPr>
      <w:r>
        <w:t>Chapter 8: Agentic Lifecycle Conformance Score (ALCS)</w:t>
      </w:r>
    </w:p>
    <w:p>
      <w:pPr>
        <w:spacing w:after="56"/>
      </w:pPr>
      <w:r>
        <w:t>Version: v0.3.2-FRC-R3</w:t>
      </w:r>
    </w:p>
    <w:p>
      <w:pPr>
        <w:pStyle w:val="Heading2"/>
      </w:pPr>
      <w:r>
        <w:t>8.0 Chapter Overview</w:t>
      </w:r>
    </w:p>
    <w:p>
      <w:pPr>
        <w:spacing w:after="56"/>
      </w:pPr>
      <w:r>
        <w:t>This chapter introduces the Agentic Lifecycle Conformance Score (ALCS), the second of two scoring frameworks used in this white paper. ALCS measures whether a system defines the agentic lifecycle objects required for lifecycle responsibility compliance. It evaluates whether a system can express the sixteen Missing Regulatory Objects introduced in Chapter 6.</w:t>
      </w:r>
    </w:p>
    <w:p>
      <w:pPr>
        <w:spacing w:after="56"/>
      </w:pPr>
      <w:r>
        <w:t>ALCS is not a legal compliance certification, not a conformity assessment, and not a regulatory approval. It is an analytical framework for comparing system capabilities against lifecycle responsibility requirements. A system can have a strong RCCS score and still have a weak ALCS score. That is not a contradiction. It means the system may be strong in existing regulatory compliance coverage while lacking deeper lifecycle responsibility semantics for multi-agent work.</w:t>
      </w:r>
    </w:p>
    <w:p>
      <w:pPr>
        <w:spacing w:after="56"/>
      </w:pPr>
      <w:r>
        <w:t>RCCS measures regulatory compliance coverage. ALCS measures agentic lifecycle conformance. These are different layers, not competing scores. RCCS evaluates whether a system provides the governance primitives that existing regulation requires. ALCS evaluates whether a system provides the lifecycle objects that make agentic responsibility auditable, provable, and transferable across agents, humans, tools, projects, vendors, and organizational boundaries.</w:t>
      </w:r>
    </w:p>
    <w:p>
      <w:pPr>
        <w:spacing w:after="56"/>
      </w:pPr>
      <w:r>
        <w:t>The chapter defines the fifteen ALCS dimensions, explains the ALCS-to-MRO mapping, references the shared scoring procedure established in Chapter 7, and establishes clear boundaries around what ALCS measures and what it does not measure. Detailed scoring rubrics for each dimension are provided in sections 8.7 through 8.21 and expanded in Appendix F.</w:t>
      </w:r>
    </w:p>
    <w:p>
      <w:pPr>
        <w:pStyle w:val="Heading2"/>
      </w:pPr>
      <w:r>
        <w:t>8.1 What ALCS Measures</w:t>
      </w:r>
    </w:p>
    <w:p>
      <w:pPr>
        <w:spacing w:after="56"/>
      </w:pPr>
      <w:r>
        <w:t>ALCS measures whether a system defines the agentic lifecycle objects required for lifecycle responsibility compliance. It evaluates whether a system can express human-role-to-MAS responsibility mappings, delegated authority boundaries, agent role definitions, accepted outcome states, tool-action liability records, responsibility transfer semantics, authority drift detection, evidence partitioning, cross-project reuse controls, privacy lifecycle mappings, privacy-preserving validation protocols, evidence minimization policies, data subject rights reconciliation, processor chain tracking, and vendor substitution conformance.</w:t>
      </w:r>
    </w:p>
    <w:p>
      <w:pPr>
        <w:spacing w:after="56"/>
      </w:pPr>
      <w:r>
        <w:t>ALCS is not a legal compliance score. A high ALCS score does not mean a system is legally compliant. A low ALCS score does not mean a system is non-compliant. Legal compliance depends on organizational practice, deployment context, jurisdiction, risk class, and how the system is used. ALCS measures system capability to express lifecycle responsibility objects, not organizational conformance to legal obligations.</w:t>
      </w:r>
    </w:p>
    <w:p>
      <w:pPr>
        <w:spacing w:after="56"/>
      </w:pPr>
      <w:r>
        <w:t>ALCS is an analytical framework for comparing systems. It allows buyers, auditors, governance teams, and protocol designers to evaluate whether a system provides the lifecycle primitives required to prove that agentic work moved from intent to accepted outcome under controlled authority, evidence, privacy, and remediation constraints. It makes visible the difference between systems that provide lifecycle responsibility semantics and systems that provide only execution orchestration or observability features.</w:t>
      </w:r>
    </w:p>
    <w:p>
      <w:pPr>
        <w:spacing w:after="56"/>
      </w:pPr>
      <w:r>
        <w:t>The purpose of ALCS is to translate the sixteen Missing Regulatory Objects into measurable system capabilities. Regulation requires human oversight, but what does that mean in a multi-agent system? ALCS defines fifteen dimensions that operationalize lifecycle responsibility requirements into system features that can be evaluated, compared, and improved. It is a bridge between regulatory abstractions and lifecycle implementation.</w:t>
      </w:r>
    </w:p>
    <w:p>
      <w:pPr>
        <w:spacing w:after="56"/>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 RCCS measures regulatory compliance coverage. ALCS measures agentic lifecycle conformance. Both are necessary. Neither alone is sufficient.</w:t>
      </w:r>
    </w:p>
    <w:p>
      <w:pPr>
        <w:pStyle w:val="Heading2"/>
      </w:pPr>
      <w:r>
        <w:t>8.2 ALCS Dimensions Overview</w:t>
      </w:r>
    </w:p>
    <w:p>
      <w:pPr>
        <w:spacing w:after="56"/>
      </w:pPr>
      <w:r>
        <w:t>ALCS evaluates systems across fifteen dimensions. Each dimension corresponds to one or more Missing Regulatory Objects. The dimensions are weighted to reflect their relative importance in lifecycle responsibility compliance.</w:t>
      </w:r>
    </w:p>
    <w:p>
      <w:pPr>
        <w:spacing w:after="56"/>
      </w:pPr>
      <w:r>
        <w:t>The fifteen ALCS dimensions are:</w:t>
      </w:r>
    </w:p>
    <w:p>
      <w:pPr>
        <w:pStyle w:val="ListNumber"/>
        <w:spacing w:after="56"/>
      </w:pPr>
      <w:r>
        <w:t>Human-Role-to-MAS Responsibility Mapping (8%) - Does the system map human roles to agent roles, delegated scopes, and evidence obligations?</w:t>
      </w:r>
    </w:p>
    <w:p>
      <w:pPr>
        <w:pStyle w:val="ListNumber"/>
        <w:spacing w:after="56"/>
      </w:pPr>
      <w:r>
        <w:t>Delegated Authority Boundary (8%) - Does the system define and enforce authority boundaries for agent actions?</w:t>
      </w:r>
    </w:p>
    <w:p>
      <w:pPr>
        <w:pStyle w:val="ListNumber"/>
        <w:spacing w:after="56"/>
      </w:pPr>
      <w:r>
        <w:t>Agent Role vs Human Role Distinction (5%) - Does the system distinguish agent roles from human roles with clear responsibility semantics?</w:t>
      </w:r>
    </w:p>
    <w:p>
      <w:pPr>
        <w:pStyle w:val="ListNumber"/>
        <w:spacing w:after="56"/>
      </w:pPr>
      <w:r>
        <w:t>Accepted Outcome Compliance (8%) - Does the system separate execution completion from outcome acceptance?</w:t>
      </w:r>
    </w:p>
    <w:p>
      <w:pPr>
        <w:pStyle w:val="ListNumber"/>
        <w:spacing w:after="56"/>
      </w:pPr>
      <w:r>
        <w:t>Tool-Action Liability Boundary (8%) - Does the system record liability boundaries for consequential tool actions?</w:t>
      </w:r>
    </w:p>
    <w:p>
      <w:pPr>
        <w:pStyle w:val="ListNumber"/>
        <w:spacing w:after="56"/>
      </w:pPr>
      <w:r>
        <w:t>Responsibility Transfer Across Agents (8%) - Does the system track responsibility transfer during agent handoffs?</w:t>
      </w:r>
    </w:p>
    <w:p>
      <w:pPr>
        <w:pStyle w:val="ListNumber"/>
        <w:spacing w:after="56"/>
      </w:pPr>
      <w:r>
        <w:t>Authority Drift Detection (5%) - Does the system detect unauthorized authority transitions?</w:t>
      </w:r>
    </w:p>
    <w:p>
      <w:pPr>
        <w:pStyle w:val="ListNumber"/>
        <w:spacing w:after="56"/>
      </w:pPr>
      <w:r>
        <w:t>MAS Evidence Partitioning (8%) - Does the system partition evidence by agent, tool, authority, and privacy boundaries?</w:t>
      </w:r>
    </w:p>
    <w:p>
      <w:pPr>
        <w:pStyle w:val="ListNumber"/>
        <w:spacing w:after="56"/>
      </w:pPr>
      <w:r>
        <w:t>Cross-Project Reuse Compliance (5%) - Does the system enforce revalidation when workflows are reused across projects?</w:t>
      </w:r>
    </w:p>
    <w:p>
      <w:pPr>
        <w:pStyle w:val="ListNumber"/>
        <w:spacing w:after="56"/>
      </w:pPr>
      <w:r>
        <w:t>Privacy/GDPR Lifecycle Mapping (8%) - Does the system map personal data flows across the agent lifecycle?</w:t>
      </w:r>
    </w:p>
    <w:p>
      <w:pPr>
        <w:pStyle w:val="ListNumber"/>
        <w:spacing w:after="56"/>
      </w:pPr>
      <w:r>
        <w:t>Privacy-Preserving Third-Party Validation (5%) - Does the system support validation without raw data disclosure?</w:t>
      </w:r>
    </w:p>
    <w:p>
      <w:pPr>
        <w:pStyle w:val="ListNumber"/>
        <w:spacing w:after="56"/>
      </w:pPr>
      <w:r>
        <w:t>Evidence Minimization and Selective Disclosure (5%) - Does the system minimize evidence retention and support selective disclosure?</w:t>
      </w:r>
    </w:p>
    <w:p>
      <w:pPr>
        <w:pStyle w:val="ListNumber"/>
        <w:spacing w:after="56"/>
      </w:pPr>
      <w:r>
        <w:t>Data Subject Rights vs Evidence Retention (5%) - Does the system reconcile data subject rights with evidence retention obligations?</w:t>
      </w:r>
    </w:p>
    <w:p>
      <w:pPr>
        <w:pStyle w:val="ListNumber"/>
        <w:spacing w:after="56"/>
      </w:pPr>
      <w:r>
        <w:t>Third-Party Processor/Subprocessor Chain (5%) - Does the system track processor and subprocessor usage at lifecycle granularity?</w:t>
      </w:r>
    </w:p>
    <w:p>
      <w:pPr>
        <w:pStyle w:val="ListNumber"/>
        <w:spacing w:after="56"/>
      </w:pPr>
      <w:r>
        <w:t>Vendor/Model/Runtime Substitution Conformance (5%) - Does the system enforce conformance revalidation when vendors are substituted?</w:t>
      </w:r>
    </w:p>
    <w:p>
      <w:pPr>
        <w:spacing w:after="56"/>
      </w:pPr>
      <w:r>
        <w:t>The following table summarizes the fifteen dimensions, their MRO mappings, core questions, and weights.</w:t>
      </w:r>
    </w:p>
    <w:p>
      <w:pPr>
        <w:keepNext/>
      </w:pPr>
      <w:r>
        <w:rPr>
          <w:b/>
          <w:sz w:val="16"/>
        </w:rPr>
        <w:t>Table T-08-01: ALCS Dimensions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Dimension</w:t>
            </w:r>
          </w:p>
        </w:tc>
        <w:tc>
          <w:tcPr>
            <w:tcW w:type="dxa" w:w="2556"/>
          </w:tcPr>
          <w:p>
            <w:pPr>
              <w:spacing w:after="0"/>
            </w:pPr>
            <w:r>
              <w:rPr>
                <w:rFonts w:ascii="Arial" w:hAnsi="Arial"/>
                <w:b/>
                <w:sz w:val="14"/>
              </w:rPr>
              <w:t>MRO Mapping</w:t>
            </w:r>
          </w:p>
        </w:tc>
        <w:tc>
          <w:tcPr>
            <w:tcW w:type="dxa" w:w="2556"/>
          </w:tcPr>
          <w:p>
            <w:pPr>
              <w:spacing w:after="0"/>
            </w:pPr>
            <w:r>
              <w:rPr>
                <w:rFonts w:ascii="Arial" w:hAnsi="Arial"/>
                <w:b/>
                <w:sz w:val="14"/>
              </w:rPr>
              <w:t>Core Question</w:t>
            </w:r>
          </w:p>
        </w:tc>
        <w:tc>
          <w:tcPr>
            <w:tcW w:type="dxa" w:w="2556"/>
          </w:tcPr>
          <w:p>
            <w:pPr>
              <w:spacing w:after="0"/>
            </w:pPr>
            <w:r>
              <w:rPr>
                <w:rFonts w:ascii="Arial" w:hAnsi="Arial"/>
                <w:b/>
                <w:sz w:val="14"/>
              </w:rPr>
              <w:t>Weight</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MRO-01</w:t>
            </w:r>
          </w:p>
        </w:tc>
        <w:tc>
          <w:tcPr>
            <w:tcW w:type="dxa" w:w="2556"/>
          </w:tcPr>
          <w:p>
            <w:pPr>
              <w:spacing w:after="0"/>
            </w:pPr>
            <w:r>
              <w:rPr>
                <w:rFonts w:ascii="Arial" w:hAnsi="Arial"/>
                <w:b w:val="0"/>
                <w:sz w:val="14"/>
              </w:rPr>
              <w:t>Does the system map human roles to agent roles, delegated scopes, and evidence obligations?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MRO-02</w:t>
            </w:r>
          </w:p>
        </w:tc>
        <w:tc>
          <w:tcPr>
            <w:tcW w:type="dxa" w:w="2556"/>
          </w:tcPr>
          <w:p>
            <w:pPr>
              <w:spacing w:after="0"/>
            </w:pPr>
            <w:r>
              <w:rPr>
                <w:rFonts w:ascii="Arial" w:hAnsi="Arial"/>
                <w:b w:val="0"/>
                <w:sz w:val="14"/>
              </w:rPr>
              <w:t>Does the system define and enforce authority boundaries for agent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Agent Role vs Human Role Distinction</w:t>
            </w:r>
          </w:p>
        </w:tc>
        <w:tc>
          <w:tcPr>
            <w:tcW w:type="dxa" w:w="2556"/>
          </w:tcPr>
          <w:p>
            <w:pPr>
              <w:spacing w:after="0"/>
            </w:pPr>
            <w:r>
              <w:rPr>
                <w:rFonts w:ascii="Arial" w:hAnsi="Arial"/>
                <w:b w:val="0"/>
                <w:sz w:val="14"/>
              </w:rPr>
              <w:t>MRO-03</w:t>
            </w:r>
          </w:p>
        </w:tc>
        <w:tc>
          <w:tcPr>
            <w:tcW w:type="dxa" w:w="2556"/>
          </w:tcPr>
          <w:p>
            <w:pPr>
              <w:spacing w:after="0"/>
            </w:pPr>
            <w:r>
              <w:rPr>
                <w:rFonts w:ascii="Arial" w:hAnsi="Arial"/>
                <w:b w:val="0"/>
                <w:sz w:val="14"/>
              </w:rPr>
              <w:t>Does the system distinguish agent roles from human roles with clear responsibility semantics?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MRO-04</w:t>
            </w:r>
          </w:p>
        </w:tc>
        <w:tc>
          <w:tcPr>
            <w:tcW w:type="dxa" w:w="2556"/>
          </w:tcPr>
          <w:p>
            <w:pPr>
              <w:spacing w:after="0"/>
            </w:pPr>
            <w:r>
              <w:rPr>
                <w:rFonts w:ascii="Arial" w:hAnsi="Arial"/>
                <w:b w:val="0"/>
                <w:sz w:val="14"/>
              </w:rPr>
              <w:t>Does the system separate execution completion from outcome acceptance?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MRO-05</w:t>
            </w:r>
          </w:p>
        </w:tc>
        <w:tc>
          <w:tcPr>
            <w:tcW w:type="dxa" w:w="2556"/>
          </w:tcPr>
          <w:p>
            <w:pPr>
              <w:spacing w:after="0"/>
            </w:pPr>
            <w:r>
              <w:rPr>
                <w:rFonts w:ascii="Arial" w:hAnsi="Arial"/>
                <w:b w:val="0"/>
                <w:sz w:val="14"/>
              </w:rPr>
              <w:t>Does the system record liability boundaries for consequential tool actions?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MRO-06</w:t>
            </w:r>
          </w:p>
        </w:tc>
        <w:tc>
          <w:tcPr>
            <w:tcW w:type="dxa" w:w="2556"/>
          </w:tcPr>
          <w:p>
            <w:pPr>
              <w:spacing w:after="0"/>
            </w:pPr>
            <w:r>
              <w:rPr>
                <w:rFonts w:ascii="Arial" w:hAnsi="Arial"/>
                <w:b w:val="0"/>
                <w:sz w:val="14"/>
              </w:rPr>
              <w:t>Does the system track responsibility transfer during agent handoffs?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Authority Drift Detection</w:t>
            </w:r>
          </w:p>
        </w:tc>
        <w:tc>
          <w:tcPr>
            <w:tcW w:type="dxa" w:w="2556"/>
          </w:tcPr>
          <w:p>
            <w:pPr>
              <w:spacing w:after="0"/>
            </w:pPr>
            <w:r>
              <w:rPr>
                <w:rFonts w:ascii="Arial" w:hAnsi="Arial"/>
                <w:b w:val="0"/>
                <w:sz w:val="14"/>
              </w:rPr>
              <w:t>MRO-07</w:t>
            </w:r>
          </w:p>
        </w:tc>
        <w:tc>
          <w:tcPr>
            <w:tcW w:type="dxa" w:w="2556"/>
          </w:tcPr>
          <w:p>
            <w:pPr>
              <w:spacing w:after="0"/>
            </w:pPr>
            <w:r>
              <w:rPr>
                <w:rFonts w:ascii="Arial" w:hAnsi="Arial"/>
                <w:b w:val="0"/>
                <w:sz w:val="14"/>
              </w:rPr>
              <w:t>Does the system detect unauthorized authority transitions?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MRO-08</w:t>
            </w:r>
          </w:p>
        </w:tc>
        <w:tc>
          <w:tcPr>
            <w:tcW w:type="dxa" w:w="2556"/>
          </w:tcPr>
          <w:p>
            <w:pPr>
              <w:spacing w:after="0"/>
            </w:pPr>
            <w:r>
              <w:rPr>
                <w:rFonts w:ascii="Arial" w:hAnsi="Arial"/>
                <w:b w:val="0"/>
                <w:sz w:val="14"/>
              </w:rPr>
              <w:t>Does the system partition evidence by agent, tool, authority, and privacy boundaries?</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MRO-09</w:t>
            </w:r>
          </w:p>
        </w:tc>
        <w:tc>
          <w:tcPr>
            <w:tcW w:type="dxa" w:w="2556"/>
          </w:tcPr>
          <w:p>
            <w:pPr>
              <w:spacing w:after="0"/>
            </w:pPr>
            <w:r>
              <w:rPr>
                <w:rFonts w:ascii="Arial" w:hAnsi="Arial"/>
                <w:b w:val="0"/>
                <w:sz w:val="14"/>
              </w:rPr>
              <w:t>Does the system enforce revalidation when workflows are reused across projects?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MRO-10</w:t>
            </w:r>
          </w:p>
        </w:tc>
        <w:tc>
          <w:tcPr>
            <w:tcW w:type="dxa" w:w="2556"/>
          </w:tcPr>
          <w:p>
            <w:pPr>
              <w:spacing w:after="0"/>
            </w:pPr>
            <w:r>
              <w:rPr>
                <w:rFonts w:ascii="Arial" w:hAnsi="Arial"/>
                <w:b w:val="0"/>
                <w:sz w:val="14"/>
              </w:rPr>
              <w:t>Does the system map personal data flows across the agent lifecycle?</w:t>
            </w:r>
          </w:p>
        </w:tc>
        <w:tc>
          <w:tcPr>
            <w:tcW w:type="dxa" w:w="2556"/>
          </w:tcPr>
          <w:p>
            <w:pPr>
              <w:spacing w:after="0"/>
            </w:pPr>
            <w:r>
              <w:rPr>
                <w:rFonts w:ascii="Arial" w:hAnsi="Arial"/>
                <w:b w:val="0"/>
                <w:sz w:val="14"/>
              </w:rPr>
              <w:t>8%</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MRO-11</w:t>
            </w:r>
          </w:p>
        </w:tc>
        <w:tc>
          <w:tcPr>
            <w:tcW w:type="dxa" w:w="2556"/>
          </w:tcPr>
          <w:p>
            <w:pPr>
              <w:spacing w:after="0"/>
            </w:pPr>
            <w:r>
              <w:rPr>
                <w:rFonts w:ascii="Arial" w:hAnsi="Arial"/>
                <w:b w:val="0"/>
                <w:sz w:val="14"/>
              </w:rPr>
              <w:t>Does the system support validation without raw data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MRO-12</w:t>
            </w:r>
          </w:p>
        </w:tc>
        <w:tc>
          <w:tcPr>
            <w:tcW w:type="dxa" w:w="2556"/>
          </w:tcPr>
          <w:p>
            <w:pPr>
              <w:spacing w:after="0"/>
            </w:pPr>
            <w:r>
              <w:rPr>
                <w:rFonts w:ascii="Arial" w:hAnsi="Arial"/>
                <w:b w:val="0"/>
                <w:sz w:val="14"/>
              </w:rPr>
              <w:t>Does the system minimize evidence retention and support selective disclosure?</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Data Subject Rights vs Evidence Retention</w:t>
            </w:r>
          </w:p>
        </w:tc>
        <w:tc>
          <w:tcPr>
            <w:tcW w:type="dxa" w:w="2556"/>
          </w:tcPr>
          <w:p>
            <w:pPr>
              <w:spacing w:after="0"/>
            </w:pPr>
            <w:r>
              <w:rPr>
                <w:rFonts w:ascii="Arial" w:hAnsi="Arial"/>
                <w:b w:val="0"/>
                <w:sz w:val="14"/>
              </w:rPr>
              <w:t>MRO-13</w:t>
            </w:r>
          </w:p>
        </w:tc>
        <w:tc>
          <w:tcPr>
            <w:tcW w:type="dxa" w:w="2556"/>
          </w:tcPr>
          <w:p>
            <w:pPr>
              <w:spacing w:after="0"/>
            </w:pPr>
            <w:r>
              <w:rPr>
                <w:rFonts w:ascii="Arial" w:hAnsi="Arial"/>
                <w:b w:val="0"/>
                <w:sz w:val="14"/>
              </w:rPr>
              <w:t>Does the system reconcile data subject rights with evidence retention obligations?</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MRO-14</w:t>
            </w:r>
          </w:p>
        </w:tc>
        <w:tc>
          <w:tcPr>
            <w:tcW w:type="dxa" w:w="2556"/>
          </w:tcPr>
          <w:p>
            <w:pPr>
              <w:spacing w:after="0"/>
            </w:pPr>
            <w:r>
              <w:rPr>
                <w:rFonts w:ascii="Arial" w:hAnsi="Arial"/>
                <w:b w:val="0"/>
                <w:sz w:val="14"/>
              </w:rPr>
              <w:t>Does the system track processor and subprocessor usage at lifecycle granularity?</w:t>
            </w:r>
          </w:p>
        </w:tc>
        <w:tc>
          <w:tcPr>
            <w:tcW w:type="dxa" w:w="2556"/>
          </w:tcPr>
          <w:p>
            <w:pPr>
              <w:spacing w:after="0"/>
            </w:pPr>
            <w:r>
              <w:rPr>
                <w:rFonts w:ascii="Arial" w:hAnsi="Arial"/>
                <w:b w:val="0"/>
                <w:sz w:val="14"/>
              </w:rPr>
              <w:t>5%</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Does the system enforce conformance revalidation when vendors are substituted?</w:t>
            </w:r>
          </w:p>
        </w:tc>
        <w:tc>
          <w:tcPr>
            <w:tcW w:type="dxa" w:w="2556"/>
          </w:tcPr>
          <w:p>
            <w:pPr>
              <w:spacing w:after="0"/>
            </w:pPr>
            <w:r>
              <w:rPr>
                <w:rFonts w:ascii="Arial" w:hAnsi="Arial"/>
                <w:b w:val="0"/>
                <w:sz w:val="14"/>
              </w:rPr>
              <w:t>5%</w:t>
            </w:r>
          </w:p>
        </w:tc>
      </w:tr>
    </w:tbl>
    <w:p>
      <w:pPr>
        <w:spacing w:after="56"/>
      </w:pPr>
      <w:r>
        <w:t>Note: MRO-16 (Incident, Dispute, and Remediation Closure) is not directly mapped to a single ALCS dimension. It is a cross-cutting lifecycle capability that spans multiple dimensions including contestability, evidence partitioning, and continuous improvement. Incident closure capability is evaluated within the RCCS Contestability and Monitoring dimensions rather than as a separate ALCS dimension.</w:t>
      </w:r>
    </w:p>
    <w:p>
      <w:pPr>
        <w:pStyle w:val="Heading2"/>
      </w:pPr>
      <w:r>
        <w:t>8.3 ALCS-to-MRO Mapping</w:t>
      </w:r>
    </w:p>
    <w:p>
      <w:pPr>
        <w:spacing w:after="56"/>
      </w:pPr>
      <w:r>
        <w:t>Each ALCS dimension maps to one or more Missing Regulatory Objects. The mapping shows how ALCS dimensions operationalize MRO requirements into measurable system capabilities. ALCS dimensions are not merely restatements of MROs. They are evaluation criteria that translate MRO requirements into system features that can be scored, compared, and improved.</w:t>
      </w:r>
    </w:p>
    <w:p>
      <w:pPr>
        <w:spacing w:after="56"/>
      </w:pPr>
      <w:r>
        <w:t>The mapping is primarily one-to-one: each ALCS dimension corresponds to a single primary MRO. However, some dimensions have secondary MRO relationships because lifecycle responsibility objects are interconnected. For example, Human-Role-to-MAS Responsibility Mapping (ALCS-01) primarily maps to MRO-01 but also relates to MRO-03 (Agent Role vs Human Role) and MRO-06 (Responsibility Transfer) because responsibility mapping, role distinction, and transfer semantics are interdependent.</w:t>
      </w:r>
    </w:p>
    <w:p>
      <w:pPr>
        <w:spacing w:after="56"/>
      </w:pPr>
      <w:r>
        <w:t>The following table provides detailed ALCS-to-MRO mapping, including primary MRO, secondary MROs, lifecycle phase, and core object required.</w:t>
      </w:r>
    </w:p>
    <w:p>
      <w:pPr>
        <w:keepNext/>
      </w:pPr>
      <w:r>
        <w:rPr>
          <w:b/>
          <w:sz w:val="16"/>
        </w:rPr>
        <w:t>Table T-08-02: ALCS-to-MRO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ALCS Dimension</w:t>
            </w:r>
          </w:p>
        </w:tc>
        <w:tc>
          <w:tcPr>
            <w:tcW w:type="dxa" w:w="2045"/>
          </w:tcPr>
          <w:p>
            <w:pPr>
              <w:spacing w:after="0"/>
            </w:pPr>
            <w:r>
              <w:rPr>
                <w:rFonts w:ascii="Arial" w:hAnsi="Arial"/>
                <w:b/>
                <w:sz w:val="14"/>
              </w:rPr>
              <w:t>Primary MRO</w:t>
            </w:r>
          </w:p>
        </w:tc>
        <w:tc>
          <w:tcPr>
            <w:tcW w:type="dxa" w:w="2045"/>
          </w:tcPr>
          <w:p>
            <w:pPr>
              <w:spacing w:after="0"/>
            </w:pPr>
            <w:r>
              <w:rPr>
                <w:rFonts w:ascii="Arial" w:hAnsi="Arial"/>
                <w:b/>
                <w:sz w:val="14"/>
              </w:rPr>
              <w:t>Secondary MROs</w:t>
            </w:r>
          </w:p>
        </w:tc>
        <w:tc>
          <w:tcPr>
            <w:tcW w:type="dxa" w:w="2045"/>
          </w:tcPr>
          <w:p>
            <w:pPr>
              <w:spacing w:after="0"/>
            </w:pPr>
            <w:r>
              <w:rPr>
                <w:rFonts w:ascii="Arial" w:hAnsi="Arial"/>
                <w:b/>
                <w:sz w:val="14"/>
              </w:rPr>
              <w:t>Lifecycle Phase</w:t>
            </w:r>
          </w:p>
        </w:tc>
        <w:tc>
          <w:tcPr>
            <w:tcW w:type="dxa" w:w="2045"/>
          </w:tcPr>
          <w:p>
            <w:pPr>
              <w:spacing w:after="0"/>
            </w:pPr>
            <w:r>
              <w:rPr>
                <w:rFonts w:ascii="Arial" w:hAnsi="Arial"/>
                <w:b/>
                <w:sz w:val="14"/>
              </w:rPr>
              <w:t>Core Object Required</w:t>
            </w:r>
          </w:p>
        </w:tc>
      </w:tr>
      <w:tr>
        <w:tc>
          <w:tcPr>
            <w:tcW w:type="dxa" w:w="2045"/>
          </w:tcPr>
          <w:p>
            <w:pPr>
              <w:spacing w:after="0"/>
            </w:pPr>
            <w:r>
              <w:rPr>
                <w:rFonts w:ascii="Arial" w:hAnsi="Arial"/>
                <w:b w:val="0"/>
                <w:sz w:val="14"/>
              </w:rPr>
              <w:t>ALCS-01: Human-Role-to-MAS Responsibility Mapping</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MRO-03, MRO-06</w:t>
            </w:r>
          </w:p>
        </w:tc>
        <w:tc>
          <w:tcPr>
            <w:tcW w:type="dxa" w:w="2045"/>
          </w:tcPr>
          <w:p>
            <w:pPr>
              <w:spacing w:after="0"/>
            </w:pPr>
            <w:r>
              <w:rPr>
                <w:rFonts w:ascii="Arial" w:hAnsi="Arial"/>
                <w:b w:val="0"/>
                <w:sz w:val="14"/>
              </w:rPr>
              <w:t>Intent, delegation, acceptance</w:t>
            </w:r>
          </w:p>
        </w:tc>
        <w:tc>
          <w:tcPr>
            <w:tcW w:type="dxa" w:w="2045"/>
          </w:tcPr>
          <w:p>
            <w:pPr>
              <w:spacing w:after="0"/>
            </w:pPr>
            <w:r>
              <w:rPr>
                <w:rFonts w:ascii="Arial" w:hAnsi="Arial"/>
                <w:b w:val="0"/>
                <w:sz w:val="14"/>
              </w:rPr>
              <w:t>Role-responsibility map binding human role IDs, agent role IDs, delegated scopes, evidence obligations</w:t>
            </w:r>
          </w:p>
        </w:tc>
      </w:tr>
      <w:tr>
        <w:tc>
          <w:tcPr>
            <w:tcW w:type="dxa" w:w="2045"/>
          </w:tcPr>
          <w:p>
            <w:pPr>
              <w:spacing w:after="0"/>
            </w:pPr>
            <w:r>
              <w:rPr>
                <w:rFonts w:ascii="Arial" w:hAnsi="Arial"/>
                <w:b w:val="0"/>
                <w:sz w:val="14"/>
              </w:rPr>
              <w:t>ALCS-02: Delegated Authority Boundary</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Delegation, execution, monitoring</w:t>
            </w:r>
          </w:p>
        </w:tc>
        <w:tc>
          <w:tcPr>
            <w:tcW w:type="dxa" w:w="2045"/>
          </w:tcPr>
          <w:p>
            <w:pPr>
              <w:spacing w:after="0"/>
            </w:pPr>
            <w:r>
              <w:rPr>
                <w:rFonts w:ascii="Arial" w:hAnsi="Arial"/>
                <w:b w:val="0"/>
                <w:sz w:val="14"/>
              </w:rPr>
              <w:t>Authority boundary object binding role, action, scope, condition, risk class, expiry, escalation path</w:t>
            </w:r>
          </w:p>
        </w:tc>
      </w:tr>
      <w:tr>
        <w:tc>
          <w:tcPr>
            <w:tcW w:type="dxa" w:w="2045"/>
          </w:tcPr>
          <w:p>
            <w:pPr>
              <w:spacing w:after="0"/>
            </w:pPr>
            <w:r>
              <w:rPr>
                <w:rFonts w:ascii="Arial" w:hAnsi="Arial"/>
                <w:b w:val="0"/>
                <w:sz w:val="14"/>
              </w:rPr>
              <w:t>ALCS-03: Agent Role vs Human Role Distinction</w:t>
            </w:r>
          </w:p>
        </w:tc>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Role definition, delegation</w:t>
            </w:r>
          </w:p>
        </w:tc>
        <w:tc>
          <w:tcPr>
            <w:tcW w:type="dxa" w:w="2045"/>
          </w:tcPr>
          <w:p>
            <w:pPr>
              <w:spacing w:after="0"/>
            </w:pPr>
            <w:r>
              <w:rPr>
                <w:rFonts w:ascii="Arial" w:hAnsi="Arial"/>
                <w:b w:val="0"/>
                <w:sz w:val="14"/>
              </w:rPr>
              <w:t>Agent responsibility boundary declaring duties, non-duties, allowed tools, inherited constraints, human accountability linkage</w:t>
            </w:r>
          </w:p>
        </w:tc>
      </w:tr>
      <w:tr>
        <w:tc>
          <w:tcPr>
            <w:tcW w:type="dxa" w:w="2045"/>
          </w:tcPr>
          <w:p>
            <w:pPr>
              <w:spacing w:after="0"/>
            </w:pPr>
            <w:r>
              <w:rPr>
                <w:rFonts w:ascii="Arial" w:hAnsi="Arial"/>
                <w:b w:val="0"/>
                <w:sz w:val="14"/>
              </w:rPr>
              <w:t>ALCS-04: Accepted Outcome Compliance</w:t>
            </w:r>
          </w:p>
        </w:tc>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Review, acceptance, dispute</w:t>
            </w:r>
          </w:p>
        </w:tc>
        <w:tc>
          <w:tcPr>
            <w:tcW w:type="dxa" w:w="2045"/>
          </w:tcPr>
          <w:p>
            <w:pPr>
              <w:spacing w:after="0"/>
            </w:pPr>
            <w:r>
              <w:rPr>
                <w:rFonts w:ascii="Arial" w:hAnsi="Arial"/>
                <w:b w:val="0"/>
                <w:sz w:val="14"/>
              </w:rPr>
              <w:t>Accepted outcome state linking intent, plan, trace, reviewer, acceptance status, dispute window, remediation route</w:t>
            </w:r>
          </w:p>
        </w:tc>
      </w:tr>
      <w:tr>
        <w:tc>
          <w:tcPr>
            <w:tcW w:type="dxa" w:w="2045"/>
          </w:tcPr>
          <w:p>
            <w:pPr>
              <w:spacing w:after="0"/>
            </w:pPr>
            <w:r>
              <w:rPr>
                <w:rFonts w:ascii="Arial" w:hAnsi="Arial"/>
                <w:b w:val="0"/>
                <w:sz w:val="14"/>
              </w:rPr>
              <w:t>ALCS-05: Tool-Action Liability Boundary</w:t>
            </w:r>
          </w:p>
        </w:tc>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MRO-02, MRO-08</w:t>
            </w:r>
          </w:p>
        </w:tc>
        <w:tc>
          <w:tcPr>
            <w:tcW w:type="dxa" w:w="2045"/>
          </w:tcPr>
          <w:p>
            <w:pPr>
              <w:spacing w:after="0"/>
            </w:pPr>
            <w:r>
              <w:rPr>
                <w:rFonts w:ascii="Arial" w:hAnsi="Arial"/>
                <w:b w:val="0"/>
                <w:sz w:val="14"/>
              </w:rPr>
              <w:t>Execution, external action</w:t>
            </w:r>
          </w:p>
        </w:tc>
        <w:tc>
          <w:tcPr>
            <w:tcW w:type="dxa" w:w="2045"/>
          </w:tcPr>
          <w:p>
            <w:pPr>
              <w:spacing w:after="0"/>
            </w:pPr>
            <w:r>
              <w:rPr>
                <w:rFonts w:ascii="Arial" w:hAnsi="Arial"/>
                <w:b w:val="0"/>
                <w:sz w:val="14"/>
              </w:rPr>
              <w:t>Tool-action liability object recording initiator, tool identity, external system, authority credential, reversibility, rollback plan</w:t>
            </w:r>
          </w:p>
        </w:tc>
      </w:tr>
      <w:tr>
        <w:tc>
          <w:tcPr>
            <w:tcW w:type="dxa" w:w="2045"/>
          </w:tcPr>
          <w:p>
            <w:pPr>
              <w:spacing w:after="0"/>
            </w:pPr>
            <w:r>
              <w:rPr>
                <w:rFonts w:ascii="Arial" w:hAnsi="Arial"/>
                <w:b w:val="0"/>
                <w:sz w:val="14"/>
              </w:rPr>
              <w:t>ALCS-06: Responsibility Transfer Across Agents</w:t>
            </w:r>
          </w:p>
        </w:tc>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MRO-01, MRO-08</w:t>
            </w:r>
          </w:p>
        </w:tc>
        <w:tc>
          <w:tcPr>
            <w:tcW w:type="dxa" w:w="2045"/>
          </w:tcPr>
          <w:p>
            <w:pPr>
              <w:spacing w:after="0"/>
            </w:pPr>
            <w:r>
              <w:rPr>
                <w:rFonts w:ascii="Arial" w:hAnsi="Arial"/>
                <w:b w:val="0"/>
                <w:sz w:val="14"/>
              </w:rPr>
              <w:t>Agent handoff, delegation</w:t>
            </w:r>
          </w:p>
        </w:tc>
        <w:tc>
          <w:tcPr>
            <w:tcW w:type="dxa" w:w="2045"/>
          </w:tcPr>
          <w:p>
            <w:pPr>
              <w:spacing w:after="0"/>
            </w:pPr>
            <w:r>
              <w:rPr>
                <w:rFonts w:ascii="Arial" w:hAnsi="Arial"/>
                <w:b w:val="0"/>
                <w:sz w:val="14"/>
              </w:rPr>
              <w:t>Transfer object declaring transferred scope, source role, receiving role, retained responsibilities, inherited constraints</w:t>
            </w:r>
          </w:p>
        </w:tc>
      </w:tr>
      <w:tr>
        <w:tc>
          <w:tcPr>
            <w:tcW w:type="dxa" w:w="2045"/>
          </w:tcPr>
          <w:p>
            <w:pPr>
              <w:spacing w:after="0"/>
            </w:pPr>
            <w:r>
              <w:rPr>
                <w:rFonts w:ascii="Arial" w:hAnsi="Arial"/>
                <w:b w:val="0"/>
                <w:sz w:val="14"/>
              </w:rPr>
              <w:t>ALCS-07: Authority Drift Detection</w:t>
            </w:r>
          </w:p>
        </w:tc>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Monitoring, drift detection</w:t>
            </w:r>
          </w:p>
        </w:tc>
        <w:tc>
          <w:tcPr>
            <w:tcW w:type="dxa" w:w="2045"/>
          </w:tcPr>
          <w:p>
            <w:pPr>
              <w:spacing w:after="0"/>
            </w:pPr>
            <w:r>
              <w:rPr>
                <w:rFonts w:ascii="Arial" w:hAnsi="Arial"/>
                <w:b w:val="0"/>
                <w:sz w:val="14"/>
              </w:rPr>
              <w:t>Drift event model comparing observed behavior against original authority boundary, risk class, tool scope</w:t>
            </w:r>
          </w:p>
        </w:tc>
      </w:tr>
      <w:tr>
        <w:tc>
          <w:tcPr>
            <w:tcW w:type="dxa" w:w="2045"/>
          </w:tcPr>
          <w:p>
            <w:pPr>
              <w:spacing w:after="0"/>
            </w:pPr>
            <w:r>
              <w:rPr>
                <w:rFonts w:ascii="Arial" w:hAnsi="Arial"/>
                <w:b w:val="0"/>
                <w:sz w:val="14"/>
              </w:rPr>
              <w:t>ALCS-08: MAS Evidence Partitioning</w:t>
            </w:r>
          </w:p>
        </w:tc>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MRO-01, MRO-04, MRO-10</w:t>
            </w:r>
          </w:p>
        </w:tc>
        <w:tc>
          <w:tcPr>
            <w:tcW w:type="dxa" w:w="2045"/>
          </w:tcPr>
          <w:p>
            <w:pPr>
              <w:spacing w:after="0"/>
            </w:pPr>
            <w:r>
              <w:rPr>
                <w:rFonts w:ascii="Arial" w:hAnsi="Arial"/>
                <w:b w:val="0"/>
                <w:sz w:val="14"/>
              </w:rPr>
              <w:t>Evidence collection, audit</w:t>
            </w:r>
          </w:p>
        </w:tc>
        <w:tc>
          <w:tcPr>
            <w:tcW w:type="dxa" w:w="2045"/>
          </w:tcPr>
          <w:p>
            <w:pPr>
              <w:spacing w:after="0"/>
            </w:pPr>
            <w:r>
              <w:rPr>
                <w:rFonts w:ascii="Arial" w:hAnsi="Arial"/>
                <w:b w:val="0"/>
                <w:sz w:val="14"/>
              </w:rPr>
              <w:t>Partitioned evidence by agent, tool, human confirmation, plan version, authority boundary, privacy boundary, accepted outcome</w:t>
            </w:r>
          </w:p>
        </w:tc>
      </w:tr>
      <w:tr>
        <w:tc>
          <w:tcPr>
            <w:tcW w:type="dxa" w:w="2045"/>
          </w:tcPr>
          <w:p>
            <w:pPr>
              <w:spacing w:after="0"/>
            </w:pPr>
            <w:r>
              <w:rPr>
                <w:rFonts w:ascii="Arial" w:hAnsi="Arial"/>
                <w:b w:val="0"/>
                <w:sz w:val="14"/>
              </w:rPr>
              <w:t>ALCS-09: Cross-Project Reuse Compliance</w:t>
            </w:r>
          </w:p>
        </w:tc>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MRO-02, MRO-10</w:t>
            </w:r>
          </w:p>
        </w:tc>
        <w:tc>
          <w:tcPr>
            <w:tcW w:type="dxa" w:w="2045"/>
          </w:tcPr>
          <w:p>
            <w:pPr>
              <w:spacing w:after="0"/>
            </w:pPr>
            <w:r>
              <w:rPr>
                <w:rFonts w:ascii="Arial" w:hAnsi="Arial"/>
                <w:b w:val="0"/>
                <w:sz w:val="14"/>
              </w:rPr>
              <w:t>Reuse, revalidation</w:t>
            </w:r>
          </w:p>
        </w:tc>
        <w:tc>
          <w:tcPr>
            <w:tcW w:type="dxa" w:w="2045"/>
          </w:tcPr>
          <w:p>
            <w:pPr>
              <w:spacing w:after="0"/>
            </w:pPr>
            <w:r>
              <w:rPr>
                <w:rFonts w:ascii="Arial" w:hAnsi="Arial"/>
                <w:b w:val="0"/>
                <w:sz w:val="14"/>
              </w:rPr>
              <w:t>Reuse compliance record linking original validation context to new deployment context, authority reset, privacy review</w:t>
            </w:r>
          </w:p>
        </w:tc>
      </w:tr>
      <w:tr>
        <w:tc>
          <w:tcPr>
            <w:tcW w:type="dxa" w:w="2045"/>
          </w:tcPr>
          <w:p>
            <w:pPr>
              <w:spacing w:after="0"/>
            </w:pPr>
            <w:r>
              <w:rPr>
                <w:rFonts w:ascii="Arial" w:hAnsi="Arial"/>
                <w:b w:val="0"/>
                <w:sz w:val="14"/>
              </w:rPr>
              <w:t>ALCS-10: Privacy/GDPR Lifecycle Mapping</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All phases involving personal data</w:t>
            </w:r>
          </w:p>
        </w:tc>
        <w:tc>
          <w:tcPr>
            <w:tcW w:type="dxa" w:w="2045"/>
          </w:tcPr>
          <w:p>
            <w:pPr>
              <w:spacing w:after="0"/>
            </w:pPr>
            <w:r>
              <w:rPr>
                <w:rFonts w:ascii="Arial" w:hAnsi="Arial"/>
                <w:b w:val="0"/>
                <w:sz w:val="14"/>
              </w:rPr>
              <w:t>Lifecycle data-flow map showing personal data entry, flow, exit across agents, tools, memory, handoffs</w:t>
            </w:r>
          </w:p>
        </w:tc>
      </w:tr>
      <w:tr>
        <w:tc>
          <w:tcPr>
            <w:tcW w:type="dxa" w:w="2045"/>
          </w:tcPr>
          <w:p>
            <w:pPr>
              <w:spacing w:after="0"/>
            </w:pPr>
            <w:r>
              <w:rPr>
                <w:rFonts w:ascii="Arial" w:hAnsi="Arial"/>
                <w:b w:val="0"/>
                <w:sz w:val="14"/>
              </w:rPr>
              <w:t>ALCS-11: Privacy-Preserving Third-Party Validation</w:t>
            </w:r>
          </w:p>
        </w:tc>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MRO-08, MRO-12</w:t>
            </w:r>
          </w:p>
        </w:tc>
        <w:tc>
          <w:tcPr>
            <w:tcW w:type="dxa" w:w="2045"/>
          </w:tcPr>
          <w:p>
            <w:pPr>
              <w:spacing w:after="0"/>
            </w:pPr>
            <w:r>
              <w:rPr>
                <w:rFonts w:ascii="Arial" w:hAnsi="Arial"/>
                <w:b w:val="0"/>
                <w:sz w:val="14"/>
              </w:rPr>
              <w:t>External validation, audit</w:t>
            </w:r>
          </w:p>
        </w:tc>
        <w:tc>
          <w:tcPr>
            <w:tcW w:type="dxa" w:w="2045"/>
          </w:tcPr>
          <w:p>
            <w:pPr>
              <w:spacing w:after="0"/>
            </w:pPr>
            <w:r>
              <w:rPr>
                <w:rFonts w:ascii="Arial" w:hAnsi="Arial"/>
                <w:b w:val="0"/>
                <w:sz w:val="14"/>
              </w:rPr>
              <w:t>Privacy-preserving validation protocol allowing selective disclosure and zero-knowledge proofs</w:t>
            </w:r>
          </w:p>
        </w:tc>
      </w:tr>
      <w:tr>
        <w:tc>
          <w:tcPr>
            <w:tcW w:type="dxa" w:w="2045"/>
          </w:tcPr>
          <w:p>
            <w:pPr>
              <w:spacing w:after="0"/>
            </w:pPr>
            <w:r>
              <w:rPr>
                <w:rFonts w:ascii="Arial" w:hAnsi="Arial"/>
                <w:b w:val="0"/>
                <w:sz w:val="14"/>
              </w:rPr>
              <w:t>ALCS-12: Evidence Minimization and Selective Disclosure</w:t>
            </w:r>
          </w:p>
        </w:tc>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MRO-08, MRO-10</w:t>
            </w:r>
          </w:p>
        </w:tc>
        <w:tc>
          <w:tcPr>
            <w:tcW w:type="dxa" w:w="2045"/>
          </w:tcPr>
          <w:p>
            <w:pPr>
              <w:spacing w:after="0"/>
            </w:pPr>
            <w:r>
              <w:rPr>
                <w:rFonts w:ascii="Arial" w:hAnsi="Arial"/>
                <w:b w:val="0"/>
                <w:sz w:val="14"/>
              </w:rPr>
              <w:t>Evidence retention, disclosure</w:t>
            </w:r>
          </w:p>
        </w:tc>
        <w:tc>
          <w:tcPr>
            <w:tcW w:type="dxa" w:w="2045"/>
          </w:tcPr>
          <w:p>
            <w:pPr>
              <w:spacing w:after="0"/>
            </w:pPr>
            <w:r>
              <w:rPr>
                <w:rFonts w:ascii="Arial" w:hAnsi="Arial"/>
                <w:b w:val="0"/>
                <w:sz w:val="14"/>
              </w:rPr>
              <w:t>Evidence minimization policy defining retention periods, redaction rules, disclosure boundaries</w:t>
            </w:r>
          </w:p>
        </w:tc>
      </w:tr>
      <w:tr>
        <w:tc>
          <w:tcPr>
            <w:tcW w:type="dxa" w:w="2045"/>
          </w:tcPr>
          <w:p>
            <w:pPr>
              <w:spacing w:after="0"/>
            </w:pPr>
            <w:r>
              <w:rPr>
                <w:rFonts w:ascii="Arial" w:hAnsi="Arial"/>
                <w:b w:val="0"/>
                <w:sz w:val="14"/>
              </w:rPr>
              <w:t>ALCS-13: Data Subject Rights vs Evidence Retention</w:t>
            </w:r>
          </w:p>
        </w:tc>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MRO-10, MRO-12</w:t>
            </w:r>
          </w:p>
        </w:tc>
        <w:tc>
          <w:tcPr>
            <w:tcW w:type="dxa" w:w="2045"/>
          </w:tcPr>
          <w:p>
            <w:pPr>
              <w:spacing w:after="0"/>
            </w:pPr>
            <w:r>
              <w:rPr>
                <w:rFonts w:ascii="Arial" w:hAnsi="Arial"/>
                <w:b w:val="0"/>
                <w:sz w:val="14"/>
              </w:rPr>
              <w:t>Data subject request handling</w:t>
            </w:r>
          </w:p>
        </w:tc>
        <w:tc>
          <w:tcPr>
            <w:tcW w:type="dxa" w:w="2045"/>
          </w:tcPr>
          <w:p>
            <w:pPr>
              <w:spacing w:after="0"/>
            </w:pPr>
            <w:r>
              <w:rPr>
                <w:rFonts w:ascii="Arial" w:hAnsi="Arial"/>
                <w:b w:val="0"/>
                <w:sz w:val="14"/>
              </w:rPr>
              <w:t>Data subject rights policy defining retention periods, anonymization rules, legal basis for retention override</w:t>
            </w:r>
          </w:p>
        </w:tc>
      </w:tr>
      <w:tr>
        <w:tc>
          <w:tcPr>
            <w:tcW w:type="dxa" w:w="2045"/>
          </w:tcPr>
          <w:p>
            <w:pPr>
              <w:spacing w:after="0"/>
            </w:pPr>
            <w:r>
              <w:rPr>
                <w:rFonts w:ascii="Arial" w:hAnsi="Arial"/>
                <w:b w:val="0"/>
                <w:sz w:val="14"/>
              </w:rPr>
              <w:t>ALCS-14: Third-Party Processor/Subprocessor Chain</w:t>
            </w:r>
          </w:p>
        </w:tc>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All phases involving third-party processing</w:t>
            </w:r>
          </w:p>
        </w:tc>
        <w:tc>
          <w:tcPr>
            <w:tcW w:type="dxa" w:w="2045"/>
          </w:tcPr>
          <w:p>
            <w:pPr>
              <w:spacing w:after="0"/>
            </w:pPr>
            <w:r>
              <w:rPr>
                <w:rFonts w:ascii="Arial" w:hAnsi="Arial"/>
                <w:b w:val="0"/>
                <w:sz w:val="14"/>
              </w:rPr>
              <w:t>Dynamic processor chain record tracking processor identity, data categories, processing purpose, legal basis</w:t>
            </w:r>
          </w:p>
        </w:tc>
      </w:tr>
      <w:tr>
        <w:tc>
          <w:tcPr>
            <w:tcW w:type="dxa" w:w="2045"/>
          </w:tcPr>
          <w:p>
            <w:pPr>
              <w:spacing w:after="0"/>
            </w:pPr>
            <w:r>
              <w:rPr>
                <w:rFonts w:ascii="Arial" w:hAnsi="Arial"/>
                <w:b w:val="0"/>
                <w:sz w:val="14"/>
              </w:rPr>
              <w:t>ALCS-15: Vendor/Model/Runtime Substitution Conformance</w:t>
            </w:r>
          </w:p>
        </w:tc>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MRO-02, MRO-09</w:t>
            </w:r>
          </w:p>
        </w:tc>
        <w:tc>
          <w:tcPr>
            <w:tcW w:type="dxa" w:w="2045"/>
          </w:tcPr>
          <w:p>
            <w:pPr>
              <w:spacing w:after="0"/>
            </w:pPr>
            <w:r>
              <w:rPr>
                <w:rFonts w:ascii="Arial" w:hAnsi="Arial"/>
                <w:b w:val="0"/>
                <w:sz w:val="14"/>
              </w:rPr>
              <w:t>Vendor substitution, revalidation</w:t>
            </w:r>
          </w:p>
        </w:tc>
        <w:tc>
          <w:tcPr>
            <w:tcW w:type="dxa" w:w="2045"/>
          </w:tcPr>
          <w:p>
            <w:pPr>
              <w:spacing w:after="0"/>
            </w:pPr>
            <w:r>
              <w:rPr>
                <w:rFonts w:ascii="Arial" w:hAnsi="Arial"/>
                <w:b w:val="0"/>
                <w:sz w:val="14"/>
              </w:rPr>
              <w:t>Vendor substitution conformance record proving substitution preserved lifecycle responsibility properties</w:t>
            </w:r>
          </w:p>
        </w:tc>
      </w:tr>
    </w:tbl>
    <w:p>
      <w:pPr>
        <w:spacing w:after="56"/>
      </w:pPr>
      <w:r>
        <w:t>This mapping demonstrates that ALCS dimensions are operationalized versions of MRO requirements. Each dimension translates an MRO into a measurable system capability. The mapping also shows that lifecycle responsibility objects are interconnected: responsibility mapping relates to role distinction and transfer semantics; authority boundaries relate to drift detection; evidence partitioning relates to privacy mapping and selective disclosure; reuse compliance relates to authority reset and privacy review.</w:t>
      </w:r>
    </w:p>
    <w:p>
      <w:pPr>
        <w:pStyle w:val="Heading2"/>
      </w:pPr>
      <w:r>
        <w:t>8.3.1 Treatment of MRO-16 as a Cross-Cutting Closure Requirement</w:t>
      </w:r>
    </w:p>
    <w:p>
      <w:pPr>
        <w:spacing w:after="56"/>
      </w:pPr>
      <w:r>
        <w:t>MRO-16 (Incident, Dispute, and Remediation Closure) is not directly mapped to a single ALCS dimension. Instead, it is treated as a cross-cutting lifecycle capability that is evaluated through multiple dimensions and scoring logic across both RCCS and ALCS.</w:t>
      </w:r>
    </w:p>
    <w:p>
      <w:pPr>
        <w:spacing w:after="56"/>
      </w:pPr>
      <w:r>
        <w:t>ALCS directly operationalizes fifteen dimension-level MROs (MRO-01 through MRO-15). MRO-16 is cross-cutting rather than omitted. It is evaluated through contestability, monitoring, accepted outcome, evidence partitioning, evidence minimization, and remediation-related scoring logic. This prevents incident, dispute, and remediation closure from being treated as a narrow isolated dimension and instead recognizes it as a lifecycle-wide capability.</w:t>
      </w:r>
    </w:p>
    <w:p>
      <w:pPr>
        <w:spacing w:after="56"/>
      </w:pPr>
      <w:r>
        <w:t>The following table shows how MRO-16 is evaluated across multiple dimensions:</w:t>
      </w:r>
    </w:p>
    <w:p>
      <w:pPr>
        <w:keepNext/>
      </w:pPr>
      <w:r>
        <w:rPr>
          <w:b/>
          <w:sz w:val="16"/>
        </w:rPr>
        <w:t>Table T-08-02A: MRO-16 Evaluation Path</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MRO-16 Evaluation Path</w:t>
            </w:r>
          </w:p>
        </w:tc>
        <w:tc>
          <w:tcPr>
            <w:tcW w:type="dxa" w:w="3408"/>
          </w:tcPr>
          <w:p>
            <w:pPr>
              <w:spacing w:after="0"/>
            </w:pPr>
            <w:r>
              <w:rPr>
                <w:rFonts w:ascii="Arial" w:hAnsi="Arial"/>
                <w:b/>
                <w:sz w:val="14"/>
              </w:rPr>
              <w:t>Relevant Dimension / Chapter</w:t>
            </w:r>
          </w:p>
        </w:tc>
        <w:tc>
          <w:tcPr>
            <w:tcW w:type="dxa" w:w="3408"/>
          </w:tcPr>
          <w:p>
            <w:pPr>
              <w:spacing w:after="0"/>
            </w:pPr>
            <w:r>
              <w:rPr>
                <w:rFonts w:ascii="Arial" w:hAnsi="Arial"/>
                <w:b/>
                <w:sz w:val="14"/>
              </w:rPr>
              <w:t>Reason</w:t>
            </w:r>
          </w:p>
        </w:tc>
      </w:tr>
      <w:tr>
        <w:tc>
          <w:tcPr>
            <w:tcW w:type="dxa" w:w="3408"/>
          </w:tcPr>
          <w:p>
            <w:pPr>
              <w:spacing w:after="0"/>
            </w:pPr>
            <w:r>
              <w:rPr>
                <w:rFonts w:ascii="Arial" w:hAnsi="Arial"/>
                <w:b w:val="0"/>
                <w:sz w:val="14"/>
              </w:rPr>
              <w:t>Contestability</w:t>
            </w:r>
          </w:p>
        </w:tc>
        <w:tc>
          <w:tcPr>
            <w:tcW w:type="dxa" w:w="3408"/>
          </w:tcPr>
          <w:p>
            <w:pPr>
              <w:spacing w:after="0"/>
            </w:pPr>
            <w:r>
              <w:rPr>
                <w:rFonts w:ascii="Arial" w:hAnsi="Arial"/>
                <w:b w:val="0"/>
                <w:sz w:val="14"/>
              </w:rPr>
              <w:t>RCCS-09 (Chapter 7)</w:t>
            </w:r>
          </w:p>
        </w:tc>
        <w:tc>
          <w:tcPr>
            <w:tcW w:type="dxa" w:w="3408"/>
          </w:tcPr>
          <w:p>
            <w:pPr>
              <w:spacing w:after="0"/>
            </w:pPr>
            <w:r>
              <w:rPr>
                <w:rFonts w:ascii="Arial" w:hAnsi="Arial"/>
                <w:b w:val="0"/>
                <w:sz w:val="14"/>
              </w:rPr>
              <w:t>Disputes require challenge and review paths. Incident closure depends on dispute resolution mechanisms.</w:t>
            </w:r>
          </w:p>
        </w:tc>
      </w:tr>
      <w:tr>
        <w:tc>
          <w:tcPr>
            <w:tcW w:type="dxa" w:w="3408"/>
          </w:tcPr>
          <w:p>
            <w:pPr>
              <w:spacing w:after="0"/>
            </w:pPr>
            <w:r>
              <w:rPr>
                <w:rFonts w:ascii="Arial" w:hAnsi="Arial"/>
                <w:b w:val="0"/>
                <w:sz w:val="14"/>
              </w:rPr>
              <w:t>Monitoring</w:t>
            </w:r>
          </w:p>
        </w:tc>
        <w:tc>
          <w:tcPr>
            <w:tcW w:type="dxa" w:w="3408"/>
          </w:tcPr>
          <w:p>
            <w:pPr>
              <w:spacing w:after="0"/>
            </w:pPr>
            <w:r>
              <w:rPr>
                <w:rFonts w:ascii="Arial" w:hAnsi="Arial"/>
                <w:b w:val="0"/>
                <w:sz w:val="14"/>
              </w:rPr>
              <w:t>RCCS-10 (Chapter 7)</w:t>
            </w:r>
          </w:p>
        </w:tc>
        <w:tc>
          <w:tcPr>
            <w:tcW w:type="dxa" w:w="3408"/>
          </w:tcPr>
          <w:p>
            <w:pPr>
              <w:spacing w:after="0"/>
            </w:pPr>
            <w:r>
              <w:rPr>
                <w:rFonts w:ascii="Arial" w:hAnsi="Arial"/>
                <w:b w:val="0"/>
                <w:sz w:val="14"/>
              </w:rPr>
              <w:t>Incidents require detection and recurrence monitoring. Continuous improvement depends on monitoring capability.</w:t>
            </w:r>
          </w:p>
        </w:tc>
      </w:tr>
      <w:tr>
        <w:tc>
          <w:tcPr>
            <w:tcW w:type="dxa" w:w="3408"/>
          </w:tcPr>
          <w:p>
            <w:pPr>
              <w:spacing w:after="0"/>
            </w:pPr>
            <w:r>
              <w:rPr>
                <w:rFonts w:ascii="Arial" w:hAnsi="Arial"/>
                <w:b w:val="0"/>
                <w:sz w:val="14"/>
              </w:rPr>
              <w:t>Accepted Outcome</w:t>
            </w:r>
          </w:p>
        </w:tc>
        <w:tc>
          <w:tcPr>
            <w:tcW w:type="dxa" w:w="3408"/>
          </w:tcPr>
          <w:p>
            <w:pPr>
              <w:spacing w:after="0"/>
            </w:pPr>
            <w:r>
              <w:rPr>
                <w:rFonts w:ascii="Arial" w:hAnsi="Arial"/>
                <w:b w:val="0"/>
                <w:sz w:val="14"/>
              </w:rPr>
              <w:t>ALCS-04 (Chapter 8)</w:t>
            </w:r>
          </w:p>
        </w:tc>
        <w:tc>
          <w:tcPr>
            <w:tcW w:type="dxa" w:w="3408"/>
          </w:tcPr>
          <w:p>
            <w:pPr>
              <w:spacing w:after="0"/>
            </w:pPr>
            <w:r>
              <w:rPr>
                <w:rFonts w:ascii="Arial" w:hAnsi="Arial"/>
                <w:b w:val="0"/>
                <w:sz w:val="14"/>
              </w:rPr>
              <w:t>Closure requires knowing whether the outcome was accepted, rejected, or remediated. Dispute resolution affects acceptance state.</w:t>
            </w:r>
          </w:p>
        </w:tc>
      </w:tr>
      <w:tr>
        <w:tc>
          <w:tcPr>
            <w:tcW w:type="dxa" w:w="3408"/>
          </w:tcPr>
          <w:p>
            <w:pPr>
              <w:spacing w:after="0"/>
            </w:pPr>
            <w:r>
              <w:rPr>
                <w:rFonts w:ascii="Arial" w:hAnsi="Arial"/>
                <w:b w:val="0"/>
                <w:sz w:val="14"/>
              </w:rPr>
              <w:t>Evidence Partitioning</w:t>
            </w:r>
          </w:p>
        </w:tc>
        <w:tc>
          <w:tcPr>
            <w:tcW w:type="dxa" w:w="3408"/>
          </w:tcPr>
          <w:p>
            <w:pPr>
              <w:spacing w:after="0"/>
            </w:pPr>
            <w:r>
              <w:rPr>
                <w:rFonts w:ascii="Arial" w:hAnsi="Arial"/>
                <w:b w:val="0"/>
                <w:sz w:val="14"/>
              </w:rPr>
              <w:t>ALCS-08 (Chapter 8)</w:t>
            </w:r>
          </w:p>
        </w:tc>
        <w:tc>
          <w:tcPr>
            <w:tcW w:type="dxa" w:w="3408"/>
          </w:tcPr>
          <w:p>
            <w:pPr>
              <w:spacing w:after="0"/>
            </w:pPr>
            <w:r>
              <w:rPr>
                <w:rFonts w:ascii="Arial" w:hAnsi="Arial"/>
                <w:b w:val="0"/>
                <w:sz w:val="14"/>
              </w:rPr>
              <w:t>Closure requires reconstructable evidence linking incident detection to root cause, remediation, and resolution.</w:t>
            </w:r>
          </w:p>
        </w:tc>
      </w:tr>
      <w:tr>
        <w:tc>
          <w:tcPr>
            <w:tcW w:type="dxa" w:w="3408"/>
          </w:tcPr>
          <w:p>
            <w:pPr>
              <w:spacing w:after="0"/>
            </w:pPr>
            <w:r>
              <w:rPr>
                <w:rFonts w:ascii="Arial" w:hAnsi="Arial"/>
                <w:b w:val="0"/>
                <w:sz w:val="14"/>
              </w:rPr>
              <w:t>Evidence Minimization</w:t>
            </w:r>
          </w:p>
        </w:tc>
        <w:tc>
          <w:tcPr>
            <w:tcW w:type="dxa" w:w="3408"/>
          </w:tcPr>
          <w:p>
            <w:pPr>
              <w:spacing w:after="0"/>
            </w:pPr>
            <w:r>
              <w:rPr>
                <w:rFonts w:ascii="Arial" w:hAnsi="Arial"/>
                <w:b w:val="0"/>
                <w:sz w:val="14"/>
              </w:rPr>
              <w:t>ALCS-12 (Chapter 8)</w:t>
            </w:r>
          </w:p>
        </w:tc>
        <w:tc>
          <w:tcPr>
            <w:tcW w:type="dxa" w:w="3408"/>
          </w:tcPr>
          <w:p>
            <w:pPr>
              <w:spacing w:after="0"/>
            </w:pPr>
            <w:r>
              <w:rPr>
                <w:rFonts w:ascii="Arial" w:hAnsi="Arial"/>
                <w:b w:val="0"/>
                <w:sz w:val="14"/>
              </w:rPr>
              <w:t>Closure evidence must preserve accountability without unnecessary disclosure. Incident investigation must respect privacy boundaries.</w:t>
            </w:r>
          </w:p>
        </w:tc>
      </w:tr>
      <w:tr>
        <w:tc>
          <w:tcPr>
            <w:tcW w:type="dxa" w:w="3408"/>
          </w:tcPr>
          <w:p>
            <w:pPr>
              <w:spacing w:after="0"/>
            </w:pPr>
            <w:r>
              <w:rPr>
                <w:rFonts w:ascii="Arial" w:hAnsi="Arial"/>
                <w:b w:val="0"/>
                <w:sz w:val="14"/>
              </w:rPr>
              <w:t>Composite interpretation</w:t>
            </w:r>
          </w:p>
        </w:tc>
        <w:tc>
          <w:tcPr>
            <w:tcW w:type="dxa" w:w="3408"/>
          </w:tcPr>
          <w:p>
            <w:pPr>
              <w:spacing w:after="0"/>
            </w:pPr>
            <w:r>
              <w:rPr>
                <w:rFonts w:ascii="Arial" w:hAnsi="Arial"/>
                <w:b w:val="0"/>
                <w:sz w:val="14"/>
              </w:rPr>
              <w:t>Chapter 9</w:t>
            </w:r>
          </w:p>
        </w:tc>
        <w:tc>
          <w:tcPr>
            <w:tcW w:type="dxa" w:w="3408"/>
          </w:tcPr>
          <w:p>
            <w:pPr>
              <w:spacing w:after="0"/>
            </w:pPr>
            <w:r>
              <w:rPr>
                <w:rFonts w:ascii="Arial" w:hAnsi="Arial"/>
                <w:b w:val="0"/>
                <w:sz w:val="14"/>
              </w:rPr>
              <w:t>Incident closure affects final system readiness interpretation. Systems with strong incident closure capability score higher on contestability, monitoring, and evidence dimensions.</w:t>
            </w:r>
          </w:p>
        </w:tc>
      </w:tr>
    </w:tbl>
    <w:p>
      <w:pPr>
        <w:spacing w:after="56"/>
      </w:pPr>
      <w:r>
        <w:t>This cross-cutting treatment ensures that incident, dispute, and remediation closure is evaluated as a lifecycle-wide capability rather than as a single isolated dimension. Systems that provide strong contestability, monitoring, accepted outcome tracking, evidence partitioning, and evidence minimization capabilities will naturally support incident closure. Systems that lack these capabilities will struggle to close incidents in an auditable, privacy-preserving, and accountability-preserving manner.</w:t>
      </w:r>
    </w:p>
    <w:p>
      <w:pPr>
        <w:pStyle w:val="Heading2"/>
      </w:pPr>
      <w:r>
        <w:t>8.4 Shared Scoring Procedure (Reference to Chapter 7)</w:t>
      </w:r>
    </w:p>
    <w:p>
      <w:pPr>
        <w:spacing w:after="56"/>
      </w:pPr>
      <w:r>
        <w:t>ALCS uses the same scoring procedure as RCCS. This ensures consistency and comparability across both scoring frameworks. The shared scoring procedure was defined in Chapter 7.3 and includes the raw scoring scale, evidence confidence multiplier, dimension score formula, and cross-framework composite score.</w:t>
      </w:r>
    </w:p>
    <w:p>
      <w:pPr>
        <w:spacing w:after="56"/>
      </w:pPr>
      <w:r>
        <w:t>Raw scoring scale (0-5): Each ALCS dimension is scored on a 0-5 raw scale based on the strength of system support:</w:t>
      </w:r>
    </w:p>
    <w:p>
      <w:pPr>
        <w:pStyle w:val="ListBullet"/>
        <w:spacing w:after="56"/>
      </w:pPr>
      <w:r>
        <w:t>0 = No capability; no evidence</w:t>
      </w:r>
    </w:p>
    <w:p>
      <w:pPr>
        <w:pStyle w:val="ListBullet"/>
        <w:spacing w:after="56"/>
      </w:pPr>
      <w:r>
        <w:t>1 = Minimal capability; weak evidence</w:t>
      </w:r>
    </w:p>
    <w:p>
      <w:pPr>
        <w:pStyle w:val="ListBullet"/>
        <w:spacing w:after="56"/>
      </w:pPr>
      <w:r>
        <w:t>2 = Partial capability; some evidence</w:t>
      </w:r>
    </w:p>
    <w:p>
      <w:pPr>
        <w:pStyle w:val="ListBullet"/>
        <w:spacing w:after="56"/>
      </w:pPr>
      <w:r>
        <w:t>3 = Moderate capability; documented evidence</w:t>
      </w:r>
    </w:p>
    <w:p>
      <w:pPr>
        <w:pStyle w:val="ListBullet"/>
        <w:spacing w:after="56"/>
      </w:pPr>
      <w:r>
        <w:t>4 = Strong capability; validated evidence</w:t>
      </w:r>
    </w:p>
    <w:p>
      <w:pPr>
        <w:pStyle w:val="ListBullet"/>
        <w:spacing w:after="56"/>
      </w:pPr>
      <w:r>
        <w:t>5 =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confidence multiplier: The evidence multiplier adjusts the dimension score based on the quality and verifiability of evidence used to evaluate the system:</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spacing w:after="56"/>
      </w:pPr>
      <w:r>
        <w:t>Dimension score formula: Each ALCS dimension is normalized using:</w:t>
      </w:r>
    </w:p>
    <w:p>
      <w:pPr>
        <w:spacing w:after="56"/>
      </w:pPr>
      <w:r>
        <w:t>Dimension Score = (Raw Score / 5) × 100 × Evidence Confidence Multiplier</w:t>
      </w:r>
    </w:p>
    <w:p>
      <w:pPr>
        <w:spacing w:after="56"/>
      </w:pPr>
      <w:r>
        <w:t>Composite score formula: RCCS and ALCS are combined only at the cross-framework layer:</w:t>
      </w:r>
    </w:p>
    <w:p>
      <w:pPr>
        <w:spacing w:after="56"/>
      </w:pPr>
      <w:r>
        <w:t>Composite Score = 0.40 × RCCS + 0.60 × ALCS</w:t>
      </w:r>
    </w:p>
    <w:p>
      <w:pPr>
        <w:spacing w:after="56"/>
      </w:pPr>
      <w:r>
        <w:t>For complete details on the scoring procedure, including scoring rationale, evidence hierarchy, and calculation examples, see Chapter 7.3.</w:t>
      </w:r>
    </w:p>
    <w:p>
      <w:pPr>
        <w:pStyle w:val="Heading2"/>
      </w:pPr>
      <w:r>
        <w:t>8.5 ALCS Boundary Statement</w:t>
      </w:r>
    </w:p>
    <w:p>
      <w:pPr>
        <w:spacing w:after="56"/>
      </w:pPr>
      <w:r>
        <w:t>ALCS is an analytical scoring framework, not a legal compliance score. This boundary must be understood clearly to avoid misinterpretation and over-claiming.</w:t>
      </w:r>
    </w:p>
    <w:p>
      <w:pPr>
        <w:spacing w:after="56"/>
      </w:pPr>
      <w:r>
        <w:t>What ALCS is:</w:t>
      </w:r>
    </w:p>
    <w:p>
      <w:pPr>
        <w:pStyle w:val="ListBullet"/>
        <w:spacing w:after="56"/>
      </w:pPr>
      <w:r>
        <w:t>An analytical framework for comparing system capabilities against lifecycle responsibility requirements</w:t>
      </w:r>
    </w:p>
    <w:p>
      <w:pPr>
        <w:pStyle w:val="ListBullet"/>
        <w:spacing w:after="56"/>
      </w:pPr>
      <w:r>
        <w:t>A structured method for evaluating whether a system provides lifecycle objects required to prove agentic responsibility</w:t>
      </w:r>
    </w:p>
    <w:p>
      <w:pPr>
        <w:pStyle w:val="ListBullet"/>
        <w:spacing w:after="56"/>
      </w:pPr>
      <w:r>
        <w:t>A tool for buyers, auditors, and governance teams to assess system readiness for multi-agent execution</w:t>
      </w:r>
    </w:p>
    <w:p>
      <w:pPr>
        <w:pStyle w:val="ListBullet"/>
        <w:spacing w:after="56"/>
      </w:pPr>
      <w:r>
        <w:t>A bridge between regulatory abstractions and lifecycle implementation</w:t>
      </w:r>
    </w:p>
    <w:p>
      <w:pPr>
        <w:spacing w:after="56"/>
      </w:pPr>
      <w:r>
        <w:t>What ALCS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spacing w:after="56"/>
      </w:pPr>
      <w:r>
        <w:t>Key boundary principles:</w:t>
      </w:r>
    </w:p>
    <w:p>
      <w:pPr>
        <w:pStyle w:val="ListNumber"/>
        <w:spacing w:after="56"/>
      </w:pPr>
      <w:r>
        <w:t>High ALCS score does NOT mean legal compliance. A system may score well on ALCS while the organization using it fails to comply with legal obligations due to deployment gaps, policy weaknesses, incomplete adoption, or jurisdictional differences. ALCS measures system capability to express lifecycle objects, not organizational conformance to legal requirements.</w:t>
      </w:r>
    </w:p>
    <w:p>
      <w:pPr>
        <w:pStyle w:val="ListNumber"/>
        <w:spacing w:after="56"/>
      </w:pPr>
      <w:r>
        <w:t>Low ALCS score does NOT mean non-compliance. A system may score lower on ALCS while the organization achieves compliance through compensating controls, manual processes, or alternative governance mechanisms. ALCS measures lifecycle object support, not all possible paths to compliance.</w:t>
      </w:r>
    </w:p>
    <w:p>
      <w:pPr>
        <w:pStyle w:val="ListNumber"/>
        <w:spacing w:after="56"/>
      </w:pPr>
      <w:r>
        <w:t>ALCS measures system capability, not organizational practice. A system may provide strong lifecycle objects while the organization fails to use them. Conversely, an organization may achieve strong lifecycle governance through processes that are not reflected in system capabilities. ALCS evaluates what the system can express, not what the organization actually does.</w:t>
      </w:r>
    </w:p>
    <w:p>
      <w:pPr>
        <w:pStyle w:val="ListNumber"/>
        <w:spacing w:after="56"/>
      </w:pPr>
      <w:r>
        <w:t>ALCS is context-independent, but compliance is context-dependent. ALCS evaluates system capabilities without regard to deployment context, risk class, jurisdiction, or use case. Legal compliance depends on all of these factors. A system with a high ALCS score may still be non-compliant in specific contexts, and a system with a low ALCS score may be compliant in other contexts.</w:t>
      </w:r>
    </w:p>
    <w:p>
      <w:pPr>
        <w:spacing w:after="56"/>
      </w:pPr>
      <w:r>
        <w:t>Relationship between RCCS and ALCS:</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56"/>
      </w:pPr>
      <w:r>
        <w:t>A system can have strong RCCS and weak ALCS. This means the system provides strong regulatory compliance coverage through risk management, documentation, record-keeping, transparency, human oversight, security, accountability, contestability, and monitoring capabilities while lacking deeper lifecycle responsibility objects for multi-agent execution. This is not a contradiction. It reflects the reality that existing regulation focuses on model governance and platform controls while lifecycle responsibility semantics for multi-agent systems are still emerging.</w:t>
      </w:r>
    </w:p>
    <w:p>
      <w:pPr>
        <w:spacing w:after="56"/>
      </w:pPr>
      <w:r>
        <w:t>A system can have weak RCCS and strong ALCS. This means the system provides strong lifecycle objects for expressing agentic responsibility while lacking broader regulatory compliance coverage. This is less common but possible for specialized lifecycle protocols or agent frameworks that focus on responsibility semantics without providing full governance platform capabilities.</w:t>
      </w:r>
    </w:p>
    <w:p>
      <w:pPr>
        <w:spacing w:after="56"/>
      </w:pPr>
      <w:r>
        <w:t>Both RCCS and ALCS are necessary. Neither alone is sufficient. RCCS ensures that systems meet existing regulatory requirements. ALCS ensures that systems can prove lifecycle responsibility in multi-agent execution. Together, they provide a dual-layer assessment of system governance capability.</w:t>
      </w:r>
    </w:p>
    <w:p>
      <w:pPr>
        <w:spacing w:after="56"/>
      </w:pPr>
      <w:r>
        <w:t>The purpose of this boundary statement is to prevent over-claiming. ALCS is a useful analytical tool, but it is not a compliance certification. Organizations must not rely on ALCS scores as proof of legal compliance. Buyers must not treat high ALCS scores as a substitute for due diligence, legal review, or risk assessment. ALCS measures system capability to express lifecycle objects. Legal compliance requires organizational practice, deployment context, and jurisdictional analysis.</w:t>
      </w:r>
    </w:p>
    <w:p>
      <w:pPr>
        <w:pStyle w:val="Heading2"/>
      </w:pPr>
      <w:r>
        <w:t>8.6 Bridge to Dimension Sections</w:t>
      </w:r>
    </w:p>
    <w:p>
      <w:pPr>
        <w:spacing w:after="56"/>
      </w:pPr>
      <w:r>
        <w:t>The following sections (8.7 through 8.21) detail each ALCS dimension. Each dimension section includes:</w:t>
      </w:r>
    </w:p>
    <w:p>
      <w:pPr>
        <w:pStyle w:val="ListBullet"/>
        <w:spacing w:after="56"/>
      </w:pPr>
      <w:r>
        <w:t>MRO mapping - Which Missing Regulatory Objects inform the dimension</w:t>
      </w:r>
    </w:p>
    <w:p>
      <w:pPr>
        <w:pStyle w:val="ListBullet"/>
        <w:spacing w:after="56"/>
      </w:pPr>
      <w:r>
        <w:t>Core question - What the dimension evaluates</w:t>
      </w:r>
    </w:p>
    <w:p>
      <w:pPr>
        <w:pStyle w:val="ListBullet"/>
        <w:spacing w:after="56"/>
      </w:pPr>
      <w:r>
        <w:t>Scoring criteria - How to apply the 0-5 raw scale to system capabilities</w:t>
      </w:r>
    </w:p>
    <w:p>
      <w:pPr>
        <w:pStyle w:val="ListBullet"/>
        <w:spacing w:after="56"/>
      </w:pPr>
      <w:r>
        <w:t>System mapping guidance - How to evaluate whether a system supports the dimension</w:t>
      </w:r>
    </w:p>
    <w:p>
      <w:pPr>
        <w:spacing w:after="56"/>
      </w:pPr>
      <w:r>
        <w:t>The dimension sections provide the detailed rubrics required to score systems consistently and reproducibly. They translate lifecycle responsibility abstractions into concrete system features that can be evaluated through documentation review, API inspection, and evidence analysis.</w:t>
      </w:r>
    </w:p>
    <w:p>
      <w:pPr>
        <w:spacing w:after="56"/>
      </w:pPr>
      <w:r>
        <w:t>The body chapter includes compact dimension rubrics for reader continuity; Appendix F provides the reusable detailed ALCS scoring reference.</w:t>
      </w:r>
    </w:p>
    <w:p>
      <w:pPr>
        <w:pStyle w:val="Heading2"/>
      </w:pPr>
      <w:r>
        <w:t>8.7 ALCS-01: Human-Role-to-MAS Responsibility Mapping</w:t>
      </w:r>
    </w:p>
    <w:p>
      <w:pPr>
        <w:pStyle w:val="Heading3"/>
      </w:pPr>
      <w:r>
        <w:t>MRO Mapping</w:t>
      </w:r>
    </w:p>
    <w:p>
      <w:pPr>
        <w:spacing w:after="56"/>
      </w:pPr>
      <w:r>
        <w:t>This dimension primarily maps to MRO-01 (Human Role to MAS Responsibility Mapping) with secondary relationships to MRO-03 (Agent Role vs Human Role) and MRO-06 (Responsibility Transfer Across Agents). The core requirement is that human organizational accountability must be explicitly mapped to agent execution responsibilities.</w:t>
      </w:r>
    </w:p>
    <w:p>
      <w:pPr>
        <w:pStyle w:val="Heading3"/>
      </w:pPr>
      <w:r>
        <w:t>Core Question</w:t>
      </w:r>
    </w:p>
    <w:p>
      <w:pPr>
        <w:spacing w:after="56"/>
      </w:pPr>
      <w:r>
        <w:t>Does the system map human roles to agent roles, delegated scopes, evidence obligations, and acceptance authority?</w:t>
      </w:r>
    </w:p>
    <w:p>
      <w:pPr>
        <w:pStyle w:val="Heading3"/>
      </w:pPr>
      <w:r>
        <w:t>Scoring Rubric</w:t>
      </w:r>
    </w:p>
    <w:p>
      <w:pPr>
        <w:keepNext/>
      </w:pPr>
      <w:r>
        <w:rPr>
          <w:b/>
          <w:sz w:val="16"/>
        </w:rPr>
        <w:t>Table T-08-03: ALCS-01 Human-Role-to-MAS Responsibility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role-to-responsibility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human oversight or role mapping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Human roles and agent roles exist but are not explicitly mapped; no evidence obligations or acceptance authority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Role-to-responsibility mappings exist for most workflows; some gaps in evidence obligation tracking, acceptance authority, or cross-project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role-responsibility graph linking human role IDs, agent role IDs, delegated scopes, reserved decisions, review duties, evidence obligations, and accepted-outcome authority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When evaluating a system for human-role-to-MAS responsibility mapping, examine whether the system maintains explicit bindings between human organizational roles and agent execution responsibilities. Look for role definition objects that specify not only who can initiate or approve agent work, but also who owns intent, who approves risk, who reviews evidence, and who accepts outcomes.</w:t>
      </w:r>
    </w:p>
    <w:p>
      <w:pPr>
        <w:spacing w:after="56"/>
      </w:pPr>
      <w:r>
        <w:t>Strong systems provide role-responsibility graphs where each human role is linked to specific agent roles, with clear documentation of what responsibilities are delegated, what responsibilities are retained, and what evidence obligations apply. The mapping should be durable and auditable: given a completed workflow, the system should be able to reconstruct which human role held which responsibility at each lifecycle phase.</w:t>
      </w:r>
    </w:p>
    <w:p>
      <w:pPr>
        <w:spacing w:after="56"/>
      </w:pPr>
      <w:r>
        <w:t>Weak systems may have user accounts, approval buttons, or workflow assignments without explicit responsibility semantics. A user may be listed as an approver without clarity about whether they own business acceptance, risk approval, or evidence review. The test is whether the system can answer: for this completed run, who owned intent, who approved risk, who executed each step, who reviewed evidence, and who accepted the outcome?</w:t>
      </w:r>
    </w:p>
    <w:p>
      <w:pPr>
        <w:pStyle w:val="Heading3"/>
      </w:pPr>
      <w:r>
        <w:t>Common Gaps</w:t>
      </w:r>
    </w:p>
    <w:p>
      <w:pPr>
        <w:spacing w:after="56"/>
      </w:pPr>
      <w:r>
        <w:t>The most common gap is human oversight that exists at the UI level without responsibility mapping at the lifecycle level. Organizations may have approval workflows where humans click buttons, but the system cannot prove which human role held which responsibility. Another common gap is responsibility mappings that apply to initial delegation but do not track responsibility changes during multi-agent handoffs or cross-project reuse.</w:t>
      </w:r>
    </w:p>
    <w:p>
      <w:pPr>
        <w:pStyle w:val="Heading2"/>
      </w:pPr>
      <w:r>
        <w:t>8.8 ALCS-02: Delegated Authority Boundary</w:t>
      </w:r>
    </w:p>
    <w:p>
      <w:pPr>
        <w:pStyle w:val="Heading3"/>
      </w:pPr>
      <w:r>
        <w:t>MRO Mapping</w:t>
      </w:r>
    </w:p>
    <w:p>
      <w:pPr>
        <w:spacing w:after="56"/>
      </w:pPr>
      <w:r>
        <w:t>This dimension primarily maps to MRO-02 (Delegated Authority Boundary) with secondary relationships to MRO-07 (Authority Drift). The core requirement is that technical permission must be distinguished from business authority, and authority boundaries must be enforced at execution time.</w:t>
      </w:r>
    </w:p>
    <w:p>
      <w:pPr>
        <w:pStyle w:val="Heading3"/>
      </w:pPr>
      <w:r>
        <w:t>Core Question</w:t>
      </w:r>
    </w:p>
    <w:p>
      <w:pPr>
        <w:spacing w:after="56"/>
      </w:pPr>
      <w:r>
        <w:t>Does the system define and enforce delegated authority boundaries for agent actions?</w:t>
      </w:r>
    </w:p>
    <w:p>
      <w:pPr>
        <w:pStyle w:val="Heading3"/>
      </w:pPr>
      <w:r>
        <w:t>Scoring Rubric</w:t>
      </w:r>
    </w:p>
    <w:p>
      <w:pPr>
        <w:keepNext/>
      </w:pPr>
      <w:r>
        <w:rPr>
          <w:b/>
          <w:sz w:val="16"/>
        </w:rPr>
        <w:t>Table T-08-04: ALCS-02 Delegated Authority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boundary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or delegation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permissions exist but are not mapped to business authority; no scope, condition, or risk class enforcement</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boundaries exist for most high-impact actions; some gaps in condition enforcement, expiry tracking, or escalation paths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boundary objects binding role, action, scope, condition, risk class, evidence requirement, expiry, revocation, and escalation path with runtime enforcement</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delegated authority requires distinguishing between access control and authority control. A system may grant an agent technical permission to call a tool while lacking business authority to use that tool for a particular action. Look for authority boundary objects that specify not only what an agent can do, but under what conditions, for what scope, at what risk level, and with what escalation requirements.</w:t>
      </w:r>
    </w:p>
    <w:p>
      <w:pPr>
        <w:spacing w:after="56"/>
      </w:pPr>
      <w:r>
        <w:t>Strong systems check authority boundaries before high-impact tool calls and enforce scope limitations, condition requirements, and expiry rules. Authority should be evaluated against intent and plan state, not only against static credentials. The system should fail closed when authority cannot be reconstructed, and should escalate when observed actions exceed delegated authority.</w:t>
      </w:r>
    </w:p>
    <w:p>
      <w:pPr>
        <w:spacing w:after="56"/>
      </w:pPr>
      <w:r>
        <w:t>Weak systems may rely on IAM permissions, API keys, or tool availability without authority semantics. The same tool call may be authorized in one context and unauthorized in another, but the system treats all calls with valid credentials as authorized. The test is whether the system can show the exact authority basis and escalation rule for a high-impact tool call before it executes.</w:t>
      </w:r>
    </w:p>
    <w:p>
      <w:pPr>
        <w:pStyle w:val="Heading3"/>
      </w:pPr>
      <w:r>
        <w:t>Common Gaps</w:t>
      </w:r>
    </w:p>
    <w:p>
      <w:pPr>
        <w:spacing w:after="56"/>
      </w:pPr>
      <w:r>
        <w:t>The most common gap is authority boundaries that are documented in policies but not enforced at runtime. Organizations may define authority scopes in documentation while allowing agents to execute any action for which they have technical permission. Another common gap is authority boundaries that apply to initial delegation but do not detect authority drift during long-running workflows or autonomous retries.</w:t>
      </w:r>
    </w:p>
    <w:p>
      <w:pPr>
        <w:pStyle w:val="Heading2"/>
      </w:pPr>
      <w:r>
        <w:t>8.9 ALCS-03: Agent Role vs Human Role Distinction</w:t>
      </w:r>
    </w:p>
    <w:p>
      <w:pPr>
        <w:pStyle w:val="Heading3"/>
      </w:pPr>
      <w:r>
        <w:t>MRO Mapping</w:t>
      </w:r>
    </w:p>
    <w:p>
      <w:pPr>
        <w:spacing w:after="56"/>
      </w:pPr>
      <w:r>
        <w:t>This dimension primarily maps to MRO-03 (Agent Role is not Human Role) with secondary relationships to MRO-01 (Human Role to MAS Responsibility Mapping). The core requirement is that agent roles must be governance identities with bounded responsibility surfaces, not merely persuasive persona labels.</w:t>
      </w:r>
    </w:p>
    <w:p>
      <w:pPr>
        <w:pStyle w:val="Heading3"/>
      </w:pPr>
      <w:r>
        <w:t>Core Question</w:t>
      </w:r>
    </w:p>
    <w:p>
      <w:pPr>
        <w:spacing w:after="56"/>
      </w:pPr>
      <w:r>
        <w:t>Does the system distinguish agent roles from human roles with clear responsibility semantics?</w:t>
      </w:r>
    </w:p>
    <w:p>
      <w:pPr>
        <w:pStyle w:val="Heading3"/>
      </w:pPr>
      <w:r>
        <w:t>Scoring Rubric</w:t>
      </w:r>
    </w:p>
    <w:p>
      <w:pPr>
        <w:keepNext/>
      </w:pPr>
      <w:r>
        <w:rPr>
          <w:b/>
          <w:sz w:val="16"/>
        </w:rPr>
        <w:t>Table T-08-05: ALCS-03 Agent Role vs Human Role Distinction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role distinction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roles but provides no responsibility semantics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roles exist as execution personas but lack responsibility boundaries, evidence duties, or human accountability linkage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Agent roles include responsibility boundaries and capability definitions; some gaps in evidence duties, escalation requirements, or human accountability linkage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agent responsibility boundaries declaring duties, non-duties, allowed tools, inherited constraints, verification expectations, evidence obligations, and human accountability linkage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agent role distinction requires examining whether agent roles carry governance semantics beyond execution personas. Look for role objects that define not only what an agent can do, but what it must prove, what it must escalate, and which human role remains accountable for acceptance or rejection.</w:t>
      </w:r>
    </w:p>
    <w:p>
      <w:pPr>
        <w:spacing w:after="56"/>
      </w:pPr>
      <w:r>
        <w:t>Strong systems separate UX persona labels from governance role definitions. An agent labeled "reviewer" should have a role object that specifies review duties, review criteria, evidence requirements, escalation conditions, and the human role accountable for final acceptance. The role definition should survive if the persona label is replaced with a neutral identifier.</w:t>
      </w:r>
    </w:p>
    <w:p>
      <w:pPr>
        <w:spacing w:after="56"/>
      </w:pPr>
      <w:r>
        <w:t>Weak systems may use human-like role labels such as researcher, writer, analyst, or manager without defining responsibility boundaries. These labels are useful for UI and collaboration metaphors, but they can obscure the fact that legal and business accountability remains with humans and organizations. The test is whether the governance meaning remains intact if the agent name is replaced with a neutral identifier.</w:t>
      </w:r>
    </w:p>
    <w:p>
      <w:pPr>
        <w:pStyle w:val="Heading3"/>
      </w:pPr>
      <w:r>
        <w:t>Common Gaps</w:t>
      </w:r>
    </w:p>
    <w:p>
      <w:pPr>
        <w:spacing w:after="56"/>
      </w:pPr>
      <w:r>
        <w:t>The most common gap is agent roles that exist as execution personas without responsibility semantics. Organizations may define agents with human-like job titles while lacking clarity about what responsibilities those agents carry, what evidence they must produce, or which human roles remain accountable. Another common gap is role definitions that specify capabilities without specifying non-delegable human responsibilities or escalation duties.</w:t>
      </w:r>
    </w:p>
    <w:p>
      <w:pPr>
        <w:pStyle w:val="Heading2"/>
      </w:pPr>
      <w:r>
        <w:t>8.10 ALCS-04: Accepted Outcome Compliance</w:t>
      </w:r>
    </w:p>
    <w:p>
      <w:pPr>
        <w:pStyle w:val="Heading3"/>
      </w:pPr>
      <w:r>
        <w:t>MRO Mapping</w:t>
      </w:r>
    </w:p>
    <w:p>
      <w:pPr>
        <w:spacing w:after="56"/>
      </w:pPr>
      <w:r>
        <w:t>This dimension primarily maps to MRO-04 (Accepted Outcome Compliance) with secondary relationships to MRO-01 (Human Role to MAS Responsibility Mapping) and MRO-08 (MAS Evidence Partitioning). The core requirement is that execution completion must be separated from outcome acceptance.</w:t>
      </w:r>
    </w:p>
    <w:p>
      <w:pPr>
        <w:pStyle w:val="Heading3"/>
      </w:pPr>
      <w:r>
        <w:t>Core Question</w:t>
      </w:r>
    </w:p>
    <w:p>
      <w:pPr>
        <w:spacing w:after="56"/>
      </w:pPr>
      <w:r>
        <w:t>Does the system separate execution completion from outcome acceptance and track acceptance authority?</w:t>
      </w:r>
    </w:p>
    <w:p>
      <w:pPr>
        <w:pStyle w:val="Heading3"/>
      </w:pPr>
      <w:r>
        <w:t>Scoring Rubric</w:t>
      </w:r>
    </w:p>
    <w:p>
      <w:pPr>
        <w:keepNext/>
      </w:pPr>
      <w:r>
        <w:rPr>
          <w:b/>
          <w:sz w:val="16"/>
        </w:rPr>
        <w:t>Table T-08-06: ALCS-04 Accepted Outcome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acceptance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review or acceptance but provides no implementation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Execution completion states exist but are not distinguished from acceptance states; no acceptance criteria or reviewer tracking</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Acceptance workflows exist for most deliverables; some gaps in acceptance criteria definition, dispute windows, or remediation routes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accepted outcome states linking source intent, plan, trace, reviewer identity, acceptance criteria, acceptance status, acceptance timestamp, dispute window, and remediation route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accepted outcome compliance requires examining whether the system distinguishes between completed execution and accepted delivery. Look for acceptance state objects that bind deliverable ID, plan version, trace reference, reviewer role, acceptance criteria, acceptance decision, and dispute window.</w:t>
      </w:r>
    </w:p>
    <w:p>
      <w:pPr>
        <w:spacing w:after="56"/>
      </w:pPr>
      <w:r>
        <w:t>Strong systems enforce a two-state transition: from completed output to accepted outcome. Completion means execution reached a terminal state. Acceptance means the output was reviewed against intent, evidence, risk, and acceptance criteria by an authorized reviewer. The system should track who accepted, against what criteria, with what evidence, and what the dispute window is.</w:t>
      </w:r>
    </w:p>
    <w:p>
      <w:pPr>
        <w:spacing w:after="56"/>
      </w:pPr>
      <w:r>
        <w:t>Weak systems may mark work as complete when execution terminates without requiring explicit acceptance. Downstream business processes may rely on unaccepted output. In disputes, the organization cannot distinguish whether the problem was execution quality, review failure, or missing acceptance policy. The test is whether the system can identify acceptance criteria, evidence reviewed, reviewer role, decision timestamp, and dispute window for any completed task.</w:t>
      </w:r>
    </w:p>
    <w:p>
      <w:pPr>
        <w:pStyle w:val="Heading3"/>
      </w:pPr>
      <w:r>
        <w:t>Common Gaps</w:t>
      </w:r>
    </w:p>
    <w:p>
      <w:pPr>
        <w:spacing w:after="56"/>
      </w:pPr>
      <w:r>
        <w:t>The most common gap is execution completion being treated as outcome acceptance. Organizations may have reliable execution engines while lacking explicit acceptance workflows, acceptance criteria, or acceptance authority tracking. Another common gap is acceptance workflows that exist for final deliverables but not for intermediate agent outputs, allowing unaccepted work to propagate through multi-agent workflows.</w:t>
      </w:r>
    </w:p>
    <w:p>
      <w:pPr>
        <w:pStyle w:val="Heading2"/>
      </w:pPr>
      <w:r>
        <w:t>8.11 ALCS-05: Tool-Action Liability Boundary</w:t>
      </w:r>
    </w:p>
    <w:p>
      <w:pPr>
        <w:pStyle w:val="Heading3"/>
      </w:pPr>
      <w:r>
        <w:t>MRO Mapping</w:t>
      </w:r>
    </w:p>
    <w:p>
      <w:pPr>
        <w:spacing w:after="56"/>
      </w:pPr>
      <w:r>
        <w:t>This dimension primarily maps to MRO-05 (Tool-Action Liability Boundary) with secondary relationships to MRO-02 (Delegated Authority Boundary) and MRO-08 (MAS Evidence Partitioning). The core requirement is that consequential tool actions must record liability boundaries including initiator, authority source, affected system, reversibility, and accountable owner.</w:t>
      </w:r>
    </w:p>
    <w:p>
      <w:pPr>
        <w:pStyle w:val="Heading3"/>
      </w:pPr>
      <w:r>
        <w:t>Core Question</w:t>
      </w:r>
    </w:p>
    <w:p>
      <w:pPr>
        <w:spacing w:after="56"/>
      </w:pPr>
      <w:r>
        <w:t>Does the system record liability boundaries for consequential tool actions?</w:t>
      </w:r>
    </w:p>
    <w:p>
      <w:pPr>
        <w:pStyle w:val="Heading3"/>
      </w:pPr>
      <w:r>
        <w:t>Scoring Rubric</w:t>
      </w:r>
    </w:p>
    <w:p>
      <w:pPr>
        <w:keepNext/>
      </w:pPr>
      <w:r>
        <w:rPr>
          <w:b/>
          <w:sz w:val="16"/>
        </w:rPr>
        <w:t>Table T-08-07: ALCS-05 Tool-Action Liability Boundary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tool-action liability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tool use or external actions but provides no liability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Tool call logs exist but do not record authority source, affected systems, reversibility, or accountable owner</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Tool-action records exist for most consequential actions; some gaps in reversibility tracking, rollback plans, or liability assignment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tool-action liability objects recording initiator, tool identity, external system, authority credential, reversibility status, rollback plan, affected data categories, evidence pointer, and accountable owner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tool-action liability requires examining whether the system records the full liability context for consequential tool actions. Look for tool-action records that capture not only what action was performed, but who initiated it, under what authority, affecting which external system, with what reversibility, and who owns the resulting consequence.</w:t>
      </w:r>
    </w:p>
    <w:p>
      <w:pPr>
        <w:spacing w:after="56"/>
      </w:pPr>
      <w:r>
        <w:t>Strong systems distinguish between low-risk tool calls and consequential actions that affect external systems, records, customers, code, money, permissions, communications, or regulated data. Consequential actions should produce liability boundary records before execution. The system should be able to reconstruct the initiator, authority source, affected system, reversibility status, rollback path, and accountable owner for any high-impact tool action.</w:t>
      </w:r>
    </w:p>
    <w:p>
      <w:pPr>
        <w:spacing w:after="56"/>
      </w:pPr>
      <w:r>
        <w:t>Weak systems may log tool calls without liability context. A tool log may show that an action happened, but not whether the agent had authority, whether the action was reversible, which system was affected, or who owns the consequence. The test is whether the system can reconstruct the full liability context for any consequential tool action without requiring tribal memory or manual investigation.</w:t>
      </w:r>
    </w:p>
    <w:p>
      <w:pPr>
        <w:pStyle w:val="Heading3"/>
      </w:pPr>
      <w:r>
        <w:t>Common Gaps</w:t>
      </w:r>
    </w:p>
    <w:p>
      <w:pPr>
        <w:spacing w:after="56"/>
      </w:pPr>
      <w:r>
        <w:t>The most common gap is tool call logging that captures execution events without liability semantics. Organizations may have extensive tool usage logs while lacking visibility into authority sources, affected systems, reversibility status, or accountability assignments. Another common gap is liability boundaries that apply to some tool categories but not others, leaving gaps in coverage for newly added tools or third-party integrations.</w:t>
      </w:r>
    </w:p>
    <w:p>
      <w:pPr>
        <w:pStyle w:val="Heading2"/>
      </w:pPr>
      <w:r>
        <w:t>8.12 ALCS-06: Responsibility Transfer Across Agents</w:t>
      </w:r>
    </w:p>
    <w:p>
      <w:pPr>
        <w:pStyle w:val="Heading3"/>
      </w:pPr>
      <w:r>
        <w:t>MRO Mapping</w:t>
      </w:r>
    </w:p>
    <w:p>
      <w:pPr>
        <w:spacing w:after="56"/>
      </w:pPr>
      <w:r>
        <w:t>This dimension primarily maps to MRO-06 (Responsibility Transfer Across Agents) with secondary relationships to MRO-01 (Human Role to MAS Responsibility Mapping) and MRO-08 (MAS Evidence Partitioning). The core requirement is that agent handoffs must include explicit responsibility transfer semantics, not merely task routing.</w:t>
      </w:r>
    </w:p>
    <w:p>
      <w:pPr>
        <w:pStyle w:val="Heading3"/>
      </w:pPr>
      <w:r>
        <w:t>Core Question</w:t>
      </w:r>
    </w:p>
    <w:p>
      <w:pPr>
        <w:spacing w:after="56"/>
      </w:pPr>
      <w:r>
        <w:t>Does the system track responsibility transfer during agent handoffs?</w:t>
      </w:r>
    </w:p>
    <w:p>
      <w:pPr>
        <w:pStyle w:val="Heading3"/>
      </w:pPr>
      <w:r>
        <w:t>Scoring Rubric</w:t>
      </w:r>
    </w:p>
    <w:p>
      <w:pPr>
        <w:keepNext/>
      </w:pPr>
      <w:r>
        <w:rPr>
          <w:b/>
          <w:sz w:val="16"/>
        </w:rPr>
        <w:t>Table T-08-08: ALCS-06 Responsibility Transfer Across Agents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responsibility transfer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agent handoffs or delegation but provides no responsibility transfer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Agent handoff routing exists but does not track responsibility transfer; no inherited constraints or receiving-role acceptance</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Responsibility transfer records exist for most handoffs; some gaps in inherited constraints, retained responsibilities, or transfer acceptance</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transfer objects declaring transferred scope, source role, receiving role, retained responsibilities, inherited constraints, evidence obligations, receiving-role acceptance, and rejection/escalation behavior</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responsibility transfer requires distinguishing between workflow routing and governance transfer. Look for transfer objects that specify what responsibility was transferred, what was retained, what constraints were inherited, and whether the receiving agent accepted the transfer.</w:t>
      </w:r>
    </w:p>
    <w:p>
      <w:pPr>
        <w:spacing w:after="56"/>
      </w:pPr>
      <w:r>
        <w:t>Strong systems enforce explicit responsibility transfer at agent handoffs. A receiving agent must inherit constraints, evidence duties, privacy restrictions, and escalation conditions rather than merely receiving a prompt or task payload. Upstream and downstream responsibility must remain reconstructable. The system should be able to answer: at each handoff, what responsibility was transferred, what was retained, what constraints were inherited, and did the receiving agent accept?</w:t>
      </w:r>
    </w:p>
    <w:p>
      <w:pPr>
        <w:spacing w:after="56"/>
      </w:pPr>
      <w:r>
        <w:t>Weak systems may route tasks between agents without responsibility semantics. A downstream agent can claim it only followed instructions while the upstream agent no longer controls execution, leaving a gap in audit and remediation. The test is whether the system can reconstruct responsibility continuity across agent handoffs without relying on execution flow alone.</w:t>
      </w:r>
    </w:p>
    <w:p>
      <w:pPr>
        <w:pStyle w:val="Heading3"/>
      </w:pPr>
      <w:r>
        <w:t>Common Gaps</w:t>
      </w:r>
    </w:p>
    <w:p>
      <w:pPr>
        <w:spacing w:after="56"/>
      </w:pPr>
      <w:r>
        <w:t>The most common gap is agent handoffs that exist as workflow routing without responsibility transfer semantics. Organizations may have sophisticated multi-agent orchestration while lacking explicit tracking of what responsibilities moved between agents. Another common gap is responsibility transfer that happens implicitly through task delegation without recording transferred scope, retained scope, or inherited constraints.</w:t>
      </w:r>
    </w:p>
    <w:p>
      <w:pPr>
        <w:pStyle w:val="Heading2"/>
      </w:pPr>
      <w:r>
        <w:t>8.13 ALCS-07: Authority Drift Detection</w:t>
      </w:r>
    </w:p>
    <w:p>
      <w:pPr>
        <w:pStyle w:val="Heading3"/>
      </w:pPr>
      <w:r>
        <w:t>MRO Mapping</w:t>
      </w:r>
    </w:p>
    <w:p>
      <w:pPr>
        <w:spacing w:after="56"/>
      </w:pPr>
      <w:r>
        <w:t>This dimension primarily maps to MRO-07 (Authority Drift) with secondary relationships to MRO-02 (Delegated Authority Boundary). The core requirement is that the system must detect when agents transition from their original authority boundaries without explicit authorization.</w:t>
      </w:r>
    </w:p>
    <w:p>
      <w:pPr>
        <w:pStyle w:val="Heading3"/>
      </w:pPr>
      <w:r>
        <w:t>Core Question</w:t>
      </w:r>
    </w:p>
    <w:p>
      <w:pPr>
        <w:spacing w:after="56"/>
      </w:pPr>
      <w:r>
        <w:t>Does the system detect and alert on unauthorized authority transitions?</w:t>
      </w:r>
    </w:p>
    <w:p>
      <w:pPr>
        <w:pStyle w:val="Heading3"/>
      </w:pPr>
      <w:r>
        <w:t>Scoring Rubric</w:t>
      </w:r>
    </w:p>
    <w:p>
      <w:pPr>
        <w:keepNext/>
      </w:pPr>
      <w:r>
        <w:rPr>
          <w:b/>
          <w:sz w:val="16"/>
        </w:rPr>
        <w:t>Table T-08-09: ALCS-07 Authority Drift Detection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authority drift detection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authority monitoring but provides no drift detection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Authority boundaries are defined but not monitored for drift; no drift detection rules or alerts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Authority drift detection exists for most high-risk transitions; some gaps in drift alert routing, remediation workflows, or long-running workflow monitoring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authority drift monitoring comparing observed behavior against original authority boundaries with drift detection rules, drift alerts, automatic stop/downgrade, and drift remediation workflows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authority drift detection requires examining whether the system monitors for unauthorized authority transitions during execution. Look for drift detection mechanisms that compare observed agent behavior against original authority boundaries and plan state.</w:t>
      </w:r>
    </w:p>
    <w:p>
      <w:pPr>
        <w:spacing w:after="56"/>
      </w:pPr>
      <w:r>
        <w:t>Strong systems detect when agents move from advice to execution, draft to send, read-only to write, or internal recommendation to external commitment without a new authority boundary or confirmation event. Drift detection should trigger stop, downgrade, or human confirmation rather than being treated as ordinary execution variance. The system should be particularly vigilant in long-running workflows, autonomous retries, or agent loops where cumulative drift can occur.</w:t>
      </w:r>
    </w:p>
    <w:p>
      <w:pPr>
        <w:spacing w:after="56"/>
      </w:pPr>
      <w:r>
        <w:t>Weak systems may define authority boundaries at delegation time but not monitor for drift during execution. Each local step may appear reasonable while the cumulative lifecycle state exceeds the original delegation. The test is whether the system can detect when an agent's observed behavior exceeds its original authority boundary and halt or escalate before external consequence.</w:t>
      </w:r>
    </w:p>
    <w:p>
      <w:pPr>
        <w:pStyle w:val="Heading3"/>
      </w:pPr>
      <w:r>
        <w:t>Common Gaps</w:t>
      </w:r>
    </w:p>
    <w:p>
      <w:pPr>
        <w:spacing w:after="56"/>
      </w:pPr>
      <w:r>
        <w:t>The most common gap is authority boundaries that are enforced at delegation time but not monitored during execution. Organizations may have clear authority definitions while lacking runtime detection of authority transitions. Another common gap is drift detection that applies to individual tool calls but not to cumulative authority escalation across multiple steps in long-running workflows.</w:t>
      </w:r>
    </w:p>
    <w:p>
      <w:pPr>
        <w:pStyle w:val="Heading2"/>
      </w:pPr>
      <w:r>
        <w:t>8.14 ALCS-08: MAS Evidence Partitioning</w:t>
      </w:r>
    </w:p>
    <w:p>
      <w:pPr>
        <w:pStyle w:val="Heading3"/>
      </w:pPr>
      <w:r>
        <w:t>MRO Mapping</w:t>
      </w:r>
    </w:p>
    <w:p>
      <w:pPr>
        <w:spacing w:after="56"/>
      </w:pPr>
      <w:r>
        <w:t>This dimension primarily maps to MRO-08 (MAS Evidence Partitioning) with secondary relationships to MRO-01 (Human Role to MAS Responsibility Mapping), MRO-04 (Accepted Outcome Compliance), and MRO-10 (Privacy/GDPR Lifecycle Mapping). The core requirement is that multi-agent evidence must be partitioned, linked, and reconstructable for different audit purposes.</w:t>
      </w:r>
    </w:p>
    <w:p>
      <w:pPr>
        <w:pStyle w:val="Heading3"/>
      </w:pPr>
      <w:r>
        <w:t>Core Question</w:t>
      </w:r>
    </w:p>
    <w:p>
      <w:pPr>
        <w:spacing w:after="56"/>
      </w:pPr>
      <w:r>
        <w:t>Does the system partition evidence by agent, tool, authority boundary, privacy class, and lifecycle phase?</w:t>
      </w:r>
    </w:p>
    <w:p>
      <w:pPr>
        <w:pStyle w:val="Heading3"/>
      </w:pPr>
      <w:r>
        <w:t>Scoring Rubric</w:t>
      </w:r>
    </w:p>
    <w:p>
      <w:pPr>
        <w:keepNext/>
      </w:pPr>
      <w:r>
        <w:rPr>
          <w:b/>
          <w:sz w:val="16"/>
        </w:rPr>
        <w:t>Table T-08-10: ALCS-08 MAS Evidence Partitioning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partitioning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or audit trails but provides no partitioning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Flat chronological logs exist but are not partitioned by agent, tool, authority, or privacy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partitioning exists for most governance boundaries; some gaps in cross-partition linking, privacy class partitioning, or reconstruction capability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partitioning by agent, tool, human confirmation, plan version, authority boundary, privacy boundary, and accepted outcome with stable identifiers, integrity hashes, cross-partition linking, and evidence reconstruction capability</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partitioning requires examining whether the system can partition, link, and reconstruct evidence for different audit purposes. Look for evidence partitions organized by agent, role, tool, plan version, authority boundary, privacy class, confirmation event, and accepted outcome.</w:t>
      </w:r>
    </w:p>
    <w:p>
      <w:pPr>
        <w:spacing w:after="56"/>
      </w:pPr>
      <w:r>
        <w:t>Strong systems maintain evidence partitions that can be selectively disclosed without exposing the full raw log. Different auditors may need different partitions: a privacy regulator may need data-flow evidence, a financial auditor may need transaction evidence, a customer dispute may require specific agent evidence. Partitions should be linked by stable identifiers and integrity hashes to enable reconstruction while supporting selective disclosure.</w:t>
      </w:r>
    </w:p>
    <w:p>
      <w:pPr>
        <w:spacing w:after="56"/>
      </w:pPr>
      <w:r>
        <w:t>Weak systems may maintain flat chronological logs that mix irrelevant telemetry with critical proof. Flat logs are difficult to use in disputes because they require exposing unnecessary sensitive data to extract relevant evidence. The test is whether the system can reconstruct evidence partitions for specific agents, tools, privacy classes, and accepted outcomes without exposing the full raw log.</w:t>
      </w:r>
    </w:p>
    <w:p>
      <w:pPr>
        <w:pStyle w:val="Heading3"/>
      </w:pPr>
      <w:r>
        <w:t>Common Gaps</w:t>
      </w:r>
    </w:p>
    <w:p>
      <w:pPr>
        <w:spacing w:after="56"/>
      </w:pPr>
      <w:r>
        <w:t>The most common gap is evidence that exists as flat execution logs without governance partitioning. Organizations may have comprehensive observability while lacking the ability to partition evidence by agent, authority boundary, or privacy class. Another common gap is evidence partitions that exist but are not linked by stable identifiers, making it difficult to reconstruct cross-agent workflows or trace responsibility chains.</w:t>
      </w:r>
    </w:p>
    <w:p>
      <w:pPr>
        <w:pStyle w:val="Heading2"/>
      </w:pPr>
      <w:r>
        <w:t>8.15 ALCS-09: Cross-Project Reuse Compliance</w:t>
      </w:r>
    </w:p>
    <w:p>
      <w:pPr>
        <w:pStyle w:val="Heading3"/>
      </w:pPr>
      <w:r>
        <w:t>MRO Mapping</w:t>
      </w:r>
    </w:p>
    <w:p>
      <w:pPr>
        <w:spacing w:after="56"/>
      </w:pPr>
      <w:r>
        <w:t>This dimension primarily maps to MRO-09 (Cross-Project Reuse Compliance) with secondary relationships to MRO-02 (Delegated Authority Boundary) and MRO-10 (Privacy/GDPR Lifecycle Mapping). The core requirement is that workflows validated in one project context must be revalidated when reused in different project contexts.</w:t>
      </w:r>
    </w:p>
    <w:p>
      <w:pPr>
        <w:pStyle w:val="Heading3"/>
      </w:pPr>
      <w:r>
        <w:t>Core Question</w:t>
      </w:r>
    </w:p>
    <w:p>
      <w:pPr>
        <w:spacing w:after="56"/>
      </w:pPr>
      <w:r>
        <w:t>Does the system enforce revalidation when workflows are reused across projects?</w:t>
      </w:r>
    </w:p>
    <w:p>
      <w:pPr>
        <w:pStyle w:val="Heading3"/>
      </w:pPr>
      <w:r>
        <w:t>Scoring Rubric</w:t>
      </w:r>
    </w:p>
    <w:p>
      <w:pPr>
        <w:keepNext/>
      </w:pPr>
      <w:r>
        <w:rPr>
          <w:b/>
          <w:sz w:val="16"/>
        </w:rPr>
        <w:t>Table T-08-11: ALCS-09 Cross-Project Reuse Compliance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reuse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workflow reuse but provides no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Workflow templates or reuse mechanisms exist but do not track original validation context or enforce revalidation</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Reuse compliance records exist for most cross-project reuse; some gaps in authority reset, privacy review,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reuse compliance records linking original validation context, new deployment context, authority reset, privacy review, revalidation decision, and revalidation evidence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cross-project reuse compliance requires examining whether the system tracks workflow provenance and enforces revalidation when workflows move between project contexts. Look for reuse compliance records that bind original workflow ID, original validation record, original project context, new project context, authority reset decision, privacy review, and revalidation approval.</w:t>
      </w:r>
    </w:p>
    <w:p>
      <w:pPr>
        <w:spacing w:after="56"/>
      </w:pPr>
      <w:r>
        <w:t>Strong systems treat cross-project reuse as a governance event rather than a convenience feature. When a workflow validated for one customer, risk class, data category, or authority boundary is reused in a different context, the system should require explicit revalidation. The original validation may not apply: the new project may have different privacy constraints, different authority boundaries, different acceptance criteria, or different risk exposure. Reuse without revalidation creates hidden governance debt.</w:t>
      </w:r>
    </w:p>
    <w:p>
      <w:pPr>
        <w:spacing w:after="56"/>
      </w:pPr>
      <w:r>
        <w:t>Weak systems may provide workflow templates, agent libraries, or reusable components without tracking where they came from, what validation they received, or whether that validation applies to the new context. Developers may copy workflows across projects assuming that prior validation transfers automatically. The test is whether the system can identify the original validation context for any reused workflow and prove that revalidation occurred before deployment in the new context.</w:t>
      </w:r>
    </w:p>
    <w:p>
      <w:pPr>
        <w:pStyle w:val="Heading3"/>
      </w:pPr>
      <w:r>
        <w:t>Common Gaps</w:t>
      </w:r>
    </w:p>
    <w:p>
      <w:pPr>
        <w:spacing w:after="56"/>
      </w:pPr>
      <w:r>
        <w:t>The most common gap is workflow reuse treated as a productivity feature without governance controls. Organizations may have extensive workflow libraries while lacking visibility into original validation contexts or revalidation requirements. Another common gap is revalidation policies that apply to major version changes but not to cross-project reuse, allowing workflows to migrate between contexts without authority reset or privacy review.</w:t>
      </w:r>
    </w:p>
    <w:p>
      <w:pPr>
        <w:pStyle w:val="Heading2"/>
      </w:pPr>
      <w:r>
        <w:t>8.16 ALCS-10: Privacy/GDPR Lifecycle Mapping</w:t>
      </w:r>
    </w:p>
    <w:p>
      <w:pPr>
        <w:pStyle w:val="Heading3"/>
      </w:pPr>
      <w:r>
        <w:t>MRO Mapping</w:t>
      </w:r>
    </w:p>
    <w:p>
      <w:pPr>
        <w:spacing w:after="56"/>
      </w:pPr>
      <w:r>
        <w:t>This dimension primarily maps to MRO-10 (Privacy/GDPR Lifecycle Mapping) with secondary relationships to MRO-08 (MAS Evidence Partitioning) and MRO-12 (Evidence Minimization and Selective Disclosure). The core requirement is that personal data flows must be mapped across the entire agent lifecycle, not only at training or input boundaries.</w:t>
      </w:r>
    </w:p>
    <w:p>
      <w:pPr>
        <w:pStyle w:val="Heading3"/>
      </w:pPr>
      <w:r>
        <w:t>Core Question</w:t>
      </w:r>
    </w:p>
    <w:p>
      <w:pPr>
        <w:spacing w:after="56"/>
      </w:pPr>
      <w:r>
        <w:t>Does the system map personal data flows across the agent lifecycle?</w:t>
      </w:r>
    </w:p>
    <w:p>
      <w:pPr>
        <w:pStyle w:val="Heading3"/>
      </w:pPr>
      <w:r>
        <w:t>Scoring Rubric</w:t>
      </w:r>
    </w:p>
    <w:p>
      <w:pPr>
        <w:keepNext/>
      </w:pPr>
      <w:r>
        <w:rPr>
          <w:b/>
          <w:sz w:val="16"/>
        </w:rPr>
        <w:t>Table T-08-12: ALCS-10 Privacy/GDPR Lifecycle Mapping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 lifecycle mapping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privacy or data protection but provides no lifecycle mapping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Privacy controls exist for training data or input data but do not map personal data flows across agents, tools, memory, or handoffs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Privacy lifecycle mapping exists for most personal data flows; some gaps in cross-agent flows, tool-level tracking, or memory retention mapping</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lifecycle data-flow maps showing personal data entry, flow, transformation, storage, cross-agent transfer, tool disclosure, memory retention, and exit with data category labels, legal basis, retention periods, and processor tracking</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 lifecycle mapping requires examining whether the system tracks personal data flows throughout multi-agent execution. Look for data-flow maps that show where personal data enters the system, which agents process it, which tools receive it, where it is stored in memory, how it moves during agent handoffs, and where it exits the system.</w:t>
      </w:r>
    </w:p>
    <w:p>
      <w:pPr>
        <w:spacing w:after="56"/>
      </w:pPr>
      <w:r>
        <w:t>Strong systems maintain dynamic data-flow maps that update as workflows execute. Each agent, tool, memory store, and handoff should be labeled with data categories processed, legal basis for processing, retention period, and processor identity. The system should be able to answer: for any completed workflow, what personal data was processed, by which agents, using which tools, stored in which memory locations, transferred to which processors, and retained for how long?</w:t>
      </w:r>
    </w:p>
    <w:p>
      <w:pPr>
        <w:spacing w:after="56"/>
      </w:pPr>
      <w:r>
        <w:t>Weak systems may have privacy controls at the platform level without lifecycle-level data-flow visibility. Privacy policies may specify general data handling practices while the system cannot reconstruct actual data flows for specific workflow executions. The test is whether the system can generate a data-flow map for any completed workflow showing personal data movement across agents, tools, memory, and external processors.</w:t>
      </w:r>
    </w:p>
    <w:p>
      <w:pPr>
        <w:pStyle w:val="Heading3"/>
      </w:pPr>
      <w:r>
        <w:t>Common Gaps</w:t>
      </w:r>
    </w:p>
    <w:p>
      <w:pPr>
        <w:spacing w:after="56"/>
      </w:pPr>
      <w:r>
        <w:t>The most common gap is privacy controls that apply to training data or input validation but do not track personal data flows during agent execution. Organizations may have strong data governance for model training while lacking visibility into how personal data moves through multi-agent workflows, tool calls, memory stores, and agent handoffs. Another common gap is data-flow mapping that exists at the platform level but cannot be reconstructed for individual workflow executions.</w:t>
      </w:r>
    </w:p>
    <w:p>
      <w:pPr>
        <w:pStyle w:val="Heading2"/>
      </w:pPr>
      <w:r>
        <w:t>8.17 ALCS-11: Privacy-Preserving Third-Party Validation</w:t>
      </w:r>
    </w:p>
    <w:p>
      <w:pPr>
        <w:pStyle w:val="Heading3"/>
      </w:pPr>
      <w:r>
        <w:t>MRO Mapping</w:t>
      </w:r>
    </w:p>
    <w:p>
      <w:pPr>
        <w:spacing w:after="56"/>
      </w:pPr>
      <w:r>
        <w:t>This dimension primarily maps to MRO-11 (Privacy-Preserving Third-Party Validation) with secondary relationships to MRO-08 (MAS Evidence Partitioning) and MRO-12 (Evidence Minimization and Selective Disclosure). The core requirement is that external validators must be able to verify compliance without requiring full disclosure of raw evidence, personal data, or trade secrets.</w:t>
      </w:r>
    </w:p>
    <w:p>
      <w:pPr>
        <w:pStyle w:val="Heading3"/>
      </w:pPr>
      <w:r>
        <w:t>Core Question</w:t>
      </w:r>
    </w:p>
    <w:p>
      <w:pPr>
        <w:spacing w:after="56"/>
      </w:pPr>
      <w:r>
        <w:t>Does the system support validation without raw data disclosure?</w:t>
      </w:r>
    </w:p>
    <w:p>
      <w:pPr>
        <w:pStyle w:val="Heading3"/>
      </w:pPr>
      <w:r>
        <w:t>Scoring Rubric</w:t>
      </w:r>
    </w:p>
    <w:p>
      <w:pPr>
        <w:keepNext/>
      </w:pPr>
      <w:r>
        <w:rPr>
          <w:b/>
          <w:sz w:val="16"/>
        </w:rPr>
        <w:t>Table T-08-13: ALCS-11 Privacy-Preserving Third-Party Validation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privacy-preserving validation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external validation or audit but provides no privacy-preserving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External validation is supported but requires full evidence disclosure; no selective disclosure or privacy-preserving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Selective disclosure mechanisms exist for most validation scenarios; some gaps in zero-knowledge proofs, cryptographic commitments, or cross-validator consistency</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privacy-preserving validation protocols supporting selective disclosure, redacted evidence, cryptographic commitments, zero-knowledge proofs, and validator-specific evidence views without raw data exposure</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privacy-preserving validation requires examining whether the system provides mechanisms for external validators to verify compliance without accessing raw evidence. Look for selective disclosure protocols, redaction capabilities, cryptographic commitments, zero-knowledge proofs, or validator-specific evidence views.</w:t>
      </w:r>
    </w:p>
    <w:p>
      <w:pPr>
        <w:spacing w:after="56"/>
      </w:pPr>
      <w:r>
        <w:t>Strong systems allow validators to verify that specific properties hold without exposing the underlying data. A privacy regulator may verify that personal data was processed under valid legal basis without seeing the actual data. A customer may verify that their request was handled correctly without exposing other customers' data. An auditor may verify that authority boundaries were enforced without accessing trade secret workflows. The system should support multiple validation protocols appropriate for different validator types and verification requirements.</w:t>
      </w:r>
    </w:p>
    <w:p>
      <w:pPr>
        <w:spacing w:after="56"/>
      </w:pPr>
      <w:r>
        <w:t>Weak systems may require full evidence disclosure for any external validation. Validators must choose between accepting unverified claims or demanding access to raw logs, personal data, and trade secrets. This creates a false choice between privacy and accountability. The test is whether the system can prove specific compliance properties to external validators without exposing raw evidence that contains personal data or trade secrets.</w:t>
      </w:r>
    </w:p>
    <w:p>
      <w:pPr>
        <w:pStyle w:val="Heading3"/>
      </w:pPr>
      <w:r>
        <w:t>Common Gaps</w:t>
      </w:r>
    </w:p>
    <w:p>
      <w:pPr>
        <w:spacing w:after="56"/>
      </w:pPr>
      <w:r>
        <w:t>The most common gap is validation protocols that require full evidence disclosure. Organizations may have comprehensive evidence collection while lacking mechanisms for selective disclosure or privacy-preserving verification. Another common gap is privacy-preserving validation that works for specific use cases but lacks general protocols for different validator types, verification requirements, or evidence categories.</w:t>
      </w:r>
    </w:p>
    <w:p>
      <w:pPr>
        <w:pStyle w:val="Heading2"/>
      </w:pPr>
      <w:r>
        <w:t>8.18 ALCS-12: Evidence Minimization and Selective Disclosure</w:t>
      </w:r>
    </w:p>
    <w:p>
      <w:pPr>
        <w:pStyle w:val="Heading3"/>
      </w:pPr>
      <w:r>
        <w:t>MRO Mapping</w:t>
      </w:r>
    </w:p>
    <w:p>
      <w:pPr>
        <w:spacing w:after="56"/>
      </w:pPr>
      <w:r>
        <w:t>This dimension primarily maps to MRO-12 (Evidence Minimization and Selective Disclosure) with secondary relationships to MRO-08 (MAS Evidence Partitioning) and MRO-10 (Privacy/GDPR Lifecycle Mapping). The core requirement is that evidence retention must be minimized to what is necessary for governance purposes, and disclosure must be limited to what is required for specific validation contexts.</w:t>
      </w:r>
    </w:p>
    <w:p>
      <w:pPr>
        <w:pStyle w:val="Heading3"/>
      </w:pPr>
      <w:r>
        <w:t>Core Question</w:t>
      </w:r>
    </w:p>
    <w:p>
      <w:pPr>
        <w:spacing w:after="56"/>
      </w:pPr>
      <w:r>
        <w:t>Does the system minimize evidence retention and support selective disclosure?</w:t>
      </w:r>
    </w:p>
    <w:p>
      <w:pPr>
        <w:pStyle w:val="Heading3"/>
      </w:pPr>
      <w:r>
        <w:t>Scoring Rubric</w:t>
      </w:r>
    </w:p>
    <w:p>
      <w:pPr>
        <w:keepNext/>
      </w:pPr>
      <w:r>
        <w:rPr>
          <w:b/>
          <w:sz w:val="16"/>
        </w:rPr>
        <w:t>Table T-08-14: ALCS-12 Evidence Minimization and Selective Disclosure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evidence minimization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evidence retention or disclosure but provides no minimization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Evidence retention exists but lacks minimization policies; no retention periods, redaction rules, or disclosure boundaries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Evidence minimization policies exist for most evidence categories; some gaps in automated retention enforcement, redaction rules, or disclosure boundary controls</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evidence minimization policies defining retention periods by evidence category, automated retention enforcement, redaction rules, disclosure boundaries, and purpose-specific evidence views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evidence minimization requires examining whether the system defines and enforces retention limits and disclosure boundaries. Look for evidence minimization policies that specify retention periods by evidence category, automated deletion or anonymization rules, redaction protocols, and disclosure boundary controls.</w:t>
      </w:r>
    </w:p>
    <w:p>
      <w:pPr>
        <w:spacing w:after="56"/>
      </w:pPr>
      <w:r>
        <w:t>Strong systems distinguish between evidence required for immediate governance, evidence required for dispute resolution, and evidence required for long-term compliance. Retention periods should vary by evidence category and purpose. Personal data in evidence should be minimized, anonymized, or deleted when no longer necessary. Disclosure should be limited to what is required for specific validation contexts rather than exposing full raw logs.</w:t>
      </w:r>
    </w:p>
    <w:p>
      <w:pPr>
        <w:spacing w:after="56"/>
      </w:pPr>
      <w:r>
        <w:t>Weak systems may retain all evidence indefinitely without minimization policies or may delete evidence too aggressively, creating gaps in audit capability. The balance is between retaining sufficient evidence for governance purposes and minimizing retention to reduce privacy risk, storage cost, and disclosure exposure. The test is whether the system can define retention periods by evidence category, enforce automated retention limits, and support selective disclosure without exposing unnecessary evidence.</w:t>
      </w:r>
    </w:p>
    <w:p>
      <w:pPr>
        <w:pStyle w:val="Heading3"/>
      </w:pPr>
      <w:r>
        <w:t>Common Gaps</w:t>
      </w:r>
    </w:p>
    <w:p>
      <w:pPr>
        <w:spacing w:after="56"/>
      </w:pPr>
      <w:r>
        <w:t>The most common gap is evidence retention without minimization policies. Organizations may collect comprehensive evidence while lacking clarity about retention periods, deletion rules, or disclosure boundaries. Another common gap is minimization policies that exist in documentation but are not enforced automatically, requiring manual review and deletion processes that are rarely executed.</w:t>
      </w:r>
    </w:p>
    <w:p>
      <w:pPr>
        <w:pStyle w:val="Heading2"/>
      </w:pPr>
      <w:r>
        <w:t>8.19 ALCS-13: Data Subject Rights vs Evidence Retention</w:t>
      </w:r>
    </w:p>
    <w:p>
      <w:pPr>
        <w:pStyle w:val="Heading3"/>
      </w:pPr>
      <w:r>
        <w:t>MRO Mapping</w:t>
      </w:r>
    </w:p>
    <w:p>
      <w:pPr>
        <w:spacing w:after="56"/>
      </w:pPr>
      <w:r>
        <w:t>This dimension primarily maps to MRO-13 (Data Subject Rights vs Evidence Retention) with secondary relationships to MRO-10 (Privacy/GDPR Lifecycle Mapping) and MRO-12 (Evidence Minimization and Selective Disclosure). The core requirement is that data subject rights must be reconciled with evidence retention obligations, not treated as separate concerns.</w:t>
      </w:r>
    </w:p>
    <w:p>
      <w:pPr>
        <w:pStyle w:val="Heading3"/>
      </w:pPr>
      <w:r>
        <w:t>Core Question</w:t>
      </w:r>
    </w:p>
    <w:p>
      <w:pPr>
        <w:spacing w:after="56"/>
      </w:pPr>
      <w:r>
        <w:t>Does the system reconcile data subject rights with evidence retention obligations?</w:t>
      </w:r>
    </w:p>
    <w:p>
      <w:pPr>
        <w:pStyle w:val="Heading3"/>
      </w:pPr>
      <w:r>
        <w:t>Scoring Rubric</w:t>
      </w:r>
    </w:p>
    <w:p>
      <w:pPr>
        <w:keepNext/>
      </w:pPr>
      <w:r>
        <w:rPr>
          <w:b/>
          <w:sz w:val="16"/>
        </w:rPr>
        <w:t>Table T-08-15: ALCS-13 Data Subject Rights vs Evidence Retention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data subject rights reconciliation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data subject rights or evidence retention but provides no reconciliation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Data subject rights mechanisms exist but do not account for evidence retention obligations; no retention override rules or anonymization protocols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Data subject rights policies exist with some retention reconciliation; some gaps in legal basis documentation, anonymization rules, or dispute-window protection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data subject rights policies defining retention periods, anonymization rules, legal basis for retention override, dispute-window protection, and reconciliation procedures for erasure requests vs evidence obligations</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data subject rights reconciliation requires examining whether the system handles conflicts between erasure requests and evidence retention obligations. Look for data subject rights policies that define retention periods, anonymization protocols, legal basis for retention override, and dispute-window protection.</w:t>
      </w:r>
    </w:p>
    <w:p>
      <w:pPr>
        <w:spacing w:after="56"/>
      </w:pPr>
      <w:r>
        <w:t>Strong systems recognize that data subject rights are not absolute when evidence retention is required for legal compliance, dispute resolution, or regulatory obligations. When a data subject requests erasure, the system should evaluate whether evidence retention obligations apply, whether anonymization can satisfy both requirements, and whether retention override is legally justified. The system should document the legal basis for any retention override and implement anonymization where possible.</w:t>
      </w:r>
    </w:p>
    <w:p>
      <w:pPr>
        <w:spacing w:after="56"/>
      </w:pPr>
      <w:r>
        <w:t>Weak systems may treat data subject rights and evidence retention as separate concerns. Privacy teams may implement erasure without consulting governance teams about evidence obligations, or governance teams may retain evidence without considering data subject rights. The test is whether the system can handle erasure requests while preserving evidence required for governance purposes, documenting the legal basis for retention, and implementing anonymization where appropriate.</w:t>
      </w:r>
    </w:p>
    <w:p>
      <w:pPr>
        <w:pStyle w:val="Heading3"/>
      </w:pPr>
      <w:r>
        <w:t>Common Gaps</w:t>
      </w:r>
    </w:p>
    <w:p>
      <w:pPr>
        <w:spacing w:after="56"/>
      </w:pPr>
      <w:r>
        <w:t>The most common gap is data subject rights and evidence retention treated as separate concerns without reconciliation procedures. Organizations may have privacy teams handling erasure requests and governance teams managing evidence retention without coordination. Another common gap is retention override decisions made without documented legal basis or anonymization analysis, creating compliance risk when erasure requests are denied.</w:t>
      </w:r>
    </w:p>
    <w:p>
      <w:pPr>
        <w:pStyle w:val="Heading2"/>
      </w:pPr>
      <w:r>
        <w:t>8.20 ALCS-14: Third-Party Processor/Subprocessor Chain</w:t>
      </w:r>
    </w:p>
    <w:p>
      <w:pPr>
        <w:pStyle w:val="Heading3"/>
      </w:pPr>
      <w:r>
        <w:t>MRO Mapping</w:t>
      </w:r>
    </w:p>
    <w:p>
      <w:pPr>
        <w:spacing w:after="56"/>
      </w:pPr>
      <w:r>
        <w:t>This dimension primarily maps to MRO-14 (Third-Party Processor/Subprocessor Chain) with secondary relationships to MRO-10 (Privacy/GDPR Lifecycle Mapping). The core requirement is that processor and subprocessor usage must be tracked at lifecycle granularity, not only at contract level.</w:t>
      </w:r>
    </w:p>
    <w:p>
      <w:pPr>
        <w:pStyle w:val="Heading3"/>
      </w:pPr>
      <w:r>
        <w:t>Core Question</w:t>
      </w:r>
    </w:p>
    <w:p>
      <w:pPr>
        <w:spacing w:after="56"/>
      </w:pPr>
      <w:r>
        <w:t>Does the system track processor and subprocessor usage at lifecycle granularity?</w:t>
      </w:r>
    </w:p>
    <w:p>
      <w:pPr>
        <w:pStyle w:val="Heading3"/>
      </w:pPr>
      <w:r>
        <w:t>Scoring Rubric</w:t>
      </w:r>
    </w:p>
    <w:p>
      <w:pPr>
        <w:keepNext/>
      </w:pPr>
      <w:r>
        <w:rPr>
          <w:b/>
          <w:sz w:val="16"/>
        </w:rPr>
        <w:t>Table T-08-16: ALCS-14 Third-Party Processor/Subprocessor Chain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processor chain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third-party processors but provides no lifecycle tracking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Processor agreements exist but processor usage is not tracked at lifecycle granularity; no dynamic processor chain records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Processor chain tracking exists for most workflows; some gaps in subprocessor tracking, data category mapping, or legal basis documentation</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dynamic processor chain records tracking processor identity, subprocessor identity, data categories processed, processing purpose, legal basis, retention period, and processor location for each workflow execution</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processor chain tracking requires examining whether the system records which processors and subprocessors were used during specific workflow executions. Look for processor chain records that bind workflow ID, processor identity, subprocessor identity, data categories processed, processing purpose, legal basis, and processor location.</w:t>
      </w:r>
    </w:p>
    <w:p>
      <w:pPr>
        <w:spacing w:after="56"/>
      </w:pPr>
      <w:r>
        <w:t>Strong systems maintain dynamic processor chain records that update as workflows execute. When an agent calls a tool that uses a third-party API, the system should record the processor identity, what data was sent, for what purpose, under what legal basis, and where the processor is located. The system should track subprocessor chains when processors use their own subprocessors. The processor chain should be reconstructable for any completed workflow.</w:t>
      </w:r>
    </w:p>
    <w:p>
      <w:pPr>
        <w:spacing w:after="56"/>
      </w:pPr>
      <w:r>
        <w:t>Weak systems may have processor agreements at the contract level without tracking which processors were actually used during specific workflow executions. Privacy teams may maintain processor lists while the system cannot prove which processors handled which data for which workflows. The test is whether the system can reconstruct the processor chain for any completed workflow showing which processors and subprocessors handled personal data.</w:t>
      </w:r>
    </w:p>
    <w:p>
      <w:pPr>
        <w:pStyle w:val="Heading3"/>
      </w:pPr>
      <w:r>
        <w:t>Common Gaps</w:t>
      </w:r>
    </w:p>
    <w:p>
      <w:pPr>
        <w:spacing w:after="56"/>
      </w:pPr>
      <w:r>
        <w:t>The most common gap is processor agreements that exist at the contract level without lifecycle-level tracking. Organizations may have comprehensive processor agreements while lacking visibility into which processors were used during specific workflow executions. Another common gap is processor tracking that covers primary processors but not subprocessor chains, creating blind spots when processors use their own subprocessors.</w:t>
      </w:r>
    </w:p>
    <w:p>
      <w:pPr>
        <w:pStyle w:val="Heading2"/>
      </w:pPr>
      <w:r>
        <w:t>8.21 ALCS-15: Vendor/Model/Runtime Substitution Conformance</w:t>
      </w:r>
    </w:p>
    <w:p>
      <w:pPr>
        <w:pStyle w:val="Heading3"/>
      </w:pPr>
      <w:r>
        <w:t>MRO Mapping</w:t>
      </w:r>
    </w:p>
    <w:p>
      <w:pPr>
        <w:spacing w:after="56"/>
      </w:pPr>
      <w:r>
        <w:t>This dimension primarily maps to MRO-15 (Vendor/Model/Runtime Substitution Conformance) with secondary relationships to MRO-02 (Delegated Authority Boundary) and MRO-09 (Cross-Project Reuse Compliance). The core requirement is that vendor, model, or runtime substitutions must trigger conformance revalidation rather than being treated as transparent configuration changes.</w:t>
      </w:r>
    </w:p>
    <w:p>
      <w:pPr>
        <w:pStyle w:val="Heading3"/>
      </w:pPr>
      <w:r>
        <w:t>Core Question</w:t>
      </w:r>
    </w:p>
    <w:p>
      <w:pPr>
        <w:spacing w:after="56"/>
      </w:pPr>
      <w:r>
        <w:t>Does the system enforce conformance revalidation when vendors are substituted?</w:t>
      </w:r>
    </w:p>
    <w:p>
      <w:pPr>
        <w:pStyle w:val="Heading3"/>
      </w:pPr>
      <w:r>
        <w:t>Scoring Rubric</w:t>
      </w:r>
    </w:p>
    <w:p>
      <w:pPr>
        <w:keepNext/>
      </w:pPr>
      <w:r>
        <w:rPr>
          <w:b/>
          <w:sz w:val="16"/>
        </w:rPr>
        <w:t>Table T-08-17: ALCS-15 Vendor/Model/Runtime Substitution Conformance Scoring Rubric</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Score</w:t>
            </w:r>
          </w:p>
        </w:tc>
        <w:tc>
          <w:tcPr>
            <w:tcW w:type="dxa" w:w="3408"/>
          </w:tcPr>
          <w:p>
            <w:pPr>
              <w:spacing w:after="0"/>
            </w:pPr>
            <w:r>
              <w:rPr>
                <w:rFonts w:ascii="Arial" w:hAnsi="Arial"/>
                <w:b/>
                <w:sz w:val="14"/>
              </w:rPr>
              <w:t>Capability Level</w:t>
            </w:r>
          </w:p>
        </w:tc>
        <w:tc>
          <w:tcPr>
            <w:tcW w:type="dxa" w:w="3408"/>
          </w:tcPr>
          <w:p>
            <w:pPr>
              <w:spacing w:after="0"/>
            </w:pPr>
            <w:r>
              <w:rPr>
                <w:rFonts w:ascii="Arial" w:hAnsi="Arial"/>
                <w:b/>
                <w:sz w:val="14"/>
              </w:rPr>
              <w:t>Evidence Required</w:t>
            </w:r>
          </w:p>
        </w:tc>
      </w:tr>
      <w:tr>
        <w:tc>
          <w:tcPr>
            <w:tcW w:type="dxa" w:w="3408"/>
          </w:tcPr>
          <w:p>
            <w:pPr>
              <w:spacing w:after="0"/>
            </w:pPr>
            <w:r>
              <w:rPr>
                <w:rFonts w:ascii="Arial" w:hAnsi="Arial"/>
                <w:b w:val="0"/>
                <w:sz w:val="14"/>
              </w:rPr>
              <w:t>0</w:t>
            </w:r>
          </w:p>
        </w:tc>
        <w:tc>
          <w:tcPr>
            <w:tcW w:type="dxa" w:w="3408"/>
          </w:tcPr>
          <w:p>
            <w:pPr>
              <w:spacing w:after="0"/>
            </w:pPr>
            <w:r>
              <w:rPr>
                <w:rFonts w:ascii="Arial" w:hAnsi="Arial"/>
                <w:b w:val="0"/>
                <w:sz w:val="14"/>
              </w:rPr>
              <w:t>No evidence of capability</w:t>
            </w:r>
          </w:p>
        </w:tc>
        <w:tc>
          <w:tcPr>
            <w:tcW w:type="dxa" w:w="3408"/>
          </w:tcPr>
          <w:p>
            <w:pPr>
              <w:spacing w:after="0"/>
            </w:pPr>
            <w:r>
              <w:rPr>
                <w:rFonts w:ascii="Arial" w:hAnsi="Arial"/>
                <w:b w:val="0"/>
                <w:sz w:val="14"/>
              </w:rPr>
              <w:t>No vendor substitution tracking features documented or observable</w:t>
            </w:r>
          </w:p>
        </w:tc>
      </w:tr>
      <w:tr>
        <w:tc>
          <w:tcPr>
            <w:tcW w:type="dxa" w:w="3408"/>
          </w:tcPr>
          <w:p>
            <w:pPr>
              <w:spacing w:after="0"/>
            </w:pPr>
            <w:r>
              <w:rPr>
                <w:rFonts w:ascii="Arial" w:hAnsi="Arial"/>
                <w:b w:val="0"/>
                <w:sz w:val="14"/>
              </w:rPr>
              <w:t>1</w:t>
            </w:r>
          </w:p>
        </w:tc>
        <w:tc>
          <w:tcPr>
            <w:tcW w:type="dxa" w:w="3408"/>
          </w:tcPr>
          <w:p>
            <w:pPr>
              <w:spacing w:after="0"/>
            </w:pPr>
            <w:r>
              <w:rPr>
                <w:rFonts w:ascii="Arial" w:hAnsi="Arial"/>
                <w:b w:val="0"/>
                <w:sz w:val="14"/>
              </w:rPr>
              <w:t>Conceptual support</w:t>
            </w:r>
          </w:p>
        </w:tc>
        <w:tc>
          <w:tcPr>
            <w:tcW w:type="dxa" w:w="3408"/>
          </w:tcPr>
          <w:p>
            <w:pPr>
              <w:spacing w:after="0"/>
            </w:pPr>
            <w:r>
              <w:rPr>
                <w:rFonts w:ascii="Arial" w:hAnsi="Arial"/>
                <w:b w:val="0"/>
                <w:sz w:val="14"/>
              </w:rPr>
              <w:t>Documentation mentions vendor optionality or model substitution but provides no conformance revalidation primitives</w:t>
            </w:r>
          </w:p>
        </w:tc>
      </w:tr>
      <w:tr>
        <w:tc>
          <w:tcPr>
            <w:tcW w:type="dxa" w:w="3408"/>
          </w:tcPr>
          <w:p>
            <w:pPr>
              <w:spacing w:after="0"/>
            </w:pPr>
            <w:r>
              <w:rPr>
                <w:rFonts w:ascii="Arial" w:hAnsi="Arial"/>
                <w:b w:val="0"/>
                <w:sz w:val="14"/>
              </w:rPr>
              <w:t>2</w:t>
            </w:r>
          </w:p>
        </w:tc>
        <w:tc>
          <w:tcPr>
            <w:tcW w:type="dxa" w:w="3408"/>
          </w:tcPr>
          <w:p>
            <w:pPr>
              <w:spacing w:after="0"/>
            </w:pPr>
            <w:r>
              <w:rPr>
                <w:rFonts w:ascii="Arial" w:hAnsi="Arial"/>
                <w:b w:val="0"/>
                <w:sz w:val="14"/>
              </w:rPr>
              <w:t>Partial implementation</w:t>
            </w:r>
          </w:p>
        </w:tc>
        <w:tc>
          <w:tcPr>
            <w:tcW w:type="dxa" w:w="3408"/>
          </w:tcPr>
          <w:p>
            <w:pPr>
              <w:spacing w:after="0"/>
            </w:pPr>
            <w:r>
              <w:rPr>
                <w:rFonts w:ascii="Arial" w:hAnsi="Arial"/>
                <w:b w:val="0"/>
                <w:sz w:val="14"/>
              </w:rPr>
              <w:t>Vendor or model substitution is supported but does not trigger conformance revalidation; no substitution records or delta analysis</w:t>
            </w:r>
          </w:p>
        </w:tc>
      </w:tr>
      <w:tr>
        <w:tc>
          <w:tcPr>
            <w:tcW w:type="dxa" w:w="3408"/>
          </w:tcPr>
          <w:p>
            <w:pPr>
              <w:spacing w:after="0"/>
            </w:pPr>
            <w:r>
              <w:rPr>
                <w:rFonts w:ascii="Arial" w:hAnsi="Arial"/>
                <w:b w:val="0"/>
                <w:sz w:val="14"/>
              </w:rPr>
              <w:t>3</w:t>
            </w:r>
          </w:p>
        </w:tc>
        <w:tc>
          <w:tcPr>
            <w:tcW w:type="dxa" w:w="3408"/>
          </w:tcPr>
          <w:p>
            <w:pPr>
              <w:spacing w:after="0"/>
            </w:pPr>
            <w:r>
              <w:rPr>
                <w:rFonts w:ascii="Arial" w:hAnsi="Arial"/>
                <w:b w:val="0"/>
                <w:sz w:val="14"/>
              </w:rPr>
              <w:t>Moderate implementation</w:t>
            </w:r>
          </w:p>
        </w:tc>
        <w:tc>
          <w:tcPr>
            <w:tcW w:type="dxa" w:w="3408"/>
          </w:tcPr>
          <w:p>
            <w:pPr>
              <w:spacing w:after="0"/>
            </w:pPr>
            <w:r>
              <w:rPr>
                <w:rFonts w:ascii="Arial" w:hAnsi="Arial"/>
                <w:b w:val="0"/>
                <w:sz w:val="14"/>
              </w:rPr>
              <w:t>Vendor substitution conformance records exist for most substitutions; some gaps in delta analysis, conformance testing, or revalidation enforcement</w:t>
            </w:r>
          </w:p>
        </w:tc>
      </w:tr>
      <w:tr>
        <w:tc>
          <w:tcPr>
            <w:tcW w:type="dxa" w:w="3408"/>
          </w:tcPr>
          <w:p>
            <w:pPr>
              <w:spacing w:after="0"/>
            </w:pPr>
            <w:r>
              <w:rPr>
                <w:rFonts w:ascii="Arial" w:hAnsi="Arial"/>
                <w:b w:val="0"/>
                <w:sz w:val="14"/>
              </w:rPr>
              <w:t>4</w:t>
            </w:r>
          </w:p>
        </w:tc>
        <w:tc>
          <w:tcPr>
            <w:tcW w:type="dxa" w:w="3408"/>
          </w:tcPr>
          <w:p>
            <w:pPr>
              <w:spacing w:after="0"/>
            </w:pPr>
            <w:r>
              <w:rPr>
                <w:rFonts w:ascii="Arial" w:hAnsi="Arial"/>
                <w:b w:val="0"/>
                <w:sz w:val="14"/>
              </w:rPr>
              <w:t>Strong implementation</w:t>
            </w:r>
          </w:p>
        </w:tc>
        <w:tc>
          <w:tcPr>
            <w:tcW w:type="dxa" w:w="3408"/>
          </w:tcPr>
          <w:p>
            <w:pPr>
              <w:spacing w:after="0"/>
            </w:pPr>
            <w:r>
              <w:rPr>
                <w:rFonts w:ascii="Arial" w:hAnsi="Arial"/>
                <w:b w:val="0"/>
                <w:sz w:val="14"/>
              </w:rPr>
              <w:t>Comprehensive vendor substitution conformance records linking original validation, substitution authorization, conformance test results, delta analysis, revalidation decision, and deployment approval</w:t>
            </w:r>
          </w:p>
        </w:tc>
      </w:tr>
      <w:tr>
        <w:tc>
          <w:tcPr>
            <w:tcW w:type="dxa" w:w="3408"/>
          </w:tcPr>
          <w:p>
            <w:pPr>
              <w:spacing w:after="0"/>
            </w:pPr>
            <w:r>
              <w:rPr>
                <w:rFonts w:ascii="Arial" w:hAnsi="Arial"/>
                <w:b w:val="0"/>
                <w:sz w:val="14"/>
              </w:rPr>
              <w:t>5</w:t>
            </w:r>
          </w:p>
        </w:tc>
        <w:tc>
          <w:tcPr>
            <w:tcW w:type="dxa" w:w="3408"/>
          </w:tcPr>
          <w:p>
            <w:pPr>
              <w:spacing w:after="0"/>
            </w:pPr>
            <w:r>
              <w:rPr>
                <w:rFonts w:ascii="Arial" w:hAnsi="Arial"/>
                <w:b w:val="0"/>
                <w:sz w:val="14"/>
              </w:rPr>
              <w:t>Complete capability demonstrated by implementation evidence</w:t>
            </w:r>
          </w:p>
        </w:tc>
        <w:tc>
          <w:tcPr>
            <w:tcW w:type="dxa" w:w="3408"/>
          </w:tcPr>
          <w:p>
            <w:pPr>
              <w:spacing w:after="0"/>
            </w:pPr>
            <w:r>
              <w:rPr>
                <w:rFonts w:ascii="Arial" w:hAnsi="Arial"/>
                <w:b w:val="0"/>
                <w:sz w:val="14"/>
              </w:rPr>
              <w:t>Implementation evidence, formal audit evidence, protocol-level evidence, or validated operational artifacts; legal text may establish a regulatory baseline but does not prove ALCS implementation</w:t>
            </w:r>
          </w:p>
        </w:tc>
      </w:tr>
    </w:tbl>
    <w:p>
      <w:pPr>
        <w:pStyle w:val="Heading3"/>
      </w:pPr>
      <w:r>
        <w:t>System Mapping Guidance</w:t>
      </w:r>
    </w:p>
    <w:p>
      <w:pPr>
        <w:spacing w:after="56"/>
      </w:pPr>
      <w:r>
        <w:t>Evaluating vendor substitution conformance requires examining whether the system treats substitutions as governance events requiring revalidation. Look for substitution conformance records that bind original workflow ID, original vendor/model/runtime, new vendor/model/runtime, substitution authorization, conformance test results, delta analysis, and revalidation decision.</w:t>
      </w:r>
    </w:p>
    <w:p>
      <w:pPr>
        <w:spacing w:after="56"/>
      </w:pPr>
      <w:r>
        <w:t>Strong systems recognize that vendor substitution can change behavior in ways that break lifecycle conformance. Swapping one model for another may change output quality, reasoning patterns, or tool-calling behavior. Swapping one runtime for another may change how authority boundaries are enforced or how evidence is collected. The system should require conformance testing and revalidation before substituted configurations are deployed. The substitution record should document what changed, what was tested, and whether lifecycle responsibility properties were preserved.</w:t>
      </w:r>
    </w:p>
    <w:p>
      <w:pPr>
        <w:spacing w:after="56"/>
      </w:pPr>
      <w:r>
        <w:t>Weak systems may treat vendor substitution as a configuration change that does not require revalidation. Developers may swap model providers, update API endpoints, or switch agent frameworks without triggering any governance checkpoint. The organization discovers conformance drift only when disputes arise. The test is whether the system can identify vendor substitutions, prove that conformance was revalidated, and document that lifecycle responsibility properties were preserved.</w:t>
      </w:r>
    </w:p>
    <w:p>
      <w:pPr>
        <w:pStyle w:val="Heading3"/>
      </w:pPr>
      <w:r>
        <w:t>Common Gaps</w:t>
      </w:r>
    </w:p>
    <w:p>
      <w:pPr>
        <w:spacing w:after="56"/>
      </w:pPr>
      <w:r>
        <w:t>The most common gap is vendor substitution treated as a configuration change without conformance revalidation. Organizations may value vendor optionality while lacking governance controls that ensure substitution preserves lifecycle responsibility properties. Another common gap is substitution conformance that applies to major vendor changes but not to model version updates, runtime patches, or tool vendor switches, creating gaps in coverage.</w:t>
      </w:r>
    </w:p>
    <w:p>
      <w:pPr>
        <w:pStyle w:val="Heading2"/>
      </w:pPr>
      <w:r>
        <w:t>8.22 Chapter Summary</w:t>
      </w:r>
    </w:p>
    <w:p>
      <w:pPr>
        <w:spacing w:after="56"/>
      </w:pPr>
      <w:r>
        <w:t>This chapter introduced the Agentic Lifecycle Conformance Score (ALCS), a framework for measuring whether systems define the lifecycle objects required for agentic responsibility compliance. ALCS evaluates whether a system can express the sixteen Missing Regulatory Objects introduced in Chapter 6, translating regulatory abstractions into measurable system capabilities. ALCS is not a legal compliance certification. It is an analytical framework for comparing system capabilities against lifecycle responsibility requirements.</w:t>
      </w:r>
    </w:p>
    <w:p>
      <w:pPr>
        <w:spacing w:after="56"/>
      </w:pPr>
      <w:r>
        <w:t>The fifteen ALCS dimensions operationalize the sixteen MROs into system features that can be evaluated, scored, and improved. Human-role-to-MAS responsibility mapping ensures that human organizational accountability is explicitly linked to agent execution responsibilities. Delegated authority boundaries distinguish technical permission from business authority. Agent role definitions carry governance semantics beyond execution personas. Accepted outcome compliance separates execution completion from outcome acceptance. Tool-action liability boundaries record accountability for consequential actions. Responsibility transfer semantics make agent handoffs auditable. Authority drift detection prevents unauthorized authority transitions. MAS evidence partitioning enables selective disclosure and reconstruction. Cross-project reuse compliance enforces revalidation when workflows move between contexts. Privacy lifecycle mapping tracks personal data flows across agents, tools, and memory. Privacy-preserving validation supports external verification without raw data disclosure. Evidence minimization limits retention to governance purposes. Data subject rights reconciliation balances erasure requests with evidence obligations. Processor chain tracking maintains visibility into third-party data handling. Vendor substitution conformance ensures that optionality does not become governance drift.</w:t>
      </w:r>
    </w:p>
    <w:p>
      <w:pPr>
        <w:spacing w:after="56"/>
      </w:pPr>
      <w:r>
        <w:t>ALCS complements RCCS by measuring a different layer. RCCS evaluates regulatory compliance coverage: whether a system provides the governance primitives that existing regulation requires. ALCS evaluates agentic lifecycle conformance: whether a system provides the lifecycle objects that make agentic responsibility auditable, provable, and transferable across agents, humans, tools, projects, vendors, and organizational boundaries. A system can have strong RCCS and weak ALCS, meaning it provides strong regulatory compliance coverage while lacking deeper lifecycle responsibility semantics for multi-agent work. Both layers are necessary. Neither alone is sufficient. Chapter 9 introduces composite scoring, which combines RCCS and ALCS into system-level assessments that reflect both regulatory compliance coverage and agentic lifecycle conformance.</w:t>
      </w:r>
    </w:p>
    <w:p>
      <w:pPr>
        <w:pStyle w:val="Heading1"/>
      </w:pPr>
      <w:r>
        <w:t>Chapter 9: Composite Scoring Method and Evidence Confidence</w:t>
      </w:r>
    </w:p>
    <w:p>
      <w:pPr>
        <w:spacing w:after="56"/>
      </w:pPr>
      <w:r>
        <w:t>Version: v0.3.2-FRC-R3</w:t>
      </w:r>
    </w:p>
    <w:p>
      <w:pPr>
        <w:pStyle w:val="Heading2"/>
      </w:pPr>
      <w:r>
        <w:t>9.0 Chapter Overview</w:t>
      </w:r>
    </w:p>
    <w:p>
      <w:pPr>
        <w:spacing w:after="56"/>
      </w:pPr>
      <w:r>
        <w:t>This chapter introduces the Composite Scoring Method, which combines RCCS and ALCS into system-level assessments. In this paper, composite scoring means a dual-layer scoring profile consisting of separate RCCS and ALCS scores. It does not collapse both scores into a single legal compliance number. Composite scoring provides a dual-layer view of system governance capability: regulatory compliance coverage and agentic lifecycle conformance. It is an analytical framework for comparing systems, not a legal compliance certification.</w:t>
      </w:r>
    </w:p>
    <w:p>
      <w:pPr>
        <w:spacing w:after="56"/>
      </w:pPr>
      <w:r>
        <w:t>The chapter explains the composite score formula, evidence multiplier application, interpretation guidance for RCCS and ALCS together, reproducibility requirements, and boundary statements. It establishes clear expectations about what composite scoring measures and what it does not measure, and bridges to the system mapping chapters that follow.</w:t>
      </w:r>
    </w:p>
    <w:p>
      <w:pPr>
        <w:spacing w:after="56"/>
      </w:pPr>
      <w:r>
        <w:t>Figure F-04 - RCCS/ALCS Dual Scoring Model</w:t>
      </w:r>
    </w:p>
    <w:p>
      <w:pPr>
        <w:spacing w:after="56"/>
      </w:pPr>
      <w:r>
        <w:t>RCCS Regulatory Coverage + ALCS Lifecycle Conformance -&gt; Evidence-Adjusted Analytical Composite</w:t>
      </w:r>
    </w:p>
    <w:p>
      <w:pPr>
        <w:spacing w:after="56"/>
      </w:pPr>
      <w:r>
        <w:t>Figure F-04 shows how RCCS and ALCS combine into an evidence-adjusted analytical profile. It is not a legal compliance score, certification, regulatory approval signal, product ranking, or procurement recommendation.</w:t>
      </w:r>
    </w:p>
    <w:p>
      <w:pPr>
        <w:pStyle w:val="Heading2"/>
      </w:pPr>
      <w:r>
        <w:t>9.1 Purpose of Composite Scoring</w:t>
      </w:r>
    </w:p>
    <w:p>
      <w:pPr>
        <w:spacing w:after="56"/>
      </w:pPr>
      <w:r>
        <w:t>Composite scoring combines RCCS and ALCS into system-level assessments that reflect both regulatory compliance coverage and agentic lifecycle conformance. It provides a structured method for evaluating whether systems provide the governance primitives that existing regulation requires and the lifecycle objects that make agentic responsibility auditable, provable, and transferable.</w:t>
      </w:r>
    </w:p>
    <w:p>
      <w:pPr>
        <w:spacing w:after="56"/>
      </w:pPr>
      <w:r>
        <w:t>The purpose of composite scoring is to make visible the difference between systems that provide regulatory compliance coverage, systems that provide lifecycle responsibility semantics, and systems that provide both. 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Composite scoring is an analytical framework, not a certification program. It does not certify that a system is compliant with any specific regulation. It does not guarantee that a system meets all legal obligations. It does not substitute for legal counsel, compliance review, or risk assessment. It measures system capability to express governance primitives and lifecycle objects, not organizational conformance to legal requirements.</w:t>
      </w:r>
    </w:p>
    <w:p>
      <w:pPr>
        <w:spacing w:after="56"/>
      </w:pPr>
      <w:r>
        <w:t>The value of composite scoring is comparative analysis. Buyers can compare systems to understand which provide stronger governance primitives or lifecycle objects. Auditors can evaluate whether deployed systems provide the capabilities required to support organizational compliance programs. Governance teams can identify gaps in system capabilities and prioritize improvements. Protocol designers can evaluate whether their designs provide the primitives and objects that regulation and lifecycle responsibility require.</w:t>
      </w:r>
    </w:p>
    <w:p>
      <w:pPr>
        <w:pStyle w:val="Heading2"/>
      </w:pPr>
      <w:r>
        <w:t>9.2 Composite Score Formula</w:t>
      </w:r>
    </w:p>
    <w:p>
      <w:pPr>
        <w:spacing w:after="56"/>
      </w:pPr>
      <w:r>
        <w:t>Composite scoring calculates adjusted RCCS and ALCS framework scores and then combines them using the canonical cross-framework weight. RCCS measures regulatory compliance coverage. ALCS measures agentic lifecycle conformance. Both scores are needed for full assessment.</w:t>
      </w:r>
    </w:p>
    <w:p>
      <w:pPr>
        <w:spacing w:after="56"/>
      </w:pPr>
      <w:r>
        <w:t>Each dimension is first normalized using the canonical dimension formula:</w:t>
      </w:r>
    </w:p>
    <w:p>
      <w:pPr>
        <w:spacing w:after="56"/>
      </w:pPr>
      <w:r>
        <w:t>Dimension Score = (Raw Score / 5) × 100 × Evidence Confidence Multiplier</w:t>
      </w:r>
    </w:p>
    <w:p>
      <w:pPr>
        <w:spacing w:after="56"/>
      </w:pPr>
      <w:r>
        <w:t>Where:</w:t>
      </w:r>
    </w:p>
    <w:p>
      <w:pPr>
        <w:pStyle w:val="ListBullet"/>
        <w:spacing w:after="56"/>
      </w:pPr>
      <w:r>
        <w:t>Raw Score is the 0-5 score for each dimension based on system capability strength</w:t>
      </w:r>
    </w:p>
    <w:p>
      <w:pPr>
        <w:pStyle w:val="ListBullet"/>
        <w:spacing w:after="56"/>
      </w:pPr>
      <w:r>
        <w:t>Evidence Confidence Multiplier is L1 = 1.00, L2 = 0.85, L3 = 0.75, L4 = 0.55, or L5 = 0.35</w:t>
      </w:r>
    </w:p>
    <w:p>
      <w:pPr>
        <w:spacing w:after="56"/>
      </w:pPr>
      <w:r>
        <w:t>The cross-framework composite score is:</w:t>
      </w:r>
    </w:p>
    <w:p>
      <w:pPr>
        <w:spacing w:after="56"/>
      </w:pPr>
      <w:r>
        <w:t>Composite Score = 0.40 × RCCS + 0.60 × ALCS</w:t>
      </w:r>
    </w:p>
    <w:p>
      <w:pPr>
        <w:spacing w:after="56"/>
      </w:pPr>
      <w:r>
        <w:t>RCCS and ALCS are expressed on a 0-100 scale after evidence adjustment. The composite score is also expressed on a 0-100 scale.</w:t>
      </w:r>
    </w:p>
    <w:p>
      <w:pPr>
        <w:spacing w:after="56"/>
      </w:pPr>
      <w:r>
        <w:t>The following table illustrates the composite score calculation with an example.</w:t>
      </w:r>
    </w:p>
    <w:p>
      <w:pPr>
        <w:keepNext/>
      </w:pPr>
      <w:r>
        <w:rPr>
          <w:b/>
          <w:sz w:val="16"/>
        </w:rPr>
        <w:t>Table T-09-01: Composite Score Calculation Example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Component</w:t>
            </w:r>
          </w:p>
        </w:tc>
        <w:tc>
          <w:tcPr>
            <w:tcW w:type="dxa" w:w="3408"/>
          </w:tcPr>
          <w:p>
            <w:pPr>
              <w:spacing w:after="0"/>
            </w:pPr>
            <w:r>
              <w:rPr>
                <w:rFonts w:ascii="Arial" w:hAnsi="Arial"/>
                <w:b/>
                <w:sz w:val="14"/>
              </w:rPr>
              <w:t>Description</w:t>
            </w:r>
          </w:p>
        </w:tc>
        <w:tc>
          <w:tcPr>
            <w:tcW w:type="dxa" w:w="3408"/>
          </w:tcPr>
          <w:p>
            <w:pPr>
              <w:spacing w:after="0"/>
            </w:pPr>
            <w:r>
              <w:rPr>
                <w:rFonts w:ascii="Arial" w:hAnsi="Arial"/>
                <w:b/>
                <w:sz w:val="14"/>
              </w:rPr>
              <w:t>Example Calculation</w:t>
            </w:r>
          </w:p>
        </w:tc>
      </w:tr>
      <w:tr>
        <w:tc>
          <w:tcPr>
            <w:tcW w:type="dxa" w:w="3408"/>
          </w:tcPr>
          <w:p>
            <w:pPr>
              <w:spacing w:after="0"/>
            </w:pPr>
            <w:r>
              <w:rPr>
                <w:rFonts w:ascii="Arial" w:hAnsi="Arial"/>
                <w:b w:val="0"/>
                <w:sz w:val="14"/>
              </w:rPr>
              <w:t>Raw Score</w:t>
            </w:r>
          </w:p>
        </w:tc>
        <w:tc>
          <w:tcPr>
            <w:tcW w:type="dxa" w:w="3408"/>
          </w:tcPr>
          <w:p>
            <w:pPr>
              <w:spacing w:after="0"/>
            </w:pPr>
            <w:r>
              <w:rPr>
                <w:rFonts w:ascii="Arial" w:hAnsi="Arial"/>
                <w:b w:val="0"/>
                <w:sz w:val="14"/>
              </w:rPr>
              <w:t>0-5 scale based on capability strength</w:t>
            </w:r>
          </w:p>
        </w:tc>
        <w:tc>
          <w:tcPr>
            <w:tcW w:type="dxa" w:w="3408"/>
          </w:tcPr>
          <w:p>
            <w:pPr>
              <w:spacing w:after="0"/>
            </w:pPr>
            <w:r>
              <w:rPr>
                <w:rFonts w:ascii="Arial" w:hAnsi="Arial"/>
                <w:b w:val="0"/>
                <w:sz w:val="14"/>
              </w:rPr>
              <w:t>Risk Management = 4</w:t>
            </w:r>
          </w:p>
        </w:tc>
      </w:tr>
      <w:tr>
        <w:tc>
          <w:tcPr>
            <w:tcW w:type="dxa" w:w="3408"/>
          </w:tcPr>
          <w:p>
            <w:pPr>
              <w:spacing w:after="0"/>
            </w:pPr>
            <w:r>
              <w:rPr>
                <w:rFonts w:ascii="Arial" w:hAnsi="Arial"/>
                <w:b w:val="0"/>
                <w:sz w:val="14"/>
              </w:rPr>
              <w:t>Evidence Multiplier</w:t>
            </w:r>
          </w:p>
        </w:tc>
        <w:tc>
          <w:tcPr>
            <w:tcW w:type="dxa" w:w="3408"/>
          </w:tcPr>
          <w:p>
            <w:pPr>
              <w:spacing w:after="0"/>
            </w:pPr>
            <w:r>
              <w:rPr>
                <w:rFonts w:ascii="Arial" w:hAnsi="Arial"/>
                <w:b w:val="0"/>
                <w:sz w:val="14"/>
              </w:rPr>
              <w:t>L1-L5 confidence multiplier</w:t>
            </w:r>
          </w:p>
        </w:tc>
        <w:tc>
          <w:tcPr>
            <w:tcW w:type="dxa" w:w="3408"/>
          </w:tcPr>
          <w:p>
            <w:pPr>
              <w:spacing w:after="0"/>
            </w:pPr>
            <w:r>
              <w:rPr>
                <w:rFonts w:ascii="Arial" w:hAnsi="Arial"/>
                <w:b w:val="0"/>
                <w:sz w:val="14"/>
              </w:rPr>
              <w:t>L2 evidence = 0.85</w:t>
            </w:r>
          </w:p>
        </w:tc>
      </w:tr>
      <w:tr>
        <w:tc>
          <w:tcPr>
            <w:tcW w:type="dxa" w:w="3408"/>
          </w:tcPr>
          <w:p>
            <w:pPr>
              <w:spacing w:after="0"/>
            </w:pPr>
            <w:r>
              <w:rPr>
                <w:rFonts w:ascii="Arial" w:hAnsi="Arial"/>
                <w:b w:val="0"/>
                <w:sz w:val="14"/>
              </w:rPr>
              <w:t>Dimension Score</w:t>
            </w:r>
          </w:p>
        </w:tc>
        <w:tc>
          <w:tcPr>
            <w:tcW w:type="dxa" w:w="3408"/>
          </w:tcPr>
          <w:p>
            <w:pPr>
              <w:spacing w:after="0"/>
            </w:pPr>
            <w:r>
              <w:rPr>
                <w:rFonts w:ascii="Arial" w:hAnsi="Arial"/>
                <w:b w:val="0"/>
                <w:sz w:val="14"/>
              </w:rPr>
              <w:t>(Raw Score / 5) × 100 × Evidence Multiplier</w:t>
            </w:r>
          </w:p>
        </w:tc>
        <w:tc>
          <w:tcPr>
            <w:tcW w:type="dxa" w:w="3408"/>
          </w:tcPr>
          <w:p>
            <w:pPr>
              <w:spacing w:after="0"/>
            </w:pPr>
            <w:r>
              <w:rPr>
                <w:rFonts w:ascii="Arial" w:hAnsi="Arial"/>
                <w:b w:val="0"/>
                <w:sz w:val="14"/>
              </w:rPr>
              <w:t>(4 / 5) × 100 × 0.85 = 68.0</w:t>
            </w:r>
          </w:p>
        </w:tc>
      </w:tr>
      <w:tr>
        <w:tc>
          <w:tcPr>
            <w:tcW w:type="dxa" w:w="3408"/>
          </w:tcPr>
          <w:p>
            <w:pPr>
              <w:spacing w:after="0"/>
            </w:pPr>
            <w:r>
              <w:rPr>
                <w:rFonts w:ascii="Arial" w:hAnsi="Arial"/>
                <w:b w:val="0"/>
                <w:sz w:val="14"/>
              </w:rPr>
              <w:t>RCCS Score</w:t>
            </w:r>
          </w:p>
        </w:tc>
        <w:tc>
          <w:tcPr>
            <w:tcW w:type="dxa" w:w="3408"/>
          </w:tcPr>
          <w:p>
            <w:pPr>
              <w:spacing w:after="0"/>
            </w:pPr>
            <w:r>
              <w:rPr>
                <w:rFonts w:ascii="Arial" w:hAnsi="Arial"/>
                <w:b w:val="0"/>
                <w:sz w:val="14"/>
              </w:rPr>
              <w:t>Aggregated RCCS dimension score</w:t>
            </w:r>
          </w:p>
        </w:tc>
        <w:tc>
          <w:tcPr>
            <w:tcW w:type="dxa" w:w="3408"/>
          </w:tcPr>
          <w:p>
            <w:pPr>
              <w:spacing w:after="0"/>
            </w:pPr>
            <w:r>
              <w:rPr>
                <w:rFonts w:ascii="Arial" w:hAnsi="Arial"/>
                <w:b w:val="0"/>
                <w:sz w:val="14"/>
              </w:rPr>
              <w:t>RCCS = 65.0</w:t>
            </w:r>
          </w:p>
        </w:tc>
      </w:tr>
      <w:tr>
        <w:tc>
          <w:tcPr>
            <w:tcW w:type="dxa" w:w="3408"/>
          </w:tcPr>
          <w:p>
            <w:pPr>
              <w:spacing w:after="0"/>
            </w:pPr>
            <w:r>
              <w:rPr>
                <w:rFonts w:ascii="Arial" w:hAnsi="Arial"/>
                <w:b w:val="0"/>
                <w:sz w:val="14"/>
              </w:rPr>
              <w:t>ALCS Score</w:t>
            </w:r>
          </w:p>
        </w:tc>
        <w:tc>
          <w:tcPr>
            <w:tcW w:type="dxa" w:w="3408"/>
          </w:tcPr>
          <w:p>
            <w:pPr>
              <w:spacing w:after="0"/>
            </w:pPr>
            <w:r>
              <w:rPr>
                <w:rFonts w:ascii="Arial" w:hAnsi="Arial"/>
                <w:b w:val="0"/>
                <w:sz w:val="14"/>
              </w:rPr>
              <w:t>Aggregated ALCS dimension score</w:t>
            </w:r>
          </w:p>
        </w:tc>
        <w:tc>
          <w:tcPr>
            <w:tcW w:type="dxa" w:w="3408"/>
          </w:tcPr>
          <w:p>
            <w:pPr>
              <w:spacing w:after="0"/>
            </w:pPr>
            <w:r>
              <w:rPr>
                <w:rFonts w:ascii="Arial" w:hAnsi="Arial"/>
                <w:b w:val="0"/>
                <w:sz w:val="14"/>
              </w:rPr>
              <w:t>ALCS = 55.0</w:t>
            </w:r>
          </w:p>
        </w:tc>
      </w:tr>
      <w:tr>
        <w:tc>
          <w:tcPr>
            <w:tcW w:type="dxa" w:w="3408"/>
          </w:tcPr>
          <w:p>
            <w:pPr>
              <w:spacing w:after="0"/>
            </w:pPr>
            <w:r>
              <w:rPr>
                <w:rFonts w:ascii="Arial" w:hAnsi="Arial"/>
                <w:b w:val="0"/>
                <w:sz w:val="14"/>
              </w:rPr>
              <w:t>Composite Score</w:t>
            </w:r>
          </w:p>
        </w:tc>
        <w:tc>
          <w:tcPr>
            <w:tcW w:type="dxa" w:w="3408"/>
          </w:tcPr>
          <w:p>
            <w:pPr>
              <w:spacing w:after="0"/>
            </w:pPr>
            <w:r>
              <w:rPr>
                <w:rFonts w:ascii="Arial" w:hAnsi="Arial"/>
                <w:b w:val="0"/>
                <w:sz w:val="14"/>
              </w:rPr>
              <w:t>0.40 × RCCS + 0.60 × ALCS</w:t>
            </w:r>
          </w:p>
        </w:tc>
        <w:tc>
          <w:tcPr>
            <w:tcW w:type="dxa" w:w="3408"/>
          </w:tcPr>
          <w:p>
            <w:pPr>
              <w:spacing w:after="0"/>
            </w:pPr>
            <w:r>
              <w:rPr>
                <w:rFonts w:ascii="Arial" w:hAnsi="Arial"/>
                <w:b w:val="0"/>
                <w:sz w:val="14"/>
              </w:rPr>
              <w:t>0.40 × 65.0 + 0.60 × 55.0 = 59.0</w:t>
            </w:r>
          </w:p>
        </w:tc>
      </w:tr>
    </w:tbl>
    <w:p>
      <w:pPr>
        <w:spacing w:after="56"/>
      </w:pPr>
      <w:r>
        <w:t>This calculation preserves the distinction between RCCS and ALCS while still producing a single analytical composite score for high-level comparison.</w:t>
      </w:r>
    </w:p>
    <w:p>
      <w:pPr>
        <w:spacing w:after="56"/>
      </w:pPr>
      <w:r>
        <w:t>RCCS and ALCS are reported separately because they measure different layers. RCCS evaluates whether a system provides the governance primitives that existing regulation requires. ALCS evaluates whether a system provides the lifecycle objects that make agentic responsibility auditable and transferable. The composite score must therefore be read alongside the separate RCCS and ALCS scores.</w:t>
      </w:r>
    </w:p>
    <w:p>
      <w:pPr>
        <w:pStyle w:val="Heading2"/>
      </w:pPr>
      <w:r>
        <w:t>9.3 Evidence Multiplier Application</w:t>
      </w:r>
    </w:p>
    <w:p>
      <w:pPr>
        <w:spacing w:after="56"/>
      </w:pPr>
      <w:r>
        <w:t>Evidence quality affects composite scores through the evidence multiplier. The evidence multiplier adjusts dimension scores based on the quality and verifiability of evidence used to evaluate the system. It reflects the confidence level in the scoring assessment.</w:t>
      </w:r>
    </w:p>
    <w:p>
      <w:pPr>
        <w:spacing w:after="56"/>
      </w:pPr>
      <w:r>
        <w:t>The evidence hierarchy established in the front matter defines five evidence levels:</w:t>
      </w:r>
    </w:p>
    <w:p>
      <w:pPr>
        <w:pStyle w:val="ListBullet"/>
        <w:spacing w:after="56"/>
      </w:pPr>
      <w:r>
        <w:t>L1: Binding legal, regulatory, or formal standards text - Highest confidence for baseline obligations; does not prove system implementation</w:t>
      </w:r>
    </w:p>
    <w:p>
      <w:pPr>
        <w:pStyle w:val="ListBullet"/>
        <w:spacing w:after="56"/>
      </w:pPr>
      <w:r>
        <w:t>L2: Official product documentation, API docs, developer documentation, platform architecture docs - High confidence</w:t>
      </w:r>
    </w:p>
    <w:p>
      <w:pPr>
        <w:pStyle w:val="ListBullet"/>
        <w:spacing w:after="56"/>
      </w:pPr>
      <w:r>
        <w:t>L3: Independent audits, certifications, third-party evaluations, regulatory commentary - Medium confidence</w:t>
      </w:r>
    </w:p>
    <w:p>
      <w:pPr>
        <w:pStyle w:val="ListBullet"/>
        <w:spacing w:after="56"/>
      </w:pPr>
      <w:r>
        <w:t>L4: Vendor white papers, product pages, blog posts, marketing statements - Low confidence</w:t>
      </w:r>
    </w:p>
    <w:p>
      <w:pPr>
        <w:pStyle w:val="ListBullet"/>
        <w:spacing w:after="56"/>
      </w:pPr>
      <w:r>
        <w:t>L5: Author inference, conceptual analysis, strategic interpretation - Disclosed inference</w:t>
      </w:r>
    </w:p>
    <w:p>
      <w:pPr>
        <w:spacing w:after="56"/>
      </w:pPr>
      <w:r>
        <w:t>The evidence multiplier translates evidence levels into scoring adjustments:</w:t>
      </w:r>
    </w:p>
    <w:p>
      <w:pPr>
        <w:keepNext/>
      </w:pPr>
      <w:r>
        <w:rPr>
          <w:b/>
          <w:sz w:val="16"/>
        </w:rPr>
        <w:t>Table T-09-02: Evidence Multiplier Values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Evidence Type</w:t>
            </w:r>
          </w:p>
        </w:tc>
        <w:tc>
          <w:tcPr>
            <w:tcW w:type="dxa" w:w="2556"/>
          </w:tcPr>
          <w:p>
            <w:pPr>
              <w:spacing w:after="0"/>
            </w:pPr>
            <w:r>
              <w:rPr>
                <w:rFonts w:ascii="Arial" w:hAnsi="Arial"/>
                <w:b/>
                <w:sz w:val="14"/>
              </w:rPr>
              <w:t>Multiplier</w:t>
            </w:r>
          </w:p>
        </w:tc>
        <w:tc>
          <w:tcPr>
            <w:tcW w:type="dxa" w:w="2556"/>
          </w:tcPr>
          <w:p>
            <w:pPr>
              <w:spacing w:after="0"/>
            </w:pPr>
            <w:r>
              <w:rPr>
                <w:rFonts w:ascii="Arial" w:hAnsi="Arial"/>
                <w:b/>
                <w:sz w:val="14"/>
              </w:rPr>
              <w:t>Rationale</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regulatory, or formal standards text</w:t>
            </w:r>
          </w:p>
        </w:tc>
        <w:tc>
          <w:tcPr>
            <w:tcW w:type="dxa" w:w="2556"/>
          </w:tcPr>
          <w:p>
            <w:pPr>
              <w:spacing w:after="0"/>
            </w:pPr>
            <w:r>
              <w:rPr>
                <w:rFonts w:ascii="Arial" w:hAnsi="Arial"/>
                <w:b w:val="0"/>
                <w:sz w:val="14"/>
              </w:rPr>
              <w:t>1.00</w:t>
            </w:r>
          </w:p>
        </w:tc>
        <w:tc>
          <w:tcPr>
            <w:tcW w:type="dxa" w:w="2556"/>
          </w:tcPr>
          <w:p>
            <w:pPr>
              <w:spacing w:after="0"/>
            </w:pPr>
            <w:r>
              <w:rPr>
                <w:rFonts w:ascii="Arial" w:hAnsi="Arial"/>
                <w:b w:val="0"/>
                <w:sz w:val="14"/>
              </w:rPr>
              <w:t>Highest confidence for baseline obligations; 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documentation, API docs, developer documentation, platform architecture docs</w:t>
            </w:r>
          </w:p>
        </w:tc>
        <w:tc>
          <w:tcPr>
            <w:tcW w:type="dxa" w:w="2556"/>
          </w:tcPr>
          <w:p>
            <w:pPr>
              <w:spacing w:after="0"/>
            </w:pPr>
            <w:r>
              <w:rPr>
                <w:rFonts w:ascii="Arial" w:hAnsi="Arial"/>
                <w:b w:val="0"/>
                <w:sz w:val="14"/>
              </w:rPr>
              <w:t>0.85</w:t>
            </w:r>
          </w:p>
        </w:tc>
        <w:tc>
          <w:tcPr>
            <w:tcW w:type="dxa" w:w="2556"/>
          </w:tcPr>
          <w:p>
            <w:pPr>
              <w:spacing w:after="0"/>
            </w:pPr>
            <w:r>
              <w:rPr>
                <w:rFonts w:ascii="Arial" w:hAnsi="Arial"/>
                <w:b w:val="0"/>
                <w:sz w:val="14"/>
              </w:rPr>
              <w:t>High confidence, but product capability claims still require current-source validation</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audits, certifications, third-party evaluations, regulatory commentary</w:t>
            </w:r>
          </w:p>
        </w:tc>
        <w:tc>
          <w:tcPr>
            <w:tcW w:type="dxa" w:w="2556"/>
          </w:tcPr>
          <w:p>
            <w:pPr>
              <w:spacing w:after="0"/>
            </w:pPr>
            <w:r>
              <w:rPr>
                <w:rFonts w:ascii="Arial" w:hAnsi="Arial"/>
                <w:b w:val="0"/>
                <w:sz w:val="14"/>
              </w:rPr>
              <w:t>0.75</w:t>
            </w:r>
          </w:p>
        </w:tc>
        <w:tc>
          <w:tcPr>
            <w:tcW w:type="dxa" w:w="2556"/>
          </w:tcPr>
          <w:p>
            <w:pPr>
              <w:spacing w:after="0"/>
            </w:pPr>
            <w:r>
              <w:rPr>
                <w:rFonts w:ascii="Arial" w:hAnsi="Arial"/>
                <w:b w:val="0"/>
                <w:sz w:val="14"/>
              </w:rPr>
              <w:t>Medium confidence; independent but may lack technical depth</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white papers, product pages, blog posts, marketing statements</w:t>
            </w:r>
          </w:p>
        </w:tc>
        <w:tc>
          <w:tcPr>
            <w:tcW w:type="dxa" w:w="2556"/>
          </w:tcPr>
          <w:p>
            <w:pPr>
              <w:spacing w:after="0"/>
            </w:pPr>
            <w:r>
              <w:rPr>
                <w:rFonts w:ascii="Arial" w:hAnsi="Arial"/>
                <w:b w:val="0"/>
                <w:sz w:val="14"/>
              </w:rPr>
              <w:t>0.55</w:t>
            </w:r>
          </w:p>
        </w:tc>
        <w:tc>
          <w:tcPr>
            <w:tcW w:type="dxa" w:w="2556"/>
          </w:tcPr>
          <w:p>
            <w:pPr>
              <w:spacing w:after="0"/>
            </w:pPr>
            <w:r>
              <w:rPr>
                <w:rFonts w:ascii="Arial" w:hAnsi="Arial"/>
                <w:b w:val="0"/>
                <w:sz w:val="14"/>
              </w:rPr>
              <w:t>Low confidence; promotional and may lack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strategic interpretation</w:t>
            </w:r>
          </w:p>
        </w:tc>
        <w:tc>
          <w:tcPr>
            <w:tcW w:type="dxa" w:w="2556"/>
          </w:tcPr>
          <w:p>
            <w:pPr>
              <w:spacing w:after="0"/>
            </w:pPr>
            <w:r>
              <w:rPr>
                <w:rFonts w:ascii="Arial" w:hAnsi="Arial"/>
                <w:b w:val="0"/>
                <w:sz w:val="14"/>
              </w:rPr>
              <w:t>0.35</w:t>
            </w:r>
          </w:p>
        </w:tc>
        <w:tc>
          <w:tcPr>
            <w:tcW w:type="dxa" w:w="2556"/>
          </w:tcPr>
          <w:p>
            <w:pPr>
              <w:spacing w:after="0"/>
            </w:pPr>
            <w:r>
              <w:rPr>
                <w:rFonts w:ascii="Arial" w:hAnsi="Arial"/>
                <w:b w:val="0"/>
                <w:sz w:val="14"/>
              </w:rPr>
              <w:t>Disclosed inference; useful for analysis but not verified implementation evidence</w:t>
            </w:r>
          </w:p>
        </w:tc>
      </w:tr>
    </w:tbl>
    <w:p>
      <w:pPr>
        <w:spacing w:after="56"/>
      </w:pPr>
      <w:r>
        <w:t>The evidence multiplier is applied per dimension, not globally. Different dimensions may be evaluated with different evidence levels. A system may have L2 evidence for risk management (official documentation) and L4 evidence for contestability (vendor white paper). Each dimension receives its own evidence multiplier based on the evidence used to evaluate that specific dimension.</w:t>
      </w:r>
    </w:p>
    <w:p>
      <w:pPr>
        <w:spacing w:after="56"/>
      </w:pPr>
      <w:r>
        <w:t>Mixed evidence levels are common and expected. System vendors provide detailed documentation for some capabilities while providing only high-level descriptions for others. Independent audits may cover some dimensions but not others. Evaluators must assess evidence quality dimension by dimension and apply the appropriate multiplier to each.</w:t>
      </w:r>
    </w:p>
    <w:p>
      <w:pPr>
        <w:spacing w:after="56"/>
      </w:pPr>
      <w:r>
        <w:t>The evidence multiplier ensures that scores reflect not only system capability but also the confidence level in that assessment. A raw score of 4 based on L2 evidence becomes (4 / 5) × 100 × 0.85 = 68.0. The same raw score based on L4 evidence becomes (4 / 5) × 100 × 0.55 = 44.0. This prevents over-claiming based on weak evidence.</w:t>
      </w:r>
    </w:p>
    <w:p>
      <w:pPr>
        <w:pStyle w:val="Heading2"/>
      </w:pPr>
      <w:r>
        <w:t>9.4 Interpreting RCCS and ALCS Together</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56"/>
      </w:pPr>
      <w:r>
        <w:t>Interpreting RCCS and ALCS together requires understanding four quadrants: High RCCS + High ALCS, High RCCS + Low ALCS, Low RCCS + High ALCS, and Low RCCS + Low ALCS. Each quadrant represents a different system capability profile.</w:t>
      </w:r>
    </w:p>
    <w:p>
      <w:pPr>
        <w:spacing w:after="56"/>
      </w:pPr>
      <w:r>
        <w:t>The 70% boundary used in this matrix is an analytical interpretation band for comparing capability profiles. It is not a legal compliance threshold, deployment readiness threshold, procurement threshold, or certification cutoff.</w:t>
      </w:r>
    </w:p>
    <w:p>
      <w:pPr>
        <w:keepNext/>
      </w:pPr>
      <w:r>
        <w:rPr>
          <w:b/>
          <w:sz w:val="16"/>
        </w:rPr>
        <w:t>Table T-09-03: RCCS and ALCS Interpretation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Quadrant</w:t>
            </w:r>
          </w:p>
        </w:tc>
        <w:tc>
          <w:tcPr>
            <w:tcW w:type="dxa" w:w="2045"/>
          </w:tcPr>
          <w:p>
            <w:pPr>
              <w:spacing w:after="0"/>
            </w:pPr>
            <w:r>
              <w:rPr>
                <w:rFonts w:ascii="Arial" w:hAnsi="Arial"/>
                <w:b/>
                <w:sz w:val="14"/>
              </w:rPr>
              <w:t>RCCS</w:t>
            </w:r>
          </w:p>
        </w:tc>
        <w:tc>
          <w:tcPr>
            <w:tcW w:type="dxa" w:w="2045"/>
          </w:tcPr>
          <w:p>
            <w:pPr>
              <w:spacing w:after="0"/>
            </w:pPr>
            <w:r>
              <w:rPr>
                <w:rFonts w:ascii="Arial" w:hAnsi="Arial"/>
                <w:b/>
                <w:sz w:val="14"/>
              </w:rPr>
              <w:t>ALCS</w:t>
            </w:r>
          </w:p>
        </w:tc>
        <w:tc>
          <w:tcPr>
            <w:tcW w:type="dxa" w:w="2045"/>
          </w:tcPr>
          <w:p>
            <w:pPr>
              <w:spacing w:after="0"/>
            </w:pPr>
            <w:r>
              <w:rPr>
                <w:rFonts w:ascii="Arial" w:hAnsi="Arial"/>
                <w:b/>
                <w:sz w:val="14"/>
              </w:rPr>
              <w:t>Interpretation</w:t>
            </w:r>
          </w:p>
        </w:tc>
        <w:tc>
          <w:tcPr>
            <w:tcW w:type="dxa" w:w="2045"/>
          </w:tcPr>
          <w:p>
            <w:pPr>
              <w:spacing w:after="0"/>
            </w:pPr>
            <w:r>
              <w:rPr>
                <w:rFonts w:ascii="Arial" w:hAnsi="Arial"/>
                <w:b/>
                <w:sz w:val="14"/>
              </w:rPr>
              <w:t>Common System Types</w:t>
            </w:r>
          </w:p>
        </w:tc>
      </w:tr>
      <w:tr>
        <w:tc>
          <w:tcPr>
            <w:tcW w:type="dxa" w:w="2045"/>
          </w:tcPr>
          <w:p>
            <w:pPr>
              <w:spacing w:after="0"/>
            </w:pPr>
            <w:r>
              <w:rPr>
                <w:rFonts w:ascii="Arial" w:hAnsi="Arial"/>
                <w:b w:val="0"/>
                <w:sz w:val="14"/>
              </w:rPr>
              <w:t>High/High</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Strong regulatory compliance coverage and strong lifecycle responsibility semantics. System provides both governance primitives and lifecycle objects.</w:t>
            </w:r>
          </w:p>
        </w:tc>
        <w:tc>
          <w:tcPr>
            <w:tcW w:type="dxa" w:w="2045"/>
          </w:tcPr>
          <w:p>
            <w:pPr>
              <w:spacing w:after="0"/>
            </w:pPr>
            <w:r>
              <w:rPr>
                <w:rFonts w:ascii="Arial" w:hAnsi="Arial"/>
                <w:b w:val="0"/>
                <w:sz w:val="14"/>
              </w:rPr>
              <w:t>Lifecycle protocol systems, enterprise AI governance platforms with lifecycle extensions</w:t>
            </w:r>
          </w:p>
        </w:tc>
      </w:tr>
      <w:tr>
        <w:tc>
          <w:tcPr>
            <w:tcW w:type="dxa" w:w="2045"/>
          </w:tcPr>
          <w:p>
            <w:pPr>
              <w:spacing w:after="0"/>
            </w:pPr>
            <w:r>
              <w:rPr>
                <w:rFonts w:ascii="Arial" w:hAnsi="Arial"/>
                <w:b w:val="0"/>
                <w:sz w:val="14"/>
              </w:rPr>
              <w:t>High/Low</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Strong regulatory compliance coverage but weak lifecycle responsibility semantics. System provides governance primitives for model governance and platform controls but lacks lifecycle objects for multi-agent responsibility.</w:t>
            </w:r>
          </w:p>
        </w:tc>
        <w:tc>
          <w:tcPr>
            <w:tcW w:type="dxa" w:w="2045"/>
          </w:tcPr>
          <w:p>
            <w:pPr>
              <w:spacing w:after="0"/>
            </w:pPr>
            <w:r>
              <w:rPr>
                <w:rFonts w:ascii="Arial" w:hAnsi="Arial"/>
                <w:b w:val="0"/>
                <w:sz w:val="14"/>
              </w:rPr>
              <w:t>Enterprise AI governance platforms, managed AI platforms with strong observability but limited lifecycle semantics</w:t>
            </w:r>
          </w:p>
        </w:tc>
      </w:tr>
      <w:tr>
        <w:tc>
          <w:tcPr>
            <w:tcW w:type="dxa" w:w="2045"/>
          </w:tcPr>
          <w:p>
            <w:pPr>
              <w:spacing w:after="0"/>
            </w:pPr>
            <w:r>
              <w:rPr>
                <w:rFonts w:ascii="Arial" w:hAnsi="Arial"/>
                <w:b w:val="0"/>
                <w:sz w:val="14"/>
              </w:rPr>
              <w:t>Low/High</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High (≥70%)</w:t>
            </w:r>
          </w:p>
        </w:tc>
        <w:tc>
          <w:tcPr>
            <w:tcW w:type="dxa" w:w="2045"/>
          </w:tcPr>
          <w:p>
            <w:pPr>
              <w:spacing w:after="0"/>
            </w:pPr>
            <w:r>
              <w:rPr>
                <w:rFonts w:ascii="Arial" w:hAnsi="Arial"/>
                <w:b w:val="0"/>
                <w:sz w:val="14"/>
              </w:rPr>
              <w:t>Weak regulatory compliance coverage but strong lifecycle responsibility semantics. System provides lifecycle objects for expressing agentic responsibility but lacks broader governance primitives.</w:t>
            </w:r>
          </w:p>
        </w:tc>
        <w:tc>
          <w:tcPr>
            <w:tcW w:type="dxa" w:w="2045"/>
          </w:tcPr>
          <w:p>
            <w:pPr>
              <w:spacing w:after="0"/>
            </w:pPr>
            <w:r>
              <w:rPr>
                <w:rFonts w:ascii="Arial" w:hAnsi="Arial"/>
                <w:b w:val="0"/>
                <w:sz w:val="14"/>
              </w:rPr>
              <w:t>Specialized lifecycle protocols or agent frameworks focused on responsibility semantics without full governance platform capabilities</w:t>
            </w:r>
          </w:p>
        </w:tc>
      </w:tr>
      <w:tr>
        <w:tc>
          <w:tcPr>
            <w:tcW w:type="dxa" w:w="2045"/>
          </w:tcPr>
          <w:p>
            <w:pPr>
              <w:spacing w:after="0"/>
            </w:pPr>
            <w:r>
              <w:rPr>
                <w:rFonts w:ascii="Arial" w:hAnsi="Arial"/>
                <w:b w:val="0"/>
                <w:sz w:val="14"/>
              </w:rPr>
              <w:t>Low/Low</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Low (&lt;70%)</w:t>
            </w:r>
          </w:p>
        </w:tc>
        <w:tc>
          <w:tcPr>
            <w:tcW w:type="dxa" w:w="2045"/>
          </w:tcPr>
          <w:p>
            <w:pPr>
              <w:spacing w:after="0"/>
            </w:pPr>
            <w:r>
              <w:rPr>
                <w:rFonts w:ascii="Arial" w:hAnsi="Arial"/>
                <w:b w:val="0"/>
                <w:sz w:val="14"/>
              </w:rPr>
              <w:t>Weak regulatory compliance coverage and weak lifecycle responsibility semantics. System provides execution orchestration or observability features but lacks governance primitives and lifecycle objects.</w:t>
            </w:r>
          </w:p>
        </w:tc>
        <w:tc>
          <w:tcPr>
            <w:tcW w:type="dxa" w:w="2045"/>
          </w:tcPr>
          <w:p>
            <w:pPr>
              <w:spacing w:after="0"/>
            </w:pPr>
            <w:r>
              <w:rPr>
                <w:rFonts w:ascii="Arial" w:hAnsi="Arial"/>
                <w:b w:val="0"/>
                <w:sz w:val="14"/>
              </w:rPr>
              <w:t>Developer agent SDKs, orchestration frameworks without governance extensions</w:t>
            </w:r>
          </w:p>
        </w:tc>
      </w:tr>
    </w:tbl>
    <w:p>
      <w:pPr>
        <w:spacing w:after="56"/>
      </w:pPr>
      <w:r>
        <w:t>The High RCCS + Low ALCS quadrant is the most common pattern. Many enterprise AI governance platforms, managed AI platforms, and observability tools provide strong regulatory compliance coverage through risk management, documentation, record-keeping, transparency, human oversight, security, accountability, contestability, and monitoring capabilities. However, they may lack the deeper lifecycle responsibility objects required to prove authority boundaries, responsibility transfer, evidence partitioning, privacy lifecycle mapping, and vendor substitution conformance in multi-agent execution. This is not a failure. It reflects the reality that existing regulation focuses on model governance and platform controls while lifecycle responsibility semantics for multi-agent systems are still emerging.</w:t>
      </w:r>
    </w:p>
    <w:p>
      <w:pPr>
        <w:spacing w:after="56"/>
      </w:pPr>
      <w:r>
        <w:t>The Low RCCS + High ALCS quadrant is rare. It represents systems that provide strong lifecycle objects for expressing agentic responsibility while lacking broader regulatory compliance coverage. This pattern may appear in specialized lifecycle protocols or agent frameworks that focus on responsibility semantics without providing full governance platform capabilities. These systems may be valuable as components within larger governance architectures but may not provide sufficient coverage for standalone compliance programs.</w:t>
      </w:r>
    </w:p>
    <w:p>
      <w:pPr>
        <w:spacing w:after="56"/>
      </w:pPr>
      <w:r>
        <w:t>The High RCCS + High ALCS quadrant represents systems that provide both regulatory compliance coverage and lifecycle responsibility semantics. These systems are positioned to support both existing regulatory requirements and emerging lifecycle responsibility requirements for multi-agent systems. This quadrant is the target for systems designed specifically for agentic AI governance.</w:t>
      </w:r>
    </w:p>
    <w:p>
      <w:pPr>
        <w:spacing w:after="56"/>
      </w:pPr>
      <w:r>
        <w:t>The Low RCCS + Low ALCS quadrant represents systems that provide execution orchestration or observability features but lack governance primitives and lifecycle objects. These systems may be valuable for development, experimentation, or low-risk use cases but may not provide sufficient governance capability for high-risk or regulated deployments.</w:t>
      </w:r>
    </w:p>
    <w:p>
      <w:pPr>
        <w:spacing w:after="56"/>
      </w:pPr>
      <w:r>
        <w:t>Both RCCS and ALCS scores are necessary for full assessment. Neither alone is sufficient. RCCS ensures that systems meet existing regulatory requirements. ALCS ensures that systems can prove lifecycle responsibility in multi-agent execution. Together, they provide a dual-layer assessment of system governance capability.</w:t>
      </w:r>
    </w:p>
    <w:p>
      <w:pPr>
        <w:pStyle w:val="Heading2"/>
      </w:pPr>
      <w:r>
        <w:t>9.5 Scoring Reproducibility and Transparency</w:t>
      </w:r>
    </w:p>
    <w:p>
      <w:pPr>
        <w:spacing w:after="56"/>
      </w:pPr>
      <w:r>
        <w:t>Composite scoring must be reproducible and transparent. Scoring is only useful if different evaluators can reach similar conclusions when evaluating the same system with the same evidence. Reproducibility requires clear scoring criteria, documented evidence sources, and explicit scoring rationale.</w:t>
      </w:r>
    </w:p>
    <w:p>
      <w:pPr>
        <w:spacing w:after="56"/>
      </w:pPr>
      <w:r>
        <w:t>Scoring reproducibility requires four elements: dimension scores with rationale, evidence sources with quality assessment, evidence multiplier application, and calculation transparency.</w:t>
      </w:r>
    </w:p>
    <w:p>
      <w:pPr>
        <w:spacing w:after="56"/>
      </w:pPr>
      <w:r>
        <w:t>Dimension scores must be documented with rationale. For each dimension, evaluators must record the 0-5 raw score and explain why that score was assigned. The rationale should reference specific system capabilities, features, or documentation that support the score. Generic statements such as "the system provides risk management" are insufficient. Specific statements such as "the system provides risk registers, assessment workflows, and mitigation tracking as documented in the platform architecture guide" enable reproducibility.</w:t>
      </w:r>
    </w:p>
    <w:p>
      <w:pPr>
        <w:spacing w:after="56"/>
      </w:pPr>
      <w:r>
        <w:t>Evidence sources must be documented with quality assessment. For each dimension, evaluators must record which evidence sources were used and what evidence level applies. Evidence sources should be cited with sufficient detail to allow verification: document title, version, publication date, and relevant section or page numbers. Evidence quality assessment should explain why a particular evidence level was assigned. For example, "L2 evidence: official product documentation, API reference v2.3, section 4.2" is more reproducible than "L2 evidence: documentation."</w:t>
      </w:r>
    </w:p>
    <w:p>
      <w:pPr>
        <w:spacing w:after="56"/>
      </w:pPr>
      <w:r>
        <w:t>Evidence multiplier application must be explicit. For each dimension, evaluators must show the evidence multiplier value and how it was applied to the raw score. This ensures that evidence quality adjustments are transparent and verifiable. The calculation should be shown using the canonical formula: Dimension Score = (Raw Score / 5) × 100 × Evidence Confidence Multiplier.</w:t>
      </w:r>
    </w:p>
    <w:p>
      <w:pPr>
        <w:spacing w:after="56"/>
      </w:pPr>
      <w:r>
        <w:t>Calculation transparency requires showing the full composite score calculation. Evaluators must provide a table or worksheet showing raw scores, evidence multipliers, adjusted dimension scores, RCCS and ALCS framework scores, and the final 0.40 × RCCS + 0.60 × ALCS composite score. This allows reviewers to verify the calculation and identify any errors or disagreements.</w:t>
      </w:r>
    </w:p>
    <w:p>
      <w:pPr>
        <w:spacing w:after="56"/>
      </w:pPr>
      <w:r>
        <w:t>Scoring is comparative, not absolute. Composite scores are most useful when comparing systems against defined governance expectations or tracking a single system over time. Absolute score thresholds such as "70% is compliant" are not meaningful because composite scoring is an analytical framework, not a compliance certification. The value of scoring is in making visible capability gaps and evidence-confidence limits.</w:t>
      </w:r>
    </w:p>
    <w:p>
      <w:pPr>
        <w:pStyle w:val="Heading2"/>
      </w:pPr>
      <w:r>
        <w:t>9.6 Boundary Statement</w:t>
      </w:r>
    </w:p>
    <w:p>
      <w:pPr>
        <w:spacing w:after="56"/>
      </w:pPr>
      <w:r>
        <w:t>Composite scoring is an analytical framework, not a legal compliance score. This boundary must be understood clearly to avoid misinterpretation and over-claiming.</w:t>
      </w:r>
    </w:p>
    <w:p>
      <w:pPr>
        <w:spacing w:after="56"/>
      </w:pPr>
      <w:r>
        <w:t>What composite scoring is:</w:t>
      </w:r>
    </w:p>
    <w:p>
      <w:pPr>
        <w:pStyle w:val="ListBullet"/>
        <w:spacing w:after="56"/>
      </w:pPr>
      <w:r>
        <w:t>An analytical framework for comparing system capabilities against regulatory requirements and lifecycle responsibility requirements</w:t>
      </w:r>
    </w:p>
    <w:p>
      <w:pPr>
        <w:pStyle w:val="ListBullet"/>
        <w:spacing w:after="56"/>
      </w:pPr>
      <w:r>
        <w:t>A structured method for evaluating whether systems provide governance primitives and lifecycle objects</w:t>
      </w:r>
    </w:p>
    <w:p>
      <w:pPr>
        <w:pStyle w:val="ListBullet"/>
        <w:spacing w:after="56"/>
      </w:pPr>
      <w:r>
        <w:t>A tool for buyers, auditors, governance teams, and protocol designers to assess system readiness</w:t>
      </w:r>
    </w:p>
    <w:p>
      <w:pPr>
        <w:pStyle w:val="ListBullet"/>
        <w:spacing w:after="56"/>
      </w:pPr>
      <w:r>
        <w:t>A bridge between regulatory abstractions, lifecycle requirements, and engineering implementation</w:t>
      </w:r>
    </w:p>
    <w:p>
      <w:pPr>
        <w:spacing w:after="56"/>
      </w:pPr>
      <w:r>
        <w:t>What composite scoring is not:</w:t>
      </w:r>
    </w:p>
    <w:p>
      <w:pPr>
        <w:pStyle w:val="ListBullet"/>
        <w:spacing w:after="56"/>
      </w:pPr>
      <w:r>
        <w:t>A legal compliance certification or conformity assessment</w:t>
      </w:r>
    </w:p>
    <w:p>
      <w:pPr>
        <w:pStyle w:val="ListBullet"/>
        <w:spacing w:after="56"/>
      </w:pPr>
      <w:r>
        <w:t>A regulatory approval or endorsement</w:t>
      </w:r>
    </w:p>
    <w:p>
      <w:pPr>
        <w:pStyle w:val="ListBullet"/>
        <w:spacing w:after="56"/>
      </w:pPr>
      <w:r>
        <w:t>A guarantee that a system meets all legal obligations</w:t>
      </w:r>
    </w:p>
    <w:p>
      <w:pPr>
        <w:pStyle w:val="ListBullet"/>
        <w:spacing w:after="56"/>
      </w:pPr>
      <w:r>
        <w:t>A substitute for legal counsel, compliance review, or risk assessment</w:t>
      </w:r>
    </w:p>
    <w:p>
      <w:pPr>
        <w:pStyle w:val="ListBullet"/>
        <w:spacing w:after="56"/>
      </w:pPr>
      <w:r>
        <w:t>A market endorsement or procurement recommendation</w:t>
      </w:r>
    </w:p>
    <w:p>
      <w:pPr>
        <w:spacing w:after="56"/>
      </w:pPr>
      <w:r>
        <w:t>High composite scores do NOT mean legal compliance. A system may score well on both RCCS and ALCS while the organization using it fails to comply with legal obligations due to deployment gaps, policy weaknesses, incomplete adoption, jurisdictional differences, or use case risks. Composite scoring measures system capability to express governance primitives and lifecycle objects, not organizational conformance to legal requirements.</w:t>
      </w:r>
    </w:p>
    <w:p>
      <w:pPr>
        <w:spacing w:after="56"/>
      </w:pPr>
      <w:r>
        <w:t>Low composite scores do NOT mean non-compliance. A system may score lower on RCCS or ALCS while the organization achieves compliance through compensating controls, manual processes, alternative governance mechanisms, or different system architectures. Composite scoring evaluates specific system capabilities, not all possible paths to compliance.</w:t>
      </w:r>
    </w:p>
    <w:p>
      <w:pPr>
        <w:spacing w:after="56"/>
      </w:pPr>
      <w:r>
        <w:t>Composite scoring measures system capability, not organizational practice. A system may provide strong governance primitives and lifecycle objects while the organization fails to use them. Conversely, an organization may achieve strong governance through processes that are not reflected in system capabilities. Composite scoring evaluates what the system can express, not what the organization actually does.</w:t>
      </w:r>
    </w:p>
    <w:p>
      <w:pPr>
        <w:spacing w:after="56"/>
      </w:pPr>
      <w:r>
        <w:t>Composite scoring is context-independent, but compliance is context-dependent. Composite scoring evaluates system capabilities without regard to deployment context, risk class, jurisdiction, or use case. Legal compliance depends on all of these factors. A system with high composite scores may still be non-compliant in specific contexts, and a system with low composite scores may be compliant in other contexts.</w:t>
      </w:r>
    </w:p>
    <w:p>
      <w:pPr>
        <w:spacing w:after="56"/>
      </w:pPr>
      <w:r>
        <w:t>The purpose of this boundary statement is to prevent over-claiming. Composite scoring is a useful analytical tool, but it is not a compliance certification. Organizations must not rely on composite scores as proof of legal compliance. Buyers must not treat high composite scores as a substitute for due diligence, legal review, or risk assessment. System vendors must not market composite scores as compliance certifications or regulatory approvals.</w:t>
      </w:r>
    </w:p>
    <w:p>
      <w:pPr>
        <w:pStyle w:val="Heading2"/>
      </w:pPr>
      <w:r>
        <w:t>9.7 Bridge to System Mappings</w:t>
      </w:r>
    </w:p>
    <w:p>
      <w:pPr>
        <w:spacing w:after="56"/>
      </w:pPr>
      <w:r>
        <w:t>The following chapters use RCCS and ALCS as analytical lenses for enterprise controls and system mappings. Chapter 10 provides enterprise control crosswalk, mapping RCCS and ALCS dimensions to enterprise control frameworks such as NIST Cybersecurity Framework, ISO 27001, and SOC 2. Chapters 11 through 15 provide comparative field analysis and detailed system mappings for major system categories shaping the enterprise agentic stack.</w:t>
      </w:r>
    </w:p>
    <w:p>
      <w:pPr>
        <w:spacing w:after="56"/>
      </w:pPr>
      <w:r>
        <w:t>Each system mapping documents qualitative posture, evidence sources, and scoring rationale where a source-bound worksheet is used. The mappings are responsibility-semantics comparisons, not product endorsements or procurement recommendations. The key question is not which system is useful. Most of them are useful. The key question is whether the system defines the governance primitives and lifecycle responsibility objects required to show that agentic work moved from intent to accepted outcome under controlled authority, evidence, privacy, and remediation constraints.</w:t>
      </w:r>
    </w:p>
    <w:p>
      <w:pPr>
        <w:spacing w:after="56"/>
      </w:pPr>
      <w:r>
        <w:t>System mappings use the composite scoring method defined in this chapter only where a scoring worksheet is appropriate. Where a scoring worksheet is used, systems may be evaluated with separate RCCS and ALCS analytical profiles. In this publication draft, any system-level assessment remains source-bound, provisional, and non-ranking unless explicitly finalized through the evidence register. Dimension-level analytical judgments should be documented with rationale, evidence sources should be cited with quality assessment, and evidence multipliers should be applied per dimension when numerical worksheets are used. The result is a dual-layer analytical profile that makes visible the difference between regulatory compliance coverage and lifecycle responsibility conformance without creating vendor scores or rankings.</w:t>
      </w:r>
    </w:p>
    <w:p>
      <w:pPr>
        <w:spacing w:after="56"/>
      </w:pPr>
      <w:r>
        <w:t>The system mappings are based on public evidence available as of May 2026. They reflect the state of system capabilities at the time of analysis. System capabilities evolve rapidly. Vendors add features, update documentation, and release new versions. The mappings should be treated as snapshots, not permanent judgments. Organizations evaluating systems should verify current capabilities with vendors and review updated documentation.</w:t>
      </w:r>
    </w:p>
    <w:p>
      <w:pPr>
        <w:pStyle w:val="Heading2"/>
      </w:pPr>
      <w:r>
        <w:t>9.8 Chapter Summary</w:t>
      </w:r>
    </w:p>
    <w:p>
      <w:pPr>
        <w:spacing w:after="56"/>
      </w:pPr>
      <w:r>
        <w:t>This chapter introduced the composite scoring method, which combines RCCS and ALCS into system-level assessments. Composite scoring provides a dual-layer view of system governance capability: regulatory compliance coverage and agentic lifecycle conformance. It is an analytical framework for comparing systems, not a legal compliance certification.</w:t>
      </w:r>
    </w:p>
    <w:p>
      <w:pPr>
        <w:spacing w:after="56"/>
      </w:pPr>
      <w:r>
        <w:t>The composite score formula first normalizes dimension scores using (Raw Score / 5) × 100 × Evidence Confidence Multiplier, then combines RCCS and ALCS with 0.40 × RCCS + 0.60 × ALCS. RCCS and ALCS should still be reported separately because they measure different layers. Both scores are necessary for full assessment. The evidence multiplier adjusts dimension scores based on evidence quality, ensuring that scores reflect both system capability and confidence level in the assessment.</w:t>
      </w:r>
    </w:p>
    <w:p>
      <w:pPr>
        <w:spacing w:after="56"/>
      </w:pPr>
      <w:r>
        <w:t>Interpreting RCCS and ALCS together requires understanding four quadrants. High RCCS + Low ALCS is the most common pattern, representing systems with strong regulatory compliance coverage but weak lifecycle responsibility semantics. High RCCS + High ALCS represents systems with both regulatory compliance coverage and lifecycle responsibility semantics. Low RCCS + High ALCS is rare, representing specialized lifecycle protocols without full governance platform capabilities. Low RCCS + Low ALCS represents systems with execution orchestration or observability features but lacking governance primitives and lifecycle objects.</w:t>
      </w:r>
    </w:p>
    <w:p>
      <w:pPr>
        <w:spacing w:after="56"/>
      </w:pPr>
      <w:r>
        <w:t>Composite scoring must be reproducible and transparent when used. Dimension-level analytical judgments must be documented with rationale. Evidence sources must be cited with quality assessment. Evidence multipliers must be applied explicitly when numerical worksheets are used. Calculations must be shown transparently. Scoring is comparative, not absolute. In this publication draft, the value of the method is in making capability gaps visible without turning qualitative system mappings into rankings.</w:t>
      </w:r>
    </w:p>
    <w:p>
      <w:pPr>
        <w:spacing w:after="56"/>
      </w:pPr>
      <w:r>
        <w:t>Composite scoring is an analytical framework, not a legal compliance score. High composite scores do not mean legal compliance. Low composite scores do not mean non-compliance. Composite scoring measures system capability, not organizational practice. It is context-independent, but compliance is context-dependent. Organizations must not rely on composite scores as proof of legal compliance. The following chapters use RCCS/ALCS as analytical lenses for comparative field analysis and detailed qualitative system mappings.</w:t>
      </w:r>
    </w:p>
    <w:p>
      <w:pPr>
        <w:pStyle w:val="Heading1"/>
      </w:pPr>
      <w:r>
        <w:t>10. Enterprise Adoption, Procurement, and Control Crosswalk</w:t>
      </w:r>
    </w:p>
    <w:p>
      <w:pPr>
        <w:spacing w:after="56"/>
      </w:pPr>
      <w:r>
        <w:t>Version: v0.3.2-FRC-R3</w:t>
      </w:r>
    </w:p>
    <w:p>
      <w:pPr>
        <w:pStyle w:val="Heading2"/>
      </w:pPr>
      <w:r>
        <w:t>10.0 Why Enterprise Control Language Matters</w:t>
      </w:r>
    </w:p>
    <w:p>
      <w:pPr>
        <w:spacing w:after="56"/>
      </w:pPr>
      <w:r>
        <w:t>Enterprises do not buy abstract governance concepts. They evaluate controls, procurement risk, board reporting, audit readiness, vendor substitution, model risk, cybersecurity, incident response, and monitoring. When a CTO, CISO, CRO, procurement lead, or board-facing risk team evaluates an agentic AI system, they ask questions in enterprise control language, not in lifecycle theory.</w:t>
      </w:r>
    </w:p>
    <w:p>
      <w:pPr>
        <w:spacing w:after="56"/>
      </w:pPr>
      <w:r>
        <w:t>Chapters 6 through 9 defined the Missing Regulatory Objects, RCCS, ALCS, and dual-layer scoring methodology. Those chapters established the lifecycle responsibility framework. This chapter translates those objects into enterprise adoption, procurement, internal control, board reporting, model risk, cybersecurity, incident response, and monitoring language.</w:t>
      </w:r>
    </w:p>
    <w:p>
      <w:pPr>
        <w:spacing w:after="56"/>
      </w:pPr>
      <w:r>
        <w:t>The purpose of this chapter is to show that AI Agent Lifecycle Governance is not only an abstract protocol or research model. It can be mapped into enterprise control language.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This chapter is a bridge from lifecycle objects to enterprise controls. It does not replace internal control frameworks. It shows where agentic lifecycle objects can provide evidence for enterprise control questions. It does not claim that MPLP is required for compliance. It does not claim that RCCS or ALCS is a legal compliance score. It does not provide an audit opinion, certification, or procurement recommendation.</w:t>
      </w:r>
    </w:p>
    <w:p>
      <w:pPr>
        <w:spacing w:after="56"/>
      </w:pPr>
      <w:r>
        <w:t>Boundary: This chapter provides a governance crosswalk, not an audit framework, certification procedure, insurance underwriting model, or legal opinion. Detailed assurance procedures and insurance models are reserved for companion papers, as outlined in Chapter 16.</w:t>
      </w:r>
    </w:p>
    <w:p>
      <w:pPr>
        <w:pStyle w:val="Heading2"/>
      </w:pPr>
      <w:r>
        <w:t>10.1 Enterprise Control Overlay</w:t>
      </w:r>
    </w:p>
    <w:p>
      <w:pPr>
        <w:spacing w:after="56"/>
      </w:pPr>
      <w:r>
        <w:t>The following figure illustrates how AI Agent Lifecycle Governance maps into enterprise control structures. Regulation and standards define baseline requirements. RCCS measures regulatory compliance coverage. ALCS measures lifecycle conformance. MROs provide engineering objects. Together, these layers produce enterprise control evidence that supports audit, insurance, and board reporting readiness.</w:t>
      </w:r>
    </w:p>
    <w:p>
      <w:pPr>
        <w:spacing w:after="56"/>
      </w:pPr>
      <w:r>
        <w:t>Figure F-06 - Enterprise Control Overlay for AI Agent Lifecycle Governance</w:t>
      </w:r>
    </w:p>
    <w:p>
      <w:pPr>
        <w:spacing w:after="56"/>
      </w:pPr>
      <w:r>
        <w:t>Regulation / Standards -&gt; RCCS Baseline Controls -&gt; ALCS Lifecycle Conformance -&gt; MRO Engineering Objects -&gt; Enterprise Control Evidence -&gt; Audit / Insurance / Board Reporting Readiness</w:t>
      </w:r>
    </w:p>
    <w:p>
      <w:pPr>
        <w:spacing w:after="56"/>
      </w:pPr>
      <w:r>
        <w:t>Figure F-06 shows how regulation and standards can be translated into enterprise control evidence through RCCS baseline controls, ALCS lifecycle conformance, and MRO engineering objects. It is a governance crosswalk, not an audit opinion, certification path, insurance underwriting model, or legal compliance proof.</w:t>
      </w:r>
    </w:p>
    <w:p>
      <w:pPr>
        <w:spacing w:after="56"/>
      </w:pPr>
      <w:r>
        <w:t>The overlay shows that lifecycle governance is not separate from enterprise controls. It is a structured method for producing the evidence that enterprise controls require. RCCS and ALCS scores do not replace risk assessments, internal audits, or compliance reviews. They provide structured inputs that make those processes more efficient, consistent, and auditable when applied to agentic systems.</w:t>
      </w:r>
    </w:p>
    <w:p>
      <w:pPr>
        <w:pStyle w:val="Heading2"/>
      </w:pPr>
      <w:r>
        <w:t>10.2 Enterprise Adoption, Procurement, and Control Crosswalk</w:t>
      </w:r>
    </w:p>
    <w:p>
      <w:pPr>
        <w:spacing w:after="56"/>
      </w:pPr>
      <w:r>
        <w:t>The following tables map enterprise control topics to agentic lifecycle objects. The crosswalk does not replace internal control frameworks. It shows where agentic lifecycle objects can provide evidence for enterprise control questions.</w:t>
      </w:r>
    </w:p>
    <w:p>
      <w:pPr>
        <w:pStyle w:val="Heading3"/>
      </w:pPr>
      <w:r>
        <w:t>Table T-10-01A: Enterprise Control Crosswalk — Control Questions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Enterprise Control Topic</w:t>
            </w:r>
          </w:p>
        </w:tc>
        <w:tc>
          <w:tcPr>
            <w:tcW w:type="dxa" w:w="3408"/>
          </w:tcPr>
          <w:p>
            <w:pPr>
              <w:spacing w:after="0"/>
            </w:pPr>
            <w:r>
              <w:rPr>
                <w:rFonts w:ascii="Arial" w:hAnsi="Arial"/>
                <w:b/>
                <w:sz w:val="14"/>
              </w:rPr>
              <w:t>Why It Matters for Agentic AI</w:t>
            </w:r>
          </w:p>
        </w:tc>
        <w:tc>
          <w:tcPr>
            <w:tcW w:type="dxa" w:w="3408"/>
          </w:tcPr>
          <w:p>
            <w:pPr>
              <w:spacing w:after="0"/>
            </w:pPr>
            <w:r>
              <w:rPr>
                <w:rFonts w:ascii="Arial" w:hAnsi="Arial"/>
                <w:b/>
                <w:sz w:val="14"/>
              </w:rPr>
              <w:t>Enterprise Buyer Question</w:t>
            </w:r>
          </w:p>
        </w:tc>
      </w:tr>
      <w:tr>
        <w:tc>
          <w:tcPr>
            <w:tcW w:type="dxa" w:w="3408"/>
          </w:tcPr>
          <w:p>
            <w:pPr>
              <w:spacing w:after="0"/>
            </w:pPr>
            <w:r>
              <w:rPr>
                <w:rFonts w:ascii="Arial" w:hAnsi="Arial"/>
                <w:b w:val="0"/>
                <w:sz w:val="14"/>
              </w:rPr>
              <w:t>Internal control</w:t>
            </w:r>
          </w:p>
        </w:tc>
        <w:tc>
          <w:tcPr>
            <w:tcW w:type="dxa" w:w="3408"/>
          </w:tcPr>
          <w:p>
            <w:pPr>
              <w:spacing w:after="0"/>
            </w:pPr>
            <w:r>
              <w:rPr>
                <w:rFonts w:ascii="Arial" w:hAnsi="Arial"/>
                <w:b w:val="0"/>
                <w:sz w:val="14"/>
              </w:rPr>
              <w:t>Agentic systems execute consequential actions under delegated authority. Internal control requires proving who authorized, executed, reviewed, and accepted each action.</w:t>
            </w:r>
          </w:p>
        </w:tc>
        <w:tc>
          <w:tcPr>
            <w:tcW w:type="dxa" w:w="3408"/>
          </w:tcPr>
          <w:p>
            <w:pPr>
              <w:spacing w:after="0"/>
            </w:pPr>
            <w:r>
              <w:rPr>
                <w:rFonts w:ascii="Arial" w:hAnsi="Arial"/>
                <w:b w:val="0"/>
                <w:sz w:val="14"/>
              </w:rPr>
              <w:t>Can the organization prove who authorized, executed, reviewed, and accepted agentic work?</w:t>
            </w:r>
          </w:p>
        </w:tc>
      </w:tr>
      <w:tr>
        <w:tc>
          <w:tcPr>
            <w:tcW w:type="dxa" w:w="3408"/>
          </w:tcPr>
          <w:p>
            <w:pPr>
              <w:spacing w:after="0"/>
            </w:pPr>
            <w:r>
              <w:rPr>
                <w:rFonts w:ascii="Arial" w:hAnsi="Arial"/>
                <w:b w:val="0"/>
                <w:sz w:val="14"/>
              </w:rPr>
              <w:t>Procurement scorecard</w:t>
            </w:r>
          </w:p>
        </w:tc>
        <w:tc>
          <w:tcPr>
            <w:tcW w:type="dxa" w:w="3408"/>
          </w:tcPr>
          <w:p>
            <w:pPr>
              <w:spacing w:after="0"/>
            </w:pPr>
            <w:r>
              <w:rPr>
                <w:rFonts w:ascii="Arial" w:hAnsi="Arial"/>
                <w:b w:val="0"/>
                <w:sz w:val="14"/>
              </w:rPr>
              <w:t>Vendor selection for agentic systems must evaluate lifecycle accountability, evidence exportability, privacy controls, and remediation records, not only model performance or API availability.</w:t>
            </w:r>
          </w:p>
        </w:tc>
        <w:tc>
          <w:tcPr>
            <w:tcW w:type="dxa" w:w="3408"/>
          </w:tcPr>
          <w:p>
            <w:pPr>
              <w:spacing w:after="0"/>
            </w:pPr>
            <w:r>
              <w:rPr>
                <w:rFonts w:ascii="Arial" w:hAnsi="Arial"/>
                <w:b w:val="0"/>
                <w:sz w:val="14"/>
              </w:rPr>
              <w:t>Can this vendor preserve lifecycle accountability, evidence exportability, privacy controls, and remediation records?</w:t>
            </w:r>
          </w:p>
        </w:tc>
      </w:tr>
      <w:tr>
        <w:tc>
          <w:tcPr>
            <w:tcW w:type="dxa" w:w="3408"/>
          </w:tcPr>
          <w:p>
            <w:pPr>
              <w:spacing w:after="0"/>
            </w:pPr>
            <w:r>
              <w:rPr>
                <w:rFonts w:ascii="Arial" w:hAnsi="Arial"/>
                <w:b w:val="0"/>
                <w:sz w:val="14"/>
              </w:rPr>
              <w:t>Vendor lock-in / vendor substitution</w:t>
            </w:r>
          </w:p>
        </w:tc>
        <w:tc>
          <w:tcPr>
            <w:tcW w:type="dxa" w:w="3408"/>
          </w:tcPr>
          <w:p>
            <w:pPr>
              <w:spacing w:after="0"/>
            </w:pPr>
            <w:r>
              <w:rPr>
                <w:rFonts w:ascii="Arial" w:hAnsi="Arial"/>
                <w:b w:val="0"/>
                <w:sz w:val="14"/>
              </w:rPr>
              <w:t>Vendor lock-in becomes a governance risk when switching vendors requires rebuilding lifecycle conformance from scratch.</w:t>
            </w:r>
          </w:p>
        </w:tc>
        <w:tc>
          <w:tcPr>
            <w:tcW w:type="dxa" w:w="3408"/>
          </w:tcPr>
          <w:p>
            <w:pPr>
              <w:spacing w:after="0"/>
            </w:pPr>
            <w:r>
              <w:rPr>
                <w:rFonts w:ascii="Arial" w:hAnsi="Arial"/>
                <w:b w:val="0"/>
                <w:sz w:val="14"/>
              </w:rPr>
              <w:t>Can the organization switch model, runtime, vendor, or tool substrate without losing lifecycle conformance?</w:t>
            </w:r>
          </w:p>
        </w:tc>
      </w:tr>
      <w:tr>
        <w:tc>
          <w:tcPr>
            <w:tcW w:type="dxa" w:w="3408"/>
          </w:tcPr>
          <w:p>
            <w:pPr>
              <w:spacing w:after="0"/>
            </w:pPr>
            <w:r>
              <w:rPr>
                <w:rFonts w:ascii="Arial" w:hAnsi="Arial"/>
                <w:b w:val="0"/>
                <w:sz w:val="14"/>
              </w:rPr>
              <w:t>Third-party / supply-chain risk</w:t>
            </w:r>
          </w:p>
        </w:tc>
        <w:tc>
          <w:tcPr>
            <w:tcW w:type="dxa" w:w="3408"/>
          </w:tcPr>
          <w:p>
            <w:pPr>
              <w:spacing w:after="0"/>
            </w:pPr>
            <w:r>
              <w:rPr>
                <w:rFonts w:ascii="Arial" w:hAnsi="Arial"/>
                <w:b w:val="0"/>
                <w:sz w:val="14"/>
              </w:rPr>
              <w:t>Multi-agent systems often involve multiple processors, subprocessors, tools, vendors, and runtimes. Supply-chain risk requires reconstructing which parties handled which lifecycle evidence or personal data.</w:t>
            </w:r>
          </w:p>
        </w:tc>
        <w:tc>
          <w:tcPr>
            <w:tcW w:type="dxa" w:w="3408"/>
          </w:tcPr>
          <w:p>
            <w:pPr>
              <w:spacing w:after="0"/>
            </w:pPr>
            <w:r>
              <w:rPr>
                <w:rFonts w:ascii="Arial" w:hAnsi="Arial"/>
                <w:b w:val="0"/>
                <w:sz w:val="14"/>
              </w:rPr>
              <w:t>Can the organization reconstruct which processors, subprocessors, tools, vendors, and runtimes handled which lifecycle evidence or personal data?</w:t>
            </w:r>
          </w:p>
        </w:tc>
      </w:tr>
      <w:tr>
        <w:tc>
          <w:tcPr>
            <w:tcW w:type="dxa" w:w="3408"/>
          </w:tcPr>
          <w:p>
            <w:pPr>
              <w:spacing w:after="0"/>
            </w:pPr>
            <w:r>
              <w:rPr>
                <w:rFonts w:ascii="Arial" w:hAnsi="Arial"/>
                <w:b w:val="0"/>
                <w:sz w:val="14"/>
              </w:rPr>
              <w:t>Data governance</w:t>
            </w:r>
          </w:p>
        </w:tc>
        <w:tc>
          <w:tcPr>
            <w:tcW w:type="dxa" w:w="3408"/>
          </w:tcPr>
          <w:p>
            <w:pPr>
              <w:spacing w:after="0"/>
            </w:pPr>
            <w:r>
              <w:rPr>
                <w:rFonts w:ascii="Arial" w:hAnsi="Arial"/>
                <w:b w:val="0"/>
                <w:sz w:val="14"/>
              </w:rPr>
              <w:t>Agentic systems process data across agents, tools, memory, traces, and evidence packs. Data governance requires tracking data flow, retention, minimization, deletion, and disclosure at lifecycle granularity.</w:t>
            </w:r>
          </w:p>
        </w:tc>
        <w:tc>
          <w:tcPr>
            <w:tcW w:type="dxa" w:w="3408"/>
          </w:tcPr>
          <w:p>
            <w:pPr>
              <w:spacing w:after="0"/>
            </w:pPr>
            <w:r>
              <w:rPr>
                <w:rFonts w:ascii="Arial" w:hAnsi="Arial"/>
                <w:b w:val="0"/>
                <w:sz w:val="14"/>
              </w:rPr>
              <w:t>Can the organization track data flow, retention, minimization, deletion, and disclosure across agents, tools, memory, traces, and evidence packs?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External auditors require evidence of lifecycle responsibility without full raw data disclosure. Audit readiness requires privacy-preserving validation and selective disclosure.</w:t>
            </w:r>
          </w:p>
        </w:tc>
        <w:tc>
          <w:tcPr>
            <w:tcW w:type="dxa" w:w="3408"/>
          </w:tcPr>
          <w:p>
            <w:pPr>
              <w:spacing w:after="0"/>
            </w:pPr>
            <w:r>
              <w:rPr>
                <w:rFonts w:ascii="Arial" w:hAnsi="Arial"/>
                <w:b w:val="0"/>
                <w:sz w:val="14"/>
              </w:rPr>
              <w:t>Can an independent reviewer reconstruct lifecycle responsibility without full raw data disclosure?</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Boards require risk reporting in terms of authority, evidence, accepted outcomes, open incidents, and unresolved remediation, not only model performance metrics.</w:t>
            </w:r>
          </w:p>
        </w:tc>
        <w:tc>
          <w:tcPr>
            <w:tcW w:type="dxa" w:w="3408"/>
          </w:tcPr>
          <w:p>
            <w:pPr>
              <w:spacing w:after="0"/>
            </w:pPr>
            <w:r>
              <w:rPr>
                <w:rFonts w:ascii="Arial" w:hAnsi="Arial"/>
                <w:b w:val="0"/>
                <w:sz w:val="14"/>
              </w:rPr>
              <w:t>Can management explain agentic risk in terms of authority, evidence, accepted outcomes, open incidents, and unresolved remediation?</w:t>
            </w:r>
          </w:p>
        </w:tc>
      </w:tr>
      <w:tr>
        <w:tc>
          <w:tcPr>
            <w:tcW w:type="dxa" w:w="3408"/>
          </w:tcPr>
          <w:p>
            <w:pPr>
              <w:spacing w:after="0"/>
            </w:pPr>
            <w:r>
              <w:rPr>
                <w:rFonts w:ascii="Arial" w:hAnsi="Arial"/>
                <w:b w:val="0"/>
                <w:sz w:val="14"/>
              </w:rPr>
              <w:t>Incident response and redress</w:t>
            </w:r>
          </w:p>
        </w:tc>
        <w:tc>
          <w:tcPr>
            <w:tcW w:type="dxa" w:w="3408"/>
          </w:tcPr>
          <w:p>
            <w:pPr>
              <w:spacing w:after="0"/>
            </w:pPr>
            <w:r>
              <w:rPr>
                <w:rFonts w:ascii="Arial" w:hAnsi="Arial"/>
                <w:b w:val="0"/>
                <w:sz w:val="14"/>
              </w:rPr>
              <w:t>Agentic incidents require evidence, responsibility assignment, correction, and accepted remediation. Incident closure is not only technical resolution.</w:t>
            </w:r>
          </w:p>
        </w:tc>
        <w:tc>
          <w:tcPr>
            <w:tcW w:type="dxa" w:w="3408"/>
          </w:tcPr>
          <w:p>
            <w:pPr>
              <w:spacing w:after="0"/>
            </w:pPr>
            <w:r>
              <w:rPr>
                <w:rFonts w:ascii="Arial" w:hAnsi="Arial"/>
                <w:b w:val="0"/>
                <w:sz w:val="14"/>
              </w:rPr>
              <w:t>Can the organization close an agentic incident with evidence, responsibility assignment, correction, and accepted remediation?</w:t>
            </w:r>
          </w:p>
        </w:tc>
      </w:tr>
      <w:tr>
        <w:tc>
          <w:tcPr>
            <w:tcW w:type="dxa" w:w="3408"/>
          </w:tcPr>
          <w:p>
            <w:pPr>
              <w:spacing w:after="0"/>
            </w:pPr>
            <w:r>
              <w:rPr>
                <w:rFonts w:ascii="Arial" w:hAnsi="Arial"/>
                <w:b w:val="0"/>
                <w:sz w:val="14"/>
              </w:rPr>
              <w:t>Business continuity / rollback</w:t>
            </w:r>
          </w:p>
        </w:tc>
        <w:tc>
          <w:tcPr>
            <w:tcW w:type="dxa" w:w="3408"/>
          </w:tcPr>
          <w:p>
            <w:pPr>
              <w:spacing w:after="0"/>
            </w:pPr>
            <w:r>
              <w:rPr>
                <w:rFonts w:ascii="Arial" w:hAnsi="Arial"/>
                <w:b w:val="0"/>
                <w:sz w:val="14"/>
              </w:rPr>
              <w:t>Agentic systems must support halt, rollback, substitution, or remediation without losing evidence continuity. Business continuity requires lifecycle resilience.</w:t>
            </w:r>
          </w:p>
        </w:tc>
        <w:tc>
          <w:tcPr>
            <w:tcW w:type="dxa" w:w="3408"/>
          </w:tcPr>
          <w:p>
            <w:pPr>
              <w:spacing w:after="0"/>
            </w:pPr>
            <w:r>
              <w:rPr>
                <w:rFonts w:ascii="Arial" w:hAnsi="Arial"/>
                <w:b w:val="0"/>
                <w:sz w:val="14"/>
              </w:rPr>
              <w:t>Can the system halt, rollback, substitute, or remediate without losing evidence continuity?</w:t>
            </w:r>
          </w:p>
        </w:tc>
      </w:tr>
      <w:tr>
        <w:tc>
          <w:tcPr>
            <w:tcW w:type="dxa" w:w="3408"/>
          </w:tcPr>
          <w:p>
            <w:pPr>
              <w:spacing w:after="0"/>
            </w:pPr>
            <w:r>
              <w:rPr>
                <w:rFonts w:ascii="Arial" w:hAnsi="Arial"/>
                <w:b w:val="0"/>
                <w:sz w:val="14"/>
              </w:rPr>
              <w:t>Model risk management</w:t>
            </w:r>
          </w:p>
        </w:tc>
        <w:tc>
          <w:tcPr>
            <w:tcW w:type="dxa" w:w="3408"/>
          </w:tcPr>
          <w:p>
            <w:pPr>
              <w:spacing w:after="0"/>
            </w:pPr>
            <w:r>
              <w:rPr>
                <w:rFonts w:ascii="Arial" w:hAnsi="Arial"/>
                <w:b w:val="0"/>
                <w:sz w:val="14"/>
              </w:rPr>
              <w:t>Model risk in agentic systems is not only output quality or bias. Model behavior influences planning, delegation, authority transitions, evidence interpretation, tool selection, and accepted outcomes.</w:t>
            </w:r>
          </w:p>
        </w:tc>
        <w:tc>
          <w:tcPr>
            <w:tcW w:type="dxa" w:w="3408"/>
          </w:tcPr>
          <w:p>
            <w:pPr>
              <w:spacing w:after="0"/>
            </w:pPr>
            <w:r>
              <w:rPr>
                <w:rFonts w:ascii="Arial" w:hAnsi="Arial"/>
                <w:b w:val="0"/>
                <w:sz w:val="14"/>
              </w:rPr>
              <w:t>Can model, prompt, policy, or runtime changes be evaluated as lifecycle risk, not only model-performance risk?</w:t>
            </w:r>
          </w:p>
        </w:tc>
      </w:tr>
      <w:tr>
        <w:tc>
          <w:tcPr>
            <w:tcW w:type="dxa" w:w="3408"/>
          </w:tcPr>
          <w:p>
            <w:pPr>
              <w:spacing w:after="0"/>
            </w:pPr>
            <w:r>
              <w:rPr>
                <w:rFonts w:ascii="Arial" w:hAnsi="Arial"/>
                <w:b w:val="0"/>
                <w:sz w:val="14"/>
              </w:rPr>
              <w:t>Cybersecurity for agentic systems</w:t>
            </w:r>
          </w:p>
        </w:tc>
        <w:tc>
          <w:tcPr>
            <w:tcW w:type="dxa" w:w="3408"/>
          </w:tcPr>
          <w:p>
            <w:pPr>
              <w:spacing w:after="0"/>
            </w:pPr>
            <w:r>
              <w:rPr>
                <w:rFonts w:ascii="Arial" w:hAnsi="Arial"/>
                <w:b w:val="0"/>
                <w:sz w:val="14"/>
              </w:rPr>
              <w:t>Cybersecurity for agentic systems must preserve authority, credential, tool, evidence, and incident boundaries under attack.</w:t>
            </w:r>
          </w:p>
        </w:tc>
        <w:tc>
          <w:tcPr>
            <w:tcW w:type="dxa" w:w="3408"/>
          </w:tcPr>
          <w:p>
            <w:pPr>
              <w:spacing w:after="0"/>
            </w:pPr>
            <w:r>
              <w:rPr>
                <w:rFonts w:ascii="Arial" w:hAnsi="Arial"/>
                <w:b w:val="0"/>
                <w:sz w:val="14"/>
              </w:rPr>
              <w:t>Can the system preserve authority, credential, tool, evidence, and incident boundaries under attack?</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External validation must occur without exposing raw personal data, proprietary workflow content, or unnecessary evidence.</w:t>
            </w:r>
          </w:p>
        </w:tc>
        <w:tc>
          <w:tcPr>
            <w:tcW w:type="dxa" w:w="3408"/>
          </w:tcPr>
          <w:p>
            <w:pPr>
              <w:spacing w:after="0"/>
            </w:pPr>
            <w:r>
              <w:rPr>
                <w:rFonts w:ascii="Arial" w:hAnsi="Arial"/>
                <w:b w:val="0"/>
                <w:sz w:val="14"/>
              </w:rPr>
              <w:t>Can external validation occur without exposing raw personal data, proprietary workflow content, or unnecessary evidence?</w:t>
            </w:r>
          </w:p>
        </w:tc>
      </w:tr>
    </w:tbl>
    <w:p>
      <w:pPr>
        <w:pStyle w:val="Heading3"/>
      </w:pPr>
      <w:r>
        <w:t>Table T-10-01B: Enterprise Control Crosswalk — MRO/Dimension/Evidence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Enterprise Control Topic</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Relevant RCCS/ALCS Dimensions</w:t>
            </w:r>
          </w:p>
        </w:tc>
        <w:tc>
          <w:tcPr>
            <w:tcW w:type="dxa" w:w="2556"/>
          </w:tcPr>
          <w:p>
            <w:pPr>
              <w:spacing w:after="0"/>
            </w:pPr>
            <w:r>
              <w:rPr>
                <w:rFonts w:ascii="Arial" w:hAnsi="Arial"/>
                <w:b/>
                <w:sz w:val="14"/>
              </w:rPr>
              <w:t>Evidence Expected</w:t>
            </w:r>
          </w:p>
        </w:tc>
      </w:tr>
      <w:tr>
        <w:tc>
          <w:tcPr>
            <w:tcW w:type="dxa" w:w="2556"/>
          </w:tcPr>
          <w:p>
            <w:pPr>
              <w:spacing w:after="0"/>
            </w:pPr>
            <w:r>
              <w:rPr>
                <w:rFonts w:ascii="Arial" w:hAnsi="Arial"/>
                <w:b w:val="0"/>
                <w:sz w:val="14"/>
              </w:rPr>
              <w:t>Internal control</w:t>
            </w:r>
          </w:p>
        </w:tc>
        <w:tc>
          <w:tcPr>
            <w:tcW w:type="dxa" w:w="2556"/>
          </w:tcPr>
          <w:p>
            <w:pPr>
              <w:spacing w:after="0"/>
            </w:pPr>
            <w:r>
              <w:rPr>
                <w:rFonts w:ascii="Arial" w:hAnsi="Arial"/>
                <w:b w:val="0"/>
                <w:sz w:val="14"/>
              </w:rPr>
              <w:t>MRO-01, MRO-02, MRO-04, MRO-05, MRO-08, MRO-16</w:t>
            </w:r>
          </w:p>
        </w:tc>
        <w:tc>
          <w:tcPr>
            <w:tcW w:type="dxa" w:w="2556"/>
          </w:tcPr>
          <w:p>
            <w:pPr>
              <w:spacing w:after="0"/>
            </w:pPr>
            <w:r>
              <w:rPr>
                <w:rFonts w:ascii="Arial" w:hAnsi="Arial"/>
                <w:b w:val="0"/>
                <w:sz w:val="14"/>
              </w:rPr>
              <w:t>RCCS-04, RCCS-06, RCCS-08, ALCS-01, ALCS-02, ALCS-04, ALCS-05, ALCS-08</w:t>
            </w:r>
          </w:p>
        </w:tc>
        <w:tc>
          <w:tcPr>
            <w:tcW w:type="dxa" w:w="2556"/>
          </w:tcPr>
          <w:p>
            <w:pPr>
              <w:spacing w:after="0"/>
            </w:pPr>
            <w:r>
              <w:rPr>
                <w:rFonts w:ascii="Arial" w:hAnsi="Arial"/>
                <w:b w:val="0"/>
                <w:sz w:val="14"/>
              </w:rPr>
              <w:t>Role-responsibility map, authority boundary object, accepted outcome state, tool-action liability record, evidence partition, incident closure record</w:t>
            </w:r>
          </w:p>
        </w:tc>
      </w:tr>
      <w:tr>
        <w:tc>
          <w:tcPr>
            <w:tcW w:type="dxa" w:w="2556"/>
          </w:tcPr>
          <w:p>
            <w:pPr>
              <w:spacing w:after="0"/>
            </w:pPr>
            <w:r>
              <w:rPr>
                <w:rFonts w:ascii="Arial" w:hAnsi="Arial"/>
                <w:b w:val="0"/>
                <w:sz w:val="14"/>
              </w:rPr>
              <w:t>Procurement scorecard</w:t>
            </w:r>
          </w:p>
        </w:tc>
        <w:tc>
          <w:tcPr>
            <w:tcW w:type="dxa" w:w="2556"/>
          </w:tcPr>
          <w:p>
            <w:pPr>
              <w:spacing w:after="0"/>
            </w:pPr>
            <w:r>
              <w:rPr>
                <w:rFonts w:ascii="Arial" w:hAnsi="Arial"/>
                <w:b w:val="0"/>
                <w:sz w:val="14"/>
              </w:rPr>
              <w:t>MRO-11, MRO-14, MRO-15, MRO-16</w:t>
            </w:r>
          </w:p>
        </w:tc>
        <w:tc>
          <w:tcPr>
            <w:tcW w:type="dxa" w:w="2556"/>
          </w:tcPr>
          <w:p>
            <w:pPr>
              <w:spacing w:after="0"/>
            </w:pPr>
            <w:r>
              <w:rPr>
                <w:rFonts w:ascii="Arial" w:hAnsi="Arial"/>
                <w:b w:val="0"/>
                <w:sz w:val="14"/>
              </w:rPr>
              <w:t>RCCS-03, RCCS-04, RCCS-07, ALCS-11, ALCS-14, ALCS-15</w:t>
            </w:r>
          </w:p>
        </w:tc>
        <w:tc>
          <w:tcPr>
            <w:tcW w:type="dxa" w:w="2556"/>
          </w:tcPr>
          <w:p>
            <w:pPr>
              <w:spacing w:after="0"/>
            </w:pPr>
            <w:r>
              <w:rPr>
                <w:rFonts w:ascii="Arial" w:hAnsi="Arial"/>
                <w:b w:val="0"/>
                <w:sz w:val="14"/>
              </w:rPr>
              <w:t>Privacy-preserving validation protocol, processor chain record, vendor substitution conformance test, incident closure record</w:t>
            </w:r>
          </w:p>
        </w:tc>
      </w:tr>
      <w:tr>
        <w:tc>
          <w:tcPr>
            <w:tcW w:type="dxa" w:w="2556"/>
          </w:tcPr>
          <w:p>
            <w:pPr>
              <w:spacing w:after="0"/>
            </w:pPr>
            <w:r>
              <w:rPr>
                <w:rFonts w:ascii="Arial" w:hAnsi="Arial"/>
                <w:b w:val="0"/>
                <w:sz w:val="14"/>
              </w:rPr>
              <w:t>Vendor lock-in / vendor substitution</w:t>
            </w:r>
          </w:p>
        </w:tc>
        <w:tc>
          <w:tcPr>
            <w:tcW w:type="dxa" w:w="2556"/>
          </w:tcPr>
          <w:p>
            <w:pPr>
              <w:spacing w:after="0"/>
            </w:pPr>
            <w:r>
              <w:rPr>
                <w:rFonts w:ascii="Arial" w:hAnsi="Arial"/>
                <w:b w:val="0"/>
                <w:sz w:val="14"/>
              </w:rPr>
              <w:t>MRO-09, MRO-15</w:t>
            </w:r>
          </w:p>
        </w:tc>
        <w:tc>
          <w:tcPr>
            <w:tcW w:type="dxa" w:w="2556"/>
          </w:tcPr>
          <w:p>
            <w:pPr>
              <w:spacing w:after="0"/>
            </w:pPr>
            <w:r>
              <w:rPr>
                <w:rFonts w:ascii="Arial" w:hAnsi="Arial"/>
                <w:b w:val="0"/>
                <w:sz w:val="14"/>
              </w:rPr>
              <w:t>ALCS-09, ALCS-15</w:t>
            </w:r>
          </w:p>
        </w:tc>
        <w:tc>
          <w:tcPr>
            <w:tcW w:type="dxa" w:w="2556"/>
          </w:tcPr>
          <w:p>
            <w:pPr>
              <w:spacing w:after="0"/>
            </w:pPr>
            <w:r>
              <w:rPr>
                <w:rFonts w:ascii="Arial" w:hAnsi="Arial"/>
                <w:b w:val="0"/>
                <w:sz w:val="14"/>
              </w:rPr>
              <w:t>Cross-project reuse conformance test, vendor substitution conformance test</w:t>
            </w:r>
          </w:p>
        </w:tc>
      </w:tr>
      <w:tr>
        <w:tc>
          <w:tcPr>
            <w:tcW w:type="dxa" w:w="2556"/>
          </w:tcPr>
          <w:p>
            <w:pPr>
              <w:spacing w:after="0"/>
            </w:pPr>
            <w:r>
              <w:rPr>
                <w:rFonts w:ascii="Arial" w:hAnsi="Arial"/>
                <w:b w:val="0"/>
                <w:sz w:val="14"/>
              </w:rPr>
              <w:t>Third-party / supply-chain risk</w:t>
            </w:r>
          </w:p>
        </w:tc>
        <w:tc>
          <w:tcPr>
            <w:tcW w:type="dxa" w:w="2556"/>
          </w:tcPr>
          <w:p>
            <w:pPr>
              <w:spacing w:after="0"/>
            </w:pPr>
            <w:r>
              <w:rPr>
                <w:rFonts w:ascii="Arial" w:hAnsi="Arial"/>
                <w:b w:val="0"/>
                <w:sz w:val="14"/>
              </w:rPr>
              <w:t>MRO-10, MRO-14, MRO-15</w:t>
            </w:r>
          </w:p>
        </w:tc>
        <w:tc>
          <w:tcPr>
            <w:tcW w:type="dxa" w:w="2556"/>
          </w:tcPr>
          <w:p>
            <w:pPr>
              <w:spacing w:after="0"/>
            </w:pPr>
            <w:r>
              <w:rPr>
                <w:rFonts w:ascii="Arial" w:hAnsi="Arial"/>
                <w:b w:val="0"/>
                <w:sz w:val="14"/>
              </w:rPr>
              <w:t>RCCS-02, RCCS-07, ALCS-10, ALCS-14, ALCS-15</w:t>
            </w:r>
          </w:p>
        </w:tc>
        <w:tc>
          <w:tcPr>
            <w:tcW w:type="dxa" w:w="2556"/>
          </w:tcPr>
          <w:p>
            <w:pPr>
              <w:spacing w:after="0"/>
            </w:pPr>
            <w:r>
              <w:rPr>
                <w:rFonts w:ascii="Arial" w:hAnsi="Arial"/>
                <w:b w:val="0"/>
                <w:sz w:val="14"/>
              </w:rPr>
              <w:t>Privacy lifecycle map, processor chain record, vendor substitution conformance test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MRO-10, MRO-12, MRO-13</w:t>
            </w:r>
          </w:p>
        </w:tc>
        <w:tc>
          <w:tcPr>
            <w:tcW w:type="dxa" w:w="2556"/>
          </w:tcPr>
          <w:p>
            <w:pPr>
              <w:spacing w:after="0"/>
            </w:pPr>
            <w:r>
              <w:rPr>
                <w:rFonts w:ascii="Arial" w:hAnsi="Arial"/>
                <w:b w:val="0"/>
                <w:sz w:val="14"/>
              </w:rPr>
              <w:t>RCCS-02, ALCS-10, ALCS-12, ALCS-13</w:t>
            </w:r>
          </w:p>
        </w:tc>
        <w:tc>
          <w:tcPr>
            <w:tcW w:type="dxa" w:w="2556"/>
          </w:tcPr>
          <w:p>
            <w:pPr>
              <w:spacing w:after="0"/>
            </w:pPr>
            <w:r>
              <w:rPr>
                <w:rFonts w:ascii="Arial" w:hAnsi="Arial"/>
                <w:b w:val="0"/>
                <w:sz w:val="14"/>
              </w:rPr>
              <w:t>Privacy lifecycle map, evidence minimization policy, data subject rights reconciliation record</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MRO-08, MRO-11, MRO-12, MRO-16</w:t>
            </w:r>
          </w:p>
        </w:tc>
        <w:tc>
          <w:tcPr>
            <w:tcW w:type="dxa" w:w="2556"/>
          </w:tcPr>
          <w:p>
            <w:pPr>
              <w:spacing w:after="0"/>
            </w:pPr>
            <w:r>
              <w:rPr>
                <w:rFonts w:ascii="Arial" w:hAnsi="Arial"/>
                <w:b w:val="0"/>
                <w:sz w:val="14"/>
              </w:rPr>
              <w:t>RCCS-04, RCCS-09, ALCS-08, ALCS-11, ALCS-12</w:t>
            </w:r>
          </w:p>
        </w:tc>
        <w:tc>
          <w:tcPr>
            <w:tcW w:type="dxa" w:w="2556"/>
          </w:tcPr>
          <w:p>
            <w:pPr>
              <w:spacing w:after="0"/>
            </w:pPr>
            <w:r>
              <w:rPr>
                <w:rFonts w:ascii="Arial" w:hAnsi="Arial"/>
                <w:b w:val="0"/>
                <w:sz w:val="14"/>
              </w:rPr>
              <w:t>Evidence partition, privacy-preserving validation protocol, evidence minimization policy, incident closure record</w:t>
            </w:r>
          </w:p>
        </w:tc>
      </w:tr>
      <w:tr>
        <w:tc>
          <w:tcPr>
            <w:tcW w:type="dxa" w:w="2556"/>
          </w:tcPr>
          <w:p>
            <w:pPr>
              <w:spacing w:after="0"/>
            </w:pPr>
            <w:r>
              <w:rPr>
                <w:rFonts w:ascii="Arial" w:hAnsi="Arial"/>
                <w:b w:val="0"/>
                <w:sz w:val="14"/>
              </w:rPr>
              <w:t>Board reporting</w:t>
            </w:r>
          </w:p>
        </w:tc>
        <w:tc>
          <w:tcPr>
            <w:tcW w:type="dxa" w:w="2556"/>
          </w:tcPr>
          <w:p>
            <w:pPr>
              <w:spacing w:after="0"/>
            </w:pPr>
            <w:r>
              <w:rPr>
                <w:rFonts w:ascii="Arial" w:hAnsi="Arial"/>
                <w:b w:val="0"/>
                <w:sz w:val="14"/>
              </w:rPr>
              <w:t>MRO-01, MRO-04, MRO-08, MRO-16</w:t>
            </w:r>
          </w:p>
        </w:tc>
        <w:tc>
          <w:tcPr>
            <w:tcW w:type="dxa" w:w="2556"/>
          </w:tcPr>
          <w:p>
            <w:pPr>
              <w:spacing w:after="0"/>
            </w:pPr>
            <w:r>
              <w:rPr>
                <w:rFonts w:ascii="Arial" w:hAnsi="Arial"/>
                <w:b w:val="0"/>
                <w:sz w:val="14"/>
              </w:rPr>
              <w:t>RCCS-06, RCCS-08, RCCS-10, ALCS-01, ALCS-04, ALCS-08</w:t>
            </w:r>
          </w:p>
        </w:tc>
        <w:tc>
          <w:tcPr>
            <w:tcW w:type="dxa" w:w="2556"/>
          </w:tcPr>
          <w:p>
            <w:pPr>
              <w:spacing w:after="0"/>
            </w:pPr>
            <w:r>
              <w:rPr>
                <w:rFonts w:ascii="Arial" w:hAnsi="Arial"/>
                <w:b w:val="0"/>
                <w:sz w:val="14"/>
              </w:rPr>
              <w:t>Role-responsibility map, accepted outcome state, evidence partition, incident closure record, monitoring dashboard</w:t>
            </w:r>
          </w:p>
        </w:tc>
      </w:tr>
      <w:tr>
        <w:tc>
          <w:tcPr>
            <w:tcW w:type="dxa" w:w="2556"/>
          </w:tcPr>
          <w:p>
            <w:pPr>
              <w:spacing w:after="0"/>
            </w:pPr>
            <w:r>
              <w:rPr>
                <w:rFonts w:ascii="Arial" w:hAnsi="Arial"/>
                <w:b w:val="0"/>
                <w:sz w:val="14"/>
              </w:rPr>
              <w:t>Incident response and redress</w:t>
            </w:r>
          </w:p>
        </w:tc>
        <w:tc>
          <w:tcPr>
            <w:tcW w:type="dxa" w:w="2556"/>
          </w:tcPr>
          <w:p>
            <w:pPr>
              <w:spacing w:after="0"/>
            </w:pPr>
            <w:r>
              <w:rPr>
                <w:rFonts w:ascii="Arial" w:hAnsi="Arial"/>
                <w:b w:val="0"/>
                <w:sz w:val="14"/>
              </w:rPr>
              <w:t>MRO-04, MRO-08, MRO-16</w:t>
            </w:r>
          </w:p>
        </w:tc>
        <w:tc>
          <w:tcPr>
            <w:tcW w:type="dxa" w:w="2556"/>
          </w:tcPr>
          <w:p>
            <w:pPr>
              <w:spacing w:after="0"/>
            </w:pPr>
            <w:r>
              <w:rPr>
                <w:rFonts w:ascii="Arial" w:hAnsi="Arial"/>
                <w:b w:val="0"/>
                <w:sz w:val="14"/>
              </w:rPr>
              <w:t>RCCS-09, RCCS-10, ALCS-04, ALCS-08</w:t>
            </w:r>
          </w:p>
        </w:tc>
        <w:tc>
          <w:tcPr>
            <w:tcW w:type="dxa" w:w="2556"/>
          </w:tcPr>
          <w:p>
            <w:pPr>
              <w:spacing w:after="0"/>
            </w:pPr>
            <w:r>
              <w:rPr>
                <w:rFonts w:ascii="Arial" w:hAnsi="Arial"/>
                <w:b w:val="0"/>
                <w:sz w:val="14"/>
              </w:rPr>
              <w:t>Accepted outcome state, evidence partition, incident closure record, remediation record</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MRO-05, MRO-07, MRO-15, MRO-16</w:t>
            </w:r>
          </w:p>
        </w:tc>
        <w:tc>
          <w:tcPr>
            <w:tcW w:type="dxa" w:w="2556"/>
          </w:tcPr>
          <w:p>
            <w:pPr>
              <w:spacing w:after="0"/>
            </w:pPr>
            <w:r>
              <w:rPr>
                <w:rFonts w:ascii="Arial" w:hAnsi="Arial"/>
                <w:b w:val="0"/>
                <w:sz w:val="14"/>
              </w:rPr>
              <w:t>RCCS-07, RCCS-10, ALCS-05, ALCS-07, ALCS-15</w:t>
            </w:r>
          </w:p>
        </w:tc>
        <w:tc>
          <w:tcPr>
            <w:tcW w:type="dxa" w:w="2556"/>
          </w:tcPr>
          <w:p>
            <w:pPr>
              <w:spacing w:after="0"/>
            </w:pPr>
            <w:r>
              <w:rPr>
                <w:rFonts w:ascii="Arial" w:hAnsi="Arial"/>
                <w:b w:val="0"/>
                <w:sz w:val="14"/>
              </w:rPr>
              <w:t>Tool-action liability record, authority drift detection log, vendor substitution conformance test, incident closure record</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MRO-07, MRO-08, MRO-15, MRO-16</w:t>
            </w:r>
          </w:p>
        </w:tc>
        <w:tc>
          <w:tcPr>
            <w:tcW w:type="dxa" w:w="2556"/>
          </w:tcPr>
          <w:p>
            <w:pPr>
              <w:spacing w:after="0"/>
            </w:pPr>
            <w:r>
              <w:rPr>
                <w:rFonts w:ascii="Arial" w:hAnsi="Arial"/>
                <w:b w:val="0"/>
                <w:sz w:val="14"/>
              </w:rPr>
              <w:t>RCCS-01, RCCS-10, ALCS-07, ALCS-08, ALCS-15</w:t>
            </w:r>
          </w:p>
        </w:tc>
        <w:tc>
          <w:tcPr>
            <w:tcW w:type="dxa" w:w="2556"/>
          </w:tcPr>
          <w:p>
            <w:pPr>
              <w:spacing w:after="0"/>
            </w:pPr>
            <w:r>
              <w:rPr>
                <w:rFonts w:ascii="Arial" w:hAnsi="Arial"/>
                <w:b w:val="0"/>
                <w:sz w:val="14"/>
              </w:rPr>
              <w:t>Authority drift detection log, evidence partition, vendor substitution conformance test, incident closure record</w:t>
            </w:r>
          </w:p>
        </w:tc>
      </w:tr>
      <w:tr>
        <w:tc>
          <w:tcPr>
            <w:tcW w:type="dxa" w:w="2556"/>
          </w:tcPr>
          <w:p>
            <w:pPr>
              <w:spacing w:after="0"/>
            </w:pPr>
            <w:r>
              <w:rPr>
                <w:rFonts w:ascii="Arial" w:hAnsi="Arial"/>
                <w:b w:val="0"/>
                <w:sz w:val="14"/>
              </w:rPr>
              <w:t>Cybersecurity for agentic systems</w:t>
            </w:r>
          </w:p>
        </w:tc>
        <w:tc>
          <w:tcPr>
            <w:tcW w:type="dxa" w:w="2556"/>
          </w:tcPr>
          <w:p>
            <w:pPr>
              <w:spacing w:after="0"/>
            </w:pPr>
            <w:r>
              <w:rPr>
                <w:rFonts w:ascii="Arial" w:hAnsi="Arial"/>
                <w:b w:val="0"/>
                <w:sz w:val="14"/>
              </w:rPr>
              <w:t>MRO-02, MRO-05, MRO-07, MRO-08, MRO-14, MRO-16</w:t>
            </w:r>
          </w:p>
        </w:tc>
        <w:tc>
          <w:tcPr>
            <w:tcW w:type="dxa" w:w="2556"/>
          </w:tcPr>
          <w:p>
            <w:pPr>
              <w:spacing w:after="0"/>
            </w:pPr>
            <w:r>
              <w:rPr>
                <w:rFonts w:ascii="Arial" w:hAnsi="Arial"/>
                <w:b w:val="0"/>
                <w:sz w:val="14"/>
              </w:rPr>
              <w:t>RCCS-07, RCCS-10, ALCS-02, ALCS-05, ALCS-07, ALCS-08, ALCS-14</w:t>
            </w:r>
          </w:p>
        </w:tc>
        <w:tc>
          <w:tcPr>
            <w:tcW w:type="dxa" w:w="2556"/>
          </w:tcPr>
          <w:p>
            <w:pPr>
              <w:spacing w:after="0"/>
            </w:pPr>
            <w:r>
              <w:rPr>
                <w:rFonts w:ascii="Arial" w:hAnsi="Arial"/>
                <w:b w:val="0"/>
                <w:sz w:val="14"/>
              </w:rPr>
              <w:t>Authority boundary object, tool-action liability record, authority drift detection log, evidence partition, processor chain record, incident closure record</w:t>
            </w:r>
          </w:p>
        </w:tc>
      </w:tr>
      <w:tr>
        <w:tc>
          <w:tcPr>
            <w:tcW w:type="dxa" w:w="2556"/>
          </w:tcPr>
          <w:p>
            <w:pPr>
              <w:spacing w:after="0"/>
            </w:pPr>
            <w:r>
              <w:rPr>
                <w:rFonts w:ascii="Arial" w:hAnsi="Arial"/>
                <w:b w:val="0"/>
                <w:sz w:val="14"/>
              </w:rPr>
              <w:t>Privacy-preserving validation</w:t>
            </w:r>
          </w:p>
        </w:tc>
        <w:tc>
          <w:tcPr>
            <w:tcW w:type="dxa" w:w="2556"/>
          </w:tcPr>
          <w:p>
            <w:pPr>
              <w:spacing w:after="0"/>
            </w:pPr>
            <w:r>
              <w:rPr>
                <w:rFonts w:ascii="Arial" w:hAnsi="Arial"/>
                <w:b w:val="0"/>
                <w:sz w:val="14"/>
              </w:rPr>
              <w:t>MRO-08, MRO-10, MRO-11, MRO-12, MRO-13</w:t>
            </w:r>
          </w:p>
        </w:tc>
        <w:tc>
          <w:tcPr>
            <w:tcW w:type="dxa" w:w="2556"/>
          </w:tcPr>
          <w:p>
            <w:pPr>
              <w:spacing w:after="0"/>
            </w:pPr>
            <w:r>
              <w:rPr>
                <w:rFonts w:ascii="Arial" w:hAnsi="Arial"/>
                <w:b w:val="0"/>
                <w:sz w:val="14"/>
              </w:rPr>
              <w:t>RCCS-02, RCCS-04, ALCS-08, ALCS-10, ALCS-11, ALCS-12, ALCS-13</w:t>
            </w:r>
          </w:p>
        </w:tc>
        <w:tc>
          <w:tcPr>
            <w:tcW w:type="dxa" w:w="2556"/>
          </w:tcPr>
          <w:p>
            <w:pPr>
              <w:spacing w:after="0"/>
            </w:pPr>
            <w:r>
              <w:rPr>
                <w:rFonts w:ascii="Arial" w:hAnsi="Arial"/>
                <w:b w:val="0"/>
                <w:sz w:val="14"/>
              </w:rPr>
              <w:t>Evidence partition, privacy lifecycle map, privacy-preserving validation protocol, evidence minimization policy, data subject rights reconciliation record</w:t>
            </w:r>
          </w:p>
        </w:tc>
      </w:tr>
    </w:tbl>
    <w:p>
      <w:pPr>
        <w:spacing w:after="56"/>
      </w:pPr>
      <w:r>
        <w:t>Interpretation: The crosswalk does not replace internal control frameworks. It shows where agentic lifecycle objects can provide evidence for enterprise control questions. Organizations should integrate these objects into existing control frameworks rather than treating them as separate compliance requirements.</w:t>
      </w:r>
    </w:p>
    <w:p>
      <w:pPr>
        <w:pStyle w:val="Heading2"/>
      </w:pPr>
      <w:r>
        <w:t>10.3 Model Risk Management in Agentic Systems</w:t>
      </w:r>
    </w:p>
    <w:p>
      <w:pPr>
        <w:spacing w:after="56"/>
      </w:pPr>
      <w:r>
        <w:t>In agentic systems, model risk is no longer limited to output quality, bias, robustness, or model monitoring. Model risk becomes lifecycle risk when model behavior influences planning, delegation, authority transitions, evidence interpretation, tool selection, human review packets, and accepted outcomes.</w:t>
      </w:r>
    </w:p>
    <w:p>
      <w:pPr>
        <w:spacing w:after="56"/>
      </w:pPr>
      <w:r>
        <w:t>Traditional model risk management asks whether a model is governed. Agentic model risk management asks whether model behavior can change lifecycle authority, tool use, evidence, review, and acceptance states. A model that performs well on benchmarks may still introduce lifecycle risk if it influences authority boundaries, responsibility transfer, or evidence interpretation in ways that violate delegated scope or escalation rules.</w:t>
      </w:r>
    </w:p>
    <w:p>
      <w:pPr>
        <w:spacing w:after="56"/>
      </w:pPr>
      <w:r>
        <w:t>Boundary: Model governance remains necessary, but agentic deployment requires model risk to be mapped into lifecycle responsibility. ALCS does not replace existing model risk management. This section is not a full model-risk-management manual. It shows how model risk intersects with lifecycle conformance.</w:t>
      </w:r>
    </w:p>
    <w:p>
      <w:pPr>
        <w:pStyle w:val="Heading3"/>
      </w:pPr>
      <w:r>
        <w:t>Model Risk in Agentic Lifecycle</w:t>
      </w:r>
    </w:p>
    <w:p>
      <w:pPr>
        <w:spacing w:after="56"/>
      </w:pPr>
      <w:r>
        <w:t>The following figure illustrates how model, prompt, policy, and runtime changes propagate through the agentic lifecycle and influence authority, tool use, evidence, and accepted outcomes.</w:t>
      </w:r>
    </w:p>
    <w:p>
      <w:pPr>
        <w:spacing w:after="56"/>
      </w:pPr>
      <w:r>
        <w:t>Figure F-07 - Model Risk in Agentic Lifecycle</w:t>
      </w:r>
    </w:p>
    <w:p>
      <w:pPr>
        <w:spacing w:after="56"/>
      </w:pPr>
      <w:r>
        <w:t>Model / Prompt / Policy / Runtime Changes -&gt; Plan and Delegation Behavior -&gt; Authority Boundary Behavior -&gt; Tool Selection / Tool Action -&gt; Evidence Interpretation -&gt; Accepted Outcome / Incident Closure</w:t>
      </w:r>
    </w:p>
    <w:p>
      <w:pPr>
        <w:spacing w:after="56"/>
      </w:pPr>
      <w:r>
        <w:t>Figure F-07 shows how model, prompt, policy, or runtime changes can propagate through an agentic lifecycle and affect authority, tools, evidence, outcomes, and closure. It is a lifecycle-risk model, not a model-risk-management standard, certification path, or legal compliance proof.</w:t>
      </w:r>
    </w:p>
    <w:p>
      <w:pPr>
        <w:spacing w:after="56"/>
      </w:pPr>
      <w:r>
        <w:t>Model risk in agentic systems is not only a model-performance concern. It is a lifecycle-conformance concern. A model version change may alter planning behavior, which may alter delegation patterns, which may alter authority transitions, which may alter tool selection, which may alter evidence interpretation, which may alter accepted outcome states. Each of these transitions is a potential lifecycle risk.</w:t>
      </w:r>
    </w:p>
    <w:p>
      <w:pPr>
        <w:pStyle w:val="Heading3"/>
      </w:pPr>
      <w:r>
        <w:t>Model Risk Management Table</w:t>
      </w:r>
    </w:p>
    <w:p>
      <w:pPr>
        <w:spacing w:after="56"/>
      </w:pPr>
      <w:r>
        <w:t>The following table maps model risk concerns to agentic lifecycle impacts, relevant MROs, and control evidence.</w:t>
      </w:r>
    </w:p>
    <w:p>
      <w:pPr>
        <w:keepNext/>
      </w:pPr>
      <w:r>
        <w:rPr>
          <w:b/>
          <w:sz w:val="16"/>
        </w:rPr>
        <w:t>Table T-10-02: Model Risk Management in Agentic Systems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Model Risk Concern</w:t>
            </w:r>
          </w:p>
        </w:tc>
        <w:tc>
          <w:tcPr>
            <w:tcW w:type="dxa" w:w="2556"/>
          </w:tcPr>
          <w:p>
            <w:pPr>
              <w:spacing w:after="0"/>
            </w:pPr>
            <w:r>
              <w:rPr>
                <w:rFonts w:ascii="Arial" w:hAnsi="Arial"/>
                <w:b/>
                <w:sz w:val="14"/>
              </w:rPr>
              <w:t>Agentic Lifecycle Impact</w:t>
            </w:r>
          </w:p>
        </w:tc>
        <w:tc>
          <w:tcPr>
            <w:tcW w:type="dxa" w:w="2556"/>
          </w:tcPr>
          <w:p>
            <w:pPr>
              <w:spacing w:after="0"/>
            </w:pPr>
            <w:r>
              <w:rPr>
                <w:rFonts w:ascii="Arial" w:hAnsi="Arial"/>
                <w:b/>
                <w:sz w:val="14"/>
              </w:rPr>
              <w:t>Relevant MROs</w:t>
            </w:r>
          </w:p>
        </w:tc>
        <w:tc>
          <w:tcPr>
            <w:tcW w:type="dxa" w:w="2556"/>
          </w:tcPr>
          <w:p>
            <w:pPr>
              <w:spacing w:after="0"/>
            </w:pPr>
            <w:r>
              <w:rPr>
                <w:rFonts w:ascii="Arial" w:hAnsi="Arial"/>
                <w:b/>
                <w:sz w:val="14"/>
              </w:rPr>
              <w:t>Control Evidence</w:t>
            </w:r>
          </w:p>
        </w:tc>
      </w:tr>
      <w:tr>
        <w:tc>
          <w:tcPr>
            <w:tcW w:type="dxa" w:w="2556"/>
          </w:tcPr>
          <w:p>
            <w:pPr>
              <w:spacing w:after="0"/>
            </w:pPr>
            <w:r>
              <w:rPr>
                <w:rFonts w:ascii="Arial" w:hAnsi="Arial"/>
                <w:b w:val="0"/>
                <w:sz w:val="14"/>
              </w:rPr>
              <w:t>Model inventory</w:t>
            </w:r>
          </w:p>
        </w:tc>
        <w:tc>
          <w:tcPr>
            <w:tcW w:type="dxa" w:w="2556"/>
          </w:tcPr>
          <w:p>
            <w:pPr>
              <w:spacing w:after="0"/>
            </w:pPr>
            <w:r>
              <w:rPr>
                <w:rFonts w:ascii="Arial" w:hAnsi="Arial"/>
                <w:b w:val="0"/>
                <w:sz w:val="14"/>
              </w:rPr>
              <w:t>Without model inventory, the organization cannot reconstruct which model version influenced which lifecycle execution, authority transition, or accepted outcome.</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Model version registry linked to lifecycle execution records</w:t>
            </w:r>
          </w:p>
        </w:tc>
      </w:tr>
      <w:tr>
        <w:tc>
          <w:tcPr>
            <w:tcW w:type="dxa" w:w="2556"/>
          </w:tcPr>
          <w:p>
            <w:pPr>
              <w:spacing w:after="0"/>
            </w:pPr>
            <w:r>
              <w:rPr>
                <w:rFonts w:ascii="Arial" w:hAnsi="Arial"/>
                <w:b w:val="0"/>
                <w:sz w:val="14"/>
              </w:rPr>
              <w:t>Foundation model dependency</w:t>
            </w:r>
          </w:p>
        </w:tc>
        <w:tc>
          <w:tcPr>
            <w:tcW w:type="dxa" w:w="2556"/>
          </w:tcPr>
          <w:p>
            <w:pPr>
              <w:spacing w:after="0"/>
            </w:pPr>
            <w:r>
              <w:rPr>
                <w:rFonts w:ascii="Arial" w:hAnsi="Arial"/>
                <w:b w:val="0"/>
                <w:sz w:val="14"/>
              </w:rPr>
              <w:t>Foundation model changes may alter planning, delegation, tool selection, or evidence interpretation behavior without explicit revalidation.</w:t>
            </w:r>
          </w:p>
        </w:tc>
        <w:tc>
          <w:tcPr>
            <w:tcW w:type="dxa" w:w="2556"/>
          </w:tcPr>
          <w:p>
            <w:pPr>
              <w:spacing w:after="0"/>
            </w:pPr>
            <w:r>
              <w:rPr>
                <w:rFonts w:ascii="Arial" w:hAnsi="Arial"/>
                <w:b w:val="0"/>
                <w:sz w:val="14"/>
              </w:rPr>
              <w:t>MRO-07, MRO-15</w:t>
            </w:r>
          </w:p>
        </w:tc>
        <w:tc>
          <w:tcPr>
            <w:tcW w:type="dxa" w:w="2556"/>
          </w:tcPr>
          <w:p>
            <w:pPr>
              <w:spacing w:after="0"/>
            </w:pPr>
            <w:r>
              <w:rPr>
                <w:rFonts w:ascii="Arial" w:hAnsi="Arial"/>
                <w:b w:val="0"/>
                <w:sz w:val="14"/>
              </w:rPr>
              <w:t>Foundation model version tracking, authority drift detection, substitution conformance test</w:t>
            </w:r>
          </w:p>
        </w:tc>
      </w:tr>
      <w:tr>
        <w:tc>
          <w:tcPr>
            <w:tcW w:type="dxa" w:w="2556"/>
          </w:tcPr>
          <w:p>
            <w:pPr>
              <w:spacing w:after="0"/>
            </w:pPr>
            <w:r>
              <w:rPr>
                <w:rFonts w:ascii="Arial" w:hAnsi="Arial"/>
                <w:b w:val="0"/>
                <w:sz w:val="14"/>
              </w:rPr>
              <w:t>Model provider dependency</w:t>
            </w:r>
          </w:p>
        </w:tc>
        <w:tc>
          <w:tcPr>
            <w:tcW w:type="dxa" w:w="2556"/>
          </w:tcPr>
          <w:p>
            <w:pPr>
              <w:spacing w:after="0"/>
            </w:pPr>
            <w:r>
              <w:rPr>
                <w:rFonts w:ascii="Arial" w:hAnsi="Arial"/>
                <w:b w:val="0"/>
                <w:sz w:val="14"/>
              </w:rPr>
              <w:t>Model provider changes may introduce new processor/subprocessor relationships, privacy risks, or vendor lock-in without lifecycle revalidation.</w:t>
            </w:r>
          </w:p>
        </w:tc>
        <w:tc>
          <w:tcPr>
            <w:tcW w:type="dxa" w:w="2556"/>
          </w:tcPr>
          <w:p>
            <w:pPr>
              <w:spacing w:after="0"/>
            </w:pPr>
            <w:r>
              <w:rPr>
                <w:rFonts w:ascii="Arial" w:hAnsi="Arial"/>
                <w:b w:val="0"/>
                <w:sz w:val="14"/>
              </w:rPr>
              <w:t>MRO-14, MRO-15</w:t>
            </w:r>
          </w:p>
        </w:tc>
        <w:tc>
          <w:tcPr>
            <w:tcW w:type="dxa" w:w="2556"/>
          </w:tcPr>
          <w:p>
            <w:pPr>
              <w:spacing w:after="0"/>
            </w:pPr>
            <w:r>
              <w:rPr>
                <w:rFonts w:ascii="Arial" w:hAnsi="Arial"/>
                <w:b w:val="0"/>
                <w:sz w:val="14"/>
              </w:rPr>
              <w:t>Processor chain record, vendor substitution conformance test</w:t>
            </w:r>
          </w:p>
        </w:tc>
      </w:tr>
      <w:tr>
        <w:tc>
          <w:tcPr>
            <w:tcW w:type="dxa" w:w="2556"/>
          </w:tcPr>
          <w:p>
            <w:pPr>
              <w:spacing w:after="0"/>
            </w:pPr>
            <w:r>
              <w:rPr>
                <w:rFonts w:ascii="Arial" w:hAnsi="Arial"/>
                <w:b w:val="0"/>
                <w:sz w:val="14"/>
              </w:rPr>
              <w:t>Model version risk</w:t>
            </w:r>
          </w:p>
        </w:tc>
        <w:tc>
          <w:tcPr>
            <w:tcW w:type="dxa" w:w="2556"/>
          </w:tcPr>
          <w:p>
            <w:pPr>
              <w:spacing w:after="0"/>
            </w:pPr>
            <w:r>
              <w:rPr>
                <w:rFonts w:ascii="Arial" w:hAnsi="Arial"/>
                <w:b w:val="0"/>
                <w:sz w:val="14"/>
              </w:rPr>
              <w:t>Model version changes may alter lifecycle behavior in ways that violate delegated authority, escalation rules, or evidence requirements.</w:t>
            </w:r>
          </w:p>
        </w:tc>
        <w:tc>
          <w:tcPr>
            <w:tcW w:type="dxa" w:w="2556"/>
          </w:tcPr>
          <w:p>
            <w:pPr>
              <w:spacing w:after="0"/>
            </w:pPr>
            <w:r>
              <w:rPr>
                <w:rFonts w:ascii="Arial" w:hAnsi="Arial"/>
                <w:b w:val="0"/>
                <w:sz w:val="14"/>
              </w:rPr>
              <w:t>MRO-07, MRO-08, MRO-15</w:t>
            </w:r>
          </w:p>
        </w:tc>
        <w:tc>
          <w:tcPr>
            <w:tcW w:type="dxa" w:w="2556"/>
          </w:tcPr>
          <w:p>
            <w:pPr>
              <w:spacing w:after="0"/>
            </w:pPr>
            <w:r>
              <w:rPr>
                <w:rFonts w:ascii="Arial" w:hAnsi="Arial"/>
                <w:b w:val="0"/>
                <w:sz w:val="14"/>
              </w:rPr>
              <w:t>Model version change log, authority drift detection, evidence partition validation, substitution conformance test</w:t>
            </w:r>
          </w:p>
        </w:tc>
      </w:tr>
      <w:tr>
        <w:tc>
          <w:tcPr>
            <w:tcW w:type="dxa" w:w="2556"/>
          </w:tcPr>
          <w:p>
            <w:pPr>
              <w:spacing w:after="0"/>
            </w:pPr>
            <w:r>
              <w:rPr>
                <w:rFonts w:ascii="Arial" w:hAnsi="Arial"/>
                <w:b w:val="0"/>
                <w:sz w:val="14"/>
              </w:rPr>
              <w:t>Model substitution</w:t>
            </w:r>
          </w:p>
        </w:tc>
        <w:tc>
          <w:tcPr>
            <w:tcW w:type="dxa" w:w="2556"/>
          </w:tcPr>
          <w:p>
            <w:pPr>
              <w:spacing w:after="0"/>
            </w:pPr>
            <w:r>
              <w:rPr>
                <w:rFonts w:ascii="Arial" w:hAnsi="Arial"/>
                <w:b w:val="0"/>
                <w:sz w:val="14"/>
              </w:rPr>
              <w:t>Model substitution may break lifecycle conformance if the new model does not preserve authority boundaries, responsibility transfer semantics, or evidence partitioning.</w:t>
            </w:r>
          </w:p>
        </w:tc>
        <w:tc>
          <w:tcPr>
            <w:tcW w:type="dxa" w:w="2556"/>
          </w:tcPr>
          <w:p>
            <w:pPr>
              <w:spacing w:after="0"/>
            </w:pPr>
            <w:r>
              <w:rPr>
                <w:rFonts w:ascii="Arial" w:hAnsi="Arial"/>
                <w:b w:val="0"/>
                <w:sz w:val="14"/>
              </w:rPr>
              <w:t>MRO-15</w:t>
            </w:r>
          </w:p>
        </w:tc>
        <w:tc>
          <w:tcPr>
            <w:tcW w:type="dxa" w:w="2556"/>
          </w:tcPr>
          <w:p>
            <w:pPr>
              <w:spacing w:after="0"/>
            </w:pPr>
            <w:r>
              <w:rPr>
                <w:rFonts w:ascii="Arial" w:hAnsi="Arial"/>
                <w:b w:val="0"/>
                <w:sz w:val="14"/>
              </w:rPr>
              <w:t>Vendor substitution conformance test, lifecycle revalidation record</w:t>
            </w:r>
          </w:p>
        </w:tc>
      </w:tr>
      <w:tr>
        <w:tc>
          <w:tcPr>
            <w:tcW w:type="dxa" w:w="2556"/>
          </w:tcPr>
          <w:p>
            <w:pPr>
              <w:spacing w:after="0"/>
            </w:pPr>
            <w:r>
              <w:rPr>
                <w:rFonts w:ascii="Arial" w:hAnsi="Arial"/>
                <w:b w:val="0"/>
                <w:sz w:val="14"/>
              </w:rPr>
              <w:t>Evaluation drift</w:t>
            </w:r>
          </w:p>
        </w:tc>
        <w:tc>
          <w:tcPr>
            <w:tcW w:type="dxa" w:w="2556"/>
          </w:tcPr>
          <w:p>
            <w:pPr>
              <w:spacing w:after="0"/>
            </w:pPr>
            <w:r>
              <w:rPr>
                <w:rFonts w:ascii="Arial" w:hAnsi="Arial"/>
                <w:b w:val="0"/>
                <w:sz w:val="14"/>
              </w:rPr>
              <w:t>Model evaluation drift may indicate that the model no longer behaves as expected under delegated authority, escalation rules, or evidence requirements.</w:t>
            </w:r>
          </w:p>
        </w:tc>
        <w:tc>
          <w:tcPr>
            <w:tcW w:type="dxa" w:w="2556"/>
          </w:tcPr>
          <w:p>
            <w:pPr>
              <w:spacing w:after="0"/>
            </w:pPr>
            <w:r>
              <w:rPr>
                <w:rFonts w:ascii="Arial" w:hAnsi="Arial"/>
                <w:b w:val="0"/>
                <w:sz w:val="14"/>
              </w:rPr>
              <w:t>MRO-07, MRO-16</w:t>
            </w:r>
          </w:p>
        </w:tc>
        <w:tc>
          <w:tcPr>
            <w:tcW w:type="dxa" w:w="2556"/>
          </w:tcPr>
          <w:p>
            <w:pPr>
              <w:spacing w:after="0"/>
            </w:pPr>
            <w:r>
              <w:rPr>
                <w:rFonts w:ascii="Arial" w:hAnsi="Arial"/>
                <w:b w:val="0"/>
                <w:sz w:val="14"/>
              </w:rPr>
              <w:t>Authority drift detection log, incident closure record</w:t>
            </w:r>
          </w:p>
        </w:tc>
      </w:tr>
      <w:tr>
        <w:tc>
          <w:tcPr>
            <w:tcW w:type="dxa" w:w="2556"/>
          </w:tcPr>
          <w:p>
            <w:pPr>
              <w:spacing w:after="0"/>
            </w:pPr>
            <w:r>
              <w:rPr>
                <w:rFonts w:ascii="Arial" w:hAnsi="Arial"/>
                <w:b w:val="0"/>
                <w:sz w:val="14"/>
              </w:rPr>
              <w:t>Prompt / policy regression</w:t>
            </w:r>
          </w:p>
        </w:tc>
        <w:tc>
          <w:tcPr>
            <w:tcW w:type="dxa" w:w="2556"/>
          </w:tcPr>
          <w:p>
            <w:pPr>
              <w:spacing w:after="0"/>
            </w:pPr>
            <w:r>
              <w:rPr>
                <w:rFonts w:ascii="Arial" w:hAnsi="Arial"/>
                <w:b w:val="0"/>
                <w:sz w:val="14"/>
              </w:rPr>
              <w:t>Prompt or policy changes may alter planning, delegation, tool selection, or evidence interpretation behavior without explicit revalidation.</w:t>
            </w:r>
          </w:p>
        </w:tc>
        <w:tc>
          <w:tcPr>
            <w:tcW w:type="dxa" w:w="2556"/>
          </w:tcPr>
          <w:p>
            <w:pPr>
              <w:spacing w:after="0"/>
            </w:pPr>
            <w:r>
              <w:rPr>
                <w:rFonts w:ascii="Arial" w:hAnsi="Arial"/>
                <w:b w:val="0"/>
                <w:sz w:val="14"/>
              </w:rPr>
              <w:t>MRO-07, MRO-08</w:t>
            </w:r>
          </w:p>
        </w:tc>
        <w:tc>
          <w:tcPr>
            <w:tcW w:type="dxa" w:w="2556"/>
          </w:tcPr>
          <w:p>
            <w:pPr>
              <w:spacing w:after="0"/>
            </w:pPr>
            <w:r>
              <w:rPr>
                <w:rFonts w:ascii="Arial" w:hAnsi="Arial"/>
                <w:b w:val="0"/>
                <w:sz w:val="14"/>
              </w:rPr>
              <w:t>Prompt version tracking, authority drift detection, evidence partition validation</w:t>
            </w:r>
          </w:p>
        </w:tc>
      </w:tr>
      <w:tr>
        <w:tc>
          <w:tcPr>
            <w:tcW w:type="dxa" w:w="2556"/>
          </w:tcPr>
          <w:p>
            <w:pPr>
              <w:spacing w:after="0"/>
            </w:pPr>
            <w:r>
              <w:rPr>
                <w:rFonts w:ascii="Arial" w:hAnsi="Arial"/>
                <w:b w:val="0"/>
                <w:sz w:val="14"/>
              </w:rPr>
              <w:t>Authority-transition influence</w:t>
            </w:r>
          </w:p>
        </w:tc>
        <w:tc>
          <w:tcPr>
            <w:tcW w:type="dxa" w:w="2556"/>
          </w:tcPr>
          <w:p>
            <w:pPr>
              <w:spacing w:after="0"/>
            </w:pPr>
            <w:r>
              <w:rPr>
                <w:rFonts w:ascii="Arial" w:hAnsi="Arial"/>
                <w:b w:val="0"/>
                <w:sz w:val="14"/>
              </w:rPr>
              <w:t>Model behavior may influence whether an agent escalates, delegates, or proceeds under delegated authority. This is a lifecycle risk, not only a model-performance risk.</w:t>
            </w:r>
          </w:p>
        </w:tc>
        <w:tc>
          <w:tcPr>
            <w:tcW w:type="dxa" w:w="2556"/>
          </w:tcPr>
          <w:p>
            <w:pPr>
              <w:spacing w:after="0"/>
            </w:pPr>
            <w:r>
              <w:rPr>
                <w:rFonts w:ascii="Arial" w:hAnsi="Arial"/>
                <w:b w:val="0"/>
                <w:sz w:val="14"/>
              </w:rPr>
              <w:t>MRO-02, MRO-07</w:t>
            </w:r>
          </w:p>
        </w:tc>
        <w:tc>
          <w:tcPr>
            <w:tcW w:type="dxa" w:w="2556"/>
          </w:tcPr>
          <w:p>
            <w:pPr>
              <w:spacing w:after="0"/>
            </w:pPr>
            <w:r>
              <w:rPr>
                <w:rFonts w:ascii="Arial" w:hAnsi="Arial"/>
                <w:b w:val="0"/>
                <w:sz w:val="14"/>
              </w:rPr>
              <w:t>Authority boundary object, authority drift detection log</w:t>
            </w:r>
          </w:p>
        </w:tc>
      </w:tr>
      <w:tr>
        <w:tc>
          <w:tcPr>
            <w:tcW w:type="dxa" w:w="2556"/>
          </w:tcPr>
          <w:p>
            <w:pPr>
              <w:spacing w:after="0"/>
            </w:pPr>
            <w:r>
              <w:rPr>
                <w:rFonts w:ascii="Arial" w:hAnsi="Arial"/>
                <w:b w:val="0"/>
                <w:sz w:val="14"/>
              </w:rPr>
              <w:t>Multi-agent handoff behavior</w:t>
            </w:r>
          </w:p>
        </w:tc>
        <w:tc>
          <w:tcPr>
            <w:tcW w:type="dxa" w:w="2556"/>
          </w:tcPr>
          <w:p>
            <w:pPr>
              <w:spacing w:after="0"/>
            </w:pPr>
            <w:r>
              <w:rPr>
                <w:rFonts w:ascii="Arial" w:hAnsi="Arial"/>
                <w:b w:val="0"/>
                <w:sz w:val="14"/>
              </w:rPr>
              <w:t>Model behavior may influence how agents transfer responsibility, inherit constraints, or partition evidence during handoffs.</w:t>
            </w:r>
          </w:p>
        </w:tc>
        <w:tc>
          <w:tcPr>
            <w:tcW w:type="dxa" w:w="2556"/>
          </w:tcPr>
          <w:p>
            <w:pPr>
              <w:spacing w:after="0"/>
            </w:pPr>
            <w:r>
              <w:rPr>
                <w:rFonts w:ascii="Arial" w:hAnsi="Arial"/>
                <w:b w:val="0"/>
                <w:sz w:val="14"/>
              </w:rPr>
              <w:t>MRO-06, MRO-08</w:t>
            </w:r>
          </w:p>
        </w:tc>
        <w:tc>
          <w:tcPr>
            <w:tcW w:type="dxa" w:w="2556"/>
          </w:tcPr>
          <w:p>
            <w:pPr>
              <w:spacing w:after="0"/>
            </w:pPr>
            <w:r>
              <w:rPr>
                <w:rFonts w:ascii="Arial" w:hAnsi="Arial"/>
                <w:b w:val="0"/>
                <w:sz w:val="14"/>
              </w:rPr>
              <w:t>Responsibility transfer object, evidence partition</w:t>
            </w:r>
          </w:p>
        </w:tc>
      </w:tr>
      <w:tr>
        <w:tc>
          <w:tcPr>
            <w:tcW w:type="dxa" w:w="2556"/>
          </w:tcPr>
          <w:p>
            <w:pPr>
              <w:spacing w:after="0"/>
            </w:pPr>
            <w:r>
              <w:rPr>
                <w:rFonts w:ascii="Arial" w:hAnsi="Arial"/>
                <w:b w:val="0"/>
                <w:sz w:val="14"/>
              </w:rPr>
              <w:t>Evidence interpretation risk</w:t>
            </w:r>
          </w:p>
        </w:tc>
        <w:tc>
          <w:tcPr>
            <w:tcW w:type="dxa" w:w="2556"/>
          </w:tcPr>
          <w:p>
            <w:pPr>
              <w:spacing w:after="0"/>
            </w:pPr>
            <w:r>
              <w:rPr>
                <w:rFonts w:ascii="Arial" w:hAnsi="Arial"/>
                <w:b w:val="0"/>
                <w:sz w:val="14"/>
              </w:rPr>
              <w:t>Model behavior may influence how evidence is interpreted, summarized, or presented to human reviewers. This may alter accepted outcome states.</w:t>
            </w:r>
          </w:p>
        </w:tc>
        <w:tc>
          <w:tcPr>
            <w:tcW w:type="dxa" w:w="2556"/>
          </w:tcPr>
          <w:p>
            <w:pPr>
              <w:spacing w:after="0"/>
            </w:pPr>
            <w:r>
              <w:rPr>
                <w:rFonts w:ascii="Arial" w:hAnsi="Arial"/>
                <w:b w:val="0"/>
                <w:sz w:val="14"/>
              </w:rPr>
              <w:t>MRO-04, MRO-08</w:t>
            </w:r>
          </w:p>
        </w:tc>
        <w:tc>
          <w:tcPr>
            <w:tcW w:type="dxa" w:w="2556"/>
          </w:tcPr>
          <w:p>
            <w:pPr>
              <w:spacing w:after="0"/>
            </w:pPr>
            <w:r>
              <w:rPr>
                <w:rFonts w:ascii="Arial" w:hAnsi="Arial"/>
                <w:b w:val="0"/>
                <w:sz w:val="14"/>
              </w:rPr>
              <w:t>Accepted outcome state, evidence partition, review packet validation</w:t>
            </w:r>
          </w:p>
        </w:tc>
      </w:tr>
    </w:tbl>
    <w:p>
      <w:pPr>
        <w:spacing w:after="56"/>
      </w:pPr>
      <w:r>
        <w:t>Interpretation: Traditional model risk asks whether a model is governed. Agentic model risk asks whether model behavior can change lifecycle authority, tool use, evidence, review, and acceptance states. Model risk management in agentic systems requires mapping model changes to lifecycle conformance, not only to model performance.</w:t>
      </w:r>
    </w:p>
    <w:p>
      <w:pPr>
        <w:pStyle w:val="Heading2"/>
      </w:pPr>
      <w:r>
        <w:t>10.4 Cybersecurity Controls Integration</w:t>
      </w:r>
    </w:p>
    <w:p>
      <w:pPr>
        <w:pStyle w:val="Heading3"/>
      </w:pPr>
      <w:r>
        <w:t>10.4.1 Why Cybersecurity and Lifecycle Governance Intersect</w:t>
      </w:r>
    </w:p>
    <w:p>
      <w:pPr>
        <w:spacing w:after="56"/>
      </w:pPr>
      <w:r>
        <w:t>Agentic AI systems create new attack surfaces that traditional cybersecurity controls were not designed to address. Agent execution introduces risks including prompt injection, tool misuse, credential theft, and data exfiltration. These risks are not purely technical vulnerabilities. They are lifecycle governance failures that manifest as security incidents.</w:t>
      </w:r>
    </w:p>
    <w:p>
      <w:pPr>
        <w:spacing w:after="56"/>
      </w:pPr>
      <w:r>
        <w:t>Prompt injection attacks exploit the boundary between user input and system instructions. Tool misuse occurs when an agent invokes tools outside delegated authority or without proper authorization. Credential theft in agentic systems may involve stealing API keys, tool credentials, or authority tokens that enable unauthorized agent execution. Data exfiltration may occur when agents access, process, or transmit data beyond their delegated scope or privacy boundaries.</w:t>
      </w:r>
    </w:p>
    <w:p>
      <w:pPr>
        <w:spacing w:after="56"/>
      </w:pPr>
      <w:r>
        <w:t>Lifecycle governance provides the authorization and evidence layer that cybersecurity controls require. Without lifecycle governance, cybersecurity controls cannot answer: Who authorized this agent to execute? What authority boundary was violated? Which tool action crossed a liability boundary? What evidence exists to reconstruct the incident? Which human role should have reviewed this action? What accepted outcome state was compromised?</w:t>
      </w:r>
    </w:p>
    <w:p>
      <w:pPr>
        <w:spacing w:after="56"/>
      </w:pPr>
      <w:r>
        <w:t>Cybersecurity and lifecycle governance are complementary layers. Cybersecurity controls protect the execution environment, credentials, tools, and data flows. Lifecycle governance defines the authority, responsibility, evidence, and acceptance structures that cybersecurity controls must preserve under attack.</w:t>
      </w:r>
    </w:p>
    <w:p>
      <w:pPr>
        <w:spacing w:after="56"/>
      </w:pPr>
      <w:r>
        <w:t>Reference frameworks:</w:t>
      </w:r>
    </w:p>
    <w:p>
      <w:pPr>
        <w:pStyle w:val="ListBullet"/>
        <w:spacing w:after="56"/>
      </w:pPr>
      <w:r>
        <w:t>OWASP LLM Top 10 (prompt injection, insecure output handling, training data poisoning, model denial of service, supply chain vulnerabilities, sensitive information disclosure, insecure plugin design, excessive agency, overreliance, model theft)</w:t>
      </w:r>
    </w:p>
    <w:p>
      <w:pPr>
        <w:pStyle w:val="ListBullet"/>
        <w:spacing w:after="56"/>
      </w:pPr>
      <w:r>
        <w:t>NIST AI Risk Management Framework (Govern, Map, Measure, Manage functions applied to AI systems)</w:t>
      </w:r>
    </w:p>
    <w:p>
      <w:pPr>
        <w:pStyle w:val="ListBullet"/>
        <w:spacing w:after="56"/>
      </w:pPr>
      <w:r>
        <w:t>MITRE ATLAS (Adversarial Threat Landscape for Artificial-Intelligence Systems)</w:t>
      </w:r>
    </w:p>
    <w:p>
      <w:pPr>
        <w:pStyle w:val="Heading3"/>
      </w:pPr>
      <w:r>
        <w:t>10.4.2 Cybersecurity Control Mapping</w:t>
      </w:r>
    </w:p>
    <w:p>
      <w:pPr>
        <w:spacing w:after="56"/>
      </w:pPr>
      <w:r>
        <w:t>The following table maps cybersecurity control domains to agentic attack surfaces, lifecycle governance objects, MRO dimensions, and evidence outputs.</w:t>
      </w:r>
    </w:p>
    <w:p>
      <w:pPr>
        <w:keepNext/>
      </w:pPr>
      <w:r>
        <w:rPr>
          <w:b/>
          <w:sz w:val="16"/>
        </w:rPr>
        <w:t>Table T-10-03: Cybersecurity Control Mapping</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Cybersecurity Control Domain</w:t>
            </w:r>
          </w:p>
        </w:tc>
        <w:tc>
          <w:tcPr>
            <w:tcW w:type="dxa" w:w="2045"/>
          </w:tcPr>
          <w:p>
            <w:pPr>
              <w:spacing w:after="0"/>
            </w:pPr>
            <w:r>
              <w:rPr>
                <w:rFonts w:ascii="Arial" w:hAnsi="Arial"/>
                <w:b/>
                <w:sz w:val="14"/>
              </w:rPr>
              <w:t>Agentic Attack Surface</w:t>
            </w:r>
          </w:p>
        </w:tc>
        <w:tc>
          <w:tcPr>
            <w:tcW w:type="dxa" w:w="2045"/>
          </w:tcPr>
          <w:p>
            <w:pPr>
              <w:spacing w:after="0"/>
            </w:pPr>
            <w:r>
              <w:rPr>
                <w:rFonts w:ascii="Arial" w:hAnsi="Arial"/>
                <w:b/>
                <w:sz w:val="14"/>
              </w:rPr>
              <w:t>Lifecycle Governance Object</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Evidence Output</w:t>
            </w:r>
          </w:p>
        </w:tc>
      </w:tr>
      <w:tr>
        <w:tc>
          <w:tcPr>
            <w:tcW w:type="dxa" w:w="2045"/>
          </w:tcPr>
          <w:p>
            <w:pPr>
              <w:spacing w:after="0"/>
            </w:pPr>
            <w:r>
              <w:rPr>
                <w:rFonts w:ascii="Arial" w:hAnsi="Arial"/>
                <w:b w:val="0"/>
                <w:sz w:val="14"/>
              </w:rPr>
              <w:t>Identity and Access Management</w:t>
            </w:r>
          </w:p>
        </w:tc>
        <w:tc>
          <w:tcPr>
            <w:tcW w:type="dxa" w:w="2045"/>
          </w:tcPr>
          <w:p>
            <w:pPr>
              <w:spacing w:after="0"/>
            </w:pPr>
            <w:r>
              <w:rPr>
                <w:rFonts w:ascii="Arial" w:hAnsi="Arial"/>
                <w:b w:val="0"/>
                <w:sz w:val="14"/>
              </w:rPr>
              <w:t>Agent identity spoofing, unauthorized agent instantiation, role escalation</w:t>
            </w:r>
          </w:p>
        </w:tc>
        <w:tc>
          <w:tcPr>
            <w:tcW w:type="dxa" w:w="2045"/>
          </w:tcPr>
          <w:p>
            <w:pPr>
              <w:spacing w:after="0"/>
            </w:pPr>
            <w:r>
              <w:rPr>
                <w:rFonts w:ascii="Arial" w:hAnsi="Arial"/>
                <w:b w:val="0"/>
                <w:sz w:val="14"/>
              </w:rPr>
              <w:t>Agent identity lifecycle record, role-responsibility map, authority boundary object</w:t>
            </w:r>
          </w:p>
        </w:tc>
        <w:tc>
          <w:tcPr>
            <w:tcW w:type="dxa" w:w="2045"/>
          </w:tcPr>
          <w:p>
            <w:pPr>
              <w:spacing w:after="0"/>
            </w:pPr>
            <w:r>
              <w:rPr>
                <w:rFonts w:ascii="Arial" w:hAnsi="Arial"/>
                <w:b w:val="0"/>
                <w:sz w:val="14"/>
              </w:rPr>
              <w:t>MRO-01, MRO-02</w:t>
            </w:r>
          </w:p>
        </w:tc>
        <w:tc>
          <w:tcPr>
            <w:tcW w:type="dxa" w:w="2045"/>
          </w:tcPr>
          <w:p>
            <w:pPr>
              <w:spacing w:after="0"/>
            </w:pPr>
            <w:r>
              <w:rPr>
                <w:rFonts w:ascii="Arial" w:hAnsi="Arial"/>
                <w:b w:val="0"/>
                <w:sz w:val="14"/>
              </w:rPr>
              <w:t>Agent identity registry, authority boundary validation log</w:t>
            </w:r>
          </w:p>
        </w:tc>
      </w:tr>
      <w:tr>
        <w:tc>
          <w:tcPr>
            <w:tcW w:type="dxa" w:w="2045"/>
          </w:tcPr>
          <w:p>
            <w:pPr>
              <w:spacing w:after="0"/>
            </w:pPr>
            <w:r>
              <w:rPr>
                <w:rFonts w:ascii="Arial" w:hAnsi="Arial"/>
                <w:b w:val="0"/>
                <w:sz w:val="14"/>
              </w:rPr>
              <w:t>Prompt Injection Defense</w:t>
            </w:r>
          </w:p>
        </w:tc>
        <w:tc>
          <w:tcPr>
            <w:tcW w:type="dxa" w:w="2045"/>
          </w:tcPr>
          <w:p>
            <w:pPr>
              <w:spacing w:after="0"/>
            </w:pPr>
            <w:r>
              <w:rPr>
                <w:rFonts w:ascii="Arial" w:hAnsi="Arial"/>
                <w:b w:val="0"/>
                <w:sz w:val="14"/>
              </w:rPr>
              <w:t>Malicious user input altering agent behavior, instruction override, goal hijacking</w:t>
            </w:r>
          </w:p>
        </w:tc>
        <w:tc>
          <w:tcPr>
            <w:tcW w:type="dxa" w:w="2045"/>
          </w:tcPr>
          <w:p>
            <w:pPr>
              <w:spacing w:after="0"/>
            </w:pPr>
            <w:r>
              <w:rPr>
                <w:rFonts w:ascii="Arial" w:hAnsi="Arial"/>
                <w:b w:val="0"/>
                <w:sz w:val="14"/>
              </w:rPr>
              <w:t>Authority boundary object, accepted outcome state, evidence partition</w:t>
            </w:r>
          </w:p>
        </w:tc>
        <w:tc>
          <w:tcPr>
            <w:tcW w:type="dxa" w:w="2045"/>
          </w:tcPr>
          <w:p>
            <w:pPr>
              <w:spacing w:after="0"/>
            </w:pPr>
            <w:r>
              <w:rPr>
                <w:rFonts w:ascii="Arial" w:hAnsi="Arial"/>
                <w:b w:val="0"/>
                <w:sz w:val="14"/>
              </w:rPr>
              <w:t>MRO-02, MRO-04, MRO-08</w:t>
            </w:r>
          </w:p>
        </w:tc>
        <w:tc>
          <w:tcPr>
            <w:tcW w:type="dxa" w:w="2045"/>
          </w:tcPr>
          <w:p>
            <w:pPr>
              <w:spacing w:after="0"/>
            </w:pPr>
            <w:r>
              <w:rPr>
                <w:rFonts w:ascii="Arial" w:hAnsi="Arial"/>
                <w:b w:val="0"/>
                <w:sz w:val="14"/>
              </w:rPr>
              <w:t>Authority boundary violation log, accepted outcome rejection record, evidence partition integrity check</w:t>
            </w:r>
          </w:p>
        </w:tc>
      </w:tr>
      <w:tr>
        <w:tc>
          <w:tcPr>
            <w:tcW w:type="dxa" w:w="2045"/>
          </w:tcPr>
          <w:p>
            <w:pPr>
              <w:spacing w:after="0"/>
            </w:pPr>
            <w:r>
              <w:rPr>
                <w:rFonts w:ascii="Arial" w:hAnsi="Arial"/>
                <w:b w:val="0"/>
                <w:sz w:val="14"/>
              </w:rPr>
              <w:t>Tool Misuse Prevention</w:t>
            </w:r>
          </w:p>
        </w:tc>
        <w:tc>
          <w:tcPr>
            <w:tcW w:type="dxa" w:w="2045"/>
          </w:tcPr>
          <w:p>
            <w:pPr>
              <w:spacing w:after="0"/>
            </w:pPr>
            <w:r>
              <w:rPr>
                <w:rFonts w:ascii="Arial" w:hAnsi="Arial"/>
                <w:b w:val="0"/>
                <w:sz w:val="14"/>
              </w:rPr>
              <w:t>Agent invoking unauthorized tools, tool action exceeding delegated scope, tool credential theft</w:t>
            </w:r>
          </w:p>
        </w:tc>
        <w:tc>
          <w:tcPr>
            <w:tcW w:type="dxa" w:w="2045"/>
          </w:tcPr>
          <w:p>
            <w:pPr>
              <w:spacing w:after="0"/>
            </w:pPr>
            <w:r>
              <w:rPr>
                <w:rFonts w:ascii="Arial" w:hAnsi="Arial"/>
                <w:b w:val="0"/>
                <w:sz w:val="14"/>
              </w:rPr>
              <w:t>Tool-action liability boundary, authority boundary object, tool credential registry</w:t>
            </w:r>
          </w:p>
        </w:tc>
        <w:tc>
          <w:tcPr>
            <w:tcW w:type="dxa" w:w="2045"/>
          </w:tcPr>
          <w:p>
            <w:pPr>
              <w:spacing w:after="0"/>
            </w:pPr>
            <w:r>
              <w:rPr>
                <w:rFonts w:ascii="Arial" w:hAnsi="Arial"/>
                <w:b w:val="0"/>
                <w:sz w:val="14"/>
              </w:rPr>
              <w:t>MRO-02, MRO-05</w:t>
            </w:r>
          </w:p>
        </w:tc>
        <w:tc>
          <w:tcPr>
            <w:tcW w:type="dxa" w:w="2045"/>
          </w:tcPr>
          <w:p>
            <w:pPr>
              <w:spacing w:after="0"/>
            </w:pPr>
            <w:r>
              <w:rPr>
                <w:rFonts w:ascii="Arial" w:hAnsi="Arial"/>
                <w:b w:val="0"/>
                <w:sz w:val="14"/>
              </w:rPr>
              <w:t>Tool-action authorization log, tool-action liability record, credential access audit trail</w:t>
            </w:r>
          </w:p>
        </w:tc>
      </w:tr>
      <w:tr>
        <w:tc>
          <w:tcPr>
            <w:tcW w:type="dxa" w:w="2045"/>
          </w:tcPr>
          <w:p>
            <w:pPr>
              <w:spacing w:after="0"/>
            </w:pPr>
            <w:r>
              <w:rPr>
                <w:rFonts w:ascii="Arial" w:hAnsi="Arial"/>
                <w:b w:val="0"/>
                <w:sz w:val="14"/>
              </w:rPr>
              <w:t>Credential Management</w:t>
            </w:r>
          </w:p>
        </w:tc>
        <w:tc>
          <w:tcPr>
            <w:tcW w:type="dxa" w:w="2045"/>
          </w:tcPr>
          <w:p>
            <w:pPr>
              <w:spacing w:after="0"/>
            </w:pPr>
            <w:r>
              <w:rPr>
                <w:rFonts w:ascii="Arial" w:hAnsi="Arial"/>
                <w:b w:val="0"/>
                <w:sz w:val="14"/>
              </w:rPr>
              <w:t>API key theft, tool credential exfiltration, authority token compromise</w:t>
            </w:r>
          </w:p>
        </w:tc>
        <w:tc>
          <w:tcPr>
            <w:tcW w:type="dxa" w:w="2045"/>
          </w:tcPr>
          <w:p>
            <w:pPr>
              <w:spacing w:after="0"/>
            </w:pPr>
            <w:r>
              <w:rPr>
                <w:rFonts w:ascii="Arial" w:hAnsi="Arial"/>
                <w:b w:val="0"/>
                <w:sz w:val="14"/>
              </w:rPr>
              <w:t>Agent identity lifecycle record, tool credential registry, processor chain record</w:t>
            </w:r>
          </w:p>
        </w:tc>
        <w:tc>
          <w:tcPr>
            <w:tcW w:type="dxa" w:w="2045"/>
          </w:tcPr>
          <w:p>
            <w:pPr>
              <w:spacing w:after="0"/>
            </w:pPr>
            <w:r>
              <w:rPr>
                <w:rFonts w:ascii="Arial" w:hAnsi="Arial"/>
                <w:b w:val="0"/>
                <w:sz w:val="14"/>
              </w:rPr>
              <w:t>MRO-01, MRO-05, MRO-14</w:t>
            </w:r>
          </w:p>
        </w:tc>
        <w:tc>
          <w:tcPr>
            <w:tcW w:type="dxa" w:w="2045"/>
          </w:tcPr>
          <w:p>
            <w:pPr>
              <w:spacing w:after="0"/>
            </w:pPr>
            <w:r>
              <w:rPr>
                <w:rFonts w:ascii="Arial" w:hAnsi="Arial"/>
                <w:b w:val="0"/>
                <w:sz w:val="14"/>
              </w:rPr>
              <w:t>Credential rotation log, credential access audit trail, processor chain validation</w:t>
            </w:r>
          </w:p>
        </w:tc>
      </w:tr>
      <w:tr>
        <w:tc>
          <w:tcPr>
            <w:tcW w:type="dxa" w:w="2045"/>
          </w:tcPr>
          <w:p>
            <w:pPr>
              <w:spacing w:after="0"/>
            </w:pPr>
            <w:r>
              <w:rPr>
                <w:rFonts w:ascii="Arial" w:hAnsi="Arial"/>
                <w:b w:val="0"/>
                <w:sz w:val="14"/>
              </w:rPr>
              <w:t>Data Exfiltration Prevention</w:t>
            </w:r>
          </w:p>
        </w:tc>
        <w:tc>
          <w:tcPr>
            <w:tcW w:type="dxa" w:w="2045"/>
          </w:tcPr>
          <w:p>
            <w:pPr>
              <w:spacing w:after="0"/>
            </w:pPr>
            <w:r>
              <w:rPr>
                <w:rFonts w:ascii="Arial" w:hAnsi="Arial"/>
                <w:b w:val="0"/>
                <w:sz w:val="14"/>
              </w:rPr>
              <w:t>Agent accessing data beyond delegated scope, unauthorized data transmission, privacy boundary violation</w:t>
            </w:r>
          </w:p>
        </w:tc>
        <w:tc>
          <w:tcPr>
            <w:tcW w:type="dxa" w:w="2045"/>
          </w:tcPr>
          <w:p>
            <w:pPr>
              <w:spacing w:after="0"/>
            </w:pPr>
            <w:r>
              <w:rPr>
                <w:rFonts w:ascii="Arial" w:hAnsi="Arial"/>
                <w:b w:val="0"/>
                <w:sz w:val="14"/>
              </w:rPr>
              <w:t>Privacy lifecycle map, evidence partition, data subject rights reconciliation record</w:t>
            </w:r>
          </w:p>
        </w:tc>
        <w:tc>
          <w:tcPr>
            <w:tcW w:type="dxa" w:w="2045"/>
          </w:tcPr>
          <w:p>
            <w:pPr>
              <w:spacing w:after="0"/>
            </w:pPr>
            <w:r>
              <w:rPr>
                <w:rFonts w:ascii="Arial" w:hAnsi="Arial"/>
                <w:b w:val="0"/>
                <w:sz w:val="14"/>
              </w:rPr>
              <w:t>MRO-08, MRO-10, MRO-13</w:t>
            </w:r>
          </w:p>
        </w:tc>
        <w:tc>
          <w:tcPr>
            <w:tcW w:type="dxa" w:w="2045"/>
          </w:tcPr>
          <w:p>
            <w:pPr>
              <w:spacing w:after="0"/>
            </w:pPr>
            <w:r>
              <w:rPr>
                <w:rFonts w:ascii="Arial" w:hAnsi="Arial"/>
                <w:b w:val="0"/>
                <w:sz w:val="14"/>
              </w:rPr>
              <w:t>Data access audit trail, evidence partition integrity check, privacy boundary violation log</w:t>
            </w:r>
          </w:p>
        </w:tc>
      </w:tr>
      <w:tr>
        <w:tc>
          <w:tcPr>
            <w:tcW w:type="dxa" w:w="2045"/>
          </w:tcPr>
          <w:p>
            <w:pPr>
              <w:spacing w:after="0"/>
            </w:pPr>
            <w:r>
              <w:rPr>
                <w:rFonts w:ascii="Arial" w:hAnsi="Arial"/>
                <w:b w:val="0"/>
                <w:sz w:val="14"/>
              </w:rPr>
              <w:t>Audit Trail Integrity</w:t>
            </w:r>
          </w:p>
        </w:tc>
        <w:tc>
          <w:tcPr>
            <w:tcW w:type="dxa" w:w="2045"/>
          </w:tcPr>
          <w:p>
            <w:pPr>
              <w:spacing w:after="0"/>
            </w:pPr>
            <w:r>
              <w:rPr>
                <w:rFonts w:ascii="Arial" w:hAnsi="Arial"/>
                <w:b w:val="0"/>
                <w:sz w:val="14"/>
              </w:rPr>
              <w:t>Evidence tampering, log manipulation, responsibility chain corruption</w:t>
            </w:r>
          </w:p>
        </w:tc>
        <w:tc>
          <w:tcPr>
            <w:tcW w:type="dxa" w:w="2045"/>
          </w:tcPr>
          <w:p>
            <w:pPr>
              <w:spacing w:after="0"/>
            </w:pPr>
            <w:r>
              <w:rPr>
                <w:rFonts w:ascii="Arial" w:hAnsi="Arial"/>
                <w:b w:val="0"/>
                <w:sz w:val="14"/>
              </w:rPr>
              <w:t>Evidence partition, incident closure record, accepted outcome state</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Evidence integrity hash, audit trail validation log, incident closure record</w:t>
            </w:r>
          </w:p>
        </w:tc>
      </w:tr>
      <w:tr>
        <w:tc>
          <w:tcPr>
            <w:tcW w:type="dxa" w:w="2045"/>
          </w:tcPr>
          <w:p>
            <w:pPr>
              <w:spacing w:after="0"/>
            </w:pPr>
            <w:r>
              <w:rPr>
                <w:rFonts w:ascii="Arial" w:hAnsi="Arial"/>
                <w:b w:val="0"/>
                <w:sz w:val="14"/>
              </w:rPr>
              <w:t>Supply-Chain Integrity</w:t>
            </w:r>
          </w:p>
        </w:tc>
        <w:tc>
          <w:tcPr>
            <w:tcW w:type="dxa" w:w="2045"/>
          </w:tcPr>
          <w:p>
            <w:pPr>
              <w:spacing w:after="0"/>
            </w:pPr>
            <w:r>
              <w:rPr>
                <w:rFonts w:ascii="Arial" w:hAnsi="Arial"/>
                <w:b w:val="0"/>
                <w:sz w:val="14"/>
              </w:rPr>
              <w:t>Compromised model provider, malicious tool plugin, subprocessor data breach</w:t>
            </w:r>
          </w:p>
        </w:tc>
        <w:tc>
          <w:tcPr>
            <w:tcW w:type="dxa" w:w="2045"/>
          </w:tcPr>
          <w:p>
            <w:pPr>
              <w:spacing w:after="0"/>
            </w:pPr>
            <w:r>
              <w:rPr>
                <w:rFonts w:ascii="Arial" w:hAnsi="Arial"/>
                <w:b w:val="0"/>
                <w:sz w:val="14"/>
              </w:rPr>
              <w:t>Processor chain record, vendor substitution conformance test, model version registry</w:t>
            </w:r>
          </w:p>
        </w:tc>
        <w:tc>
          <w:tcPr>
            <w:tcW w:type="dxa" w:w="2045"/>
          </w:tcPr>
          <w:p>
            <w:pPr>
              <w:spacing w:after="0"/>
            </w:pPr>
            <w:r>
              <w:rPr>
                <w:rFonts w:ascii="Arial" w:hAnsi="Arial"/>
                <w:b w:val="0"/>
                <w:sz w:val="14"/>
              </w:rPr>
              <w:t>MRO-14, MRO-15</w:t>
            </w:r>
          </w:p>
        </w:tc>
        <w:tc>
          <w:tcPr>
            <w:tcW w:type="dxa" w:w="2045"/>
          </w:tcPr>
          <w:p>
            <w:pPr>
              <w:spacing w:after="0"/>
            </w:pPr>
            <w:r>
              <w:rPr>
                <w:rFonts w:ascii="Arial" w:hAnsi="Arial"/>
                <w:b w:val="0"/>
                <w:sz w:val="14"/>
              </w:rPr>
              <w:t>Processor chain validation log, vendor substitution test result, model version integrity check</w:t>
            </w:r>
          </w:p>
        </w:tc>
      </w:tr>
      <w:tr>
        <w:tc>
          <w:tcPr>
            <w:tcW w:type="dxa" w:w="2045"/>
          </w:tcPr>
          <w:p>
            <w:pPr>
              <w:spacing w:after="0"/>
            </w:pPr>
            <w:r>
              <w:rPr>
                <w:rFonts w:ascii="Arial" w:hAnsi="Arial"/>
                <w:b w:val="0"/>
                <w:sz w:val="14"/>
              </w:rPr>
              <w:t>Incident Response Linkage</w:t>
            </w:r>
          </w:p>
        </w:tc>
        <w:tc>
          <w:tcPr>
            <w:tcW w:type="dxa" w:w="2045"/>
          </w:tcPr>
          <w:p>
            <w:pPr>
              <w:spacing w:after="0"/>
            </w:pPr>
            <w:r>
              <w:rPr>
                <w:rFonts w:ascii="Arial" w:hAnsi="Arial"/>
                <w:b w:val="0"/>
                <w:sz w:val="14"/>
              </w:rPr>
              <w:t>Agentic incident detection, responsibility assignment, evidence reconstruction, remediation closure</w:t>
            </w:r>
          </w:p>
        </w:tc>
        <w:tc>
          <w:tcPr>
            <w:tcW w:type="dxa" w:w="2045"/>
          </w:tcPr>
          <w:p>
            <w:pPr>
              <w:spacing w:after="0"/>
            </w:pPr>
            <w:r>
              <w:rPr>
                <w:rFonts w:ascii="Arial" w:hAnsi="Arial"/>
                <w:b w:val="0"/>
                <w:sz w:val="14"/>
              </w:rPr>
              <w:t>Incident closure record, accepted outcome state, evidence partition, role-responsibility map</w:t>
            </w:r>
          </w:p>
        </w:tc>
        <w:tc>
          <w:tcPr>
            <w:tcW w:type="dxa" w:w="2045"/>
          </w:tcPr>
          <w:p>
            <w:pPr>
              <w:spacing w:after="0"/>
            </w:pPr>
            <w:r>
              <w:rPr>
                <w:rFonts w:ascii="Arial" w:hAnsi="Arial"/>
                <w:b w:val="0"/>
                <w:sz w:val="14"/>
              </w:rPr>
              <w:t>MRO-01, MRO-04, MRO-08, MRO-16</w:t>
            </w:r>
          </w:p>
        </w:tc>
        <w:tc>
          <w:tcPr>
            <w:tcW w:type="dxa" w:w="2045"/>
          </w:tcPr>
          <w:p>
            <w:pPr>
              <w:spacing w:after="0"/>
            </w:pPr>
            <w:r>
              <w:rPr>
                <w:rFonts w:ascii="Arial" w:hAnsi="Arial"/>
                <w:b w:val="0"/>
                <w:sz w:val="14"/>
              </w:rPr>
              <w:t>Incident closure record, responsibility assignment log, evidence reconstruction report, remediation acceptance record</w:t>
            </w:r>
          </w:p>
        </w:tc>
      </w:tr>
    </w:tbl>
    <w:p>
      <w:pPr>
        <w:spacing w:after="56"/>
      </w:pPr>
      <w:r>
        <w:t>Interpretation: Cybersecurity controls in agentic systems must preserve lifecycle governance structures under attack. Traditional cybersecurity controls protect infrastructure, credentials, and data. Agentic cybersecurity controls must also protect authority boundaries, responsibility chains, evidence partitions, and accepted outcome states.</w:t>
      </w:r>
    </w:p>
    <w:p>
      <w:pPr>
        <w:pStyle w:val="Heading3"/>
      </w:pPr>
      <w:r>
        <w:t>10.4.3 Integration Note</w:t>
      </w:r>
    </w:p>
    <w:p>
      <w:pPr>
        <w:spacing w:after="56"/>
      </w:pPr>
      <w:r>
        <w:t>Cybersecurity and lifecycle governance are complementary layers, not substitutes. Cybersecurity controls without lifecycle governance cannot answer who authorized, executed, reviewed, and accepted agentic work. Lifecycle governance without cybersecurity controls cannot protect authority, credentials, tools, evidence, and data under attack. Neither replaces the other. Both must be present for enterprise-grade agentic AI.</w:t>
      </w:r>
    </w:p>
    <w:p>
      <w:pPr>
        <w:spacing w:after="56"/>
      </w:pPr>
      <w:r>
        <w:t>Boundary: This section is a governance crosswalk, not a cybersecurity audit framework, penetration testing guide, or security certification procedure. Detailed cybersecurity assurance procedures for agentic systems are reserved for companion papers, as outlined in Chapter 16.</w:t>
      </w:r>
    </w:p>
    <w:p>
      <w:pPr>
        <w:pStyle w:val="Heading2"/>
      </w:pPr>
      <w:r>
        <w:t>10.5 Board Reporting and Governance Escalation</w:t>
      </w:r>
    </w:p>
    <w:p>
      <w:pPr>
        <w:pStyle w:val="Heading3"/>
      </w:pPr>
      <w:r>
        <w:t>10.5.1 What Boards Need to Know About Agentic AI</w:t>
      </w:r>
    </w:p>
    <w:p>
      <w:pPr>
        <w:spacing w:after="56"/>
      </w:pPr>
      <w:r>
        <w:t>Boards of directors are increasingly responsible for AI risk oversight. The EU AI Act Article 9 requires high-risk AI system providers to establish quality management systems with board-level accountability. The NIST AI Risk Management Framework emphasizes governance as the foundational function, requiring senior leadership and board engagement in AI risk decisions. SEC cybersecurity disclosure rules establish precedent for board-level oversight of technology risk, including emerging risks from AI systems.</w:t>
      </w:r>
    </w:p>
    <w:p>
      <w:pPr>
        <w:spacing w:after="56"/>
      </w:pPr>
      <w:r>
        <w:t>Agentic AI creates new board-level concerns that traditional AI risk reporting does not address. Boards must understand lifecycle accountability gaps, unresolved disputes, remediation failures, and privacy incidents in agentic systems. Traditional AI risk reporting focuses on model performance, bias metrics, and deployment status. Agentic AI risk reporting must address: Who authorized this agent to execute? What authority boundary was violated? Which disputes remain unresolved? Which remediation actions were accepted or rejected? Which privacy incidents occurred during agent execution?</w:t>
      </w:r>
    </w:p>
    <w:p>
      <w:pPr>
        <w:spacing w:after="56"/>
      </w:pPr>
      <w:r>
        <w:t>The key question for board reporting is: Can the board receive lifecycle status as a structured, auditable, reproducible report? Without lifecycle governance, board reporting on agentic AI becomes anecdotal, inconsistent, and non-auditable. With lifecycle governance, board reporting can be structured around RCCS coverage, ALCS conformance, open disputes, remediation closure rates, and privacy incident summaries.</w:t>
      </w:r>
    </w:p>
    <w:p>
      <w:pPr>
        <w:pStyle w:val="Heading3"/>
      </w:pPr>
      <w:r>
        <w:t>10.5.2 Board-Level Reporting Elements</w:t>
      </w:r>
    </w:p>
    <w:p>
      <w:pPr>
        <w:spacing w:after="56"/>
      </w:pPr>
      <w:r>
        <w:t>The following table defines board-level reporting elements for agentic AI, mapped to lifecycle object sources, reporting frequency, escalation triggers, and regulatory drivers.</w:t>
      </w:r>
    </w:p>
    <w:p>
      <w:pPr>
        <w:keepNext/>
      </w:pPr>
      <w:r>
        <w:rPr>
          <w:b/>
          <w:sz w:val="16"/>
        </w:rPr>
        <w:t>Table T-10-04: Board Reporting Elements for Agentic AI</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Reporting Element</w:t>
            </w:r>
          </w:p>
        </w:tc>
        <w:tc>
          <w:tcPr>
            <w:tcW w:type="dxa" w:w="2045"/>
          </w:tcPr>
          <w:p>
            <w:pPr>
              <w:spacing w:after="0"/>
            </w:pPr>
            <w:r>
              <w:rPr>
                <w:rFonts w:ascii="Arial" w:hAnsi="Arial"/>
                <w:b/>
                <w:sz w:val="14"/>
              </w:rPr>
              <w:t>Lifecycle Object Source</w:t>
            </w:r>
          </w:p>
        </w:tc>
        <w:tc>
          <w:tcPr>
            <w:tcW w:type="dxa" w:w="2045"/>
          </w:tcPr>
          <w:p>
            <w:pPr>
              <w:spacing w:after="0"/>
            </w:pPr>
            <w:r>
              <w:rPr>
                <w:rFonts w:ascii="Arial" w:hAnsi="Arial"/>
                <w:b/>
                <w:sz w:val="14"/>
              </w:rPr>
              <w:t>Frequency</w:t>
            </w:r>
          </w:p>
        </w:tc>
        <w:tc>
          <w:tcPr>
            <w:tcW w:type="dxa" w:w="2045"/>
          </w:tcPr>
          <w:p>
            <w:pPr>
              <w:spacing w:after="0"/>
            </w:pPr>
            <w:r>
              <w:rPr>
                <w:rFonts w:ascii="Arial" w:hAnsi="Arial"/>
                <w:b/>
                <w:sz w:val="14"/>
              </w:rPr>
              <w:t>Escalation Trigger</w:t>
            </w:r>
          </w:p>
        </w:tc>
        <w:tc>
          <w:tcPr>
            <w:tcW w:type="dxa" w:w="2045"/>
          </w:tcPr>
          <w:p>
            <w:pPr>
              <w:spacing w:after="0"/>
            </w:pPr>
            <w:r>
              <w:rPr>
                <w:rFonts w:ascii="Arial" w:hAnsi="Arial"/>
                <w:b/>
                <w:sz w:val="14"/>
              </w:rPr>
              <w:t>Regulatory Driver</w:t>
            </w:r>
          </w:p>
        </w:tc>
      </w:tr>
      <w:tr>
        <w:tc>
          <w:tcPr>
            <w:tcW w:type="dxa" w:w="2045"/>
          </w:tcPr>
          <w:p>
            <w:pPr>
              <w:spacing w:after="0"/>
            </w:pPr>
            <w:r>
              <w:rPr>
                <w:rFonts w:ascii="Arial" w:hAnsi="Arial"/>
                <w:b w:val="0"/>
                <w:sz w:val="14"/>
              </w:rPr>
              <w:t>Lifecycle Accountability Summary</w:t>
            </w:r>
          </w:p>
        </w:tc>
        <w:tc>
          <w:tcPr>
            <w:tcW w:type="dxa" w:w="2045"/>
          </w:tcPr>
          <w:p>
            <w:pPr>
              <w:spacing w:after="0"/>
            </w:pPr>
            <w:r>
              <w:rPr>
                <w:rFonts w:ascii="Arial" w:hAnsi="Arial"/>
                <w:b w:val="0"/>
                <w:sz w:val="14"/>
              </w:rPr>
              <w:t>RCCS baseline score, ALCS conformance score, role-responsibility map coverage</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RCCS score below threshold, ALCS score degradation, accountability gap in high-risk system</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Open Dispute Register</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Dispute unresolved beyond SLA, dispute involving high-risk system, dispute escalated to external authority</w:t>
            </w:r>
          </w:p>
        </w:tc>
        <w:tc>
          <w:tcPr>
            <w:tcW w:type="dxa" w:w="2045"/>
          </w:tcPr>
          <w:p>
            <w:pPr>
              <w:spacing w:after="0"/>
            </w:pPr>
            <w:r>
              <w:rPr>
                <w:rFonts w:ascii="Arial" w:hAnsi="Arial"/>
                <w:b w:val="0"/>
                <w:sz w:val="14"/>
              </w:rPr>
              <w:t>EU AI Act Art. 72 (dispute resolution), GDPR Art. 79 (right to judicial remedy)</w:t>
            </w:r>
          </w:p>
        </w:tc>
      </w:tr>
      <w:tr>
        <w:tc>
          <w:tcPr>
            <w:tcW w:type="dxa" w:w="2045"/>
          </w:tcPr>
          <w:p>
            <w:pPr>
              <w:spacing w:after="0"/>
            </w:pPr>
            <w:r>
              <w:rPr>
                <w:rFonts w:ascii="Arial" w:hAnsi="Arial"/>
                <w:b w:val="0"/>
                <w:sz w:val="14"/>
              </w:rPr>
              <w:t>Remediation Closure Rate</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Remediation closure rate below threshold, high-severity incident unresolved, remediation rejected by human authority</w:t>
            </w:r>
          </w:p>
        </w:tc>
        <w:tc>
          <w:tcPr>
            <w:tcW w:type="dxa" w:w="2045"/>
          </w:tcPr>
          <w:p>
            <w:pPr>
              <w:spacing w:after="0"/>
            </w:pPr>
            <w:r>
              <w:rPr>
                <w:rFonts w:ascii="Arial" w:hAnsi="Arial"/>
                <w:b w:val="0"/>
                <w:sz w:val="14"/>
              </w:rPr>
              <w:t>NIST AI RMF Manage function, EU AI Act Art. 9 (corrective actions)</w:t>
            </w:r>
          </w:p>
        </w:tc>
      </w:tr>
      <w:tr>
        <w:tc>
          <w:tcPr>
            <w:tcW w:type="dxa" w:w="2045"/>
          </w:tcPr>
          <w:p>
            <w:pPr>
              <w:spacing w:after="0"/>
            </w:pPr>
            <w:r>
              <w:rPr>
                <w:rFonts w:ascii="Arial" w:hAnsi="Arial"/>
                <w:b w:val="0"/>
                <w:sz w:val="14"/>
              </w:rPr>
              <w:t>Privacy Incident Summary</w:t>
            </w:r>
          </w:p>
        </w:tc>
        <w:tc>
          <w:tcPr>
            <w:tcW w:type="dxa" w:w="2045"/>
          </w:tcPr>
          <w:p>
            <w:pPr>
              <w:spacing w:after="0"/>
            </w:pPr>
            <w:r>
              <w:rPr>
                <w:rFonts w:ascii="Arial" w:hAnsi="Arial"/>
                <w:b w:val="0"/>
                <w:sz w:val="14"/>
              </w:rPr>
              <w:t>Privacy lifecycle map, data subject rights reconciliation record, evidence partition, incident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Privacy incident involving personal data breach, data subject rights request unresolved, cross-border data transfer violation</w:t>
            </w:r>
          </w:p>
        </w:tc>
        <w:tc>
          <w:tcPr>
            <w:tcW w:type="dxa" w:w="2045"/>
          </w:tcPr>
          <w:p>
            <w:pPr>
              <w:spacing w:after="0"/>
            </w:pPr>
            <w:r>
              <w:rPr>
                <w:rFonts w:ascii="Arial" w:hAnsi="Arial"/>
                <w:b w:val="0"/>
                <w:sz w:val="14"/>
              </w:rPr>
              <w:t>GDPR Art. 33-34 (breach notification), EU AI Act Art. 10 (data governance)</w:t>
            </w:r>
          </w:p>
        </w:tc>
      </w:tr>
      <w:tr>
        <w:tc>
          <w:tcPr>
            <w:tcW w:type="dxa" w:w="2045"/>
          </w:tcPr>
          <w:p>
            <w:pPr>
              <w:spacing w:after="0"/>
            </w:pPr>
            <w:r>
              <w:rPr>
                <w:rFonts w:ascii="Arial" w:hAnsi="Arial"/>
                <w:b w:val="0"/>
                <w:sz w:val="14"/>
              </w:rPr>
              <w:t>Vendor and Tool Substitution Log</w:t>
            </w:r>
          </w:p>
        </w:tc>
        <w:tc>
          <w:tcPr>
            <w:tcW w:type="dxa" w:w="2045"/>
          </w:tcPr>
          <w:p>
            <w:pPr>
              <w:spacing w:after="0"/>
            </w:pPr>
            <w:r>
              <w:rPr>
                <w:rFonts w:ascii="Arial" w:hAnsi="Arial"/>
                <w:b w:val="0"/>
                <w:sz w:val="14"/>
              </w:rPr>
              <w:t>Vendor substitution conformance test, processor chain record, model version registry</w:t>
            </w:r>
          </w:p>
        </w:tc>
        <w:tc>
          <w:tcPr>
            <w:tcW w:type="dxa" w:w="2045"/>
          </w:tcPr>
          <w:p>
            <w:pPr>
              <w:spacing w:after="0"/>
            </w:pPr>
            <w:r>
              <w:rPr>
                <w:rFonts w:ascii="Arial" w:hAnsi="Arial"/>
                <w:b w:val="0"/>
                <w:sz w:val="14"/>
              </w:rPr>
              <w:t>Semi-annually</w:t>
            </w:r>
          </w:p>
        </w:tc>
        <w:tc>
          <w:tcPr>
            <w:tcW w:type="dxa" w:w="2045"/>
          </w:tcPr>
          <w:p>
            <w:pPr>
              <w:spacing w:after="0"/>
            </w:pPr>
            <w:r>
              <w:rPr>
                <w:rFonts w:ascii="Arial" w:hAnsi="Arial"/>
                <w:b w:val="0"/>
                <w:sz w:val="14"/>
              </w:rPr>
              <w:t>Vendor lock-in risk identified, substitution test failure, processor chain integrity violation</w:t>
            </w:r>
          </w:p>
        </w:tc>
        <w:tc>
          <w:tcPr>
            <w:tcW w:type="dxa" w:w="2045"/>
          </w:tcPr>
          <w:p>
            <w:pPr>
              <w:spacing w:after="0"/>
            </w:pPr>
            <w:r>
              <w:rPr>
                <w:rFonts w:ascii="Arial" w:hAnsi="Arial"/>
                <w:b w:val="0"/>
                <w:sz w:val="14"/>
              </w:rPr>
              <w:t>EU AI Act Art. 25 (obligations of importers), Art. 28 (obligations of distributors), DORA Art. 28 (ICT third-party risk)</w:t>
            </w:r>
          </w:p>
        </w:tc>
      </w:tr>
      <w:tr>
        <w:tc>
          <w:tcPr>
            <w:tcW w:type="dxa" w:w="2045"/>
          </w:tcPr>
          <w:p>
            <w:pPr>
              <w:spacing w:after="0"/>
            </w:pPr>
            <w:r>
              <w:rPr>
                <w:rFonts w:ascii="Arial" w:hAnsi="Arial"/>
                <w:b w:val="0"/>
                <w:sz w:val="14"/>
              </w:rPr>
              <w:t>Drift and Remediation Status</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Quarterly</w:t>
            </w:r>
          </w:p>
        </w:tc>
        <w:tc>
          <w:tcPr>
            <w:tcW w:type="dxa" w:w="2045"/>
          </w:tcPr>
          <w:p>
            <w:pPr>
              <w:spacing w:after="0"/>
            </w:pPr>
            <w:r>
              <w:rPr>
                <w:rFonts w:ascii="Arial" w:hAnsi="Arial"/>
                <w:b w:val="0"/>
                <w:sz w:val="14"/>
              </w:rPr>
              <w:t>Authority drift detected in high-risk system, remediation unresolved, improvement actions stalled</w:t>
            </w:r>
          </w:p>
        </w:tc>
        <w:tc>
          <w:tcPr>
            <w:tcW w:type="dxa" w:w="2045"/>
          </w:tcPr>
          <w:p>
            <w:pPr>
              <w:spacing w:after="0"/>
            </w:pPr>
            <w:r>
              <w:rPr>
                <w:rFonts w:ascii="Arial" w:hAnsi="Arial"/>
                <w:b w:val="0"/>
                <w:sz w:val="14"/>
              </w:rPr>
              <w:t>NIST AI RMF Measure function, EU AI Act Art. 9 (monitoring and logging)</w:t>
            </w:r>
          </w:p>
        </w:tc>
      </w:tr>
    </w:tbl>
    <w:p>
      <w:pPr>
        <w:spacing w:after="56"/>
      </w:pPr>
      <w:r>
        <w:t>Interpretation: Board reporting for agentic AI must be structured, auditable, and reproducible. Lifecycle governance objects provide the data sources for board-level risk reporting. Boards should receive lifecycle accountability summaries, not only model performance metrics.</w:t>
      </w:r>
    </w:p>
    <w:p>
      <w:pPr>
        <w:pStyle w:val="Heading3"/>
      </w:pPr>
      <w:r>
        <w:t>10.5.3 Escalation Note</w:t>
      </w:r>
    </w:p>
    <w:p>
      <w:pPr>
        <w:spacing w:after="56"/>
      </w:pPr>
      <w:r>
        <w:t>Not all lifecycle governance issues require board escalation. Management reporting addresses routine lifecycle conformance, evidence validation, and remediation closure. Board escalation is triggered when lifecycle accountability gaps, unresolved disputes, remediation failures, or privacy incidents exceed management authority, involve high-risk systems, or indicate systemic governance failures.</w:t>
      </w:r>
    </w:p>
    <w:p>
      <w:pPr>
        <w:spacing w:after="56"/>
      </w:pPr>
      <w:r>
        <w:t>Lifecycle objects provide the structured data needed for escalation decisions. RCCS and ALCS scores indicate whether lifecycle conformance is degrading. Open dispute registers indicate whether remediation processes are functioning. Privacy incident summaries indicate whether data governance controls are effective. Vendor substitution logs indicate whether supply-chain risk is managed.</w:t>
      </w:r>
    </w:p>
    <w:p>
      <w:pPr>
        <w:spacing w:after="56"/>
      </w:pPr>
      <w:r>
        <w:t>Boundary: This section is a governance crosswalk for board reporting, not a corporate governance framework, securities law compliance opinion, or board fiduciary duty analysis. Detailed board reporting procedures and governance escalation frameworks are reserved for companion papers, as outlined in Chapter 16.</w:t>
      </w:r>
    </w:p>
    <w:p>
      <w:pPr>
        <w:pStyle w:val="Heading2"/>
      </w:pPr>
      <w:r>
        <w:t>10.6 Procurement Scorecard Application</w:t>
      </w:r>
    </w:p>
    <w:p>
      <w:pPr>
        <w:pStyle w:val="Heading3"/>
      </w:pPr>
      <w:r>
        <w:t>10.6.1 Procurement Lifecycle Governance Requirements</w:t>
      </w:r>
    </w:p>
    <w:p>
      <w:pPr>
        <w:spacing w:after="56"/>
      </w:pPr>
      <w:r>
        <w:t>When acquiring agentic AI tools, platforms, or services, procurement teams need lifecycle governance criteria to evaluate vendor capabilities. Traditional procurement scorecards focus on functionality, performance, pricing, and support. Agentic AI procurement must also evaluate lifecycle accountability, evidence exportability, privacy controls, and remediation records.</w:t>
      </w:r>
    </w:p>
    <w:p>
      <w:pPr>
        <w:spacing w:after="56"/>
      </w:pPr>
      <w:r>
        <w:t>The EU AI Act establishes supply-chain obligations for AI system providers, importers, and distributors. Article 25 requires importers to ensure that providers have complied with conformity assessment procedures and that systems are accompanied by required documentation. Article 28 requires distributors to verify that systems bear required conformity markings and are accompanied by instructions for use. DORA (Digital Operational Resilience Act) Article 28 establishes ICT third-party risk management requirements for financial entities, including contractual arrangements, exit strategies, and substitution plans.</w:t>
      </w:r>
    </w:p>
    <w:p>
      <w:pPr>
        <w:spacing w:after="56"/>
      </w:pPr>
      <w:r>
        <w:t>The NIST AI Risk Management Framework emphasizes supply-chain risk management as part of the Map function, requiring organizations to identify and document AI system dependencies, third-party components, and data sources. Procurement decisions must consider whether vendors support lifecycle evidence export, whether tool actions can be bounded by liability boundaries, and whether agent identity lifecycles are documented.</w:t>
      </w:r>
    </w:p>
    <w:p>
      <w:pPr>
        <w:spacing w:after="56"/>
      </w:pPr>
      <w:r>
        <w:t>Key procurement criteria:</w:t>
      </w:r>
    </w:p>
    <w:p>
      <w:pPr>
        <w:pStyle w:val="ListBullet"/>
        <w:spacing w:after="56"/>
      </w:pPr>
      <w:r>
        <w:t>Does the vendor support lifecycle evidence export in a structured, auditable format?</w:t>
      </w:r>
    </w:p>
    <w:p>
      <w:pPr>
        <w:pStyle w:val="ListBullet"/>
        <w:spacing w:after="56"/>
      </w:pPr>
      <w:r>
        <w:t>Can tool actions be bounded by tool-action liability boundaries?</w:t>
      </w:r>
    </w:p>
    <w:p>
      <w:pPr>
        <w:pStyle w:val="ListBullet"/>
        <w:spacing w:after="56"/>
      </w:pPr>
      <w:r>
        <w:t>Is the agent identity lifecycle documented and auditable?</w:t>
      </w:r>
    </w:p>
    <w:p>
      <w:pPr>
        <w:pStyle w:val="ListBullet"/>
        <w:spacing w:after="56"/>
      </w:pPr>
      <w:r>
        <w:t>Can the organization reconstruct processor and subprocessor chains?</w:t>
      </w:r>
    </w:p>
    <w:p>
      <w:pPr>
        <w:pStyle w:val="ListBullet"/>
        <w:spacing w:after="56"/>
      </w:pPr>
      <w:r>
        <w:t>Does the vendor support privacy-preserving validation?</w:t>
      </w:r>
    </w:p>
    <w:p>
      <w:pPr>
        <w:pStyle w:val="ListBullet"/>
        <w:spacing w:after="56"/>
      </w:pPr>
      <w:r>
        <w:t>Can the organization substitute vendors without losing lifecycle conformance?</w:t>
      </w:r>
    </w:p>
    <w:p>
      <w:pPr>
        <w:pStyle w:val="Heading3"/>
      </w:pPr>
      <w:r>
        <w:t>10.6.2 Procurement Scorecard Table</w:t>
      </w:r>
    </w:p>
    <w:p>
      <w:pPr>
        <w:spacing w:after="56"/>
      </w:pPr>
      <w:r>
        <w:t>The following table defines procurement scorecard criteria for agentic AI systems, mapped to lifecycle objects, acceptable evidence, risk if absent, and regulatory references.</w:t>
      </w:r>
    </w:p>
    <w:p>
      <w:pPr>
        <w:keepNext/>
      </w:pPr>
      <w:r>
        <w:rPr>
          <w:b/>
          <w:sz w:val="16"/>
        </w:rPr>
        <w:t>Table T-10-05: Agentic AI Procurement Scorecard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Criterion</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Acceptable Evidence</w:t>
            </w:r>
          </w:p>
        </w:tc>
        <w:tc>
          <w:tcPr>
            <w:tcW w:type="dxa" w:w="2045"/>
          </w:tcPr>
          <w:p>
            <w:pPr>
              <w:spacing w:after="0"/>
            </w:pPr>
            <w:r>
              <w:rPr>
                <w:rFonts w:ascii="Arial" w:hAnsi="Arial"/>
                <w:b/>
                <w:sz w:val="14"/>
              </w:rPr>
              <w:t>Risk if Absent</w:t>
            </w:r>
          </w:p>
        </w:tc>
        <w:tc>
          <w:tcPr>
            <w:tcW w:type="dxa" w:w="2045"/>
          </w:tcPr>
          <w:p>
            <w:pPr>
              <w:spacing w:after="0"/>
            </w:pPr>
            <w:r>
              <w:rPr>
                <w:rFonts w:ascii="Arial" w:hAnsi="Arial"/>
                <w:b/>
                <w:sz w:val="14"/>
              </w:rPr>
              <w:t>Regulatory Reference</w:t>
            </w:r>
          </w:p>
        </w:tc>
      </w:tr>
      <w:tr>
        <w:tc>
          <w:tcPr>
            <w:tcW w:type="dxa" w:w="2045"/>
          </w:tcPr>
          <w:p>
            <w:pPr>
              <w:spacing w:after="0"/>
            </w:pPr>
            <w:r>
              <w:rPr>
                <w:rFonts w:ascii="Arial" w:hAnsi="Arial"/>
                <w:b w:val="0"/>
                <w:sz w:val="14"/>
              </w:rPr>
              <w:t>Agent Identity Lifecycle</w:t>
            </w:r>
          </w:p>
        </w:tc>
        <w:tc>
          <w:tcPr>
            <w:tcW w:type="dxa" w:w="2045"/>
          </w:tcPr>
          <w:p>
            <w:pPr>
              <w:spacing w:after="0"/>
            </w:pPr>
            <w:r>
              <w:rPr>
                <w:rFonts w:ascii="Arial" w:hAnsi="Arial"/>
                <w:b w:val="0"/>
                <w:sz w:val="14"/>
              </w:rPr>
              <w:t>Agent identity lifecycle record, role-responsibility map</w:t>
            </w:r>
          </w:p>
        </w:tc>
        <w:tc>
          <w:tcPr>
            <w:tcW w:type="dxa" w:w="2045"/>
          </w:tcPr>
          <w:p>
            <w:pPr>
              <w:spacing w:after="0"/>
            </w:pPr>
            <w:r>
              <w:rPr>
                <w:rFonts w:ascii="Arial" w:hAnsi="Arial"/>
                <w:b w:val="0"/>
                <w:sz w:val="14"/>
              </w:rPr>
              <w:t>Agent identity registry, identity creation/termination log, role assignment audit trail</w:t>
            </w:r>
          </w:p>
        </w:tc>
        <w:tc>
          <w:tcPr>
            <w:tcW w:type="dxa" w:w="2045"/>
          </w:tcPr>
          <w:p>
            <w:pPr>
              <w:spacing w:after="0"/>
            </w:pPr>
            <w:r>
              <w:rPr>
                <w:rFonts w:ascii="Arial" w:hAnsi="Arial"/>
                <w:b w:val="0"/>
                <w:sz w:val="14"/>
              </w:rPr>
              <w:t>Cannot reconstruct who authorized, executed, or accepted agentic work; accountability gap</w:t>
            </w:r>
          </w:p>
        </w:tc>
        <w:tc>
          <w:tcPr>
            <w:tcW w:type="dxa" w:w="2045"/>
          </w:tcPr>
          <w:p>
            <w:pPr>
              <w:spacing w:after="0"/>
            </w:pPr>
            <w:r>
              <w:rPr>
                <w:rFonts w:ascii="Arial" w:hAnsi="Arial"/>
                <w:b w:val="0"/>
                <w:sz w:val="14"/>
              </w:rPr>
              <w:t>EU AI Act Art. 9 (quality management), NIST AI RMF Govern function</w:t>
            </w:r>
          </w:p>
        </w:tc>
      </w:tr>
      <w:tr>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Tool-action liability boundary, tool credential registry</w:t>
            </w:r>
          </w:p>
        </w:tc>
        <w:tc>
          <w:tcPr>
            <w:tcW w:type="dxa" w:w="2045"/>
          </w:tcPr>
          <w:p>
            <w:pPr>
              <w:spacing w:after="0"/>
            </w:pPr>
            <w:r>
              <w:rPr>
                <w:rFonts w:ascii="Arial" w:hAnsi="Arial"/>
                <w:b w:val="0"/>
                <w:sz w:val="14"/>
              </w:rPr>
              <w:t>Tool-action authorization policy, tool invocation log, liability boundary validation record</w:t>
            </w:r>
          </w:p>
        </w:tc>
        <w:tc>
          <w:tcPr>
            <w:tcW w:type="dxa" w:w="2045"/>
          </w:tcPr>
          <w:p>
            <w:pPr>
              <w:spacing w:after="0"/>
            </w:pPr>
            <w:r>
              <w:rPr>
                <w:rFonts w:ascii="Arial" w:hAnsi="Arial"/>
                <w:b w:val="0"/>
                <w:sz w:val="14"/>
              </w:rPr>
              <w:t>Cannot determine liability for tool misuse, unauthorized tool invocation, or tool-related incidents</w:t>
            </w:r>
          </w:p>
        </w:tc>
        <w:tc>
          <w:tcPr>
            <w:tcW w:type="dxa" w:w="2045"/>
          </w:tcPr>
          <w:p>
            <w:pPr>
              <w:spacing w:after="0"/>
            </w:pPr>
            <w:r>
              <w:rPr>
                <w:rFonts w:ascii="Arial" w:hAnsi="Arial"/>
                <w:b w:val="0"/>
                <w:sz w:val="14"/>
              </w:rPr>
              <w:t>EU AI Act Art. 28 (obligations of distributors), DORA Art. 28 (ICT third-party risk)</w:t>
            </w:r>
          </w:p>
        </w:tc>
      </w:tr>
      <w:tr>
        <w:tc>
          <w:tcPr>
            <w:tcW w:type="dxa" w:w="2045"/>
          </w:tcPr>
          <w:p>
            <w:pPr>
              <w:spacing w:after="0"/>
            </w:pPr>
            <w:r>
              <w:rPr>
                <w:rFonts w:ascii="Arial" w:hAnsi="Arial"/>
                <w:b w:val="0"/>
                <w:sz w:val="14"/>
              </w:rPr>
              <w:t>Evidence Export Capability</w:t>
            </w:r>
          </w:p>
        </w:tc>
        <w:tc>
          <w:tcPr>
            <w:tcW w:type="dxa" w:w="2045"/>
          </w:tcPr>
          <w:p>
            <w:pPr>
              <w:spacing w:after="0"/>
            </w:pPr>
            <w:r>
              <w:rPr>
                <w:rFonts w:ascii="Arial" w:hAnsi="Arial"/>
                <w:b w:val="0"/>
                <w:sz w:val="14"/>
              </w:rPr>
              <w:t>Evidence partition, evidence minimization policy</w:t>
            </w:r>
          </w:p>
        </w:tc>
        <w:tc>
          <w:tcPr>
            <w:tcW w:type="dxa" w:w="2045"/>
          </w:tcPr>
          <w:p>
            <w:pPr>
              <w:spacing w:after="0"/>
            </w:pPr>
            <w:r>
              <w:rPr>
                <w:rFonts w:ascii="Arial" w:hAnsi="Arial"/>
                <w:b w:val="0"/>
                <w:sz w:val="14"/>
              </w:rPr>
              <w:t>Evidence export API, evidence schema documentation, evidence integrity validation</w:t>
            </w:r>
          </w:p>
        </w:tc>
        <w:tc>
          <w:tcPr>
            <w:tcW w:type="dxa" w:w="2045"/>
          </w:tcPr>
          <w:p>
            <w:pPr>
              <w:spacing w:after="0"/>
            </w:pPr>
            <w:r>
              <w:rPr>
                <w:rFonts w:ascii="Arial" w:hAnsi="Arial"/>
                <w:b w:val="0"/>
                <w:sz w:val="14"/>
              </w:rPr>
              <w:t>Cannot provide evidence to auditors, regulators, or data subjects; audit readiness failure</w:t>
            </w:r>
          </w:p>
        </w:tc>
        <w:tc>
          <w:tcPr>
            <w:tcW w:type="dxa" w:w="2045"/>
          </w:tcPr>
          <w:p>
            <w:pPr>
              <w:spacing w:after="0"/>
            </w:pPr>
            <w:r>
              <w:rPr>
                <w:rFonts w:ascii="Arial" w:hAnsi="Arial"/>
                <w:b w:val="0"/>
                <w:sz w:val="14"/>
              </w:rPr>
              <w:t>GDPR Art. 15 (right of access), EU AI Act Art. 12 (record-keeping)</w:t>
            </w:r>
          </w:p>
        </w:tc>
      </w:tr>
      <w:tr>
        <w:tc>
          <w:tcPr>
            <w:tcW w:type="dxa" w:w="2045"/>
          </w:tcPr>
          <w:p>
            <w:pPr>
              <w:spacing w:after="0"/>
            </w:pPr>
            <w:r>
              <w:rPr>
                <w:rFonts w:ascii="Arial" w:hAnsi="Arial"/>
                <w:b w:val="0"/>
                <w:sz w:val="14"/>
              </w:rPr>
              <w:t>Privacy Data-Flow Map</w:t>
            </w:r>
          </w:p>
        </w:tc>
        <w:tc>
          <w:tcPr>
            <w:tcW w:type="dxa" w:w="2045"/>
          </w:tcPr>
          <w:p>
            <w:pPr>
              <w:spacing w:after="0"/>
            </w:pPr>
            <w:r>
              <w:rPr>
                <w:rFonts w:ascii="Arial" w:hAnsi="Arial"/>
                <w:b w:val="0"/>
                <w:sz w:val="14"/>
              </w:rPr>
              <w:t>Privacy lifecycle map, processor chain record, data subject rights reconciliation record</w:t>
            </w:r>
          </w:p>
        </w:tc>
        <w:tc>
          <w:tcPr>
            <w:tcW w:type="dxa" w:w="2045"/>
          </w:tcPr>
          <w:p>
            <w:pPr>
              <w:spacing w:after="0"/>
            </w:pPr>
            <w:r>
              <w:rPr>
                <w:rFonts w:ascii="Arial" w:hAnsi="Arial"/>
                <w:b w:val="0"/>
                <w:sz w:val="14"/>
              </w:rPr>
              <w:t>Privacy impact assessment, data flow diagram, processor/subprocessor registry</w:t>
            </w:r>
          </w:p>
        </w:tc>
        <w:tc>
          <w:tcPr>
            <w:tcW w:type="dxa" w:w="2045"/>
          </w:tcPr>
          <w:p>
            <w:pPr>
              <w:spacing w:after="0"/>
            </w:pPr>
            <w:r>
              <w:rPr>
                <w:rFonts w:ascii="Arial" w:hAnsi="Arial"/>
                <w:b w:val="0"/>
                <w:sz w:val="14"/>
              </w:rPr>
              <w:t>Cannot reconstruct data processing activities; GDPR compliance failure; privacy incident response failure</w:t>
            </w:r>
          </w:p>
        </w:tc>
        <w:tc>
          <w:tcPr>
            <w:tcW w:type="dxa" w:w="2045"/>
          </w:tcPr>
          <w:p>
            <w:pPr>
              <w:spacing w:after="0"/>
            </w:pPr>
            <w:r>
              <w:rPr>
                <w:rFonts w:ascii="Arial" w:hAnsi="Arial"/>
                <w:b w:val="0"/>
                <w:sz w:val="14"/>
              </w:rPr>
              <w:t>GDPR Art. 28 (processor obligations), Art. 30 (records of processing), EU AI Act Art. 10 (data governance)</w:t>
            </w:r>
          </w:p>
        </w:tc>
      </w:tr>
      <w:tr>
        <w:tc>
          <w:tcPr>
            <w:tcW w:type="dxa" w:w="2045"/>
          </w:tcPr>
          <w:p>
            <w:pPr>
              <w:spacing w:after="0"/>
            </w:pPr>
            <w:r>
              <w:rPr>
                <w:rFonts w:ascii="Arial" w:hAnsi="Arial"/>
                <w:b w:val="0"/>
                <w:sz w:val="14"/>
              </w:rPr>
              <w:t>Incident Response Support</w:t>
            </w:r>
          </w:p>
        </w:tc>
        <w:tc>
          <w:tcPr>
            <w:tcW w:type="dxa" w:w="2045"/>
          </w:tcPr>
          <w:p>
            <w:pPr>
              <w:spacing w:after="0"/>
            </w:pPr>
            <w:r>
              <w:rPr>
                <w:rFonts w:ascii="Arial" w:hAnsi="Arial"/>
                <w:b w:val="0"/>
                <w:sz w:val="14"/>
              </w:rPr>
              <w:t>Incident closure record, accepted outcome state, remediation record</w:t>
            </w:r>
          </w:p>
        </w:tc>
        <w:tc>
          <w:tcPr>
            <w:tcW w:type="dxa" w:w="2045"/>
          </w:tcPr>
          <w:p>
            <w:pPr>
              <w:spacing w:after="0"/>
            </w:pPr>
            <w:r>
              <w:rPr>
                <w:rFonts w:ascii="Arial" w:hAnsi="Arial"/>
                <w:b w:val="0"/>
                <w:sz w:val="14"/>
              </w:rPr>
              <w:t>Incident response procedure, incident closure SLA, remediation acceptance criteria</w:t>
            </w:r>
          </w:p>
        </w:tc>
        <w:tc>
          <w:tcPr>
            <w:tcW w:type="dxa" w:w="2045"/>
          </w:tcPr>
          <w:p>
            <w:pPr>
              <w:spacing w:after="0"/>
            </w:pPr>
            <w:r>
              <w:rPr>
                <w:rFonts w:ascii="Arial" w:hAnsi="Arial"/>
                <w:b w:val="0"/>
                <w:sz w:val="14"/>
              </w:rPr>
              <w:t>Cannot close incidents with accepted remediation; redress failure; regulatory reporting failure</w:t>
            </w:r>
          </w:p>
        </w:tc>
        <w:tc>
          <w:tcPr>
            <w:tcW w:type="dxa" w:w="2045"/>
          </w:tcPr>
          <w:p>
            <w:pPr>
              <w:spacing w:after="0"/>
            </w:pPr>
            <w:r>
              <w:rPr>
                <w:rFonts w:ascii="Arial" w:hAnsi="Arial"/>
                <w:b w:val="0"/>
                <w:sz w:val="14"/>
              </w:rPr>
              <w:t>EU AI Act Art. 72 (dispute resolution), GDPR Art. 33-34 (breach notification)</w:t>
            </w:r>
          </w:p>
        </w:tc>
      </w:tr>
      <w:tr>
        <w:tc>
          <w:tcPr>
            <w:tcW w:type="dxa" w:w="2045"/>
          </w:tcPr>
          <w:p>
            <w:pPr>
              <w:spacing w:after="0"/>
            </w:pPr>
            <w:r>
              <w:rPr>
                <w:rFonts w:ascii="Arial" w:hAnsi="Arial"/>
                <w:b w:val="0"/>
                <w:sz w:val="14"/>
              </w:rPr>
              <w:t>Vendor Substitution Support</w:t>
            </w:r>
          </w:p>
        </w:tc>
        <w:tc>
          <w:tcPr>
            <w:tcW w:type="dxa" w:w="2045"/>
          </w:tcPr>
          <w:p>
            <w:pPr>
              <w:spacing w:after="0"/>
            </w:pPr>
            <w:r>
              <w:rPr>
                <w:rFonts w:ascii="Arial" w:hAnsi="Arial"/>
                <w:b w:val="0"/>
                <w:sz w:val="14"/>
              </w:rPr>
              <w:t>Vendor substitution conformance test, model version registry, processor chain record</w:t>
            </w:r>
          </w:p>
        </w:tc>
        <w:tc>
          <w:tcPr>
            <w:tcW w:type="dxa" w:w="2045"/>
          </w:tcPr>
          <w:p>
            <w:pPr>
              <w:spacing w:after="0"/>
            </w:pPr>
            <w:r>
              <w:rPr>
                <w:rFonts w:ascii="Arial" w:hAnsi="Arial"/>
                <w:b w:val="0"/>
                <w:sz w:val="14"/>
              </w:rPr>
              <w:t>Vendor substitution test procedure, data portability support, lifecycle conformance revalidation plan</w:t>
            </w:r>
          </w:p>
        </w:tc>
        <w:tc>
          <w:tcPr>
            <w:tcW w:type="dxa" w:w="2045"/>
          </w:tcPr>
          <w:p>
            <w:pPr>
              <w:spacing w:after="0"/>
            </w:pPr>
            <w:r>
              <w:rPr>
                <w:rFonts w:ascii="Arial" w:hAnsi="Arial"/>
                <w:b w:val="0"/>
                <w:sz w:val="14"/>
              </w:rPr>
              <w:t>Vendor lock-in; cannot switch vendors without losing lifecycle conformance; supply-chain risk</w:t>
            </w:r>
          </w:p>
        </w:tc>
        <w:tc>
          <w:tcPr>
            <w:tcW w:type="dxa" w:w="2045"/>
          </w:tcPr>
          <w:p>
            <w:pPr>
              <w:spacing w:after="0"/>
            </w:pPr>
            <w:r>
              <w:rPr>
                <w:rFonts w:ascii="Arial" w:hAnsi="Arial"/>
                <w:b w:val="0"/>
                <w:sz w:val="14"/>
              </w:rPr>
              <w:t>EU AI Act Art. 25 (obligations of importers), DORA Art. 28 (exit strategies)</w:t>
            </w:r>
          </w:p>
        </w:tc>
      </w:tr>
      <w:tr>
        <w:tc>
          <w:tcPr>
            <w:tcW w:type="dxa" w:w="2045"/>
          </w:tcPr>
          <w:p>
            <w:pPr>
              <w:spacing w:after="0"/>
            </w:pPr>
            <w:r>
              <w:rPr>
                <w:rFonts w:ascii="Arial" w:hAnsi="Arial"/>
                <w:b w:val="0"/>
                <w:sz w:val="14"/>
              </w:rPr>
              <w:t>Drift Monitoring Capability</w:t>
            </w:r>
          </w:p>
        </w:tc>
        <w:tc>
          <w:tcPr>
            <w:tcW w:type="dxa" w:w="2045"/>
          </w:tcPr>
          <w:p>
            <w:pPr>
              <w:spacing w:after="0"/>
            </w:pPr>
            <w:r>
              <w:rPr>
                <w:rFonts w:ascii="Arial" w:hAnsi="Arial"/>
                <w:b w:val="0"/>
                <w:sz w:val="14"/>
              </w:rPr>
              <w:t>Authority drift detection log, monitoring record, incident/remediation closure record</w:t>
            </w:r>
          </w:p>
        </w:tc>
        <w:tc>
          <w:tcPr>
            <w:tcW w:type="dxa" w:w="2045"/>
          </w:tcPr>
          <w:p>
            <w:pPr>
              <w:spacing w:after="0"/>
            </w:pPr>
            <w:r>
              <w:rPr>
                <w:rFonts w:ascii="Arial" w:hAnsi="Arial"/>
                <w:b w:val="0"/>
                <w:sz w:val="14"/>
              </w:rPr>
              <w:t>Drift detection procedure, drift alert mechanism, drift remediation workflow</w:t>
            </w:r>
          </w:p>
        </w:tc>
        <w:tc>
          <w:tcPr>
            <w:tcW w:type="dxa" w:w="2045"/>
          </w:tcPr>
          <w:p>
            <w:pPr>
              <w:spacing w:after="0"/>
            </w:pPr>
            <w:r>
              <w:rPr>
                <w:rFonts w:ascii="Arial" w:hAnsi="Arial"/>
                <w:b w:val="0"/>
                <w:sz w:val="14"/>
              </w:rPr>
              <w:t>Cannot detect authority boundary violations, lifecycle conformance degradation, or unresolved remediation</w:t>
            </w:r>
          </w:p>
        </w:tc>
        <w:tc>
          <w:tcPr>
            <w:tcW w:type="dxa" w:w="2045"/>
          </w:tcPr>
          <w:p>
            <w:pPr>
              <w:spacing w:after="0"/>
            </w:pPr>
            <w:r>
              <w:rPr>
                <w:rFonts w:ascii="Arial" w:hAnsi="Arial"/>
                <w:b w:val="0"/>
                <w:sz w:val="14"/>
              </w:rPr>
              <w:t>NIST AI RMF Measure function, EU AI Act Art. 9 (monitoring and logging)</w:t>
            </w:r>
          </w:p>
        </w:tc>
      </w:tr>
      <w:tr>
        <w:tc>
          <w:tcPr>
            <w:tcW w:type="dxa" w:w="2045"/>
          </w:tcPr>
          <w:p>
            <w:pPr>
              <w:spacing w:after="0"/>
            </w:pPr>
            <w:r>
              <w:rPr>
                <w:rFonts w:ascii="Arial" w:hAnsi="Arial"/>
                <w:b w:val="0"/>
                <w:sz w:val="14"/>
              </w:rPr>
              <w:t>Dispute Resolution Support</w:t>
            </w:r>
          </w:p>
        </w:tc>
        <w:tc>
          <w:tcPr>
            <w:tcW w:type="dxa" w:w="2045"/>
          </w:tcPr>
          <w:p>
            <w:pPr>
              <w:spacing w:after="0"/>
            </w:pPr>
            <w:r>
              <w:rPr>
                <w:rFonts w:ascii="Arial" w:hAnsi="Arial"/>
                <w:b w:val="0"/>
                <w:sz w:val="14"/>
              </w:rPr>
              <w:t>Dispute resolution record, accepted outcome state, incident closure record</w:t>
            </w:r>
          </w:p>
        </w:tc>
        <w:tc>
          <w:tcPr>
            <w:tcW w:type="dxa" w:w="2045"/>
          </w:tcPr>
          <w:p>
            <w:pPr>
              <w:spacing w:after="0"/>
            </w:pPr>
            <w:r>
              <w:rPr>
                <w:rFonts w:ascii="Arial" w:hAnsi="Arial"/>
                <w:b w:val="0"/>
                <w:sz w:val="14"/>
              </w:rPr>
              <w:t>Dispute resolution procedure, dispute escalation path, dispute closure criteria</w:t>
            </w:r>
          </w:p>
        </w:tc>
        <w:tc>
          <w:tcPr>
            <w:tcW w:type="dxa" w:w="2045"/>
          </w:tcPr>
          <w:p>
            <w:pPr>
              <w:spacing w:after="0"/>
            </w:pPr>
            <w:r>
              <w:rPr>
                <w:rFonts w:ascii="Arial" w:hAnsi="Arial"/>
                <w:b w:val="0"/>
                <w:sz w:val="14"/>
              </w:rPr>
              <w:t>Cannot resolve disputes with accepted outcomes; redress failure; regulatory escalation risk</w:t>
            </w:r>
          </w:p>
        </w:tc>
        <w:tc>
          <w:tcPr>
            <w:tcW w:type="dxa" w:w="2045"/>
          </w:tcPr>
          <w:p>
            <w:pPr>
              <w:spacing w:after="0"/>
            </w:pPr>
            <w:r>
              <w:rPr>
                <w:rFonts w:ascii="Arial" w:hAnsi="Arial"/>
                <w:b w:val="0"/>
                <w:sz w:val="14"/>
              </w:rPr>
              <w:t>EU AI Act Art. 72 (dispute resolution), GDPR Art. 79 (right to judicial remedy)</w:t>
            </w:r>
          </w:p>
        </w:tc>
      </w:tr>
    </w:tbl>
    <w:p>
      <w:pPr>
        <w:spacing w:after="56"/>
      </w:pPr>
      <w:r>
        <w:t>Interpretation: Procurement scorecards for agentic AI must evaluate lifecycle governance capabilities, not only functional performance. Vendors that cannot support lifecycle evidence export, tool-action liability boundaries, or vendor substitution introduce governance risk that may outweigh functional benefits.</w:t>
      </w:r>
    </w:p>
    <w:p>
      <w:pPr>
        <w:pStyle w:val="Heading3"/>
      </w:pPr>
      <w:r>
        <w:t>10.6.3 Scorecard Note</w:t>
      </w:r>
    </w:p>
    <w:p>
      <w:pPr>
        <w:spacing w:after="56"/>
      </w:pPr>
      <w:r>
        <w:t>This scorecard is a governance reference tool, not a vendor certification framework, audit requirement, or procurement specification. Procurement teams should adapt the scorecard to their specific risk profile, regulatory environment, and organizational control requirements. The scorecard does not replace vendor due diligence, contract negotiation, or legal review. It provides lifecycle governance criteria that procurement teams can integrate into existing vendor evaluation processes.</w:t>
      </w:r>
    </w:p>
    <w:p>
      <w:pPr>
        <w:spacing w:after="56"/>
      </w:pPr>
      <w:r>
        <w:t>Boundary: This section is a governance crosswalk for procurement, not a vendor audit framework, accreditation procedure, or legal procurement specification. Detailed procurement assurance procedures and vendor evaluation frameworks are reserved for companion papers, as outlined in Chapter 16.</w:t>
      </w:r>
    </w:p>
    <w:p>
      <w:pPr>
        <w:pStyle w:val="Heading2"/>
      </w:pPr>
      <w:r>
        <w:t>10.7 Ongoing Monitoring and Continuous Improvement</w:t>
      </w:r>
    </w:p>
    <w:p>
      <w:pPr>
        <w:pStyle w:val="Heading3"/>
      </w:pPr>
      <w:r>
        <w:t>10.7.1 Why Monitoring Must Be Lifecycle-Integrated</w:t>
      </w:r>
    </w:p>
    <w:p>
      <w:pPr>
        <w:spacing w:after="56"/>
      </w:pPr>
      <w:r>
        <w:t>Traditional observability monitors execution metrics: latency, throughput, error rates, resource utilization, and model performance. These metrics are necessary but insufficient for agentic systems. Lifecycle governance requires monitoring accountability continuity, not only execution performance.</w:t>
      </w:r>
    </w:p>
    <w:p>
      <w:pPr>
        <w:spacing w:after="56"/>
      </w:pPr>
      <w:r>
        <w:t>Lifecycle monitoring asks: Are responsibility assignments still valid? Are evidence chains still complete? Are tool-action liability boundaries still operative? Are human review roles still engaged? Are accepted outcomes still being produced? Are disputes being resolved? Are privacy boundaries being maintained?</w:t>
      </w:r>
    </w:p>
    <w:p>
      <w:pPr>
        <w:spacing w:after="56"/>
      </w:pPr>
      <w:r>
        <w:t>Lifecycle monitoring primarily draws from delegated authority, evidence partitioning, substitution conformance, privacy lifecycle mapping, and incident/remediation closure objects. It does not introduce separate lifecycle-drift or continuous-improvement MROs. Monitoring events should be interpreted through canonical lifecycle objects: authority drift uses MRO-07, evidence-chain breaks use MRO-08 and MRO-16, substitution alerts use MRO-09 and MRO-15, privacy data-flow deviations use MRO-10, MRO-13, and MRO-14, and incident closure uses MRO-16.</w:t>
      </w:r>
    </w:p>
    <w:p>
      <w:pPr>
        <w:spacing w:after="56"/>
      </w:pPr>
      <w:r>
        <w:t>Lifecycle monitoring is not a replacement for traditional observability. It is a complementary layer that monitors governance continuity alongside execution performance. A system may perform well on execution metrics while experiencing lifecycle drift, responsibility gaps, evidence chain breaks, or dispute backlogs.</w:t>
      </w:r>
    </w:p>
    <w:p>
      <w:pPr>
        <w:pStyle w:val="Heading3"/>
      </w:pPr>
      <w:r>
        <w:t>10.7.2 Monitoring Indicators Table</w:t>
      </w:r>
    </w:p>
    <w:p>
      <w:pPr>
        <w:spacing w:after="56"/>
      </w:pPr>
      <w:r>
        <w:t>The following table defines lifecycle monitoring indicators, mapped to lifecycle objects, alert conditions, MRO dimensions, and remediation paths.</w:t>
      </w:r>
    </w:p>
    <w:p>
      <w:pPr>
        <w:keepNext/>
      </w:pPr>
      <w:r>
        <w:rPr>
          <w:b/>
          <w:sz w:val="16"/>
        </w:rPr>
        <w:t>Table T-10-06: Lifecycle Monitoring Indicators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Indicator</w:t>
            </w:r>
          </w:p>
        </w:tc>
        <w:tc>
          <w:tcPr>
            <w:tcW w:type="dxa" w:w="2045"/>
          </w:tcPr>
          <w:p>
            <w:pPr>
              <w:spacing w:after="0"/>
            </w:pPr>
            <w:r>
              <w:rPr>
                <w:rFonts w:ascii="Arial" w:hAnsi="Arial"/>
                <w:b/>
                <w:sz w:val="14"/>
              </w:rPr>
              <w:t>Lifecycle Object</w:t>
            </w:r>
          </w:p>
        </w:tc>
        <w:tc>
          <w:tcPr>
            <w:tcW w:type="dxa" w:w="2045"/>
          </w:tcPr>
          <w:p>
            <w:pPr>
              <w:spacing w:after="0"/>
            </w:pPr>
            <w:r>
              <w:rPr>
                <w:rFonts w:ascii="Arial" w:hAnsi="Arial"/>
                <w:b/>
                <w:sz w:val="14"/>
              </w:rPr>
              <w:t>Alert Condition</w:t>
            </w:r>
          </w:p>
        </w:tc>
        <w:tc>
          <w:tcPr>
            <w:tcW w:type="dxa" w:w="2045"/>
          </w:tcPr>
          <w:p>
            <w:pPr>
              <w:spacing w:after="0"/>
            </w:pPr>
            <w:r>
              <w:rPr>
                <w:rFonts w:ascii="Arial" w:hAnsi="Arial"/>
                <w:b/>
                <w:sz w:val="14"/>
              </w:rPr>
              <w:t>MRO Dimension</w:t>
            </w:r>
          </w:p>
        </w:tc>
        <w:tc>
          <w:tcPr>
            <w:tcW w:type="dxa" w:w="2045"/>
          </w:tcPr>
          <w:p>
            <w:pPr>
              <w:spacing w:after="0"/>
            </w:pPr>
            <w:r>
              <w:rPr>
                <w:rFonts w:ascii="Arial" w:hAnsi="Arial"/>
                <w:b/>
                <w:sz w:val="14"/>
              </w:rPr>
              <w:t>Remediation Path</w:t>
            </w:r>
          </w:p>
        </w:tc>
      </w:tr>
      <w:tr>
        <w:tc>
          <w:tcPr>
            <w:tcW w:type="dxa" w:w="2045"/>
          </w:tcPr>
          <w:p>
            <w:pPr>
              <w:spacing w:after="0"/>
            </w:pPr>
            <w:r>
              <w:rPr>
                <w:rFonts w:ascii="Arial" w:hAnsi="Arial"/>
                <w:b w:val="0"/>
                <w:sz w:val="14"/>
              </w:rPr>
              <w:t>Responsibility Drift</w:t>
            </w:r>
          </w:p>
        </w:tc>
        <w:tc>
          <w:tcPr>
            <w:tcW w:type="dxa" w:w="2045"/>
          </w:tcPr>
          <w:p>
            <w:pPr>
              <w:spacing w:after="0"/>
            </w:pPr>
            <w:r>
              <w:rPr>
                <w:rFonts w:ascii="Arial" w:hAnsi="Arial"/>
                <w:b w:val="0"/>
                <w:sz w:val="14"/>
              </w:rPr>
              <w:t>Role-responsibility map, agent identity lifecycle record, authority drift detection log</w:t>
            </w:r>
          </w:p>
        </w:tc>
        <w:tc>
          <w:tcPr>
            <w:tcW w:type="dxa" w:w="2045"/>
          </w:tcPr>
          <w:p>
            <w:pPr>
              <w:spacing w:after="0"/>
            </w:pPr>
            <w:r>
              <w:rPr>
                <w:rFonts w:ascii="Arial" w:hAnsi="Arial"/>
                <w:b w:val="0"/>
                <w:sz w:val="14"/>
              </w:rPr>
              <w:t>Role assignment unchanged beyond revalidation period; role holder departed; responsibility gap detected</w:t>
            </w:r>
          </w:p>
        </w:tc>
        <w:tc>
          <w:tcPr>
            <w:tcW w:type="dxa" w:w="2045"/>
          </w:tcPr>
          <w:p>
            <w:pPr>
              <w:spacing w:after="0"/>
            </w:pPr>
            <w:r>
              <w:rPr>
                <w:rFonts w:ascii="Arial" w:hAnsi="Arial"/>
                <w:b w:val="0"/>
                <w:sz w:val="14"/>
              </w:rPr>
              <w:t>MRO-01, MRO-06, MRO-07</w:t>
            </w:r>
          </w:p>
        </w:tc>
        <w:tc>
          <w:tcPr>
            <w:tcW w:type="dxa" w:w="2045"/>
          </w:tcPr>
          <w:p>
            <w:pPr>
              <w:spacing w:after="0"/>
            </w:pPr>
            <w:r>
              <w:rPr>
                <w:rFonts w:ascii="Arial" w:hAnsi="Arial"/>
                <w:b w:val="0"/>
                <w:sz w:val="14"/>
              </w:rPr>
              <w:t>Revalidate role-responsibility map; reassign agent identity; update lifecycle record; document drift remediation</w:t>
            </w:r>
          </w:p>
        </w:tc>
      </w:tr>
      <w:tr>
        <w:tc>
          <w:tcPr>
            <w:tcW w:type="dxa" w:w="2045"/>
          </w:tcPr>
          <w:p>
            <w:pPr>
              <w:spacing w:after="0"/>
            </w:pPr>
            <w:r>
              <w:rPr>
                <w:rFonts w:ascii="Arial" w:hAnsi="Arial"/>
                <w:b w:val="0"/>
                <w:sz w:val="14"/>
              </w:rPr>
              <w:t>Evidence Chain Break</w:t>
            </w:r>
          </w:p>
        </w:tc>
        <w:tc>
          <w:tcPr>
            <w:tcW w:type="dxa" w:w="2045"/>
          </w:tcPr>
          <w:p>
            <w:pPr>
              <w:spacing w:after="0"/>
            </w:pPr>
            <w:r>
              <w:rPr>
                <w:rFonts w:ascii="Arial" w:hAnsi="Arial"/>
                <w:b w:val="0"/>
                <w:sz w:val="14"/>
              </w:rPr>
              <w:t>Evidence partition, accepted outcome state, incident closure record</w:t>
            </w:r>
          </w:p>
        </w:tc>
        <w:tc>
          <w:tcPr>
            <w:tcW w:type="dxa" w:w="2045"/>
          </w:tcPr>
          <w:p>
            <w:pPr>
              <w:spacing w:after="0"/>
            </w:pPr>
            <w:r>
              <w:rPr>
                <w:rFonts w:ascii="Arial" w:hAnsi="Arial"/>
                <w:b w:val="0"/>
                <w:sz w:val="14"/>
              </w:rPr>
              <w:t>Evidence partition integrity check failed; evidence missing for lifecycle phase; accepted outcome lacks supporting evidence</w:t>
            </w:r>
          </w:p>
        </w:tc>
        <w:tc>
          <w:tcPr>
            <w:tcW w:type="dxa" w:w="2045"/>
          </w:tcPr>
          <w:p>
            <w:pPr>
              <w:spacing w:after="0"/>
            </w:pPr>
            <w:r>
              <w:rPr>
                <w:rFonts w:ascii="Arial" w:hAnsi="Arial"/>
                <w:b w:val="0"/>
                <w:sz w:val="14"/>
              </w:rPr>
              <w:t>MRO-08, MRO-16</w:t>
            </w:r>
          </w:p>
        </w:tc>
        <w:tc>
          <w:tcPr>
            <w:tcW w:type="dxa" w:w="2045"/>
          </w:tcPr>
          <w:p>
            <w:pPr>
              <w:spacing w:after="0"/>
            </w:pPr>
            <w:r>
              <w:rPr>
                <w:rFonts w:ascii="Arial" w:hAnsi="Arial"/>
                <w:b w:val="0"/>
                <w:sz w:val="14"/>
              </w:rPr>
              <w:t>Reconstruct evidence chain; validate evidence partition; re-execute acceptance review; document evidence remediation</w:t>
            </w:r>
          </w:p>
        </w:tc>
      </w:tr>
      <w:tr>
        <w:tc>
          <w:tcPr>
            <w:tcW w:type="dxa" w:w="2045"/>
          </w:tcPr>
          <w:p>
            <w:pPr>
              <w:spacing w:after="0"/>
            </w:pPr>
            <w:r>
              <w:rPr>
                <w:rFonts w:ascii="Arial" w:hAnsi="Arial"/>
                <w:b w:val="0"/>
                <w:sz w:val="14"/>
              </w:rPr>
              <w:t>Tool-Action Boundary Violation</w:t>
            </w:r>
          </w:p>
        </w:tc>
        <w:tc>
          <w:tcPr>
            <w:tcW w:type="dxa" w:w="2045"/>
          </w:tcPr>
          <w:p>
            <w:pPr>
              <w:spacing w:after="0"/>
            </w:pPr>
            <w:r>
              <w:rPr>
                <w:rFonts w:ascii="Arial" w:hAnsi="Arial"/>
                <w:b w:val="0"/>
                <w:sz w:val="14"/>
              </w:rPr>
              <w:t>Tool-action liability boundary, authority boundary object, authority drift detection log</w:t>
            </w:r>
          </w:p>
        </w:tc>
        <w:tc>
          <w:tcPr>
            <w:tcW w:type="dxa" w:w="2045"/>
          </w:tcPr>
          <w:p>
            <w:pPr>
              <w:spacing w:after="0"/>
            </w:pPr>
            <w:r>
              <w:rPr>
                <w:rFonts w:ascii="Arial" w:hAnsi="Arial"/>
                <w:b w:val="0"/>
                <w:sz w:val="14"/>
              </w:rPr>
              <w:t>Tool invoked outside delegated scope; tool action exceeded liability boundary; unauthorized tool credential access</w:t>
            </w:r>
          </w:p>
        </w:tc>
        <w:tc>
          <w:tcPr>
            <w:tcW w:type="dxa" w:w="2045"/>
          </w:tcPr>
          <w:p>
            <w:pPr>
              <w:spacing w:after="0"/>
            </w:pPr>
            <w:r>
              <w:rPr>
                <w:rFonts w:ascii="Arial" w:hAnsi="Arial"/>
                <w:b w:val="0"/>
                <w:sz w:val="14"/>
              </w:rPr>
              <w:t>MRO-02, MRO-05, MRO-07</w:t>
            </w:r>
          </w:p>
        </w:tc>
        <w:tc>
          <w:tcPr>
            <w:tcW w:type="dxa" w:w="2045"/>
          </w:tcPr>
          <w:p>
            <w:pPr>
              <w:spacing w:after="0"/>
            </w:pPr>
            <w:r>
              <w:rPr>
                <w:rFonts w:ascii="Arial" w:hAnsi="Arial"/>
                <w:b w:val="0"/>
                <w:sz w:val="14"/>
              </w:rPr>
              <w:t>Halt tool execution; revalidate authority boundary; update tool-action liability boundary; document boundary violation and remediation</w:t>
            </w:r>
          </w:p>
        </w:tc>
      </w:tr>
      <w:tr>
        <w:tc>
          <w:tcPr>
            <w:tcW w:type="dxa" w:w="2045"/>
          </w:tcPr>
          <w:p>
            <w:pPr>
              <w:spacing w:after="0"/>
            </w:pPr>
            <w:r>
              <w:rPr>
                <w:rFonts w:ascii="Arial" w:hAnsi="Arial"/>
                <w:b w:val="0"/>
                <w:sz w:val="14"/>
              </w:rPr>
              <w:t>Human-Role Absence</w:t>
            </w:r>
          </w:p>
        </w:tc>
        <w:tc>
          <w:tcPr>
            <w:tcW w:type="dxa" w:w="2045"/>
          </w:tcPr>
          <w:p>
            <w:pPr>
              <w:spacing w:after="0"/>
            </w:pPr>
            <w:r>
              <w:rPr>
                <w:rFonts w:ascii="Arial" w:hAnsi="Arial"/>
                <w:b w:val="0"/>
                <w:sz w:val="14"/>
              </w:rPr>
              <w:t>Role-responsibility map, accepted outcome state, human review packet</w:t>
            </w:r>
          </w:p>
        </w:tc>
        <w:tc>
          <w:tcPr>
            <w:tcW w:type="dxa" w:w="2045"/>
          </w:tcPr>
          <w:p>
            <w:pPr>
              <w:spacing w:after="0"/>
            </w:pPr>
            <w:r>
              <w:rPr>
                <w:rFonts w:ascii="Arial" w:hAnsi="Arial"/>
                <w:b w:val="0"/>
                <w:sz w:val="14"/>
              </w:rPr>
              <w:t>Human review required but not performed; acceptance decision made without human authority; escalation rule violated</w:t>
            </w:r>
          </w:p>
        </w:tc>
        <w:tc>
          <w:tcPr>
            <w:tcW w:type="dxa" w:w="2045"/>
          </w:tcPr>
          <w:p>
            <w:pPr>
              <w:spacing w:after="0"/>
            </w:pPr>
            <w:r>
              <w:rPr>
                <w:rFonts w:ascii="Arial" w:hAnsi="Arial"/>
                <w:b w:val="0"/>
                <w:sz w:val="14"/>
              </w:rPr>
              <w:t>MRO-01, MRO-04</w:t>
            </w:r>
          </w:p>
        </w:tc>
        <w:tc>
          <w:tcPr>
            <w:tcW w:type="dxa" w:w="2045"/>
          </w:tcPr>
          <w:p>
            <w:pPr>
              <w:spacing w:after="0"/>
            </w:pPr>
            <w:r>
              <w:rPr>
                <w:rFonts w:ascii="Arial" w:hAnsi="Arial"/>
                <w:b w:val="0"/>
                <w:sz w:val="14"/>
              </w:rPr>
              <w:t>Escalate to human authority; re-execute review with human role; update role-responsibility map; document human-role remediation</w:t>
            </w:r>
          </w:p>
        </w:tc>
      </w:tr>
      <w:tr>
        <w:tc>
          <w:tcPr>
            <w:tcW w:type="dxa" w:w="2045"/>
          </w:tcPr>
          <w:p>
            <w:pPr>
              <w:spacing w:after="0"/>
            </w:pPr>
            <w:r>
              <w:rPr>
                <w:rFonts w:ascii="Arial" w:hAnsi="Arial"/>
                <w:b w:val="0"/>
                <w:sz w:val="14"/>
              </w:rPr>
              <w:t>Dispute Backlog</w:t>
            </w:r>
          </w:p>
        </w:tc>
        <w:tc>
          <w:tcPr>
            <w:tcW w:type="dxa" w:w="2045"/>
          </w:tcPr>
          <w:p>
            <w:pPr>
              <w:spacing w:after="0"/>
            </w:pPr>
            <w:r>
              <w:rPr>
                <w:rFonts w:ascii="Arial" w:hAnsi="Arial"/>
                <w:b w:val="0"/>
                <w:sz w:val="14"/>
              </w:rPr>
              <w:t>Dispute resolution record, evidence partition, incident closure record</w:t>
            </w:r>
          </w:p>
        </w:tc>
        <w:tc>
          <w:tcPr>
            <w:tcW w:type="dxa" w:w="2045"/>
          </w:tcPr>
          <w:p>
            <w:pPr>
              <w:spacing w:after="0"/>
            </w:pPr>
            <w:r>
              <w:rPr>
                <w:rFonts w:ascii="Arial" w:hAnsi="Arial"/>
                <w:b w:val="0"/>
                <w:sz w:val="14"/>
              </w:rPr>
              <w:t>Dispute unresolved beyond SLA; dispute escalation path exhausted; dispute closure rate below threshold</w:t>
            </w:r>
          </w:p>
        </w:tc>
        <w:tc>
          <w:tcPr>
            <w:tcW w:type="dxa" w:w="2045"/>
          </w:tcPr>
          <w:p>
            <w:pPr>
              <w:spacing w:after="0"/>
            </w:pPr>
            <w:r>
              <w:rPr>
                <w:rFonts w:ascii="Arial" w:hAnsi="Arial"/>
                <w:b w:val="0"/>
                <w:sz w:val="14"/>
              </w:rPr>
              <w:t>MRO-04, MRO-08, MRO-16</w:t>
            </w:r>
          </w:p>
        </w:tc>
        <w:tc>
          <w:tcPr>
            <w:tcW w:type="dxa" w:w="2045"/>
          </w:tcPr>
          <w:p>
            <w:pPr>
              <w:spacing w:after="0"/>
            </w:pPr>
            <w:r>
              <w:rPr>
                <w:rFonts w:ascii="Arial" w:hAnsi="Arial"/>
                <w:b w:val="0"/>
                <w:sz w:val="14"/>
              </w:rPr>
              <w:t>Escalate dispute resolution; engage external authority if needed; update dispute resolution procedure; document backlog remediation</w:t>
            </w:r>
          </w:p>
        </w:tc>
      </w:tr>
      <w:tr>
        <w:tc>
          <w:tcPr>
            <w:tcW w:type="dxa" w:w="2045"/>
          </w:tcPr>
          <w:p>
            <w:pPr>
              <w:spacing w:after="0"/>
            </w:pPr>
            <w:r>
              <w:rPr>
                <w:rFonts w:ascii="Arial" w:hAnsi="Arial"/>
                <w:b w:val="0"/>
                <w:sz w:val="14"/>
              </w:rPr>
              <w:t>Privacy Data-Flow Deviation</w:t>
            </w:r>
          </w:p>
        </w:tc>
        <w:tc>
          <w:tcPr>
            <w:tcW w:type="dxa" w:w="2045"/>
          </w:tcPr>
          <w:p>
            <w:pPr>
              <w:spacing w:after="0"/>
            </w:pPr>
            <w:r>
              <w:rPr>
                <w:rFonts w:ascii="Arial" w:hAnsi="Arial"/>
                <w:b w:val="0"/>
                <w:sz w:val="14"/>
              </w:rPr>
              <w:t>Privacy lifecycle map, data subject rights reconciliation record, processor chain record</w:t>
            </w:r>
          </w:p>
        </w:tc>
        <w:tc>
          <w:tcPr>
            <w:tcW w:type="dxa" w:w="2045"/>
          </w:tcPr>
          <w:p>
            <w:pPr>
              <w:spacing w:after="0"/>
            </w:pPr>
            <w:r>
              <w:rPr>
                <w:rFonts w:ascii="Arial" w:hAnsi="Arial"/>
                <w:b w:val="0"/>
                <w:sz w:val="14"/>
              </w:rPr>
              <w:t>Data processed outside documented flow; processor/subprocessor not in registry; data subject rights request unresolved</w:t>
            </w:r>
          </w:p>
        </w:tc>
        <w:tc>
          <w:tcPr>
            <w:tcW w:type="dxa" w:w="2045"/>
          </w:tcPr>
          <w:p>
            <w:pPr>
              <w:spacing w:after="0"/>
            </w:pPr>
            <w:r>
              <w:rPr>
                <w:rFonts w:ascii="Arial" w:hAnsi="Arial"/>
                <w:b w:val="0"/>
                <w:sz w:val="14"/>
              </w:rPr>
              <w:t>MRO-10, MRO-13, MRO-14</w:t>
            </w:r>
          </w:p>
        </w:tc>
        <w:tc>
          <w:tcPr>
            <w:tcW w:type="dxa" w:w="2045"/>
          </w:tcPr>
          <w:p>
            <w:pPr>
              <w:spacing w:after="0"/>
            </w:pPr>
            <w:r>
              <w:rPr>
                <w:rFonts w:ascii="Arial" w:hAnsi="Arial"/>
                <w:b w:val="0"/>
                <w:sz w:val="14"/>
              </w:rPr>
              <w:t>Halt data processing; revalidate privacy lifecycle map; update processor chain record; resolve data subject rights request; document privacy remediation</w:t>
            </w:r>
          </w:p>
        </w:tc>
      </w:tr>
      <w:tr>
        <w:tc>
          <w:tcPr>
            <w:tcW w:type="dxa" w:w="2045"/>
          </w:tcPr>
          <w:p>
            <w:pPr>
              <w:spacing w:after="0"/>
            </w:pPr>
            <w:r>
              <w:rPr>
                <w:rFonts w:ascii="Arial" w:hAnsi="Arial"/>
                <w:b w:val="0"/>
                <w:sz w:val="14"/>
              </w:rPr>
              <w:t>Vendor Substitution Alert</w:t>
            </w:r>
          </w:p>
        </w:tc>
        <w:tc>
          <w:tcPr>
            <w:tcW w:type="dxa" w:w="2045"/>
          </w:tcPr>
          <w:p>
            <w:pPr>
              <w:spacing w:after="0"/>
            </w:pPr>
            <w:r>
              <w:rPr>
                <w:rFonts w:ascii="Arial" w:hAnsi="Arial"/>
                <w:b w:val="0"/>
                <w:sz w:val="14"/>
              </w:rPr>
              <w:t>Cross-project reuse record, vendor substitution conformance test, model version registry, processor chain record</w:t>
            </w:r>
          </w:p>
        </w:tc>
        <w:tc>
          <w:tcPr>
            <w:tcW w:type="dxa" w:w="2045"/>
          </w:tcPr>
          <w:p>
            <w:pPr>
              <w:spacing w:after="0"/>
            </w:pPr>
            <w:r>
              <w:rPr>
                <w:rFonts w:ascii="Arial" w:hAnsi="Arial"/>
                <w:b w:val="0"/>
                <w:sz w:val="14"/>
              </w:rPr>
              <w:t>Vendor substitution test failed; model version changed without revalidation; processor chain integrity violated</w:t>
            </w:r>
          </w:p>
        </w:tc>
        <w:tc>
          <w:tcPr>
            <w:tcW w:type="dxa" w:w="2045"/>
          </w:tcPr>
          <w:p>
            <w:pPr>
              <w:spacing w:after="0"/>
            </w:pPr>
            <w:r>
              <w:rPr>
                <w:rFonts w:ascii="Arial" w:hAnsi="Arial"/>
                <w:b w:val="0"/>
                <w:sz w:val="14"/>
              </w:rPr>
              <w:t>MRO-09, MRO-15</w:t>
            </w:r>
          </w:p>
        </w:tc>
        <w:tc>
          <w:tcPr>
            <w:tcW w:type="dxa" w:w="2045"/>
          </w:tcPr>
          <w:p>
            <w:pPr>
              <w:spacing w:after="0"/>
            </w:pPr>
            <w:r>
              <w:rPr>
                <w:rFonts w:ascii="Arial" w:hAnsi="Arial"/>
                <w:b w:val="0"/>
                <w:sz w:val="14"/>
              </w:rPr>
              <w:t>Revalidate vendor substitution conformance; update model version registry; revalidate processor chain; document substitution remediation</w:t>
            </w:r>
          </w:p>
        </w:tc>
      </w:tr>
      <w:tr>
        <w:tc>
          <w:tcPr>
            <w:tcW w:type="dxa" w:w="2045"/>
          </w:tcPr>
          <w:p>
            <w:pPr>
              <w:spacing w:after="0"/>
            </w:pPr>
            <w:r>
              <w:rPr>
                <w:rFonts w:ascii="Arial" w:hAnsi="Arial"/>
                <w:b w:val="0"/>
                <w:sz w:val="14"/>
              </w:rPr>
              <w:t>Continuous Improvement Stall</w:t>
            </w:r>
          </w:p>
        </w:tc>
        <w:tc>
          <w:tcPr>
            <w:tcW w:type="dxa" w:w="2045"/>
          </w:tcPr>
          <w:p>
            <w:pPr>
              <w:spacing w:after="0"/>
            </w:pPr>
            <w:r>
              <w:rPr>
                <w:rFonts w:ascii="Arial" w:hAnsi="Arial"/>
                <w:b w:val="0"/>
                <w:sz w:val="14"/>
              </w:rPr>
              <w:t>Monitoring record, incident/remediation closure record</w:t>
            </w:r>
          </w:p>
        </w:tc>
        <w:tc>
          <w:tcPr>
            <w:tcW w:type="dxa" w:w="2045"/>
          </w:tcPr>
          <w:p>
            <w:pPr>
              <w:spacing w:after="0"/>
            </w:pPr>
            <w:r>
              <w:rPr>
                <w:rFonts w:ascii="Arial" w:hAnsi="Arial"/>
                <w:b w:val="0"/>
                <w:sz w:val="14"/>
              </w:rPr>
              <w:t>Feedback loop inactive beyond threshold; drift detected but not remediated; improvement actions not implemented</w:t>
            </w:r>
          </w:p>
        </w:tc>
        <w:tc>
          <w:tcPr>
            <w:tcW w:type="dxa" w:w="2045"/>
          </w:tcPr>
          <w:p>
            <w:pPr>
              <w:spacing w:after="0"/>
            </w:pPr>
            <w:r>
              <w:rPr>
                <w:rFonts w:ascii="Arial" w:hAnsi="Arial"/>
                <w:b w:val="0"/>
                <w:sz w:val="14"/>
              </w:rPr>
              <w:t>RCCS-10, MRO-16</w:t>
            </w:r>
          </w:p>
        </w:tc>
        <w:tc>
          <w:tcPr>
            <w:tcW w:type="dxa" w:w="2045"/>
          </w:tcPr>
          <w:p>
            <w:pPr>
              <w:spacing w:after="0"/>
            </w:pPr>
            <w:r>
              <w:rPr>
                <w:rFonts w:ascii="Arial" w:hAnsi="Arial"/>
                <w:b w:val="0"/>
                <w:sz w:val="14"/>
              </w:rPr>
              <w:t>Reactivate monitoring review; prioritize drift remediation; implement improvement actions; update incident/remediation closure record</w:t>
            </w:r>
          </w:p>
        </w:tc>
      </w:tr>
    </w:tbl>
    <w:p>
      <w:pPr>
        <w:spacing w:after="56"/>
      </w:pPr>
      <w:r>
        <w:t>Interpretation: Lifecycle monitoring indicators detect governance continuity failures, not only execution performance failures. Alert conditions trigger remediation paths that restore lifecycle conformance. Monitoring without remediation is observation without governance.</w:t>
      </w:r>
    </w:p>
    <w:p>
      <w:pPr>
        <w:pStyle w:val="Heading3"/>
      </w:pPr>
      <w:r>
        <w:t>10.7.3 Continuous Improvement Note</w:t>
      </w:r>
    </w:p>
    <w:p>
      <w:pPr>
        <w:spacing w:after="56"/>
      </w:pPr>
      <w:r>
        <w:t>Lifecycle monitoring feeds back into ALCS lifecycle records, MRO evidence records, and RCCS coverage assessments. This is the governance loop: authorization -&gt; execution -&gt; evidence -&gt; review -&gt; remediation -&gt; improvement -&gt; re-authorization. Continuous improvement is not a separate MRO. It is the feedback mechanism that ensures lifecycle governance adapts to changing systems, roles, tools, vendors, and regulatory requirements.</w:t>
      </w:r>
    </w:p>
    <w:p>
      <w:pPr>
        <w:spacing w:after="56"/>
      </w:pPr>
      <w:r>
        <w:t>Authority drift detection (MRO-07), evidence partitioning (MRO-08), cross-project reuse compliance (MRO-09), privacy lifecycle mapping (MRO-10), substitution conformance (MRO-15), and incident/remediation closure (MRO-16) together show whether governance structures are degrading and whether remediation is documented, accepted, and integrated into lifecycle records. Without this feedback loop, lifecycle governance becomes static and brittle. With it, lifecycle governance becomes adaptive and resilient.</w:t>
      </w:r>
    </w:p>
    <w:p>
      <w:pPr>
        <w:spacing w:after="56"/>
      </w:pPr>
      <w:r>
        <w:t>Boundary: This section is a governance crosswalk for lifecycle monitoring, not a real-time monitoring product specification, SRE framework, or SLA definition. Detailed monitoring implementation procedures and continuous improvement frameworks are reserved for companion papers, as outlined in Chapter 16.</w:t>
      </w:r>
    </w:p>
    <w:p>
      <w:pPr>
        <w:pStyle w:val="Heading2"/>
      </w:pPr>
      <w:r>
        <w:t>10.8 Chapter Closure and Bridge to Chapter 16</w:t>
      </w:r>
    </w:p>
    <w:p>
      <w:pPr>
        <w:pStyle w:val="Heading3"/>
      </w:pPr>
      <w:r>
        <w:t>10.8.1 What Chapter 10 Has Established</w:t>
      </w:r>
    </w:p>
    <w:p>
      <w:pPr>
        <w:spacing w:after="56"/>
      </w:pPr>
      <w:r>
        <w:t>Chapter 10 has established the enterprise control crosswalk for AI Agent Lifecycle Governance. It has shown how lifecycle governance objects—MROs, RCCS dimensions, ALCS dimensions, and lifecycle records—map into enterprise control language: audit, insurance, procurement, board reporting, model risk management, cybersecurity, incident response, and monitoring.</w:t>
      </w:r>
    </w:p>
    <w:p>
      <w:pPr>
        <w:spacing w:after="56"/>
      </w:pPr>
      <w:r>
        <w:t>The crosswalk demonstrates that lifecycle governance is not an abstract protocol or research model. It is a structured method for producing the evidence that enterprise controls require. RCCS and ALCS scores become procurement scorecard inputs. MROs become audit evidence requirements. Lifecycle conformance becomes vendor substitution readiness. Evidence partitioning becomes privacy-preserving validation. Accepted outcome compliance becomes board reporting on agentic risk.</w:t>
      </w:r>
    </w:p>
    <w:p>
      <w:pPr>
        <w:spacing w:after="56"/>
      </w:pPr>
      <w:r>
        <w:t>Enterprise adoption of agentic AI requires this crosswalk layer. Without it, lifecycle governance remains disconnected from enterprise control frameworks, procurement processes, board reporting structures, and audit requirements. With it, lifecycle governance becomes the evidence layer that enterprise controls can rely upon.</w:t>
      </w:r>
    </w:p>
    <w:p>
      <w:pPr>
        <w:spacing w:after="56"/>
      </w:pPr>
      <w:r>
        <w:t>The chapter has provided:</w:t>
      </w:r>
    </w:p>
    <w:p>
      <w:pPr>
        <w:pStyle w:val="ListBullet"/>
        <w:spacing w:after="56"/>
      </w:pPr>
      <w:r>
        <w:t>Enterprise control overlay mapping lifecycle governance to audit, insurance, and board reporting readiness (Section 10.1)</w:t>
      </w:r>
    </w:p>
    <w:p>
      <w:pPr>
        <w:pStyle w:val="ListBullet"/>
        <w:spacing w:after="56"/>
      </w:pPr>
      <w:r>
        <w:t>Enterprise control crosswalk tables mapping control topics to MROs, RCCS/ALCS dimensions, and evidence outputs (Section 10.2)</w:t>
      </w:r>
    </w:p>
    <w:p>
      <w:pPr>
        <w:pStyle w:val="ListBullet"/>
        <w:spacing w:after="56"/>
      </w:pPr>
      <w:r>
        <w:t>Model risk management mapping showing how model changes propagate through lifecycle conformance (Section 10.3)</w:t>
      </w:r>
    </w:p>
    <w:p>
      <w:pPr>
        <w:pStyle w:val="ListBullet"/>
        <w:spacing w:after="56"/>
      </w:pPr>
      <w:r>
        <w:t>Cybersecurity control mapping showing how lifecycle governance supports cybersecurity under attack (Section 10.4)</w:t>
      </w:r>
    </w:p>
    <w:p>
      <w:pPr>
        <w:pStyle w:val="ListBullet"/>
        <w:spacing w:after="56"/>
      </w:pPr>
      <w:r>
        <w:t>Board reporting elements defining structured, auditable lifecycle risk reporting (Section 10.5)</w:t>
      </w:r>
    </w:p>
    <w:p>
      <w:pPr>
        <w:pStyle w:val="ListBullet"/>
        <w:spacing w:after="56"/>
      </w:pPr>
      <w:r>
        <w:t>Procurement scorecard criteria for evaluating vendor lifecycle governance capabilities (Section 10.6)</w:t>
      </w:r>
    </w:p>
    <w:p>
      <w:pPr>
        <w:pStyle w:val="ListBullet"/>
        <w:spacing w:after="56"/>
      </w:pPr>
      <w:r>
        <w:t>Lifecycle monitoring indicators for detecting governance continuity failures (Section 10.7)</w:t>
      </w:r>
    </w:p>
    <w:p>
      <w:pPr>
        <w:pStyle w:val="Heading3"/>
      </w:pPr>
      <w:r>
        <w:t>10.8.2 What Chapter 16 Will Add</w:t>
      </w:r>
    </w:p>
    <w:p>
      <w:pPr>
        <w:spacing w:after="56"/>
      </w:pPr>
      <w:r>
        <w:t>Chapter 10 provides the control language. Chapter 16 provides the boundary to companion papers. Chapter 16 is titled "Boundary to Companion Papers: Evidence, Assurance, and Insurability."</w:t>
      </w:r>
    </w:p>
    <w:p>
      <w:pPr>
        <w:spacing w:after="56"/>
      </w:pPr>
      <w:r>
        <w:t>Chapter 16 will establish:</w:t>
      </w:r>
    </w:p>
    <w:p>
      <w:pPr>
        <w:pStyle w:val="ListBullet"/>
        <w:spacing w:after="56"/>
      </w:pPr>
      <w:r>
        <w:t>The boundary between this white paper and companion papers on evidence-based validation, assurance frameworks, and insurability considerations</w:t>
      </w:r>
    </w:p>
    <w:p>
      <w:pPr>
        <w:pStyle w:val="ListBullet"/>
        <w:spacing w:after="56"/>
      </w:pPr>
      <w:r>
        <w:t>Evidence-based validation patterns that external reviewers, auditors, and insurers can use to validate lifecycle conformance without full raw data disclosure</w:t>
      </w:r>
    </w:p>
    <w:p>
      <w:pPr>
        <w:pStyle w:val="ListBullet"/>
        <w:spacing w:after="56"/>
      </w:pPr>
      <w:r>
        <w:t>Assurance framework mapping showing how lifecycle governance supports ISO 42001, SOC 2, and other assurance standards</w:t>
      </w:r>
    </w:p>
    <w:p>
      <w:pPr>
        <w:pStyle w:val="ListBullet"/>
        <w:spacing w:after="56"/>
      </w:pPr>
      <w:r>
        <w:t>Insurability considerations showing how lifecycle governance evidence supports cyber insurance, professional liability insurance, and AI-specific insurance products</w:t>
      </w:r>
    </w:p>
    <w:p>
      <w:pPr>
        <w:pStyle w:val="ListBullet"/>
        <w:spacing w:after="56"/>
      </w:pPr>
      <w:r>
        <w:t>Companion paper scope definitions clarifying what this white paper establishes and what companion papers will address</w:t>
      </w:r>
    </w:p>
    <w:p>
      <w:pPr>
        <w:spacing w:after="56"/>
      </w:pPr>
      <w:r>
        <w:t>Chapter 16 is the final chapter of this white paper. It does not provide detailed assurance procedures, insurance underwriting models, or certification frameworks. It defines the boundary and provides the bridge to companion work.</w:t>
      </w:r>
    </w:p>
    <w:p>
      <w:pPr>
        <w:pStyle w:val="Heading3"/>
      </w:pPr>
      <w:r>
        <w:t>10.8.3 Chapter 10 Closure Statement</w:t>
      </w:r>
    </w:p>
    <w:p>
      <w:pPr>
        <w:spacing w:after="56"/>
      </w:pPr>
      <w:r>
        <w:t>Chapter 10 has translated lifecycle governance into enterprise control language. It has shown that AI Agent Lifecycle Governance is not only a governance protocol. It is a structured evidence layer that enterprise controls, procurement processes, board reporting, audit frameworks, cybersecurity controls, and monitoring systems can rely upon.</w:t>
      </w:r>
    </w:p>
    <w:p>
      <w:pPr>
        <w:spacing w:after="56"/>
      </w:pPr>
      <w:r>
        <w:t>The crosswalk does not replace internal control frameworks, audit procedures, or procurement policies. It shows where agentic lifecycle objects can provide evidence for enterprise control questions. Organizations should integrate these objects into existing control frameworks rather than treating them as separate compliance requirements.</w:t>
      </w:r>
    </w:p>
    <w:p>
      <w:pPr>
        <w:spacing w:after="56"/>
      </w:pPr>
      <w:r>
        <w:t>Boundary: Chapter 10 is a governance crosswalk, not a certification framework, audit specification, insurance underwriting model, or legal compliance opinion. It provides the mapping from lifecycle governance objects to enterprise control language. Detailed assurance procedures, certification frameworks, and insurance models are reserved for companion papers, as outlined in Chapter 16.</w:t>
      </w:r>
    </w:p>
    <w:p>
      <w:pPr>
        <w:spacing w:after="56"/>
      </w:pPr>
      <w:r>
        <w:t>Chapter 16 will establish the boundary to companion papers and provide the bridge from this white paper to evidence-based validation, assurance frameworks, and insurability considerations.</w:t>
      </w:r>
    </w:p>
    <w:p>
      <w:pPr>
        <w:pStyle w:val="Heading1"/>
      </w:pPr>
      <w:r>
        <w:t>11. Comparative Field and System Positioning</w:t>
      </w:r>
    </w:p>
    <w:p>
      <w:pPr>
        <w:spacing w:after="56"/>
      </w:pPr>
      <w:r>
        <w:t>Version: v0.3.2-FRC-R3</w:t>
      </w:r>
    </w:p>
    <w:p>
      <w:pPr>
        <w:pStyle w:val="Heading2"/>
      </w:pPr>
      <w:r>
        <w:t>11.0 Why System Positioning Matters</w:t>
      </w:r>
    </w:p>
    <w:p>
      <w:pPr>
        <w:spacing w:after="56"/>
      </w:pPr>
      <w:r>
        <w:t>This chapter positions the systems and categories that will be evaluated in Chapter 12. It explains the comparison method, establishes non-ranking boundaries, defines the systems in scope, and provides high-level positioning for each system before detailed mapping begins.</w:t>
      </w:r>
    </w:p>
    <w:p>
      <w:pPr>
        <w:spacing w:after="56"/>
      </w:pPr>
      <w:r>
        <w:t>System positioning matters because the field of agentic AI governance is fragmented. Some systems focus on model governance. Some focus on agent orchestration. Some focus on observability. Some focus on enterprise AI management. Some focus on lifecycle protocol semantics. The comparison in this white paper asks a specific question: does a system expose governance primitives and lifecycle responsibility objects that help prove agentic work moved from intent to accepted outcome under authority, evidence, privacy, and remediation controls?</w:t>
      </w:r>
    </w:p>
    <w:p>
      <w:pPr>
        <w:spacing w:after="56"/>
      </w:pPr>
      <w:r>
        <w:t>This is not a product ranking. This is not a legal compliance judgment. This is not a procurement recommendation. This is not an endorsement or criticism of any vendor. It is a responsibility-semantics mapping based on public evidence and author inference where explicitly disclosed.</w:t>
      </w:r>
    </w:p>
    <w:p>
      <w:pPr>
        <w:spacing w:after="56"/>
      </w:pPr>
      <w:r>
        <w:t>The purpose of this chapter is to prepare the reader for Chapter 12 detailed system mappings by establishing what the comparison evaluates, what it does not evaluate, and how to interpret RCCS and ALCS positioning in the context of system strengths and lifecycle gaps.</w:t>
      </w:r>
    </w:p>
    <w:p>
      <w:pPr>
        <w:pStyle w:val="Heading2"/>
      </w:pPr>
      <w:r>
        <w:t>11.1 Comparison Method and Non-Ranking Boundary</w:t>
      </w:r>
    </w:p>
    <w:p>
      <w:pPr>
        <w:spacing w:after="56"/>
      </w:pPr>
      <w:r>
        <w:t>The comparison method used in this white paper evaluates systems against RCCS and ALCS dimensions.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 across agents, humans, tools, projects, vendors, and organizational boundaries.</w:t>
      </w:r>
    </w:p>
    <w:p>
      <w:pPr>
        <w:spacing w:after="56"/>
      </w:pPr>
      <w:r>
        <w:t>The comparison asks whether a system exposes governance primitives and lifecycle responsibility objects. It does not ask whether a system is the best product, the most popular framework, the fastest execution engine, the most feature-complete platform, or the right procurement choice for a specific enterprise. Those are different questions that depend on organizational context, deployment requirements, risk appetite, budget, technical stack, and strategic priorities.</w:t>
      </w:r>
    </w:p>
    <w:p>
      <w:pPr>
        <w:spacing w:after="56"/>
      </w:pPr>
      <w:r>
        <w:t>This is a responsibility-semantics mapping, not a product ranking. The comparison evaluates system capability to express governance primitives and lifecycle objects, not product quality, market leadership, developer popularity, execution performance, or procurement suitability.</w:t>
      </w:r>
    </w:p>
    <w:p>
      <w:pPr>
        <w:spacing w:after="56"/>
      </w:pPr>
      <w:r>
        <w:t>What the comparison evaluates:</w:t>
      </w:r>
    </w:p>
    <w:p>
      <w:pPr>
        <w:pStyle w:val="ListBullet"/>
        <w:spacing w:after="56"/>
      </w:pPr>
      <w:r>
        <w:t>Whether a system defines governance primitives for risk management, data governance, documentation, record-keeping, transparency, human oversight, security, accountability, contestability, and monitoring (RCCS dimensions)</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the comparison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The comparison uses the evidence hierarchy established in the front matter and harmonized through source review follow-up. L1 evidence covers binding legal, regulatory, and formal standards baselines; it does not prove product implementation. L2 evidence covers official product, protocol, API, developer, platform, or repository documentation. L3 evidence covers independent audit reports, credible research papers, or independent reports. L4 evidence covers vendor claims, marketing pages, blogs, and announcements. L5 evidence covers author inference or analytical interpretation and is explicitly disclosed. The canonical multipliers are L1=1.00, L2=0.85, L3=0.75, L4=0.55, and L5=0.35.</w:t>
      </w:r>
    </w:p>
    <w:p>
      <w:pPr>
        <w:spacing w:after="56"/>
      </w:pPr>
      <w:r>
        <w:t>The comparison is not a certification program. It does not certify that any system is compliant with any regulation. It does not guarantee that any system meets all legal obligations. It does not substitute for legal counsel, compliance review, or risk assessment. It measures system capability to express governance primitives and lifecycle objects, not organizational conformance to legal requirements.</w:t>
      </w:r>
    </w:p>
    <w:p>
      <w:pPr>
        <w:pStyle w:val="Heading2"/>
      </w:pPr>
      <w:r>
        <w:t>11.2 System Categories in Scope</w:t>
      </w:r>
    </w:p>
    <w:p>
      <w:pPr>
        <w:spacing w:after="56"/>
      </w:pPr>
      <w:r>
        <w:t>The comparison includes eight systems or system categories. These were selected based on their relevance to enterprise agentic AI governance, their public documentation availability, and their representation of different architectural approaches to agent lifecycle management.</w:t>
      </w:r>
    </w:p>
    <w:p>
      <w:pPr>
        <w:spacing w:after="56"/>
      </w:pPr>
      <w:r>
        <w:t>The eight systems or categories in scope are:</w:t>
      </w:r>
    </w:p>
    <w:p>
      <w:pPr>
        <w:pStyle w:val="ListNumber"/>
        <w:spacing w:after="56"/>
      </w:pPr>
      <w:r>
        <w:t>MPLP (Multi-Agent Lifecycle Protocol) — A lifecycle protocol path with strong ALCS alignment, designed to expose lifecycle responsibility objects as first-class protocol primitives.</w:t>
      </w:r>
    </w:p>
    <w:p>
      <w:pPr>
        <w:pStyle w:val="ListNumber"/>
        <w:spacing w:after="56"/>
      </w:pPr>
      <w:r>
        <w:t>IBM watsonx.governance — An enterprise AI governance platform with strong regulatory compliance coverage, model governance, risk management, and policy enforcement capabilities.</w:t>
      </w:r>
    </w:p>
    <w:p>
      <w:pPr>
        <w:pStyle w:val="ListNumber"/>
        <w:spacing w:after="56"/>
      </w:pPr>
      <w:r>
        <w:t>Microsoft Azure AI Foundry — A cloud-native AI platform with model management, responsible AI tooling, content safety, and enterprise integration capabilities.</w:t>
      </w:r>
    </w:p>
    <w:p>
      <w:pPr>
        <w:pStyle w:val="ListNumber"/>
        <w:spacing w:after="56"/>
      </w:pPr>
      <w:r>
        <w:t>AWS Bedrock / Guardrails / AgentCore — A cloud AI service suite with model access, guardrails, agent orchestration, and enterprise security integration.</w:t>
      </w:r>
    </w:p>
    <w:p>
      <w:pPr>
        <w:pStyle w:val="ListNumber"/>
        <w:spacing w:after="56"/>
      </w:pPr>
      <w:r>
        <w:t>Google Vertex AI / ADK / Model Armor — A cloud AI platform with model management, agent development kit, model armor safety controls, and enterprise AI management.</w:t>
      </w:r>
    </w:p>
    <w:p>
      <w:pPr>
        <w:pStyle w:val="ListNumber"/>
        <w:spacing w:after="56"/>
      </w:pPr>
      <w:r>
        <w:t>LangGraph / LangSmith — An open-source agent orchestration framework with observability, tracing, and workflow management capabilities.</w:t>
      </w:r>
    </w:p>
    <w:p>
      <w:pPr>
        <w:pStyle w:val="ListNumber"/>
        <w:spacing w:after="56"/>
      </w:pPr>
      <w:r>
        <w:t>OpenAI Agents SDK — A developer-focused agent framework with model access, tool use, and execution orchestration capabilities.</w:t>
      </w:r>
    </w:p>
    <w:p>
      <w:pPr>
        <w:pStyle w:val="ListNumber"/>
        <w:spacing w:after="56"/>
      </w:pPr>
      <w:r>
        <w:t>CrewAI — An open-source multi-agent collaboration framework with role-based agent design and task orchestration capabilities.</w:t>
      </w:r>
    </w:p>
    <w:p>
      <w:pPr>
        <w:spacing w:after="56"/>
      </w:pPr>
      <w:r>
        <w:t>These systems represent different architectural approaches:</w:t>
      </w:r>
    </w:p>
    <w:p>
      <w:pPr>
        <w:pStyle w:val="ListBullet"/>
        <w:spacing w:after="56"/>
      </w:pPr>
      <w:r>
        <w:t>Enterprise AI governance platforms (IBM watsonx.governance) focus on policy enforcement, risk management, and regulatory compliance coverage across the AI lifecycle.</w:t>
      </w:r>
    </w:p>
    <w:p>
      <w:pPr>
        <w:pStyle w:val="ListBullet"/>
        <w:spacing w:after="56"/>
      </w:pPr>
      <w:r>
        <w:t>Cloud AI platforms (Microsoft Azure AI Foundry, AWS Bedrock, Google Vertex AI) focus on model access, responsible AI tooling, content safety, and enterprise integration.</w:t>
      </w:r>
    </w:p>
    <w:p>
      <w:pPr>
        <w:pStyle w:val="ListBullet"/>
        <w:spacing w:after="56"/>
      </w:pPr>
      <w:r>
        <w:t>Agent orchestration frameworks (LangGraph, OpenAI Agents SDK, CrewAI) focus on agent execution, tool use, workflow management, and observability.</w:t>
      </w:r>
    </w:p>
    <w:p>
      <w:pPr>
        <w:pStyle w:val="ListBullet"/>
        <w:spacing w:after="56"/>
      </w:pPr>
      <w:r>
        <w:t>Lifecycle protocol paths (MPLP) focus on lifecycle responsibility objects, evidence chain, and governance primitives as first-class protocol semantics.</w:t>
      </w:r>
    </w:p>
    <w:p>
      <w:pPr>
        <w:spacing w:after="56"/>
      </w:pPr>
      <w:r>
        <w:t>The comparison does not claim that these are the only systems worth evaluating. Other systems, frameworks, and platforms exist and may provide strong governance capabilities. The selection reflects systems with sufficient public documentation to support evidence-based evaluation and systems that represent different architectural approaches to agentic AI governance.</w:t>
      </w:r>
    </w:p>
    <w:p>
      <w:pPr>
        <w:spacing w:after="56"/>
      </w:pPr>
      <w:r>
        <w:t>No new systems will be added to the comparison without explicit owner approval. The comparison is scoped to these eight systems or categories to maintain focus and ensure that detailed mapping in Chapter 12 remains feasible within the white paper's scope.</w:t>
      </w:r>
    </w:p>
    <w:p>
      <w:pPr>
        <w:pStyle w:val="Heading2"/>
      </w:pPr>
      <w:r>
        <w:t>11.3 Comparative Field Positioning Matrix</w:t>
      </w:r>
    </w:p>
    <w:p>
      <w:pPr>
        <w:spacing w:after="56"/>
      </w:pPr>
      <w:r>
        <w:t>The following table provides high-level positioning for each system or category. It identifies the primary strength of each system, its likely RCCS posture (regulatory compliance coverage), its likely ALCS posture (agentic lifecycle conformance), and the main lifecycle gap that Chapter 12 will examine.</w:t>
      </w:r>
    </w:p>
    <w:p>
      <w:pPr>
        <w:keepNext/>
      </w:pPr>
      <w:r>
        <w:rPr>
          <w:b/>
          <w:sz w:val="16"/>
        </w:rPr>
        <w:t>Table T-11-01: Comparative Field Positioning Matrix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System / Category</w:t>
            </w:r>
          </w:p>
        </w:tc>
        <w:tc>
          <w:tcPr>
            <w:tcW w:type="dxa" w:w="2045"/>
          </w:tcPr>
          <w:p>
            <w:pPr>
              <w:spacing w:after="0"/>
            </w:pPr>
            <w:r>
              <w:rPr>
                <w:rFonts w:ascii="Arial" w:hAnsi="Arial"/>
                <w:b/>
                <w:sz w:val="14"/>
              </w:rPr>
              <w:t>Primary Strength</w:t>
            </w:r>
          </w:p>
        </w:tc>
        <w:tc>
          <w:tcPr>
            <w:tcW w:type="dxa" w:w="2045"/>
          </w:tcPr>
          <w:p>
            <w:pPr>
              <w:spacing w:after="0"/>
            </w:pPr>
            <w:r>
              <w:rPr>
                <w:rFonts w:ascii="Arial" w:hAnsi="Arial"/>
                <w:b/>
                <w:sz w:val="14"/>
              </w:rPr>
              <w:t>RCCS Posture</w:t>
            </w:r>
          </w:p>
        </w:tc>
        <w:tc>
          <w:tcPr>
            <w:tcW w:type="dxa" w:w="2045"/>
          </w:tcPr>
          <w:p>
            <w:pPr>
              <w:spacing w:after="0"/>
            </w:pPr>
            <w:r>
              <w:rPr>
                <w:rFonts w:ascii="Arial" w:hAnsi="Arial"/>
                <w:b/>
                <w:sz w:val="14"/>
              </w:rPr>
              <w:t>ALCS Posture</w:t>
            </w:r>
          </w:p>
        </w:tc>
        <w:tc>
          <w:tcPr>
            <w:tcW w:type="dxa" w:w="2045"/>
          </w:tcPr>
          <w:p>
            <w:pPr>
              <w:spacing w:after="0"/>
            </w:pPr>
            <w:r>
              <w:rPr>
                <w:rFonts w:ascii="Arial" w:hAnsi="Arial"/>
                <w:b/>
                <w:sz w:val="14"/>
              </w:rPr>
              <w:t>Main Lifecycle Gap to Examine</w:t>
            </w:r>
          </w:p>
        </w:tc>
      </w:tr>
      <w:tr>
        <w:tc>
          <w:tcPr>
            <w:tcW w:type="dxa" w:w="2045"/>
          </w:tcPr>
          <w:p>
            <w:pPr>
              <w:spacing w:after="0"/>
            </w:pPr>
            <w:r>
              <w:rPr>
                <w:rFonts w:ascii="Arial" w:hAnsi="Arial"/>
                <w:b w:val="0"/>
                <w:sz w:val="14"/>
              </w:rPr>
              <w:t>MPLP</w:t>
            </w:r>
          </w:p>
        </w:tc>
        <w:tc>
          <w:tcPr>
            <w:tcW w:type="dxa" w:w="2045"/>
          </w:tcPr>
          <w:p>
            <w:pPr>
              <w:spacing w:after="0"/>
            </w:pPr>
            <w:r>
              <w:rPr>
                <w:rFonts w:ascii="Arial" w:hAnsi="Arial"/>
                <w:b w:val="0"/>
                <w:sz w:val="14"/>
              </w:rPr>
              <w:t>Lifecycle protocol semantics; governance primitives as first-class objects</w:t>
            </w:r>
          </w:p>
        </w:tc>
        <w:tc>
          <w:tcPr>
            <w:tcW w:type="dxa" w:w="2045"/>
          </w:tcPr>
          <w:p>
            <w:pPr>
              <w:spacing w:after="0"/>
            </w:pPr>
            <w:r>
              <w:rPr>
                <w:rFonts w:ascii="Arial" w:hAnsi="Arial"/>
                <w:b w:val="0"/>
                <w:sz w:val="14"/>
              </w:rPr>
              <w:t>Moderate to Strong (depends on implementation)</w:t>
            </w:r>
          </w:p>
        </w:tc>
        <w:tc>
          <w:tcPr>
            <w:tcW w:type="dxa" w:w="2045"/>
          </w:tcPr>
          <w:p>
            <w:pPr>
              <w:spacing w:after="0"/>
            </w:pPr>
            <w:r>
              <w:rPr>
                <w:rFonts w:ascii="Arial" w:hAnsi="Arial"/>
                <w:b w:val="0"/>
                <w:sz w:val="14"/>
              </w:rPr>
              <w:t>Strong (protocol designed for lifecycle responsibility objects)</w:t>
            </w:r>
          </w:p>
        </w:tc>
        <w:tc>
          <w:tcPr>
            <w:tcW w:type="dxa" w:w="2045"/>
          </w:tcPr>
          <w:p>
            <w:pPr>
              <w:spacing w:after="0"/>
            </w:pPr>
            <w:r>
              <w:rPr>
                <w:rFonts w:ascii="Arial" w:hAnsi="Arial"/>
                <w:b w:val="0"/>
                <w:sz w:val="14"/>
              </w:rPr>
              <w:t>Enterprise integration; adoption pathway; implementation maturity</w:t>
            </w:r>
          </w:p>
        </w:tc>
      </w:tr>
      <w:tr>
        <w:tc>
          <w:tcPr>
            <w:tcW w:type="dxa" w:w="2045"/>
          </w:tcPr>
          <w:p>
            <w:pPr>
              <w:spacing w:after="0"/>
            </w:pPr>
            <w:r>
              <w:rPr>
                <w:rFonts w:ascii="Arial" w:hAnsi="Arial"/>
                <w:b w:val="0"/>
                <w:sz w:val="14"/>
              </w:rPr>
              <w:t>IBM watsonx.governance</w:t>
            </w:r>
          </w:p>
        </w:tc>
        <w:tc>
          <w:tcPr>
            <w:tcW w:type="dxa" w:w="2045"/>
          </w:tcPr>
          <w:p>
            <w:pPr>
              <w:spacing w:after="0"/>
            </w:pPr>
            <w:r>
              <w:rPr>
                <w:rFonts w:ascii="Arial" w:hAnsi="Arial"/>
                <w:b w:val="0"/>
                <w:sz w:val="14"/>
              </w:rPr>
              <w:t>Enterprise AI governance; policy enforcement; model risk management; regulatory compliance coverage</w:t>
            </w:r>
          </w:p>
        </w:tc>
        <w:tc>
          <w:tcPr>
            <w:tcW w:type="dxa" w:w="2045"/>
          </w:tcPr>
          <w:p>
            <w:pPr>
              <w:spacing w:after="0"/>
            </w:pPr>
            <w:r>
              <w:rPr>
                <w:rFonts w:ascii="Arial" w:hAnsi="Arial"/>
                <w:b w:val="0"/>
                <w:sz w:val="14"/>
              </w:rPr>
              <w:t>Strong (designed for regulatory compliance)</w:t>
            </w:r>
          </w:p>
        </w:tc>
        <w:tc>
          <w:tcPr>
            <w:tcW w:type="dxa" w:w="2045"/>
          </w:tcPr>
          <w:p>
            <w:pPr>
              <w:spacing w:after="0"/>
            </w:pPr>
            <w:r>
              <w:rPr>
                <w:rFonts w:ascii="Arial" w:hAnsi="Arial"/>
                <w:b w:val="0"/>
                <w:sz w:val="14"/>
              </w:rPr>
              <w:t>Moderate (governance focus, but lifecycle object semantics require validation)</w:t>
            </w:r>
          </w:p>
        </w:tc>
        <w:tc>
          <w:tcPr>
            <w:tcW w:type="dxa" w:w="2045"/>
          </w:tcPr>
          <w:p>
            <w:pPr>
              <w:spacing w:after="0"/>
            </w:pPr>
            <w:r>
              <w:rPr>
                <w:rFonts w:ascii="Arial" w:hAnsi="Arial"/>
                <w:b w:val="0"/>
                <w:sz w:val="14"/>
              </w:rPr>
              <w:t>Agentic lifecycle object exposure; multi-agent responsibility transfer; evidence partitioning</w:t>
            </w:r>
          </w:p>
        </w:tc>
      </w:tr>
      <w:tr>
        <w:tc>
          <w:tcPr>
            <w:tcW w:type="dxa" w:w="2045"/>
          </w:tcPr>
          <w:p>
            <w:pPr>
              <w:spacing w:after="0"/>
            </w:pPr>
            <w:r>
              <w:rPr>
                <w:rFonts w:ascii="Arial" w:hAnsi="Arial"/>
                <w:b w:val="0"/>
                <w:sz w:val="14"/>
              </w:rPr>
              <w:t>Microsoft Azure AI Foundry</w:t>
            </w:r>
          </w:p>
        </w:tc>
        <w:tc>
          <w:tcPr>
            <w:tcW w:type="dxa" w:w="2045"/>
          </w:tcPr>
          <w:p>
            <w:pPr>
              <w:spacing w:after="0"/>
            </w:pPr>
            <w:r>
              <w:rPr>
                <w:rFonts w:ascii="Arial" w:hAnsi="Arial"/>
                <w:b w:val="0"/>
                <w:sz w:val="14"/>
              </w:rPr>
              <w:t>Cloud-native AI platform; responsible AI tooling; content safety; enterprise integration</w:t>
            </w:r>
          </w:p>
        </w:tc>
        <w:tc>
          <w:tcPr>
            <w:tcW w:type="dxa" w:w="2045"/>
          </w:tcPr>
          <w:p>
            <w:pPr>
              <w:spacing w:after="0"/>
            </w:pPr>
            <w:r>
              <w:rPr>
                <w:rFonts w:ascii="Arial" w:hAnsi="Arial"/>
                <w:b w:val="0"/>
                <w:sz w:val="14"/>
              </w:rPr>
              <w:t>Moderate to Strong (responsible AI focus)</w:t>
            </w:r>
          </w:p>
        </w:tc>
        <w:tc>
          <w:tcPr>
            <w:tcW w:type="dxa" w:w="2045"/>
          </w:tcPr>
          <w:p>
            <w:pPr>
              <w:spacing w:after="0"/>
            </w:pPr>
            <w:r>
              <w:rPr>
                <w:rFonts w:ascii="Arial" w:hAnsi="Arial"/>
                <w:b w:val="0"/>
                <w:sz w:val="14"/>
              </w:rPr>
              <w:t>Moderate (platform capabilities exist, but lifecycle semantics require validation)</w:t>
            </w:r>
          </w:p>
        </w:tc>
        <w:tc>
          <w:tcPr>
            <w:tcW w:type="dxa" w:w="2045"/>
          </w:tcPr>
          <w:p>
            <w:pPr>
              <w:spacing w:after="0"/>
            </w:pPr>
            <w:r>
              <w:rPr>
                <w:rFonts w:ascii="Arial" w:hAnsi="Arial"/>
                <w:b w:val="0"/>
                <w:sz w:val="14"/>
              </w:rPr>
              <w:t>Lifecycle responsibility objects; authority boundary enforcement; accepted outcome compliance</w:t>
            </w:r>
          </w:p>
        </w:tc>
      </w:tr>
      <w:tr>
        <w:tc>
          <w:tcPr>
            <w:tcW w:type="dxa" w:w="2045"/>
          </w:tcPr>
          <w:p>
            <w:pPr>
              <w:spacing w:after="0"/>
            </w:pPr>
            <w:r>
              <w:rPr>
                <w:rFonts w:ascii="Arial" w:hAnsi="Arial"/>
                <w:b w:val="0"/>
                <w:sz w:val="14"/>
              </w:rPr>
              <w:t>AWS Bedrock / Guardrails / AgentCore</w:t>
            </w:r>
          </w:p>
        </w:tc>
        <w:tc>
          <w:tcPr>
            <w:tcW w:type="dxa" w:w="2045"/>
          </w:tcPr>
          <w:p>
            <w:pPr>
              <w:spacing w:after="0"/>
            </w:pPr>
            <w:r>
              <w:rPr>
                <w:rFonts w:ascii="Arial" w:hAnsi="Arial"/>
                <w:b w:val="0"/>
                <w:sz w:val="14"/>
              </w:rPr>
              <w:t>Cloud AI services; guardrails; agent orchestration; enterprise security integration</w:t>
            </w:r>
          </w:p>
        </w:tc>
        <w:tc>
          <w:tcPr>
            <w:tcW w:type="dxa" w:w="2045"/>
          </w:tcPr>
          <w:p>
            <w:pPr>
              <w:spacing w:after="0"/>
            </w:pPr>
            <w:r>
              <w:rPr>
                <w:rFonts w:ascii="Arial" w:hAnsi="Arial"/>
                <w:b w:val="0"/>
                <w:sz w:val="14"/>
              </w:rPr>
              <w:t>Moderate (guardrails and security focus)</w:t>
            </w:r>
          </w:p>
        </w:tc>
        <w:tc>
          <w:tcPr>
            <w:tcW w:type="dxa" w:w="2045"/>
          </w:tcPr>
          <w:p>
            <w:pPr>
              <w:spacing w:after="0"/>
            </w:pPr>
            <w:r>
              <w:rPr>
                <w:rFonts w:ascii="Arial" w:hAnsi="Arial"/>
                <w:b w:val="0"/>
                <w:sz w:val="14"/>
              </w:rPr>
              <w:t>Moderate (agent orchestration exists, but lifecycle object semantics require validation)</w:t>
            </w:r>
          </w:p>
        </w:tc>
        <w:tc>
          <w:tcPr>
            <w:tcW w:type="dxa" w:w="2045"/>
          </w:tcPr>
          <w:p>
            <w:pPr>
              <w:spacing w:after="0"/>
            </w:pPr>
            <w:r>
              <w:rPr>
                <w:rFonts w:ascii="Arial" w:hAnsi="Arial"/>
                <w:b w:val="0"/>
                <w:sz w:val="14"/>
              </w:rPr>
              <w:t>Lifecycle responsibility objects; evidence partitioning; responsibility transfer across agents</w:t>
            </w:r>
          </w:p>
        </w:tc>
      </w:tr>
      <w:tr>
        <w:tc>
          <w:tcPr>
            <w:tcW w:type="dxa" w:w="2045"/>
          </w:tcPr>
          <w:p>
            <w:pPr>
              <w:spacing w:after="0"/>
            </w:pPr>
            <w:r>
              <w:rPr>
                <w:rFonts w:ascii="Arial" w:hAnsi="Arial"/>
                <w:b w:val="0"/>
                <w:sz w:val="14"/>
              </w:rPr>
              <w:t>Google Vertex AI / ADK / Model Armor</w:t>
            </w:r>
          </w:p>
        </w:tc>
        <w:tc>
          <w:tcPr>
            <w:tcW w:type="dxa" w:w="2045"/>
          </w:tcPr>
          <w:p>
            <w:pPr>
              <w:spacing w:after="0"/>
            </w:pPr>
            <w:r>
              <w:rPr>
                <w:rFonts w:ascii="Arial" w:hAnsi="Arial"/>
                <w:b w:val="0"/>
                <w:sz w:val="14"/>
              </w:rPr>
              <w:t>Cloud AI platform; agent development kit; model armor safety controls; enterprise AI management</w:t>
            </w:r>
          </w:p>
        </w:tc>
        <w:tc>
          <w:tcPr>
            <w:tcW w:type="dxa" w:w="2045"/>
          </w:tcPr>
          <w:p>
            <w:pPr>
              <w:spacing w:after="0"/>
            </w:pPr>
            <w:r>
              <w:rPr>
                <w:rFonts w:ascii="Arial" w:hAnsi="Arial"/>
                <w:b w:val="0"/>
                <w:sz w:val="14"/>
              </w:rPr>
              <w:t>Moderate to Strong (safety and management focus)</w:t>
            </w:r>
          </w:p>
        </w:tc>
        <w:tc>
          <w:tcPr>
            <w:tcW w:type="dxa" w:w="2045"/>
          </w:tcPr>
          <w:p>
            <w:pPr>
              <w:spacing w:after="0"/>
            </w:pPr>
            <w:r>
              <w:rPr>
                <w:rFonts w:ascii="Arial" w:hAnsi="Arial"/>
                <w:b w:val="0"/>
                <w:sz w:val="14"/>
              </w:rPr>
              <w:t>Moderate (ADK provides agent primitives, but lifecycle semantics require validation)</w:t>
            </w:r>
          </w:p>
        </w:tc>
        <w:tc>
          <w:tcPr>
            <w:tcW w:type="dxa" w:w="2045"/>
          </w:tcPr>
          <w:p>
            <w:pPr>
              <w:spacing w:after="0"/>
            </w:pPr>
            <w:r>
              <w:rPr>
                <w:rFonts w:ascii="Arial" w:hAnsi="Arial"/>
                <w:b w:val="0"/>
                <w:sz w:val="14"/>
              </w:rPr>
              <w:t>Lifecycle responsibility objects; authority boundary enforcement; privacy lifecycle mapping</w:t>
            </w:r>
          </w:p>
        </w:tc>
      </w:tr>
      <w:tr>
        <w:tc>
          <w:tcPr>
            <w:tcW w:type="dxa" w:w="2045"/>
          </w:tcPr>
          <w:p>
            <w:pPr>
              <w:spacing w:after="0"/>
            </w:pPr>
            <w:r>
              <w:rPr>
                <w:rFonts w:ascii="Arial" w:hAnsi="Arial"/>
                <w:b w:val="0"/>
                <w:sz w:val="14"/>
              </w:rPr>
              <w:t>LangGraph / LangSmith</w:t>
            </w:r>
          </w:p>
        </w:tc>
        <w:tc>
          <w:tcPr>
            <w:tcW w:type="dxa" w:w="2045"/>
          </w:tcPr>
          <w:p>
            <w:pPr>
              <w:spacing w:after="0"/>
            </w:pPr>
            <w:r>
              <w:rPr>
                <w:rFonts w:ascii="Arial" w:hAnsi="Arial"/>
                <w:b w:val="0"/>
                <w:sz w:val="14"/>
              </w:rPr>
              <w:t>Agent orchestration; observability; tracing; workflow management</w:t>
            </w:r>
          </w:p>
        </w:tc>
        <w:tc>
          <w:tcPr>
            <w:tcW w:type="dxa" w:w="2045"/>
          </w:tcPr>
          <w:p>
            <w:pPr>
              <w:spacing w:after="0"/>
            </w:pPr>
            <w:r>
              <w:rPr>
                <w:rFonts w:ascii="Arial" w:hAnsi="Arial"/>
                <w:b w:val="0"/>
                <w:sz w:val="14"/>
              </w:rPr>
              <w:t>Moderate (observability and tracing support governance)</w:t>
            </w:r>
          </w:p>
        </w:tc>
        <w:tc>
          <w:tcPr>
            <w:tcW w:type="dxa" w:w="2045"/>
          </w:tcPr>
          <w:p>
            <w:pPr>
              <w:spacing w:after="0"/>
            </w:pPr>
            <w:r>
              <w:rPr>
                <w:rFonts w:ascii="Arial" w:hAnsi="Arial"/>
                <w:b w:val="0"/>
                <w:sz w:val="14"/>
              </w:rPr>
              <w:t>Moderate (orchestration and tracing exist, but lifecycle object semantics require validation)</w:t>
            </w:r>
          </w:p>
        </w:tc>
        <w:tc>
          <w:tcPr>
            <w:tcW w:type="dxa" w:w="2045"/>
          </w:tcPr>
          <w:p>
            <w:pPr>
              <w:spacing w:after="0"/>
            </w:pPr>
            <w:r>
              <w:rPr>
                <w:rFonts w:ascii="Arial" w:hAnsi="Arial"/>
                <w:b w:val="0"/>
                <w:sz w:val="14"/>
              </w:rPr>
              <w:t>Governance primitives; authority boundary enforcement; accepted outcome compliance; evidence partitioning</w:t>
            </w:r>
          </w:p>
        </w:tc>
      </w:tr>
      <w:tr>
        <w:tc>
          <w:tcPr>
            <w:tcW w:type="dxa" w:w="2045"/>
          </w:tcPr>
          <w:p>
            <w:pPr>
              <w:spacing w:after="0"/>
            </w:pPr>
            <w:r>
              <w:rPr>
                <w:rFonts w:ascii="Arial" w:hAnsi="Arial"/>
                <w:b w:val="0"/>
                <w:sz w:val="14"/>
              </w:rPr>
              <w:t>OpenAI Agents SDK</w:t>
            </w:r>
          </w:p>
        </w:tc>
        <w:tc>
          <w:tcPr>
            <w:tcW w:type="dxa" w:w="2045"/>
          </w:tcPr>
          <w:p>
            <w:pPr>
              <w:spacing w:after="0"/>
            </w:pPr>
            <w:r>
              <w:rPr>
                <w:rFonts w:ascii="Arial" w:hAnsi="Arial"/>
                <w:b w:val="0"/>
                <w:sz w:val="14"/>
              </w:rPr>
              <w:t>Developer-focused agent framework; model access; tool use; execution orchestration</w:t>
            </w:r>
          </w:p>
        </w:tc>
        <w:tc>
          <w:tcPr>
            <w:tcW w:type="dxa" w:w="2045"/>
          </w:tcPr>
          <w:p>
            <w:pPr>
              <w:spacing w:after="0"/>
            </w:pPr>
            <w:r>
              <w:rPr>
                <w:rFonts w:ascii="Arial" w:hAnsi="Arial"/>
                <w:b w:val="0"/>
                <w:sz w:val="14"/>
              </w:rPr>
              <w:t>Low to Moderate (execution focus, governance primitives require validation)</w:t>
            </w:r>
          </w:p>
        </w:tc>
        <w:tc>
          <w:tcPr>
            <w:tcW w:type="dxa" w:w="2045"/>
          </w:tcPr>
          <w:p>
            <w:pPr>
              <w:spacing w:after="0"/>
            </w:pPr>
            <w:r>
              <w:rPr>
                <w:rFonts w:ascii="Arial" w:hAnsi="Arial"/>
                <w:b w:val="0"/>
                <w:sz w:val="14"/>
              </w:rPr>
              <w:t>Low to Moderate (execution orchestration exists, but lifecycle object semantics require validation)</w:t>
            </w:r>
          </w:p>
        </w:tc>
        <w:tc>
          <w:tcPr>
            <w:tcW w:type="dxa" w:w="2045"/>
          </w:tcPr>
          <w:p>
            <w:pPr>
              <w:spacing w:after="0"/>
            </w:pPr>
            <w:r>
              <w:rPr>
                <w:rFonts w:ascii="Arial" w:hAnsi="Arial"/>
                <w:b w:val="0"/>
                <w:sz w:val="14"/>
              </w:rPr>
              <w:t>Governance primitives; lifecycle responsibility objects; authority boundary enforcement; evidence chain</w:t>
            </w:r>
          </w:p>
        </w:tc>
      </w:tr>
      <w:tr>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Multi-agent collaboration; role-based agent design; task orchestration</w:t>
            </w:r>
          </w:p>
        </w:tc>
        <w:tc>
          <w:tcPr>
            <w:tcW w:type="dxa" w:w="2045"/>
          </w:tcPr>
          <w:p>
            <w:pPr>
              <w:spacing w:after="0"/>
            </w:pPr>
            <w:r>
              <w:rPr>
                <w:rFonts w:ascii="Arial" w:hAnsi="Arial"/>
                <w:b w:val="0"/>
                <w:sz w:val="14"/>
              </w:rPr>
              <w:t>Low to Moderate (collaboration focus, governance primitives require validation)</w:t>
            </w:r>
          </w:p>
        </w:tc>
        <w:tc>
          <w:tcPr>
            <w:tcW w:type="dxa" w:w="2045"/>
          </w:tcPr>
          <w:p>
            <w:pPr>
              <w:spacing w:after="0"/>
            </w:pPr>
            <w:r>
              <w:rPr>
                <w:rFonts w:ascii="Arial" w:hAnsi="Arial"/>
                <w:b w:val="0"/>
                <w:sz w:val="14"/>
              </w:rPr>
              <w:t>Low to Moderate (role-based design exists, but lifecycle object semantics require validation)</w:t>
            </w:r>
          </w:p>
        </w:tc>
        <w:tc>
          <w:tcPr>
            <w:tcW w:type="dxa" w:w="2045"/>
          </w:tcPr>
          <w:p>
            <w:pPr>
              <w:spacing w:after="0"/>
            </w:pPr>
            <w:r>
              <w:rPr>
                <w:rFonts w:ascii="Arial" w:hAnsi="Arial"/>
                <w:b w:val="0"/>
                <w:sz w:val="14"/>
              </w:rPr>
              <w:t>Governance primitives; lifecycle responsibility objects; authority boundary enforcement; evidence chain</w:t>
            </w:r>
          </w:p>
        </w:tc>
      </w:tr>
    </w:tbl>
    <w:p>
      <w:pPr>
        <w:spacing w:after="56"/>
      </w:pPr>
      <w:r>
        <w:t>This table provides initial positioning based on public documentation, system architecture, and stated design goals. Chapter 12 tests these positions through evidence-qualified, provisional system mappings. Where numerical scoring is not fully source-bound, mappings remain qualitative and non-ranking.</w:t>
      </w:r>
    </w:p>
    <w:p>
      <w:pPr>
        <w:spacing w:after="56"/>
      </w:pPr>
      <w:r>
        <w:t>The table shows that systems have different strengths. Enterprise AI governance platforms tend to score higher on RCCS (regulatory compliance coverage) because they are designed for policy enforcement, risk management, and regulatory compliance. Lifecycle protocol paths tend to score higher on ALCS (agentic lifecycle conformance) because they are designed to expose lifecycle responsibility objects as first-class protocol primitives. Cloud AI platforms and agent orchestration frameworks tend to score in the moderate range on both RCCS and ALCS because they provide some governance capabilities and some lifecycle primitives, but may not expose full lifecycle responsibility semantics.</w:t>
      </w:r>
    </w:p>
    <w:p>
      <w:pPr>
        <w:spacing w:after="56"/>
      </w:pPr>
      <w:r>
        <w:t>The main lifecycle gaps identified in the table reflect the areas where Chapter 12 will focus detailed evaluation. For systems with strong RCCS posture, the gap is often agentic lifecycle object exposure. For systems with strong ALCS posture, the gap is often enterprise integration and adoption maturity. For systems with moderate posture on both dimensions, the gap is often governance primitives and lifecycle responsibility objects that require validation against public documentation.</w:t>
      </w:r>
    </w:p>
    <w:p>
      <w:pPr>
        <w:pStyle w:val="Heading2"/>
      </w:pPr>
      <w:r>
        <w:t>11.4 Reading the RCCS / ALCS Positioning</w:t>
      </w:r>
    </w:p>
    <w:p>
      <w:pPr>
        <w:spacing w:after="56"/>
      </w:pPr>
      <w:r>
        <w:t>RCCS and ALCS measure different layers. RCCS measures regulatory compliance coverage: whether a system provides the governance primitives that existing regulation requires. ALCS measures agentic lifecycle conformance: whether a system provides the lifecycle objects that make agentic responsibility auditable, provable, and transferable.</w:t>
      </w:r>
    </w:p>
    <w:p>
      <w:pPr>
        <w:spacing w:after="56"/>
      </w:pPr>
      <w:r>
        <w:t>A system can have a strong RCCS score and a weak ALCS score. This is not a contradiction. It means the system may provide strong regulatory compliance coverage through risk management, documentation, record-keeping, transparency, human oversight, security, accountability, contestability, and monitoring capabilities while lacking the deeper lifecycle responsibility objects required to prove authority boundaries, responsibility transfer, evidence partitioning, privacy lifecycle mapping, and vendor substitution conformance in multi-agent execution.</w:t>
      </w:r>
    </w:p>
    <w:p>
      <w:pPr>
        <w:spacing w:after="56"/>
      </w:pPr>
      <w:r>
        <w:t>A system can have a strong ALCS score and a moderate RCCS score. This is also not a contradiction. It means the system may provide strong lifecycle responsibility objects for human-role-to-MAS mapping, delegated authority boundaries, agent role distinction, accepted outcome compliance, tool-action liability, responsibility transfer, authority drift detection, evidence partitioning, and other lifecycle semantics while having less mature regulatory compliance coverage for risk management, documentation, record-keeping, or monitoring.</w:t>
      </w:r>
    </w:p>
    <w:p>
      <w:pPr>
        <w:spacing w:after="56"/>
      </w:pPr>
      <w:r>
        <w:t>The ideal system provides both strong RCCS and strong ALCS. This means the system provides the governance primitives that existing regulation requires and the lifecycle objects that make agentic responsibility auditable and transferable. Few systems currently achieve this profile because regulatory compliance coverage and agentic lifecycle conformance have evolved as separate concerns. Enterprise AI governance platforms focus on regulatory compliance. Agent orchestration frameworks focus on execution. Lifecycle protocol paths focus on responsibility semantics. The field is converging, but integration remains incomplete.</w:t>
      </w:r>
    </w:p>
    <w:p>
      <w:pPr>
        <w:spacing w:after="56"/>
      </w:pPr>
      <w:r>
        <w:t>The positioning in Table T-11-01 reflects this fragmentation. Systems with strong RCCS posture tend to be enterprise AI governance platforms designed for regulatory compliance. Systems with strong ALCS posture tend to be lifecycle protocol paths designed for responsibility semantics. Systems with moderate posture on both dimensions tend to be cloud AI platforms or agent orchestration frameworks that provide some governance capabilities and some lifecycle primitives, but may not expose full lifecycle responsibility semantics.</w:t>
      </w:r>
    </w:p>
    <w:p>
      <w:pPr>
        <w:spacing w:after="56"/>
      </w:pPr>
      <w:r>
        <w:t>Chapter 12 tests these positions through evidence-qualified, provisional system mappings. The positioning in this chapter is preliminary and based on public documentation, system architecture, and stated design goals. Detailed evaluation may reveal stronger or weaker capabilities than the preliminary positioning suggests, but system-level mappings remain qualitative and non-ranking unless numerical scoring is explicitly source-bound and approved.</w:t>
      </w:r>
    </w:p>
    <w:p>
      <w:pPr>
        <w:pStyle w:val="Heading2"/>
      </w:pPr>
      <w:r>
        <w:t>11.5 What the Comparison Does Not Claim</w:t>
      </w:r>
    </w:p>
    <w:p>
      <w:pPr>
        <w:spacing w:after="56"/>
      </w:pPr>
      <w:r>
        <w:t>The comparison does not claim that any system is certified, compliant, approved, endorsed, or recommended. It does not claim that any system is the best product, the right procurement choice, or the only solution. It does not claim that any system guarantees legal compliance, regulatory approval, or audit readiness.</w:t>
      </w:r>
    </w:p>
    <w:p>
      <w:pPr>
        <w:spacing w:after="56"/>
      </w:pPr>
      <w:r>
        <w:t>The comparison is a responsibility-semantics mapping based on public evidence and author inference where explicitly disclosed. It measures system capability to express governance primitives and lifecycle objects, not organizational conformance to legal requirements. It provides a structured method for comparing systems against RCCS and ALCS dimensions, not a certification program or procurement recommendation.</w:t>
      </w:r>
    </w:p>
    <w:p>
      <w:pPr>
        <w:spacing w:after="56"/>
      </w:pPr>
      <w:r>
        <w:t>The comparison does not claim:</w:t>
      </w:r>
    </w:p>
    <w:p>
      <w:pPr>
        <w:pStyle w:val="ListBullet"/>
        <w:spacing w:after="56"/>
      </w:pPr>
      <w:r>
        <w:t>Certification or conformity assessment: The comparison does not certify that any system is compliant with any regulation or standard. It does not substitute for conformity assessment, regulatory approval, or third-party certification.</w:t>
      </w:r>
    </w:p>
    <w:p>
      <w:pPr>
        <w:pStyle w:val="ListBullet"/>
        <w:spacing w:after="56"/>
      </w:pPr>
      <w:r>
        <w:t>Legal compliance judgment: The comparison does not determine whether any system meets legal obligations in any jurisdiction. Legal compliance depends on organizational practice, deployment context, risk class, and how the system is used.</w:t>
      </w:r>
    </w:p>
    <w:p>
      <w:pPr>
        <w:pStyle w:val="ListBullet"/>
        <w:spacing w:after="56"/>
      </w:pPr>
      <w:r>
        <w:t>Procurement recommendation: The comparison does not recommend any system for procurement. Procurement decisions depend on organizational requirements, budget, technical stack, risk appetite, vendor relationships, and strategic priorities.</w:t>
      </w:r>
    </w:p>
    <w:p>
      <w:pPr>
        <w:pStyle w:val="ListBullet"/>
        <w:spacing w:after="56"/>
      </w:pPr>
      <w:r>
        <w:t>Endorsement or criticism: The comparison does not endorse any system as superior or criticize any system as inadequate. It evaluates system capability against RCCS and ALCS dimensions, not product quality or market fitness.</w:t>
      </w:r>
    </w:p>
    <w:p>
      <w:pPr>
        <w:pStyle w:val="ListBullet"/>
        <w:spacing w:after="56"/>
      </w:pPr>
      <w:r>
        <w:t>Vendor quality judgment: The comparison does not evaluate vendor quality, support, pricing, or business practices. It evaluates system capability to express governance primitives and lifecycle objects based on public documentation.</w:t>
      </w:r>
    </w:p>
    <w:p>
      <w:pPr>
        <w:pStyle w:val="ListBullet"/>
        <w:spacing w:after="56"/>
      </w:pPr>
      <w:r>
        <w:t>Execution performance or feature completeness: The comparison does not evaluate execution performance, feature completeness, developer experience, or operational maturity. It evaluates governance primitives and lifecycle responsibility objects.</w:t>
      </w:r>
    </w:p>
    <w:p>
      <w:pPr>
        <w:pStyle w:val="ListBullet"/>
        <w:spacing w:after="56"/>
      </w:pPr>
      <w:r>
        <w:t>Market leadership or developer popularity: The comparison does not evaluate market share, developer adoption, community size, or ecosystem maturity. It evaluates system capability against RCCS and ALCS dimensions.</w:t>
      </w:r>
    </w:p>
    <w:p>
      <w:pPr>
        <w:spacing w:after="56"/>
      </w:pPr>
      <w:r>
        <w:t>MPLP-specific non-claim discipline:</w:t>
      </w:r>
    </w:p>
    <w:p>
      <w:pPr>
        <w:pStyle w:val="ListBullet"/>
        <w:spacing w:after="56"/>
      </w:pPr>
      <w:r>
        <w:t>MPLP is positioned as a lifecycle protocol path with strong ALCS alignment. This does not mean MPLP is a required compliance mechanism, a certification program, or a regulatory standard.</w:t>
      </w:r>
    </w:p>
    <w:p>
      <w:pPr>
        <w:pStyle w:val="ListBullet"/>
        <w:spacing w:after="56"/>
      </w:pPr>
      <w:r>
        <w:t>MPLP is not a certification authority. It does not certify that any system is compliant with any regulation.</w:t>
      </w:r>
    </w:p>
    <w:p>
      <w:pPr>
        <w:pStyle w:val="ListBullet"/>
        <w:spacing w:after="56"/>
      </w:pPr>
      <w:r>
        <w:t>MPLP is not a regulator. It does not enforce legal obligations or issue regulatory approvals.</w:t>
      </w:r>
    </w:p>
    <w:p>
      <w:pPr>
        <w:pStyle w:val="ListBullet"/>
        <w:spacing w:after="56"/>
      </w:pPr>
      <w:r>
        <w:t>MPLP is not a conformity assessment body. It does not issue conformity certificates or compliance attestations.</w:t>
      </w:r>
    </w:p>
    <w:p>
      <w:pPr>
        <w:pStyle w:val="ListBullet"/>
        <w:spacing w:after="56"/>
      </w:pPr>
      <w:r>
        <w:t>MPLP may be positioned as a lifecycle protocol path that exposes governance primitives and lifecycle responsibility objects as first-class protocol semantics. This is an architectural observation, not a legal claim or procurement recommendation.</w:t>
      </w:r>
    </w:p>
    <w:p>
      <w:pPr>
        <w:spacing w:after="56"/>
      </w:pPr>
      <w:r>
        <w:t>Validation Lab-specific non-claim discipline:</w:t>
      </w:r>
    </w:p>
    <w:p>
      <w:pPr>
        <w:pStyle w:val="ListBullet"/>
        <w:spacing w:after="56"/>
      </w:pPr>
      <w:r>
        <w:t>The Validation Lab is referenced in Chapter 14 as an evidence-based validation pattern. It is not a certification authority, regulator, or conformity assessment body.</w:t>
      </w:r>
    </w:p>
    <w:p>
      <w:pPr>
        <w:pStyle w:val="ListBullet"/>
        <w:spacing w:after="56"/>
      </w:pPr>
      <w:r>
        <w:t>The Validation Lab does not certify that any system is compliant with any regulation.</w:t>
      </w:r>
    </w:p>
    <w:p>
      <w:pPr>
        <w:pStyle w:val="ListBullet"/>
        <w:spacing w:after="56"/>
      </w:pPr>
      <w:r>
        <w:t>The Validation Lab does not issue audit opinions, legal compliance judgments, or regulatory approvals.</w:t>
      </w:r>
    </w:p>
    <w:p>
      <w:pPr>
        <w:pStyle w:val="ListBullet"/>
        <w:spacing w:after="56"/>
      </w:pPr>
      <w:r>
        <w:t>The Validation Lab is a validation pattern for evidence-based testing, not a certification program.</w:t>
      </w:r>
    </w:p>
    <w:p>
      <w:pPr>
        <w:spacing w:after="56"/>
      </w:pPr>
      <w:r>
        <w:t>The comparison is an analytical framework for comparing systems against RCCS and ALCS dimensions. It provides a structured method for evaluating whether systems provide the governance primitives and lifecycle objects that regulation and lifecycle responsibility require. It does not substitute for legal counsel, compliance review, risk assessment, procurement evaluation, or vendor due diligence.</w:t>
      </w:r>
    </w:p>
    <w:p>
      <w:pPr>
        <w:pStyle w:val="Heading2"/>
      </w:pPr>
      <w:r>
        <w:t>11.6 Bridge to Detailed System Mappings</w:t>
      </w:r>
    </w:p>
    <w:p>
      <w:pPr>
        <w:spacing w:after="56"/>
      </w:pPr>
      <w:r>
        <w:t>Chapter 12 will provide detailed system mappings for each of the eight systems or categories in scope. For each system, Chapter 12 will evaluate:</w:t>
      </w:r>
    </w:p>
    <w:p>
      <w:pPr>
        <w:pStyle w:val="ListBullet"/>
        <w:spacing w:after="56"/>
      </w:pPr>
      <w:r>
        <w:t>RCCS dimensions: Risk Management, Data Governance, Documentation, Record-Keeping, Transparency, Human Oversight, Security, Accountability, Contestability, Monitoring</w:t>
      </w:r>
    </w:p>
    <w:p>
      <w:pPr>
        <w:pStyle w:val="ListBullet"/>
        <w:spacing w:after="56"/>
      </w:pPr>
      <w:r>
        <w:t>ALCS dimensions: Human-Role-to-MAS Responsibility Mapping, Delegated Authority Boundary, Agent Role vs Human Role Distinction, Accepted Outcome Compliance, Tool-Action Liability Boundary, Responsibility Transfer Across Agents, Authority Drift Detection, MAS Evidence Partitioning, Cross-Project Reuse Compliance, Privacy/GDPR Lifecycle Mapping, Privacy-Preserving Third-Party Validation, Evidence Minimization and Selective Disclosure, Data Subject Rights vs Evidence Retention, Third-Party Processor/Subprocessor Chain, Vendor/Model/Runtime Substitution Conformance</w:t>
      </w:r>
    </w:p>
    <w:p>
      <w:pPr>
        <w:pStyle w:val="ListBullet"/>
        <w:spacing w:after="56"/>
      </w:pPr>
      <w:r>
        <w:t>Evidence basis: What evidence supports the evaluation (L1, L2, L3, L4, or L5)</w:t>
      </w:r>
    </w:p>
    <w:p>
      <w:pPr>
        <w:pStyle w:val="ListBullet"/>
        <w:spacing w:after="56"/>
      </w:pPr>
      <w:r>
        <w:t>Analytical posture: qualitative RCCS/ALCS mapping strength and evidence level; no published numerical system assessment unless explicitly source-bound and approved</w:t>
      </w:r>
    </w:p>
    <w:p>
      <w:pPr>
        <w:pStyle w:val="ListBullet"/>
        <w:spacing w:after="56"/>
      </w:pPr>
      <w:r>
        <w:t>Lifecycle gaps: What lifecycle responsibility objects or governance primitives are missing or require further validation</w:t>
      </w:r>
    </w:p>
    <w:p>
      <w:pPr>
        <w:spacing w:after="56"/>
      </w:pPr>
      <w:r>
        <w:t>Chapter 12 does not create published numerical system assessments, final procurement recommendations, certification, endorsement, or legal compliance judgments. Any numerical worksheet, if used, remains internal analytical support unless explicitly source-bound and approved for publication.</w:t>
      </w:r>
    </w:p>
    <w:p>
      <w:pPr>
        <w:spacing w:after="56"/>
      </w:pPr>
      <w:r>
        <w:t>Chapter 12 will provide evidence-based system mappings that allow buyers, auditors, governance teams, and protocol designers to evaluate whether systems provide the governance primitives and lifecycle objects that regulation and lifecycle responsibility require. It will make visible the difference between systems that provide regulatory compliance coverage, systems that provide lifecycle responsibility semantics, and systems that provide both.</w:t>
      </w:r>
    </w:p>
    <w:p>
      <w:pPr>
        <w:spacing w:after="56"/>
      </w:pPr>
      <w:r>
        <w:t>The positioning in this chapter prepares the reader for Chapter 12 by establishing the comparison method, defining the systems in scope, providing preliminary positioning, and clarifying what the comparison evaluates and what it does not evaluate. Chapter 12 then tests these positions with detailed evidence-qualified mapping across RCCS and ALCS dimensions.</w:t>
      </w:r>
    </w:p>
    <w:p>
      <w:pPr>
        <w:spacing w:after="56"/>
      </w:pPr>
      <w:r>
        <w:t>Figure F-05 - Lifecycle Conformance Mapping Strength Heatmap</w:t>
      </w:r>
    </w:p>
    <w:p>
      <w:pPr>
        <w:spacing w:after="56"/>
      </w:pPr>
      <w:r>
        <w:t>Figure F-05 is a qualitative, non-ranking map of lifecycle conformance visibility across systems and MRO / ALCS dimensions. It must not be read as a product ranking, procurement recommendation, or final vendor assessment.</w:t>
      </w:r>
    </w:p>
    <w:p>
      <w:pPr>
        <w:keepNext/>
      </w:pPr>
      <w:r>
        <w:rPr>
          <w:b/>
          <w:sz w:val="16"/>
        </w:rPr>
        <w:t>Table T-11-02: Comparison Boundary Table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Comparison Dimension</w:t>
            </w:r>
          </w:p>
        </w:tc>
        <w:tc>
          <w:tcPr>
            <w:tcW w:type="dxa" w:w="3408"/>
          </w:tcPr>
          <w:p>
            <w:pPr>
              <w:spacing w:after="0"/>
            </w:pPr>
            <w:r>
              <w:rPr>
                <w:rFonts w:ascii="Arial" w:hAnsi="Arial"/>
                <w:b/>
                <w:sz w:val="14"/>
              </w:rPr>
              <w:t>What This Paper Evaluates</w:t>
            </w:r>
          </w:p>
        </w:tc>
        <w:tc>
          <w:tcPr>
            <w:tcW w:type="dxa" w:w="3408"/>
          </w:tcPr>
          <w:p>
            <w:pPr>
              <w:spacing w:after="0"/>
            </w:pPr>
            <w:r>
              <w:rPr>
                <w:rFonts w:ascii="Arial" w:hAnsi="Arial"/>
                <w:b/>
                <w:sz w:val="14"/>
              </w:rPr>
              <w:t>What This Paper Does Not Evaluate</w:t>
            </w:r>
          </w:p>
        </w:tc>
      </w:tr>
      <w:tr>
        <w:tc>
          <w:tcPr>
            <w:tcW w:type="dxa" w:w="3408"/>
          </w:tcPr>
          <w:p>
            <w:pPr>
              <w:spacing w:after="0"/>
            </w:pPr>
            <w:r>
              <w:rPr>
                <w:rFonts w:ascii="Arial" w:hAnsi="Arial"/>
                <w:b w:val="0"/>
                <w:sz w:val="14"/>
              </w:rPr>
              <w:t>Regulatory coverage</w:t>
            </w:r>
          </w:p>
        </w:tc>
        <w:tc>
          <w:tcPr>
            <w:tcW w:type="dxa" w:w="3408"/>
          </w:tcPr>
          <w:p>
            <w:pPr>
              <w:spacing w:after="0"/>
            </w:pPr>
            <w:r>
              <w:rPr>
                <w:rFonts w:ascii="Arial" w:hAnsi="Arial"/>
                <w:b w:val="0"/>
                <w:sz w:val="14"/>
              </w:rPr>
              <w:t>Whether a system provides governance primitives for risk management, data governance, documentation, record-keeping, transparency, human oversight, security, accountability, contestability, and monitoring (RCCS dimensions)</w:t>
            </w:r>
          </w:p>
        </w:tc>
        <w:tc>
          <w:tcPr>
            <w:tcW w:type="dxa" w:w="3408"/>
          </w:tcPr>
          <w:p>
            <w:pPr>
              <w:spacing w:after="0"/>
            </w:pPr>
            <w:r>
              <w:rPr>
                <w:rFonts w:ascii="Arial" w:hAnsi="Arial"/>
                <w:b w:val="0"/>
                <w:sz w:val="14"/>
              </w:rPr>
              <w:t>Legal compliance with specific regulations or jurisdictions; conformity assessment; regulatory approval; certification</w:t>
            </w:r>
          </w:p>
        </w:tc>
      </w:tr>
      <w:tr>
        <w:tc>
          <w:tcPr>
            <w:tcW w:type="dxa" w:w="3408"/>
          </w:tcPr>
          <w:p>
            <w:pPr>
              <w:spacing w:after="0"/>
            </w:pPr>
            <w:r>
              <w:rPr>
                <w:rFonts w:ascii="Arial" w:hAnsi="Arial"/>
                <w:b w:val="0"/>
                <w:sz w:val="14"/>
              </w:rPr>
              <w:t>Lifecycle object semantics</w:t>
            </w:r>
          </w:p>
        </w:tc>
        <w:tc>
          <w:tcPr>
            <w:tcW w:type="dxa" w:w="3408"/>
          </w:tcPr>
          <w:p>
            <w:pPr>
              <w:spacing w:after="0"/>
            </w:pPr>
            <w:r>
              <w:rPr>
                <w:rFonts w:ascii="Arial" w:hAnsi="Arial"/>
                <w:b w:val="0"/>
                <w:sz w:val="14"/>
              </w:rPr>
              <w:t>Whether a system provides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tc>
        <w:tc>
          <w:tcPr>
            <w:tcW w:type="dxa" w:w="3408"/>
          </w:tcPr>
          <w:p>
            <w:pPr>
              <w:spacing w:after="0"/>
            </w:pPr>
            <w:r>
              <w:rPr>
                <w:rFonts w:ascii="Arial" w:hAnsi="Arial"/>
                <w:b w:val="0"/>
                <w:sz w:val="14"/>
              </w:rPr>
              <w:t>Organizational conformance to legal requirements; deployment context; risk class; how the system is used</w:t>
            </w:r>
          </w:p>
        </w:tc>
      </w:tr>
      <w:tr>
        <w:tc>
          <w:tcPr>
            <w:tcW w:type="dxa" w:w="3408"/>
          </w:tcPr>
          <w:p>
            <w:pPr>
              <w:spacing w:after="0"/>
            </w:pPr>
            <w:r>
              <w:rPr>
                <w:rFonts w:ascii="Arial" w:hAnsi="Arial"/>
                <w:b w:val="0"/>
                <w:sz w:val="14"/>
              </w:rPr>
              <w:t>Evidence basis</w:t>
            </w:r>
          </w:p>
        </w:tc>
        <w:tc>
          <w:tcPr>
            <w:tcW w:type="dxa" w:w="3408"/>
          </w:tcPr>
          <w:p>
            <w:pPr>
              <w:spacing w:after="0"/>
            </w:pPr>
            <w:r>
              <w:rPr>
                <w:rFonts w:ascii="Arial" w:hAnsi="Arial"/>
                <w:b w:val="0"/>
                <w:sz w:val="14"/>
              </w:rPr>
              <w:t>Whether public documentation, API specifications, protocol definitions, or reproducible evidence artifacts support the evaluation; where evidence is weak or unavailable, whether author inference is explicitly disclosed</w:t>
            </w:r>
          </w:p>
        </w:tc>
        <w:tc>
          <w:tcPr>
            <w:tcW w:type="dxa" w:w="3408"/>
          </w:tcPr>
          <w:p>
            <w:pPr>
              <w:spacing w:after="0"/>
            </w:pPr>
            <w:r>
              <w:rPr>
                <w:rFonts w:ascii="Arial" w:hAnsi="Arial"/>
                <w:b w:val="0"/>
                <w:sz w:val="14"/>
              </w:rPr>
              <w:t>Vendor quality; support; pricing; business practices; market leadership; developer popularity; community size; ecosystem maturity</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System capability to express governance primitives and lifecycle objects based on public documentation and evidence-based evaluation</w:t>
            </w:r>
          </w:p>
        </w:tc>
        <w:tc>
          <w:tcPr>
            <w:tcW w:type="dxa" w:w="3408"/>
          </w:tcPr>
          <w:p>
            <w:pPr>
              <w:spacing w:after="0"/>
            </w:pPr>
            <w:r>
              <w:rPr>
                <w:rFonts w:ascii="Arial" w:hAnsi="Arial"/>
                <w:b w:val="0"/>
                <w:sz w:val="14"/>
              </w:rPr>
              <w:t>Product quality; feature completeness; execution performance; developer experience; operational maturity; procurement suitability; vendor relationships; strategic fit</w:t>
            </w:r>
          </w:p>
        </w:tc>
      </w:tr>
      <w:tr>
        <w:tc>
          <w:tcPr>
            <w:tcW w:type="dxa" w:w="3408"/>
          </w:tcPr>
          <w:p>
            <w:pPr>
              <w:spacing w:after="0"/>
            </w:pPr>
            <w:r>
              <w:rPr>
                <w:rFonts w:ascii="Arial" w:hAnsi="Arial"/>
                <w:b w:val="0"/>
                <w:sz w:val="14"/>
              </w:rPr>
              <w:t>Product quality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Execution performance; feature completeness; developer experience; operational maturity; reliability; scalability; usability</w:t>
            </w:r>
          </w:p>
        </w:tc>
      </w:tr>
      <w:tr>
        <w:tc>
          <w:tcPr>
            <w:tcW w:type="dxa" w:w="3408"/>
          </w:tcPr>
          <w:p>
            <w:pPr>
              <w:spacing w:after="0"/>
            </w:pPr>
            <w:r>
              <w:rPr>
                <w:rFonts w:ascii="Arial" w:hAnsi="Arial"/>
                <w:b w:val="0"/>
                <w:sz w:val="14"/>
              </w:rPr>
              <w:t>Procurement suitability</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Organizational requirements; budget; technical stack; risk appetite; vendor relationships; strategic priorities; total cost of ownership; support quality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Legal compliance with specific regulations or jurisdictions; legal counsel; compliance review; risk assessment; regulatory examination</w:t>
            </w:r>
          </w:p>
        </w:tc>
      </w:tr>
      <w:tr>
        <w:tc>
          <w:tcPr>
            <w:tcW w:type="dxa" w:w="3408"/>
          </w:tcPr>
          <w:p>
            <w:pPr>
              <w:spacing w:after="0"/>
            </w:pPr>
            <w:r>
              <w:rPr>
                <w:rFonts w:ascii="Arial" w:hAnsi="Arial"/>
                <w:b w:val="0"/>
                <w:sz w:val="14"/>
              </w:rPr>
              <w:t>Certification / endorsement</w:t>
            </w:r>
          </w:p>
        </w:tc>
        <w:tc>
          <w:tcPr>
            <w:tcW w:type="dxa" w:w="3408"/>
          </w:tcPr>
          <w:p>
            <w:pPr>
              <w:spacing w:after="0"/>
            </w:pPr>
            <w:r>
              <w:rPr>
                <w:rFonts w:ascii="Arial" w:hAnsi="Arial"/>
                <w:b w:val="0"/>
                <w:sz w:val="14"/>
              </w:rPr>
              <w:t>Not evaluated</w:t>
            </w:r>
          </w:p>
        </w:tc>
        <w:tc>
          <w:tcPr>
            <w:tcW w:type="dxa" w:w="3408"/>
          </w:tcPr>
          <w:p>
            <w:pPr>
              <w:spacing w:after="0"/>
            </w:pPr>
            <w:r>
              <w:rPr>
                <w:rFonts w:ascii="Arial" w:hAnsi="Arial"/>
                <w:b w:val="0"/>
                <w:sz w:val="14"/>
              </w:rPr>
              <w:t>Certification; conformity assessment; regulatory approval; endorsement; criticism; vendor quality judgment; market leadership judgment</w:t>
            </w:r>
          </w:p>
        </w:tc>
      </w:tr>
    </w:tbl>
    <w:p>
      <w:pPr>
        <w:spacing w:after="56"/>
      </w:pPr>
      <w:r>
        <w:t>This table clarifies the boundaries of the comparison. It ensures that readers understand what the comparison evaluates and what it does not evaluate. It prevents scope confusion and establishes clear expectations about what the white paper claims and what it does not claim.</w:t>
      </w:r>
    </w:p>
    <w:p>
      <w:pPr>
        <w:pStyle w:val="Heading1"/>
      </w:pPr>
      <w:r>
        <w:t>Chapter 12: Detailed System Mappings</w:t>
      </w:r>
    </w:p>
    <w:p>
      <w:pPr>
        <w:spacing w:after="56"/>
      </w:pPr>
      <w:r>
        <w:t>Version: v0.3.2-FRC-R3</w:t>
      </w:r>
    </w:p>
    <w:p>
      <w:pPr>
        <w:pStyle w:val="Heading2"/>
      </w:pPr>
      <w:r>
        <w:t>12.0 Purpose of Detailed System Mappings</w:t>
      </w:r>
    </w:p>
    <w:p>
      <w:pPr>
        <w:spacing w:after="56"/>
      </w:pPr>
      <w:r>
        <w:t>This chapter performs detailed system mappings for the eight systems introduced in Chapter 11. It evaluates public evidence of governance primitives and lifecycle responsibility objects against RCCS and ALCS dimensions. The purpose is to make visible which systems provide which capabilities, where evidence is strong, where evidence is weak, and where lifecycle gaps remain.</w:t>
      </w:r>
    </w:p>
    <w:p>
      <w:pPr>
        <w:spacing w:after="56"/>
      </w:pPr>
      <w:r>
        <w:t>This chapter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The chapter evaluates whether systems expose governance primitives and lifecycle responsibility objects. It does not evaluate product quality, market leadership, pricing, procurement suitability, developer experience, or legal compliance. Those are different questions that depend on organizational context, deployment requirements, risk appetite, budget, technical stack, and strategic priorities.</w:t>
      </w:r>
    </w:p>
    <w:p>
      <w:pPr>
        <w:spacing w:after="56"/>
      </w:pPr>
      <w:r>
        <w:t>What this chapter evaluates:</w:t>
      </w:r>
    </w:p>
    <w:p>
      <w:pPr>
        <w:pStyle w:val="ListBullet"/>
        <w:spacing w:after="56"/>
      </w:pPr>
      <w:r>
        <w:t>Whether a system defines governance primitives for risk management, data governance, documentation, record-keeping, transparency, human oversight, security, accountability, contestability, and monitoring (RCCS dimensions)</w:t>
      </w:r>
    </w:p>
    <w:p>
      <w:pPr>
        <w:pStyle w:val="ListBullet"/>
        <w:spacing w:after="56"/>
      </w:pPr>
      <w:r>
        <w:t>Whether a system defines lifecycle responsibility objects for human-role-to-MAS mapping, delegated authority boundaries, agent role distinction, accepted outcome compliance, tool-action liability, responsibility transfer, authority drift detection, evidence partitioning, cross-project reuse, privacy lifecycle mapping, privacy-preserving validation, evidence minimization, data subject rights reconciliation, processor chain tracking, and vendor substitution conformance (ALCS dimensions)</w:t>
      </w:r>
    </w:p>
    <w:p>
      <w:pPr>
        <w:pStyle w:val="ListBullet"/>
        <w:spacing w:after="56"/>
      </w:pPr>
      <w:r>
        <w:t>Whether public documentation, API specifications, protocol definitions, or reproducible evidence artifacts support the evaluation</w:t>
      </w:r>
    </w:p>
    <w:p>
      <w:pPr>
        <w:pStyle w:val="ListBullet"/>
        <w:spacing w:after="56"/>
      </w:pPr>
      <w:r>
        <w:t>Where evidence is weak or unavailable, whether author inference is explicitly disclosed</w:t>
      </w:r>
    </w:p>
    <w:p>
      <w:pPr>
        <w:spacing w:after="56"/>
      </w:pPr>
      <w:r>
        <w:t>What this chapter does not evaluate:</w:t>
      </w:r>
    </w:p>
    <w:p>
      <w:pPr>
        <w:pStyle w:val="ListBullet"/>
        <w:spacing w:after="56"/>
      </w:pPr>
      <w:r>
        <w:t>Product quality, feature completeness, or execution performance</w:t>
      </w:r>
    </w:p>
    <w:p>
      <w:pPr>
        <w:pStyle w:val="ListBullet"/>
        <w:spacing w:after="56"/>
      </w:pPr>
      <w:r>
        <w:t>Market leadership, developer popularity, or community adoption</w:t>
      </w:r>
    </w:p>
    <w:p>
      <w:pPr>
        <w:pStyle w:val="ListBullet"/>
        <w:spacing w:after="56"/>
      </w:pPr>
      <w:r>
        <w:t>Procurement suitability, pricing, or vendor support</w:t>
      </w:r>
    </w:p>
    <w:p>
      <w:pPr>
        <w:pStyle w:val="ListBullet"/>
        <w:spacing w:after="56"/>
      </w:pPr>
      <w:r>
        <w:t>Legal compliance with specific regulations or jurisdictions</w:t>
      </w:r>
    </w:p>
    <w:p>
      <w:pPr>
        <w:pStyle w:val="ListBullet"/>
        <w:spacing w:after="56"/>
      </w:pPr>
      <w:r>
        <w:t>Certification, conformity assessment, or regulatory approval</w:t>
      </w:r>
    </w:p>
    <w:p>
      <w:pPr>
        <w:pStyle w:val="ListBullet"/>
        <w:spacing w:after="56"/>
      </w:pPr>
      <w:r>
        <w:t>Endorsement or criticism of any vendor or product</w:t>
      </w:r>
    </w:p>
    <w:p>
      <w:pPr>
        <w:spacing w:after="56"/>
      </w:pPr>
      <w:r>
        <w:t>Evidence boundary:</w:t>
      </w:r>
    </w:p>
    <w:p>
      <w:pPr>
        <w:pStyle w:val="ListBullet"/>
        <w:spacing w:after="56"/>
      </w:pPr>
      <w:r>
        <w:t>Public documentation may be incomplete. Absence of evidence is not evidence of absence.</w:t>
      </w:r>
    </w:p>
    <w:p>
      <w:pPr>
        <w:pStyle w:val="ListBullet"/>
        <w:spacing w:after="56"/>
      </w:pPr>
      <w:r>
        <w:t>Vendor capability claims require official documentation or are marked as author inference.</w:t>
      </w:r>
    </w:p>
    <w:p>
      <w:pPr>
        <w:pStyle w:val="ListBullet"/>
        <w:spacing w:after="56"/>
      </w:pPr>
      <w:r>
        <w:t>Scores and mappings are analytical and evidence-qualified.</w:t>
      </w:r>
    </w:p>
    <w:p>
      <w:pPr>
        <w:pStyle w:val="ListBullet"/>
        <w:spacing w:after="56"/>
      </w:pPr>
      <w:r>
        <w:t>This is not a certification program. It does not certify that any system is compliant with any regulation.</w:t>
      </w:r>
    </w:p>
    <w:p>
      <w:pPr>
        <w:pStyle w:val="Heading2"/>
      </w:pPr>
      <w:r>
        <w:t>12.1 Mapping Method and Evidence Boundary</w:t>
      </w:r>
    </w:p>
    <w:p>
      <w:pPr>
        <w:spacing w:after="56"/>
      </w:pPr>
      <w:r>
        <w:t>The mapping method evaluates systems against RCCS and ALCS dimensions using the evidence hierarchy established in Chapter 1 and the scoring rubrics defined in Chapters 7 and 8.</w:t>
      </w:r>
    </w:p>
    <w:p>
      <w:pPr>
        <w:pStyle w:val="Heading3"/>
      </w:pPr>
      <w:r>
        <w:t>Evidence Hierarchy</w:t>
      </w:r>
    </w:p>
    <w:p>
      <w:pPr>
        <w:spacing w:after="56"/>
      </w:pPr>
      <w:r>
        <w:t>The evidence hierarchy used in this chapter is:</w:t>
      </w:r>
    </w:p>
    <w:p>
      <w:pPr>
        <w:pStyle w:val="ListBullet"/>
        <w:spacing w:after="56"/>
      </w:pPr>
      <w:r>
        <w:t>L1 — Binding Legal / Regulatory / Standards Text: Legal, regulatory, or formal standards baseline. L1 does not prove product implementation.</w:t>
      </w:r>
    </w:p>
    <w:p>
      <w:pPr>
        <w:pStyle w:val="ListBullet"/>
        <w:spacing w:after="56"/>
      </w:pPr>
      <w:r>
        <w:t>L2 — Official Product, Protocol, API, or Repository Documentation: Official documentation, API docs, developer documentation, protocol specifications, platform architecture docs, or official repository documentation.</w:t>
      </w:r>
    </w:p>
    <w:p>
      <w:pPr>
        <w:pStyle w:val="ListBullet"/>
        <w:spacing w:after="56"/>
      </w:pPr>
      <w:r>
        <w:t>L3 — Independent Audit / Third-Party Evaluation: Third-party audit reports, credible research papers, independent reports, or assurance evidence.</w:t>
      </w:r>
    </w:p>
    <w:p>
      <w:pPr>
        <w:pStyle w:val="ListBullet"/>
        <w:spacing w:after="56"/>
      </w:pPr>
      <w:r>
        <w:t>L4 — Vendor Claim / Marketing Page / Announcement: Vendor white papers, product pages, blogs, announcements, or positioning material.</w:t>
      </w:r>
    </w:p>
    <w:p>
      <w:pPr>
        <w:pStyle w:val="ListBullet"/>
        <w:spacing w:after="56"/>
      </w:pPr>
      <w:r>
        <w:t>L5 — Author Inference / Analytical Interpretation: Author inference, conceptual analysis, or mapping judgment. Explicitly disclosed.</w:t>
      </w:r>
    </w:p>
    <w:p>
      <w:pPr>
        <w:spacing w:after="56"/>
      </w:pPr>
      <w:r>
        <w:t>The canonical evidence multipliers are L1=1.00, L2=0.85, L3=0.75, L4=0.55, and L5=0.35. Protocol specifications are treated as L2 unless they are binding legal or standards text. Mapping a product or protocol feature to RCCS/ALCS remains an analytical interpretation unless the source directly defines the lifecycle governance object.</w:t>
      </w:r>
    </w:p>
    <w:p>
      <w:pPr>
        <w:pStyle w:val="Heading3"/>
      </w:pPr>
      <w:r>
        <w:t>Evidence Limitation</w:t>
      </w:r>
    </w:p>
    <w:p>
      <w:pPr>
        <w:spacing w:after="56"/>
      </w:pPr>
      <w:r>
        <w:t>Public documentation may be incomplete. Absence of evidence is not evidence of absence. A system may provide a capability that is not documented publicly. A system may provide a capability that is documented but not yet validated by independent audit. A system may provide a capability that is in development but not yet released.</w:t>
      </w:r>
    </w:p>
    <w:p>
      <w:pPr>
        <w:spacing w:after="56"/>
      </w:pPr>
      <w:r>
        <w:t>This chapter evaluates public evidence available as of May 2026. Vendor capability claims are source-qualified or marked as author inference. No unsupported final numeric scores are introduced without evidence basis, and this publication draft does not present published numerical system assessments or rankings.</w:t>
      </w:r>
    </w:p>
    <w:p>
      <w:pPr>
        <w:pStyle w:val="Heading3"/>
      </w:pPr>
      <w:r>
        <w:t>Mapping Strength Scale</w:t>
      </w:r>
    </w:p>
    <w:p>
      <w:pPr>
        <w:spacing w:after="56"/>
      </w:pPr>
      <w:r>
        <w:t>Instead of numeric scores for every dimension in this phase, the chapter uses qualitative mapping strength:</w:t>
      </w:r>
    </w:p>
    <w:p>
      <w:pPr>
        <w:pStyle w:val="ListBullet"/>
        <w:spacing w:after="56"/>
      </w:pPr>
      <w:r>
        <w:t>Strong: Public documentation shows clear primitives, API support, or protocol semantics for the dimension.</w:t>
      </w:r>
    </w:p>
    <w:p>
      <w:pPr>
        <w:pStyle w:val="ListBullet"/>
        <w:spacing w:after="56"/>
      </w:pPr>
      <w:r>
        <w:t>Moderate: Public documentation suggests capability exists, but coverage is partial or requires validation.</w:t>
      </w:r>
    </w:p>
    <w:p>
      <w:pPr>
        <w:pStyle w:val="ListBullet"/>
        <w:spacing w:after="56"/>
      </w:pPr>
      <w:r>
        <w:t>Partial: Some evidence exists, but significant gaps or limitations are evident.</w:t>
      </w:r>
    </w:p>
    <w:p>
      <w:pPr>
        <w:pStyle w:val="ListBullet"/>
        <w:spacing w:after="56"/>
      </w:pPr>
      <w:r>
        <w:t>Weak: Minimal evidence or capability is conceptual only.</w:t>
      </w:r>
    </w:p>
    <w:p>
      <w:pPr>
        <w:pStyle w:val="ListBullet"/>
        <w:spacing w:after="56"/>
      </w:pPr>
      <w:r>
        <w:t>Not Evaluated: Insufficient public evidence to evaluate, or outside system scope.</w:t>
      </w:r>
    </w:p>
    <w:p>
      <w:pPr>
        <w:spacing w:after="56"/>
      </w:pPr>
      <w:r>
        <w:t>This chapter uses qualitative mapping strength. Numerical worksheets, if used, remain internal analytical support and are not presented as published numerical system assessments or rankings in this publication draft.</w:t>
      </w:r>
    </w:p>
    <w:p>
      <w:pPr>
        <w:pStyle w:val="Heading3"/>
      </w:pPr>
      <w:r>
        <w:t>Evidence Basis Table</w:t>
      </w:r>
    </w:p>
    <w:p>
      <w:pPr>
        <w:spacing w:after="56"/>
      </w:pPr>
      <w:r>
        <w:t>The following table defines the evidence scale used in system mappings.</w:t>
      </w:r>
    </w:p>
    <w:p>
      <w:pPr>
        <w:keepNext/>
      </w:pPr>
      <w:r>
        <w:rPr>
          <w:b/>
          <w:sz w:val="16"/>
        </w:rPr>
        <w:t>Table T-12-01: System Mapping Evidence Scale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Use in Mapping</w:t>
            </w:r>
          </w:p>
        </w:tc>
        <w:tc>
          <w:tcPr>
            <w:tcW w:type="dxa" w:w="2556"/>
          </w:tcPr>
          <w:p>
            <w:pPr>
              <w:spacing w:after="0"/>
            </w:pPr>
            <w:r>
              <w:rPr>
                <w:rFonts w:ascii="Arial" w:hAnsi="Arial"/>
                <w:b/>
                <w:sz w:val="14"/>
              </w:rPr>
              <w:t>Limitation</w:t>
            </w:r>
          </w:p>
        </w:tc>
      </w:tr>
      <w:tr>
        <w:tc>
          <w:tcPr>
            <w:tcW w:type="dxa" w:w="2556"/>
          </w:tcPr>
          <w:p>
            <w:pPr>
              <w:spacing w:after="0"/>
            </w:pPr>
            <w:r>
              <w:rPr>
                <w:rFonts w:ascii="Arial" w:hAnsi="Arial"/>
                <w:b w:val="0"/>
                <w:sz w:val="14"/>
              </w:rPr>
              <w:t>L1</w:t>
            </w:r>
          </w:p>
        </w:tc>
        <w:tc>
          <w:tcPr>
            <w:tcW w:type="dxa" w:w="2556"/>
          </w:tcPr>
          <w:p>
            <w:pPr>
              <w:spacing w:after="0"/>
            </w:pPr>
            <w:r>
              <w:rPr>
                <w:rFonts w:ascii="Arial" w:hAnsi="Arial"/>
                <w:b w:val="0"/>
                <w:sz w:val="14"/>
              </w:rPr>
              <w:t>Binding legal / regulatory / standards text</w:t>
            </w:r>
          </w:p>
        </w:tc>
        <w:tc>
          <w:tcPr>
            <w:tcW w:type="dxa" w:w="2556"/>
          </w:tcPr>
          <w:p>
            <w:pPr>
              <w:spacing w:after="0"/>
            </w:pPr>
            <w:r>
              <w:rPr>
                <w:rFonts w:ascii="Arial" w:hAnsi="Arial"/>
                <w:b w:val="0"/>
                <w:sz w:val="14"/>
              </w:rPr>
              <w:t>Establishes baseline obligations or framework requirements</w:t>
            </w:r>
          </w:p>
        </w:tc>
        <w:tc>
          <w:tcPr>
            <w:tcW w:type="dxa" w:w="2556"/>
          </w:tcPr>
          <w:p>
            <w:pPr>
              <w:spacing w:after="0"/>
            </w:pPr>
            <w:r>
              <w:rPr>
                <w:rFonts w:ascii="Arial" w:hAnsi="Arial"/>
                <w:b w:val="0"/>
                <w:sz w:val="14"/>
              </w:rPr>
              <w:t>Does not prove system implementation</w:t>
            </w:r>
          </w:p>
        </w:tc>
      </w:tr>
      <w:tr>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Official product, protocol, API, developer, platform, or repository documentation</w:t>
            </w:r>
          </w:p>
        </w:tc>
        <w:tc>
          <w:tcPr>
            <w:tcW w:type="dxa" w:w="2556"/>
          </w:tcPr>
          <w:p>
            <w:pPr>
              <w:spacing w:after="0"/>
            </w:pPr>
            <w:r>
              <w:rPr>
                <w:rFonts w:ascii="Arial" w:hAnsi="Arial"/>
                <w:b w:val="0"/>
                <w:sz w:val="14"/>
              </w:rPr>
              <w:t>Supports documented product/protocol capability claims</w:t>
            </w:r>
          </w:p>
        </w:tc>
        <w:tc>
          <w:tcPr>
            <w:tcW w:type="dxa" w:w="2556"/>
          </w:tcPr>
          <w:p>
            <w:pPr>
              <w:spacing w:after="0"/>
            </w:pPr>
            <w:r>
              <w:rPr>
                <w:rFonts w:ascii="Arial" w:hAnsi="Arial"/>
                <w:b w:val="0"/>
                <w:sz w:val="14"/>
              </w:rPr>
              <w:t>Does not prove deployment practice, audit success, or legal compliance</w:t>
            </w:r>
          </w:p>
        </w:tc>
      </w:tr>
      <w:tr>
        <w:tc>
          <w:tcPr>
            <w:tcW w:type="dxa" w:w="2556"/>
          </w:tcPr>
          <w:p>
            <w:pPr>
              <w:spacing w:after="0"/>
            </w:pPr>
            <w:r>
              <w:rPr>
                <w:rFonts w:ascii="Arial" w:hAnsi="Arial"/>
                <w:b w:val="0"/>
                <w:sz w:val="14"/>
              </w:rPr>
              <w:t>L3</w:t>
            </w:r>
          </w:p>
        </w:tc>
        <w:tc>
          <w:tcPr>
            <w:tcW w:type="dxa" w:w="2556"/>
          </w:tcPr>
          <w:p>
            <w:pPr>
              <w:spacing w:after="0"/>
            </w:pPr>
            <w:r>
              <w:rPr>
                <w:rFonts w:ascii="Arial" w:hAnsi="Arial"/>
                <w:b w:val="0"/>
                <w:sz w:val="14"/>
              </w:rPr>
              <w:t>Independent audit report, credible research paper, independent report</w:t>
            </w:r>
          </w:p>
        </w:tc>
        <w:tc>
          <w:tcPr>
            <w:tcW w:type="dxa" w:w="2556"/>
          </w:tcPr>
          <w:p>
            <w:pPr>
              <w:spacing w:after="0"/>
            </w:pPr>
            <w:r>
              <w:rPr>
                <w:rFonts w:ascii="Arial" w:hAnsi="Arial"/>
                <w:b w:val="0"/>
                <w:sz w:val="14"/>
              </w:rPr>
              <w:t>Supports independently reviewed implementation or methodology claims</w:t>
            </w:r>
          </w:p>
        </w:tc>
        <w:tc>
          <w:tcPr>
            <w:tcW w:type="dxa" w:w="2556"/>
          </w:tcPr>
          <w:p>
            <w:pPr>
              <w:spacing w:after="0"/>
            </w:pPr>
            <w:r>
              <w:rPr>
                <w:rFonts w:ascii="Arial" w:hAnsi="Arial"/>
                <w:b w:val="0"/>
                <w:sz w:val="14"/>
              </w:rPr>
              <w:t>May lag product updates or have limited scope</w:t>
            </w:r>
          </w:p>
        </w:tc>
      </w:tr>
      <w:tr>
        <w:tc>
          <w:tcPr>
            <w:tcW w:type="dxa" w:w="2556"/>
          </w:tcPr>
          <w:p>
            <w:pPr>
              <w:spacing w:after="0"/>
            </w:pPr>
            <w:r>
              <w:rPr>
                <w:rFonts w:ascii="Arial" w:hAnsi="Arial"/>
                <w:b w:val="0"/>
                <w:sz w:val="14"/>
              </w:rPr>
              <w:t>L4</w:t>
            </w:r>
          </w:p>
        </w:tc>
        <w:tc>
          <w:tcPr>
            <w:tcW w:type="dxa" w:w="2556"/>
          </w:tcPr>
          <w:p>
            <w:pPr>
              <w:spacing w:after="0"/>
            </w:pPr>
            <w:r>
              <w:rPr>
                <w:rFonts w:ascii="Arial" w:hAnsi="Arial"/>
                <w:b w:val="0"/>
                <w:sz w:val="14"/>
              </w:rPr>
              <w:t>Vendor claim, marketing page, blog, announcement</w:t>
            </w:r>
          </w:p>
        </w:tc>
        <w:tc>
          <w:tcPr>
            <w:tcW w:type="dxa" w:w="2556"/>
          </w:tcPr>
          <w:p>
            <w:pPr>
              <w:spacing w:after="0"/>
            </w:pPr>
            <w:r>
              <w:rPr>
                <w:rFonts w:ascii="Arial" w:hAnsi="Arial"/>
                <w:b w:val="0"/>
                <w:sz w:val="14"/>
              </w:rPr>
              <w:t>Supports positioning claims only</w:t>
            </w:r>
          </w:p>
        </w:tc>
        <w:tc>
          <w:tcPr>
            <w:tcW w:type="dxa" w:w="2556"/>
          </w:tcPr>
          <w:p>
            <w:pPr>
              <w:spacing w:after="0"/>
            </w:pPr>
            <w:r>
              <w:rPr>
                <w:rFonts w:ascii="Arial" w:hAnsi="Arial"/>
                <w:b w:val="0"/>
                <w:sz w:val="14"/>
              </w:rPr>
              <w:t>May overstate implementation detail</w:t>
            </w:r>
          </w:p>
        </w:tc>
      </w:tr>
      <w:tr>
        <w:tc>
          <w:tcPr>
            <w:tcW w:type="dxa" w:w="2556"/>
          </w:tcPr>
          <w:p>
            <w:pPr>
              <w:spacing w:after="0"/>
            </w:pPr>
            <w:r>
              <w:rPr>
                <w:rFonts w:ascii="Arial" w:hAnsi="Arial"/>
                <w:b w:val="0"/>
                <w:sz w:val="14"/>
              </w:rPr>
              <w:t>L5</w:t>
            </w:r>
          </w:p>
        </w:tc>
        <w:tc>
          <w:tcPr>
            <w:tcW w:type="dxa" w:w="2556"/>
          </w:tcPr>
          <w:p>
            <w:pPr>
              <w:spacing w:after="0"/>
            </w:pPr>
            <w:r>
              <w:rPr>
                <w:rFonts w:ascii="Arial" w:hAnsi="Arial"/>
                <w:b w:val="0"/>
                <w:sz w:val="14"/>
              </w:rPr>
              <w:t>Author inference, conceptual analysis, mapping judgment</w:t>
            </w:r>
          </w:p>
        </w:tc>
        <w:tc>
          <w:tcPr>
            <w:tcW w:type="dxa" w:w="2556"/>
          </w:tcPr>
          <w:p>
            <w:pPr>
              <w:spacing w:after="0"/>
            </w:pPr>
            <w:r>
              <w:rPr>
                <w:rFonts w:ascii="Arial" w:hAnsi="Arial"/>
                <w:b w:val="0"/>
                <w:sz w:val="14"/>
              </w:rPr>
              <w:t>Supports disclosed analytical interpretation</w:t>
            </w:r>
          </w:p>
        </w:tc>
        <w:tc>
          <w:tcPr>
            <w:tcW w:type="dxa" w:w="2556"/>
          </w:tcPr>
          <w:p>
            <w:pPr>
              <w:spacing w:after="0"/>
            </w:pPr>
            <w:r>
              <w:rPr>
                <w:rFonts w:ascii="Arial" w:hAnsi="Arial"/>
                <w:b w:val="0"/>
                <w:sz w:val="14"/>
              </w:rPr>
              <w:t>Must not be presented as verified product fact</w:t>
            </w:r>
          </w:p>
        </w:tc>
      </w:tr>
    </w:tbl>
    <w:p>
      <w:pPr>
        <w:pStyle w:val="Heading2"/>
      </w:pPr>
      <w:r>
        <w:t>12.2 How to Read System Mapping Tables</w:t>
      </w:r>
    </w:p>
    <w:p>
      <w:pPr>
        <w:spacing w:after="56"/>
      </w:pPr>
      <w:r>
        <w:t>Each system section in this chapter uses the same structure:</w:t>
      </w:r>
    </w:p>
    <w:p>
      <w:pPr>
        <w:pStyle w:val="Heading3"/>
      </w:pPr>
      <w:r>
        <w:t>System Positioning</w:t>
      </w:r>
    </w:p>
    <w:p>
      <w:pPr>
        <w:spacing w:after="56"/>
      </w:pPr>
      <w:r>
        <w:t>Briefly states:</w:t>
      </w:r>
    </w:p>
    <w:p>
      <w:pPr>
        <w:pStyle w:val="ListBullet"/>
        <w:spacing w:after="56"/>
      </w:pPr>
      <w:r>
        <w:t>What the system primarily is</w:t>
      </w:r>
    </w:p>
    <w:p>
      <w:pPr>
        <w:pStyle w:val="ListBullet"/>
        <w:spacing w:after="56"/>
      </w:pPr>
      <w:r>
        <w:t>What it is strong at</w:t>
      </w:r>
    </w:p>
    <w:p>
      <w:pPr>
        <w:pStyle w:val="ListBullet"/>
        <w:spacing w:after="56"/>
      </w:pPr>
      <w:r>
        <w:t>Why it is relevant to RCCS / ALCS</w:t>
      </w:r>
    </w:p>
    <w:p>
      <w:pPr>
        <w:pStyle w:val="ListBullet"/>
        <w:spacing w:after="56"/>
      </w:pPr>
      <w:r>
        <w:t>What this paper does and does not infer</w:t>
      </w:r>
    </w:p>
    <w:p>
      <w:pPr>
        <w:pStyle w:val="Heading3"/>
      </w:pPr>
      <w:r>
        <w:t>Evidence Basis</w:t>
      </w:r>
    </w:p>
    <w:p>
      <w:pPr>
        <w:spacing w:after="56"/>
      </w:pPr>
      <w:r>
        <w:t>Uses citation placeholders and evidence levels. Includes a mini-table: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[Area]</w:t>
            </w:r>
          </w:p>
        </w:tc>
        <w:tc>
          <w:tcPr>
            <w:tcW w:type="dxa" w:w="2556"/>
          </w:tcPr>
          <w:p>
            <w:pPr>
              <w:spacing w:after="0"/>
            </w:pPr>
            <w:r>
              <w:rPr>
                <w:rFonts w:ascii="Arial" w:hAnsi="Arial"/>
                <w:b w:val="0"/>
                <w:sz w:val="14"/>
              </w:rPr>
              <w:t>[Type]</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[source-bound at entry-point level / narrowed or partially validated / L5 analytical interpretation / exact page-level support unresolved]</w:t>
            </w:r>
          </w:p>
        </w:tc>
      </w:tr>
    </w:tbl>
    <w:p>
      <w:pPr>
        <w:pStyle w:val="Heading3"/>
      </w:pPr>
      <w:r>
        <w:t>RCCS Mapping Summary</w:t>
      </w:r>
    </w:p>
    <w:p>
      <w:pPr>
        <w:spacing w:after="56"/>
      </w:pPr>
      <w:r>
        <w:t>Compact table: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[Dimension]</w:t>
            </w:r>
          </w:p>
        </w:tc>
        <w:tc>
          <w:tcPr>
            <w:tcW w:type="dxa" w:w="2556"/>
          </w:tcPr>
          <w:p>
            <w:pPr>
              <w:spacing w:after="0"/>
            </w:pPr>
            <w:r>
              <w:rPr>
                <w:rFonts w:ascii="Arial" w:hAnsi="Arial"/>
                <w:b w:val="0"/>
                <w:sz w:val="14"/>
              </w:rPr>
              <w:t>[Strong/Moderate/Partial/Weak/Not Evaluated]</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ALCS Mapping Summary</w:t>
      </w:r>
    </w:p>
    <w:p>
      <w:pPr>
        <w:spacing w:after="56"/>
      </w:pPr>
      <w:r>
        <w:t>Compact table grouping ALCS dimensions into five areas: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[Strength]</w:t>
            </w:r>
          </w:p>
        </w:tc>
        <w:tc>
          <w:tcPr>
            <w:tcW w:type="dxa" w:w="2556"/>
          </w:tcPr>
          <w:p>
            <w:pPr>
              <w:spacing w:after="0"/>
            </w:pPr>
            <w:r>
              <w:rPr>
                <w:rFonts w:ascii="Arial" w:hAnsi="Arial"/>
                <w:b w:val="0"/>
                <w:sz w:val="14"/>
              </w:rPr>
              <w:t>[L1-L5]</w:t>
            </w:r>
          </w:p>
        </w:tc>
        <w:tc>
          <w:tcPr>
            <w:tcW w:type="dxa" w:w="2556"/>
          </w:tcPr>
          <w:p>
            <w:pPr>
              <w:spacing w:after="0"/>
            </w:pPr>
            <w:r>
              <w:rPr>
                <w:rFonts w:ascii="Arial" w:hAnsi="Arial"/>
                <w:b w:val="0"/>
                <w:sz w:val="14"/>
              </w:rPr>
              <w:t>[Notes]</w:t>
            </w:r>
          </w:p>
        </w:tc>
      </w:tr>
    </w:tbl>
    <w:p>
      <w:pPr>
        <w:pStyle w:val="Heading3"/>
      </w:pPr>
      <w:r>
        <w:t>Main Lifecycle Gaps</w:t>
      </w:r>
    </w:p>
    <w:p>
      <w:pPr>
        <w:spacing w:after="56"/>
      </w:pPr>
      <w:r>
        <w:t>Lists 3-5 specific gaps or revalidation needs.</w:t>
      </w:r>
    </w:p>
    <w:p>
      <w:pPr>
        <w:pStyle w:val="Heading3"/>
      </w:pPr>
      <w:r>
        <w:t>Boundary Note</w:t>
      </w:r>
    </w:p>
    <w:p>
      <w:pPr>
        <w:spacing w:after="56"/>
      </w:pPr>
      <w:r>
        <w:t>Each system section closes with:</w:t>
      </w:r>
    </w:p>
    <w:p>
      <w:pPr>
        <w:spacing w:after="56"/>
      </w:pPr>
      <w:r>
        <w:t>This section maps public evidence to RCCS/ALCS dimensions. It is not a legal compliance judgment, procurement recommendation, certification, or endorsement.</w:t>
      </w:r>
    </w:p>
    <w:p>
      <w:pPr>
        <w:pStyle w:val="Heading2"/>
      </w:pPr>
      <w:r>
        <w:t>12.3 MPLP — Lifecycle Protocol Path</w:t>
      </w:r>
    </w:p>
    <w:p>
      <w:pPr>
        <w:pStyle w:val="Heading3"/>
      </w:pPr>
      <w:r>
        <w:t>System Positioning</w:t>
      </w:r>
    </w:p>
    <w:p>
      <w:pPr>
        <w:spacing w:after="56"/>
      </w:pPr>
      <w:r>
        <w:t>MPLP (Multi-Agent Lifecycle Protocol) is a lifecycle protocol path designed to expose lifecycle responsibility objects as first-class protocol primitives. It is relevant to RCCS and ALCS because it provides protocol-level semantics for human-role-to-MAS mapping, delegated authority boundaries, accepted outcome compliance, responsibility transfer, evidence partitioning, privacy lifecycle mapping, and vendor substitution conformance.</w:t>
      </w:r>
    </w:p>
    <w:p>
      <w:pPr>
        <w:spacing w:after="56"/>
      </w:pPr>
      <w:r>
        <w:t>MPLP is strong at lifecycle protocol semantics. It defines governance primitives and lifecycle objects as protocol-level constructs rather than application-level features. This makes MPLP relevant for systems that require provable lifecycle responsibility compliance across agents, tools, vendors, and organizational boundaries.</w:t>
      </w:r>
    </w:p>
    <w:p>
      <w:pPr>
        <w:spacing w:after="56"/>
      </w:pPr>
      <w:r>
        <w:t>What this paper evaluates:</w:t>
      </w:r>
    </w:p>
    <w:p>
      <w:pPr>
        <w:pStyle w:val="ListBullet"/>
        <w:spacing w:after="56"/>
      </w:pPr>
      <w:r>
        <w:t>Whether MPLP protocol specification defines governance primitives and lifecycle objects</w:t>
      </w:r>
    </w:p>
    <w:p>
      <w:pPr>
        <w:pStyle w:val="ListBullet"/>
        <w:spacing w:after="56"/>
      </w:pPr>
      <w:r>
        <w:t>Whether MPLP semantics map to RCCS and ALCS dimensions</w:t>
      </w:r>
    </w:p>
    <w:p>
      <w:pPr>
        <w:pStyle w:val="ListBullet"/>
        <w:spacing w:after="56"/>
      </w:pPr>
      <w:r>
        <w:t>Whether MPLP provides protocol-level support for lifecycle responsibility compliance</w:t>
      </w:r>
    </w:p>
    <w:p>
      <w:pPr>
        <w:spacing w:after="56"/>
      </w:pPr>
      <w:r>
        <w:t>What this paper does not infer:</w:t>
      </w:r>
    </w:p>
    <w:p>
      <w:pPr>
        <w:pStyle w:val="ListBullet"/>
        <w:spacing w:after="56"/>
      </w:pPr>
      <w:r>
        <w:t>MPLP is not required for compliance. It is one example of a lifecycle protocol path.</w:t>
      </w:r>
    </w:p>
    <w:p>
      <w:pPr>
        <w:pStyle w:val="ListBullet"/>
        <w:spacing w:after="56"/>
      </w:pPr>
      <w:r>
        <w:t>MPLP is not a certification program. It does not certify systems or organizations.</w:t>
      </w:r>
    </w:p>
    <w:p>
      <w:pPr>
        <w:pStyle w:val="ListBullet"/>
        <w:spacing w:after="56"/>
      </w:pPr>
      <w:r>
        <w:t>MPLP is not a regulator or legal authority. It is a protocol specification.</w:t>
      </w:r>
    </w:p>
    <w:p>
      <w:pPr>
        <w:pStyle w:val="ListBullet"/>
        <w:spacing w:after="56"/>
      </w:pPr>
      <w:r>
        <w:t>MPLP implementation maturity, enterprise integration, and vendor adoption require separate evaluation.</w:t>
      </w:r>
    </w:p>
    <w:p>
      <w:pPr>
        <w:pStyle w:val="ListBullet"/>
        <w:spacing w:after="56"/>
      </w:pPr>
      <w:r>
        <w:t>Validation Lab is a non-certifying evidence adjudication example. Detailed treatment belongs to Chapter 14.</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Claim-level reviewed; mapping remains L5 analytical interpretation where the protocol does not directly prove implementation</w:t>
            </w:r>
          </w:p>
        </w:tc>
      </w:tr>
      <w:tr>
        <w:tc>
          <w:tcPr>
            <w:tcW w:type="dxa" w:w="2556"/>
          </w:tcPr>
          <w:p>
            <w:pPr>
              <w:spacing w:after="0"/>
            </w:pPr>
            <w:r>
              <w:rPr>
                <w:rFonts w:ascii="Arial" w:hAnsi="Arial"/>
                <w:b w:val="0"/>
                <w:sz w:val="14"/>
              </w:rPr>
              <w:t>Lifecycle object semantics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semantic fit remains analytical interpretation</w:t>
            </w:r>
          </w:p>
        </w:tc>
      </w:tr>
      <w:tr>
        <w:tc>
          <w:tcPr>
            <w:tcW w:type="dxa" w:w="2556"/>
          </w:tcPr>
          <w:p>
            <w:pPr>
              <w:spacing w:after="0"/>
            </w:pPr>
            <w:r>
              <w:rPr>
                <w:rFonts w:ascii="Arial" w:hAnsi="Arial"/>
                <w:b w:val="0"/>
                <w:sz w:val="14"/>
              </w:rPr>
              <w:t>Governance primitives</w:t>
            </w:r>
          </w:p>
        </w:tc>
        <w:tc>
          <w:tcPr>
            <w:tcW w:type="dxa" w:w="2556"/>
          </w:tcPr>
          <w:p>
            <w:pPr>
              <w:spacing w:after="0"/>
            </w:pPr>
            <w:r>
              <w:rPr>
                <w:rFonts w:ascii="Arial" w:hAnsi="Arial"/>
                <w:b w:val="0"/>
                <w:sz w:val="14"/>
              </w:rPr>
              <w:t>Protocol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reviewed; implementation maturity remains unresolved</w:t>
            </w:r>
          </w:p>
        </w:tc>
      </w:tr>
      <w:tr>
        <w:tc>
          <w:tcPr>
            <w:tcW w:type="dxa" w:w="2556"/>
          </w:tcPr>
          <w:p>
            <w:pPr>
              <w:spacing w:after="0"/>
            </w:pPr>
            <w:r>
              <w:rPr>
                <w:rFonts w:ascii="Arial" w:hAnsi="Arial"/>
                <w:b w:val="0"/>
                <w:sz w:val="14"/>
              </w:rPr>
              <w:t>Implementation examples</w:t>
            </w:r>
          </w:p>
        </w:tc>
        <w:tc>
          <w:tcPr>
            <w:tcW w:type="dxa" w:w="2556"/>
          </w:tcPr>
          <w:p>
            <w:pPr>
              <w:spacing w:after="0"/>
            </w:pPr>
            <w:r>
              <w:rPr>
                <w:rFonts w:ascii="Arial" w:hAnsi="Arial"/>
                <w:b w:val="0"/>
                <w:sz w:val="14"/>
              </w:rPr>
              <w:t>Developer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 deployment maturity remains unresolved</w:t>
            </w:r>
          </w:p>
        </w:tc>
      </w:tr>
      <w:tr>
        <w:tc>
          <w:tcPr>
            <w:tcW w:type="dxa" w:w="2556"/>
          </w:tcPr>
          <w:p>
            <w:pPr>
              <w:spacing w:after="0"/>
            </w:pPr>
            <w:r>
              <w:rPr>
                <w:rFonts w:ascii="Arial" w:hAnsi="Arial"/>
                <w:b w:val="0"/>
                <w:sz w:val="14"/>
              </w:rPr>
              <w:t>Validation Lab methodology</w:t>
            </w:r>
          </w:p>
        </w:tc>
        <w:tc>
          <w:tcPr>
            <w:tcW w:type="dxa" w:w="2556"/>
          </w:tcPr>
          <w:p>
            <w:pPr>
              <w:spacing w:after="0"/>
            </w:pPr>
            <w:r>
              <w:rPr>
                <w:rFonts w:ascii="Arial" w:hAnsi="Arial"/>
                <w:b w:val="0"/>
                <w:sz w:val="14"/>
              </w:rPr>
              <w:t>Methodology / lab docs</w:t>
            </w:r>
          </w:p>
        </w:tc>
        <w:tc>
          <w:tcPr>
            <w:tcW w:type="dxa" w:w="2556"/>
          </w:tcPr>
          <w:p>
            <w:pPr>
              <w:spacing w:after="0"/>
            </w:pPr>
            <w:r>
              <w:rPr>
                <w:rFonts w:ascii="Arial" w:hAnsi="Arial"/>
                <w:b w:val="0"/>
                <w:sz w:val="14"/>
              </w:rPr>
              <w:t>L2 + L5</w:t>
            </w:r>
          </w:p>
        </w:tc>
        <w:tc>
          <w:tcPr>
            <w:tcW w:type="dxa" w:w="2556"/>
          </w:tcPr>
          <w:p>
            <w:pPr>
              <w:spacing w:after="0"/>
            </w:pPr>
            <w:r>
              <w:rPr>
                <w:rFonts w:ascii="Arial" w:hAnsi="Arial"/>
                <w:b w:val="0"/>
                <w:sz w:val="14"/>
              </w:rPr>
              <w:t>Claim-level support remains boundary-limited; defer to Chapter 14</w:t>
            </w:r>
          </w:p>
        </w:tc>
      </w:tr>
    </w:tbl>
    <w:p>
      <w:pPr>
        <w:spacing w:after="56"/>
      </w:pPr>
      <w:r>
        <w:t>Citation placeholders:</w:t>
      </w:r>
    </w:p>
    <w:p>
      <w:pPr>
        <w:pStyle w:val="ListBullet"/>
        <w:spacing w:after="56"/>
      </w:pPr>
      <w:r>
        <w:t>[MPLP-DOCS]</w:t>
      </w:r>
    </w:p>
    <w:p>
      <w:pPr>
        <w:pStyle w:val="ListBullet"/>
        <w:spacing w:after="56"/>
      </w:pPr>
      <w:r>
        <w:t>[MPLP-SPEC]</w:t>
      </w:r>
    </w:p>
    <w:p>
      <w:pPr>
        <w:pStyle w:val="Heading3"/>
      </w:pPr>
      <w:r>
        <w:t>RCCS Mapping Summary</w:t>
      </w:r>
    </w:p>
    <w:p>
      <w:pPr>
        <w:keepNext/>
      </w:pPr>
      <w:r>
        <w:rPr>
          <w:b/>
          <w:sz w:val="16"/>
        </w:rPr>
        <w:t>Table T-12-02: MPLP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risk boundaries; implementation maturity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data lineage; implementation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specification provides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chain is core protocol primitive</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transparency primitives; implementation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Delegated authority and accepted outcome are core protocol primitives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security boundaries; implementation requires validation</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Responsibility transfer and evidence partitioning are core protocol primitives</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dispute primitives; implementation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monitoring primitives; implementation requires validation</w:t>
            </w:r>
          </w:p>
        </w:tc>
      </w:tr>
    </w:tbl>
    <w:p>
      <w:pPr>
        <w:pStyle w:val="Heading3"/>
      </w:pPr>
      <w:r>
        <w:t>ALCS Mapping Summary</w:t>
      </w:r>
    </w:p>
    <w:p>
      <w:pPr>
        <w:keepNext/>
      </w:pPr>
      <w:r>
        <w:rPr>
          <w:b/>
          <w:sz w:val="16"/>
        </w:rPr>
        <w:t>Table T-12-03: MPLP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human-role-to-MAS mapping, delegated authority boundary, agent role distinction, accepted outcome compliance</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tool-action liability, responsibility transfer, authority drift detection, MAS evidence partitioning</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cross-project reuse, privacy lifecycle mapping, privacy-preserving validation; implementation requires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may define evidence minimization, data subject rights reconciliation, processor chain tracking; implementation requires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Protocol designed for vendor/model/runtime substitution conformance</w:t>
            </w:r>
          </w:p>
        </w:tc>
      </w:tr>
    </w:tbl>
    <w:p>
      <w:pPr>
        <w:pStyle w:val="Heading3"/>
      </w:pPr>
      <w:r>
        <w:t>Main Lifecycle Gaps</w:t>
      </w:r>
    </w:p>
    <w:p>
      <w:pPr>
        <w:pStyle w:val="ListNumber"/>
        <w:spacing w:after="56"/>
      </w:pPr>
      <w:r>
        <w:t>Implementation Maturity: MPLP protocol specification may be strong, but implementation maturity in production systems requires validation.</w:t>
      </w:r>
    </w:p>
    <w:p>
      <w:pPr>
        <w:pStyle w:val="ListNumber"/>
        <w:spacing w:after="56"/>
      </w:pPr>
      <w:r>
        <w:t>Enterprise Integration: MPLP integration with existing enterprise AI governance platforms, cloud AI platforms, and agent orchestration frameworks requires validation.</w:t>
      </w:r>
    </w:p>
    <w:p>
      <w:pPr>
        <w:pStyle w:val="ListNumber"/>
        <w:spacing w:after="56"/>
      </w:pPr>
      <w:r>
        <w:t>Vendor Adoption: MPLP adoption by vendors, platforms, and frameworks requires validation.</w:t>
      </w:r>
    </w:p>
    <w:p>
      <w:pPr>
        <w:pStyle w:val="ListNumber"/>
        <w:spacing w:after="56"/>
      </w:pPr>
      <w:r>
        <w:t>Operational Deployment Evidence: MPLP deployment in production agentic systems requires validation.</w:t>
      </w:r>
    </w:p>
    <w:p>
      <w:pPr>
        <w:pStyle w:val="ListNumber"/>
        <w:spacing w:after="56"/>
      </w:pPr>
      <w:r>
        <w:t>Regulator / Auditor Familiarity: MPLP familiarity among regulators, auditors, and compliance teams requires validation.</w:t>
      </w:r>
    </w:p>
    <w:p>
      <w:pPr>
        <w:pStyle w:val="Heading3"/>
      </w:pPr>
      <w:r>
        <w:t>Boundary Note</w:t>
      </w:r>
    </w:p>
    <w:p>
      <w:pPr>
        <w:spacing w:after="56"/>
      </w:pPr>
      <w:r>
        <w:t>This section maps public evidence to RCCS/ALCS dimensions. It is not a legal compliance judgment, procurement recommendation, certification, or endorsement. MPLP is one example of a lifecycle protocol path. It is not required for compliance. It is not a certification program. It is not a regulator or legal authority.</w:t>
      </w:r>
    </w:p>
    <w:p>
      <w:pPr>
        <w:pStyle w:val="Heading2"/>
      </w:pPr>
      <w:r>
        <w:t>12.4 IBM watsonx.governance — Enterprise AI Governance Platform</w:t>
      </w:r>
    </w:p>
    <w:p>
      <w:pPr>
        <w:pStyle w:val="Heading3"/>
      </w:pPr>
      <w:r>
        <w:t>System Positioning</w:t>
      </w:r>
    </w:p>
    <w:p>
      <w:pPr>
        <w:spacing w:after="56"/>
      </w:pPr>
      <w:r>
        <w:t>IBM watsonx.governance is an enterprise AI governance platform designed for policy enforcement, model risk management, regulatory compliance coverage, and AI lifecycle management. It is relevant to RCCS and ALCS because it provides enterprise-grade governance capabilities for risk management, data governance, documentation, record-keeping, transparency, human oversight, security, accountability, contestability, and monitoring.</w:t>
      </w:r>
    </w:p>
    <w:p>
      <w:pPr>
        <w:spacing w:after="56"/>
      </w:pPr>
      <w:r>
        <w:t>IBM watsonx.governance is strong at enterprise AI governance. It provides policy enforcement, model governance, risk management workflows, compliance tracking, and enterprise integration capabilities. This makes IBM watsonx.governance relevant for organizations that require regulatory compliance coverage across the AI lifecycle.</w:t>
      </w:r>
    </w:p>
    <w:p>
      <w:pPr>
        <w:spacing w:after="56"/>
      </w:pPr>
      <w:r>
        <w:t>What this paper evaluates:</w:t>
      </w:r>
    </w:p>
    <w:p>
      <w:pPr>
        <w:pStyle w:val="ListBullet"/>
        <w:spacing w:after="56"/>
      </w:pPr>
      <w:r>
        <w:t>Whether IBM watsonx.governance provides governance primitives for RCCS dimensions</w:t>
      </w:r>
    </w:p>
    <w:p>
      <w:pPr>
        <w:pStyle w:val="ListBullet"/>
        <w:spacing w:after="56"/>
      </w:pPr>
      <w:r>
        <w:t>Whether IBM watsonx.governance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IBM watsonx.governance is not evaluated for product quality, market leadership, or procurement suitability.</w:t>
      </w:r>
    </w:p>
    <w:p>
      <w:pPr>
        <w:pStyle w:val="ListBullet"/>
        <w:spacing w:after="56"/>
      </w:pPr>
      <w:r>
        <w:t>ALCS posture requires validation: lifecycle objects for multi-agent responsibility transfer, accepted outcome, tool-action liability, and MAS evidence partitioning require evidence validation.</w:t>
      </w:r>
    </w:p>
    <w:p>
      <w:pPr>
        <w:pStyle w:val="ListBullet"/>
        <w:spacing w:after="56"/>
      </w:pPr>
      <w:r>
        <w:t>Model governance and AI governance are not identical to agentic lifecycle governance.</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AI governance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Policy enforcement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Compliance workflows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[IBM-WATSONX-GOVERNANCE-DOCS]</w:t>
      </w:r>
    </w:p>
    <w:p>
      <w:pPr>
        <w:pStyle w:val="Heading3"/>
      </w:pPr>
      <w:r>
        <w:t>RCCS Mapping Summary</w:t>
      </w:r>
    </w:p>
    <w:p>
      <w:pPr>
        <w:keepNext/>
      </w:pPr>
      <w:r>
        <w:rPr>
          <w:b/>
          <w:sz w:val="16"/>
        </w:rPr>
        <w:t>Table T-12-04: IBM watsonx.governance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AI governance platform designed for risk management</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data lineage and governance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policy management</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audit trails and compliance records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workflows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Enterprise platform with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and responsibility tracking</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and appeal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incident detection</w:t>
            </w:r>
          </w:p>
        </w:tc>
      </w:tr>
    </w:tbl>
    <w:p>
      <w:pPr>
        <w:pStyle w:val="Heading3"/>
      </w:pPr>
      <w:r>
        <w:t>ALCS Mapping Summary</w:t>
      </w:r>
    </w:p>
    <w:p>
      <w:pPr>
        <w:keepNext/>
      </w:pPr>
      <w:r>
        <w:rPr>
          <w:b/>
          <w:sz w:val="16"/>
        </w:rPr>
        <w:t>Table T-12-05: IBM watsonx.governance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Multi-Agent Responsibility Transfer: Whether IBM watsonx.governance tracks responsibility transfer across agents in multi-agent workflows requires validation.</w:t>
      </w:r>
    </w:p>
    <w:p>
      <w:pPr>
        <w:pStyle w:val="ListNumber"/>
        <w:spacing w:after="56"/>
      </w:pPr>
      <w:r>
        <w:t>Accepted Outcome Governance: Whether IBM watsonx.governance separates execution completion from outcome acceptance requires validation.</w:t>
      </w:r>
    </w:p>
    <w:p>
      <w:pPr>
        <w:pStyle w:val="ListNumber"/>
        <w:spacing w:after="56"/>
      </w:pPr>
      <w:r>
        <w:t>Tool-Action Liability Boundary: Whether IBM watsonx.governance records liability boundaries for consequential tool actions requires validation.</w:t>
      </w:r>
    </w:p>
    <w:p>
      <w:pPr>
        <w:pStyle w:val="ListNumber"/>
        <w:spacing w:after="56"/>
      </w:pPr>
      <w:r>
        <w:t>MAS Evidence Partitioning: Whether IBM watsonx.governance partitions evidence by agent, tool, authority, and privacy boundaries requires validation.</w:t>
      </w:r>
    </w:p>
    <w:p>
      <w:pPr>
        <w:pStyle w:val="ListNumber"/>
        <w:spacing w:after="56"/>
      </w:pPr>
      <w:r>
        <w:t>Cross-Project Reuse Controls: Whether IBM watsonx.governance enforces revalidation when workflows are reused across projects requires validation.</w:t>
      </w:r>
    </w:p>
    <w:p>
      <w:pPr>
        <w:pStyle w:val="Heading3"/>
      </w:pPr>
      <w:r>
        <w:t>Boundary Note</w:t>
      </w:r>
    </w:p>
    <w:p>
      <w:pPr>
        <w:spacing w:after="56"/>
      </w:pPr>
      <w:r>
        <w:t>This section maps public evidence to RCCS/ALCS dimensions. It is not a legal compliance judgment, procurement recommendation, certification, or endorsement. IBM watsonx.governance is evaluated for governance primitives and lifecycle responsibility objects based on public documentation. Model governance and AI governance are not identical to agentic lifecycle governance.</w:t>
      </w:r>
    </w:p>
    <w:p>
      <w:pPr>
        <w:pStyle w:val="Heading2"/>
      </w:pPr>
      <w:r>
        <w:t>12.5 Microsoft Azure AI Foundry — Cloud AI Platform and Enterprise AI Tooling</w:t>
      </w:r>
    </w:p>
    <w:p>
      <w:pPr>
        <w:pStyle w:val="Heading3"/>
      </w:pPr>
      <w:r>
        <w:t>System Positioning</w:t>
      </w:r>
    </w:p>
    <w:p>
      <w:pPr>
        <w:spacing w:after="56"/>
      </w:pPr>
      <w:r>
        <w:t>Microsoft Azure AI Foundry is a cloud-native AI platform designed for model management, responsible AI tooling, content safety, tracing, evaluation, and enterprise integration. It is relevant to RCCS and ALCS because it provides cloud platform capabilities for risk management, data governance, documentation, record-keeping, transparency, human oversight, security, accountability, and monitoring.</w:t>
      </w:r>
    </w:p>
    <w:p>
      <w:pPr>
        <w:spacing w:after="56"/>
      </w:pPr>
      <w:r>
        <w:t>Microsoft Azure AI Foundry is strong at cloud AI platform capabilities. It provides model access, responsible AI tooling, content safety, tracing, observability, evaluation, and enterprise integration. This makes Microsoft Azure AI Foundry relevant for organizations that require cloud-native AI platform capabilities with responsible AI tooling.</w:t>
      </w:r>
    </w:p>
    <w:p>
      <w:pPr>
        <w:spacing w:after="56"/>
      </w:pPr>
      <w:r>
        <w:t>What this paper evaluates:</w:t>
      </w:r>
    </w:p>
    <w:p>
      <w:pPr>
        <w:pStyle w:val="ListBullet"/>
        <w:spacing w:after="56"/>
      </w:pPr>
      <w:r>
        <w:t>Whether Microsoft Azure AI Foundry provides governance primitives for RCCS dimensions</w:t>
      </w:r>
    </w:p>
    <w:p>
      <w:pPr>
        <w:pStyle w:val="ListBullet"/>
        <w:spacing w:after="56"/>
      </w:pPr>
      <w:r>
        <w:t>Whether Microsoft Azure AI Foundry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Microsoft Azure AI Foundry is not evaluated for product quality, market leadership, or procurement suitability.</w:t>
      </w:r>
    </w:p>
    <w:p>
      <w:pPr>
        <w:pStyle w:val="ListBullet"/>
        <w:spacing w:after="56"/>
      </w:pPr>
      <w:r>
        <w:t>ALCS posture requires validation: authority boundaries, accepted outcomes, MAS evidence partitioning, and responsibility transfer require evidence validation.</w:t>
      </w:r>
    </w:p>
    <w:p>
      <w:pPr>
        <w:pStyle w:val="ListBullet"/>
        <w:spacing w:after="56"/>
      </w:pPr>
      <w:r>
        <w:t>Responsible AI tooling and cloud platform features are not identical to lifecycle responsibility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Responsible AI tooling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Content safety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Tracing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[MICROSOFT-AZURE-AI-FOUNDRY-DOCS]</w:t>
      </w:r>
    </w:p>
    <w:p>
      <w:pPr>
        <w:pStyle w:val="ListBullet"/>
        <w:spacing w:after="56"/>
      </w:pPr>
      <w:r>
        <w:t>[MICROSOFT-RESPONSIBLE-AI-DOCS]</w:t>
      </w:r>
    </w:p>
    <w:p>
      <w:pPr>
        <w:pStyle w:val="Heading3"/>
      </w:pPr>
      <w:r>
        <w:t>RCCS Mapping Summary</w:t>
      </w:r>
    </w:p>
    <w:p>
      <w:pPr>
        <w:keepNext/>
      </w:pPr>
      <w:r>
        <w:rPr>
          <w:b/>
          <w:sz w:val="16"/>
        </w:rPr>
        <w:t>Table T-12-06: Microsoft Azure AI Foundry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tracing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Responsible AI tooling provides transparency and explainability</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human review and approval capabilities</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T-12-07: Microsoft Azure AI Foundry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Accepted Outcome Compliance: Whether Microsoft Azure AI Foundry separates execution completion from outcome acceptance requires validation.</w:t>
      </w:r>
    </w:p>
    <w:p>
      <w:pPr>
        <w:pStyle w:val="ListNumber"/>
        <w:spacing w:after="56"/>
      </w:pPr>
      <w:r>
        <w:t>Delegated Authority Boundary: Whether Microsoft Azure AI Foundry defines and enforces authority boundaries for agent actions requires validation.</w:t>
      </w:r>
    </w:p>
    <w:p>
      <w:pPr>
        <w:pStyle w:val="ListNumber"/>
        <w:spacing w:after="56"/>
      </w:pPr>
      <w:r>
        <w:t>Cross-Agent Responsibility Transfer: Whether Microsoft Azure AI Foundry tracks responsibility transfer during agent handoffs requires validation.</w:t>
      </w:r>
    </w:p>
    <w:p>
      <w:pPr>
        <w:pStyle w:val="ListNumber"/>
        <w:spacing w:after="56"/>
      </w:pPr>
      <w:r>
        <w:t>Evidence Partitioning: Whether Microsoft Azure AI Foundry partitions evidence by agent, tool, authority, and privacy boundaries requires validation.</w:t>
      </w:r>
    </w:p>
    <w:p>
      <w:pPr>
        <w:pStyle w:val="ListNumber"/>
        <w:spacing w:after="56"/>
      </w:pPr>
      <w:r>
        <w:t>Vendor/Model/Runtime Substitution Conformance: Whether Microsoft Azure AI Foundry enforces conformance revalidation when vendors are substituted requires validation.</w:t>
      </w:r>
    </w:p>
    <w:p>
      <w:pPr>
        <w:pStyle w:val="Heading3"/>
      </w:pPr>
      <w:r>
        <w:t>Boundary Note</w:t>
      </w:r>
    </w:p>
    <w:p>
      <w:pPr>
        <w:spacing w:after="56"/>
      </w:pPr>
      <w:r>
        <w:t>This section maps public evidence to RCCS/ALCS dimensions. It is not a legal compliance judgment, procurement recommendation, certification, or endorsement. Microsoft Azure AI Foundry is evaluated for governance primitives and lifecycle responsibility objects based on public documentation. Responsible AI tooling and cloud platform features are not identical to lifecycle responsibility objects.</w:t>
      </w:r>
    </w:p>
    <w:p>
      <w:pPr>
        <w:pStyle w:val="Heading2"/>
      </w:pPr>
      <w:r>
        <w:t>12.6 AWS Bedrock / Guardrails / AgentCore — Cloud AI Service Suite</w:t>
      </w:r>
    </w:p>
    <w:p>
      <w:pPr>
        <w:pStyle w:val="Heading3"/>
      </w:pPr>
      <w:r>
        <w:t>System Positioning</w:t>
      </w:r>
    </w:p>
    <w:p>
      <w:pPr>
        <w:spacing w:after="56"/>
      </w:pPr>
      <w:r>
        <w:t>AWS Bedrock / Guardrails / AgentCore is a cloud AI service suite designed for model access, guardrails, agent orchestration, and enterprise security integration. It is relevant to RCCS and ALCS because it provides cloud service capabilities for guardrails, security, access control, monitoring, and agent orchestration.</w:t>
      </w:r>
    </w:p>
    <w:p>
      <w:pPr>
        <w:spacing w:after="56"/>
      </w:pPr>
      <w:r>
        <w:t>AWS Bedrock / Guardrails / AgentCore is strong at cloud AI services. It provides model access, guardrails, agent orchestration, tool use, and enterprise security integration. This makes AWS Bedrock / Guardrails / AgentCore relevant for organizations that require cloud-native AI services with guardrails and agent orchestration.</w:t>
      </w:r>
    </w:p>
    <w:p>
      <w:pPr>
        <w:spacing w:after="56"/>
      </w:pPr>
      <w:r>
        <w:t>What this paper evaluates:</w:t>
      </w:r>
    </w:p>
    <w:p>
      <w:pPr>
        <w:pStyle w:val="ListBullet"/>
        <w:spacing w:after="56"/>
      </w:pPr>
      <w:r>
        <w:t>Whether AWS Bedrock / Guardrails / AgentCore provides governance primitives for RCCS dimensions</w:t>
      </w:r>
    </w:p>
    <w:p>
      <w:pPr>
        <w:pStyle w:val="ListBullet"/>
        <w:spacing w:after="56"/>
      </w:pPr>
      <w:r>
        <w:t>Whether AWS Bedrock / Guardrails / AgentCore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AWS Bedrock / Guardrails / AgentCore is not evaluated for product quality, market leadership, or procurement suitability.</w:t>
      </w:r>
    </w:p>
    <w:p>
      <w:pPr>
        <w:pStyle w:val="ListBullet"/>
        <w:spacing w:after="56"/>
      </w:pPr>
      <w:r>
        <w:t>ALCS posture requires validation: orchestration and guardrails do not automatically prove lifecycle responsibility semantics.</w:t>
      </w:r>
    </w:p>
    <w:p>
      <w:pPr>
        <w:pStyle w:val="ListBullet"/>
        <w:spacing w:after="56"/>
      </w:pPr>
      <w:r>
        <w:t>Guardrails and tool permission are not identical to delegated authority boundary.</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services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Guardrails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Enterprise security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[AWS-BEDROCK-DOCS]</w:t>
      </w:r>
    </w:p>
    <w:p>
      <w:pPr>
        <w:pStyle w:val="ListBullet"/>
        <w:spacing w:after="56"/>
      </w:pPr>
      <w:r>
        <w:t>[AWS-BEDROCK-GUARDRAILS-DOCS]</w:t>
      </w:r>
    </w:p>
    <w:p>
      <w:pPr>
        <w:pStyle w:val="ListBullet"/>
        <w:spacing w:after="56"/>
      </w:pPr>
      <w:r>
        <w:t>[AWS-AGENTCORE-DOCS]</w:t>
      </w:r>
    </w:p>
    <w:p>
      <w:pPr>
        <w:pStyle w:val="Heading3"/>
      </w:pPr>
      <w:r>
        <w:t>RCCS Mapping Summary</w:t>
      </w:r>
    </w:p>
    <w:p>
      <w:pPr>
        <w:keepNext/>
      </w:pPr>
      <w:r>
        <w:rPr>
          <w:b/>
          <w:sz w:val="16"/>
        </w:rPr>
        <w:t>Table T-12-08: AWS Bedrock / Guardrails / AgentCore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Guardrails provide risk mitigation; broader risk management requires validation</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capabilities; agentic data governance requires validation</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capabilities; agentic documentation requires validation</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 agentic record-keeping requires validation</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transparency features; requires validation</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oversight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T-12-09: AWS Bedrock / Guardrails / AgentCore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guardrails ≠ delegated authority boundary</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Delegated Authority vs IAM/Tool Permission: Whether AWS Bedrock / Guardrails / AgentCore distinguishes delegated authority boundary from IAM and tool permission requires validation.</w:t>
      </w:r>
    </w:p>
    <w:p>
      <w:pPr>
        <w:pStyle w:val="ListNumber"/>
        <w:spacing w:after="56"/>
      </w:pPr>
      <w:r>
        <w:t>Accepted Outcome Governance: Whether AWS Bedrock / Guardrails / AgentCore separates execution completion from outcome acceptance requires validation.</w:t>
      </w:r>
    </w:p>
    <w:p>
      <w:pPr>
        <w:pStyle w:val="ListNumber"/>
        <w:spacing w:after="56"/>
      </w:pPr>
      <w:r>
        <w:t>Tool-Action Liability Boundary: Whether AWS Bedrock / Guardrails / AgentCore records liability boundaries for consequential tool actions requires validation.</w:t>
      </w:r>
    </w:p>
    <w:p>
      <w:pPr>
        <w:pStyle w:val="ListNumber"/>
        <w:spacing w:after="56"/>
      </w:pPr>
      <w:r>
        <w:t>MAS Evidence Partitioning: Whether AWS Bedrock / Guardrails / AgentCore partitions evidence by agent, tool, authority, and privacy boundaries requires validation.</w:t>
      </w:r>
    </w:p>
    <w:p>
      <w:pPr>
        <w:pStyle w:val="ListNumber"/>
        <w:spacing w:after="56"/>
      </w:pPr>
      <w:r>
        <w:t>Incident/Dispute/Remediation Closure: Whether AWS Bedrock / Guardrails / AgentCore provides incident, dispute, and remediation closure mechanisms requires validation.</w:t>
      </w:r>
    </w:p>
    <w:p>
      <w:pPr>
        <w:pStyle w:val="Heading3"/>
      </w:pPr>
      <w:r>
        <w:t>Boundary Note</w:t>
      </w:r>
    </w:p>
    <w:p>
      <w:pPr>
        <w:spacing w:after="56"/>
      </w:pPr>
      <w:r>
        <w:t>This section maps public evidence to RCCS/ALCS dimensions. It is not a legal compliance judgment, procurement recommendation, certification, or endorsement. AWS Bedrock / Guardrails / AgentCore is evaluated for governance primitives and lifecycle responsibility objects based on public documentation. Guardrails and tool permission are not identical to delegated authority boundary.</w:t>
      </w:r>
    </w:p>
    <w:p>
      <w:pPr>
        <w:pStyle w:val="Heading2"/>
      </w:pPr>
      <w:r>
        <w:t>12.7 Google Vertex AI / ADK / Model Armor — Cloud AI Platform, Agent Development, and Safety Controls</w:t>
      </w:r>
    </w:p>
    <w:p>
      <w:pPr>
        <w:pStyle w:val="Heading3"/>
      </w:pPr>
      <w:r>
        <w:t>System Positioning</w:t>
      </w:r>
    </w:p>
    <w:p>
      <w:pPr>
        <w:spacing w:after="56"/>
      </w:pPr>
      <w:r>
        <w:t>Google Vertex AI / ADK / Model Armor is a cloud AI platform suite designed for model management, agent development tooling, and model/content safety controls. It is relevant to RCCS and ALCS because it provides cloud platform capabilities for model governance, agent development, safety evaluation, content filtering, and enterprise integration.</w:t>
      </w:r>
    </w:p>
    <w:p>
      <w:pPr>
        <w:spacing w:after="56"/>
      </w:pPr>
      <w:r>
        <w:t>Google Vertex AI / ADK / Model Armor is strong at cloud AI platform capabilities, agent development tooling, and model safety controls. It provides model access, agent development kit (ADK), model armor safety features, evaluation frameworks, and enterprise security integration. This makes Google Vertex AI / ADK / Model Armor relevant for organizations that require cloud-native AI platform capabilities with agent development and safety tooling.</w:t>
      </w:r>
    </w:p>
    <w:p>
      <w:pPr>
        <w:spacing w:after="56"/>
      </w:pPr>
      <w:r>
        <w:t>What this paper evaluates:</w:t>
      </w:r>
    </w:p>
    <w:p>
      <w:pPr>
        <w:pStyle w:val="ListBullet"/>
        <w:spacing w:after="56"/>
      </w:pPr>
      <w:r>
        <w:t>Whether Google Vertex AI / ADK / Model Armor provides governance primitives for RCCS dimensions</w:t>
      </w:r>
    </w:p>
    <w:p>
      <w:pPr>
        <w:pStyle w:val="ListBullet"/>
        <w:spacing w:after="56"/>
      </w:pPr>
      <w:r>
        <w:t>Whether Google Vertex AI / ADK / Model Armor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Google Vertex AI / ADK / Model Armor is not evaluated for product quality, market leadership, or procurement suitability.</w:t>
      </w:r>
    </w:p>
    <w:p>
      <w:pPr>
        <w:pStyle w:val="ListBullet"/>
        <w:spacing w:after="56"/>
      </w:pPr>
      <w:r>
        <w:t>ALCS posture requires validation: agent development and model safety controls do not automatically prove lifecycle responsibility semantics.</w:t>
      </w:r>
    </w:p>
    <w:p>
      <w:pPr>
        <w:pStyle w:val="ListBullet"/>
        <w:spacing w:after="56"/>
      </w:pPr>
      <w:r>
        <w:t>Model safety, content safety, and platform governance are not identical to lifecycle responsibility objects.</w:t>
      </w:r>
    </w:p>
    <w:p>
      <w:pPr>
        <w:pStyle w:val="ListBullet"/>
        <w:spacing w:after="56"/>
      </w:pPr>
      <w:r>
        <w:t>ADK agent development primitives are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Cloud AI platform</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 Development Kit (ADK)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Armor safety controls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Model evaluation and monitoring</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[GOOGLE-VERTEX-AI-DOCS]</w:t>
      </w:r>
    </w:p>
    <w:p>
      <w:pPr>
        <w:pStyle w:val="ListBullet"/>
        <w:spacing w:after="56"/>
      </w:pPr>
      <w:r>
        <w:t>[GOOGLE-ADK-DOCS]</w:t>
      </w:r>
    </w:p>
    <w:p>
      <w:pPr>
        <w:pStyle w:val="ListBullet"/>
        <w:spacing w:after="56"/>
      </w:pPr>
      <w:r>
        <w:t>[GOOGLE-MODEL-ARMOR-DOCS]</w:t>
      </w:r>
    </w:p>
    <w:p>
      <w:pPr>
        <w:pStyle w:val="Heading3"/>
      </w:pPr>
      <w:r>
        <w:t>RCCS Mapping Summary</w:t>
      </w:r>
    </w:p>
    <w:p>
      <w:pPr>
        <w:keepNext/>
      </w:pPr>
      <w:r>
        <w:rPr>
          <w:b/>
          <w:sz w:val="16"/>
        </w:rPr>
        <w:t>Table T-12-10: Google Vertex AI / ADK / Model Armor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Model Armor and evaluation frameworks provide risk management capabilities</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provides data governance and lineage capabilities</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documentation and model cards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logging and audit trails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transparency and explainability features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human review capabilities; requires validation</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Cloud platform with enterprise security and access controls</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accountability features; agentic accountability requires validation</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may provide dispute mechanisms; requires validation</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Platform provides continuous monitoring and observability</w:t>
            </w:r>
          </w:p>
        </w:tc>
      </w:tr>
    </w:tbl>
    <w:p>
      <w:pPr>
        <w:pStyle w:val="Heading3"/>
      </w:pPr>
      <w:r>
        <w:t>ALCS Mapping Summary</w:t>
      </w:r>
    </w:p>
    <w:p>
      <w:pPr>
        <w:keepNext/>
      </w:pPr>
      <w:r>
        <w:rPr>
          <w:b/>
          <w:sz w:val="16"/>
        </w:rPr>
        <w:t>Table T-12-11: Google Vertex AI / ADK / Model Armor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Human-role-to-MAS mapping, delegated authority boundary, agent role distinction, accepted outcome compliance require validation; ADK agent primitives ≠ lifecycle responsibility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Tool-action liability, responsibility transfer, authority drift detection, MAS evidence partitioning require validation</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Cross-project reuse, privacy lifecycle mapping, privacy-preserving validation require validation</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Evidence minimization, data subject rights reconciliation, processor chain tracking require validation</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Vendor/model/runtime substitution conformance requires validation</w:t>
            </w:r>
          </w:p>
        </w:tc>
      </w:tr>
    </w:tbl>
    <w:p>
      <w:pPr>
        <w:pStyle w:val="Heading3"/>
      </w:pPr>
      <w:r>
        <w:t>Main Lifecycle Gaps</w:t>
      </w:r>
    </w:p>
    <w:p>
      <w:pPr>
        <w:pStyle w:val="ListNumber"/>
        <w:spacing w:after="56"/>
      </w:pPr>
      <w:r>
        <w:t>Agent Development vs Lifecycle Responsibility: Whether Google ADK agent development primitives map to human-role-to-MAS responsibility semantics requires validation.</w:t>
      </w:r>
    </w:p>
    <w:p>
      <w:pPr>
        <w:pStyle w:val="ListNumber"/>
        <w:spacing w:after="56"/>
      </w:pPr>
      <w:r>
        <w:t>Delegated Authority Boundary: Whether Google Vertex AI / ADK / Model Armor defines and enforces authority boundaries for agent actions requires validation.</w:t>
      </w:r>
    </w:p>
    <w:p>
      <w:pPr>
        <w:pStyle w:val="ListNumber"/>
        <w:spacing w:after="56"/>
      </w:pPr>
      <w:r>
        <w:t>Accepted Outcome Compliance: Whether Google Vertex AI / ADK / Model Armor separates execution completion from outcome acceptance requires validation.</w:t>
      </w:r>
    </w:p>
    <w:p>
      <w:pPr>
        <w:pStyle w:val="ListNumber"/>
        <w:spacing w:after="56"/>
      </w:pPr>
      <w:r>
        <w:t>Model Safety vs Lifecycle Governance: Whether Model Armor safety controls extend to lifecycle responsibility governance requires validation.</w:t>
      </w:r>
    </w:p>
    <w:p>
      <w:pPr>
        <w:pStyle w:val="ListNumber"/>
        <w:spacing w:after="56"/>
      </w:pPr>
      <w:r>
        <w:t>Cross-Agent Responsibility Transfer: Whether Google Vertex AI / ADK / Model Armor tracks responsibility transfer during agent handoffs requires validation.</w:t>
      </w:r>
    </w:p>
    <w:p>
      <w:pPr>
        <w:pStyle w:val="Heading3"/>
      </w:pPr>
      <w:r>
        <w:t>Boundary Note</w:t>
      </w:r>
    </w:p>
    <w:p>
      <w:pPr>
        <w:spacing w:after="56"/>
      </w:pPr>
      <w:r>
        <w:t>This section maps public evidence to RCCS/ALCS dimensions. It is not a legal compliance judgment, procurement recommendation, certification, or endorsement. Google Vertex AI / ADK / Model Armor is evaluated for governance primitives and lifecycle responsibility objects based on public documentation. Model safety, content safety, and platform governance are not identical to lifecycle responsibility objects.</w:t>
      </w:r>
    </w:p>
    <w:p>
      <w:pPr>
        <w:pStyle w:val="Heading2"/>
      </w:pPr>
      <w:r>
        <w:t>12.8 LangGraph / LangSmith — Agent Orchestration and Observability Framework</w:t>
      </w:r>
    </w:p>
    <w:p>
      <w:pPr>
        <w:pStyle w:val="Heading3"/>
      </w:pPr>
      <w:r>
        <w:t>System Positioning</w:t>
      </w:r>
    </w:p>
    <w:p>
      <w:pPr>
        <w:spacing w:after="56"/>
      </w:pPr>
      <w:r>
        <w:t>LangGraph / LangSmith is an agent orchestration and observability framework designed for workflow graphs, state management, checkpoints, traces, and observability. It is relevant to RCCS and ALCS because it provides orchestration and observability capabilities that can support governance, monitoring, transparency, and evidence collection.</w:t>
      </w:r>
    </w:p>
    <w:p>
      <w:pPr>
        <w:spacing w:after="56"/>
      </w:pPr>
      <w:r>
        <w:t>LangGraph / LangSmith is strong at agent orchestration and observability. It provides workflow graphs, state management, checkpoints, traces, debugging, evaluation, and observability features. This makes LangGraph / LangSmith relevant for organizations that require agent orchestration with observability and debugging capabilities.</w:t>
      </w:r>
    </w:p>
    <w:p>
      <w:pPr>
        <w:spacing w:after="56"/>
      </w:pPr>
      <w:r>
        <w:t>What this paper evaluates:</w:t>
      </w:r>
    </w:p>
    <w:p>
      <w:pPr>
        <w:pStyle w:val="ListBullet"/>
        <w:spacing w:after="56"/>
      </w:pPr>
      <w:r>
        <w:t>Whether LangGraph / LangSmith provides governance primitives for RCCS dimensions</w:t>
      </w:r>
    </w:p>
    <w:p>
      <w:pPr>
        <w:pStyle w:val="ListBullet"/>
        <w:spacing w:after="56"/>
      </w:pPr>
      <w:r>
        <w:t>Whether LangGraph / LangSmith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LangGraph / LangSmith is not evaluated for product quality, market leadership, or procurement suitability.</w:t>
      </w:r>
    </w:p>
    <w:p>
      <w:pPr>
        <w:pStyle w:val="ListBullet"/>
        <w:spacing w:after="56"/>
      </w:pPr>
      <w:r>
        <w:t>ALCS posture requires validation: orchestration and observability can support governance but do not automatically provide regulatory compliance coverage.</w:t>
      </w:r>
    </w:p>
    <w:p>
      <w:pPr>
        <w:pStyle w:val="ListBullet"/>
        <w:spacing w:after="56"/>
      </w:pPr>
      <w:r>
        <w:t>Workflow graphs, state, checkpoints, and traces are not identical to lifecycle responsibility objects.</w:t>
      </w:r>
    </w:p>
    <w:p>
      <w:pPr>
        <w:pStyle w:val="ListBullet"/>
        <w:spacing w:after="56"/>
      </w:pPr>
      <w:r>
        <w:t>Observability traces are not identical to MAS evidence partitioning.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orchestration</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Workflow graphs and state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Checkpoints and persistence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Traces and observability</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[LANGGRAPH-DOCS]</w:t>
      </w:r>
    </w:p>
    <w:p>
      <w:pPr>
        <w:pStyle w:val="ListBullet"/>
        <w:spacing w:after="56"/>
      </w:pPr>
      <w:r>
        <w:t>[LANGSMITH-DOCS]</w:t>
      </w:r>
    </w:p>
    <w:p>
      <w:pPr>
        <w:pStyle w:val="Heading3"/>
      </w:pPr>
      <w:r>
        <w:t>RCCS Mapping Summary</w:t>
      </w:r>
    </w:p>
    <w:p>
      <w:pPr>
        <w:keepNext/>
      </w:pPr>
      <w:r>
        <w:rPr>
          <w:b/>
          <w:sz w:val="16"/>
        </w:rPr>
        <w:t>Table T-12-12: LangGraph / LangSmith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State management exists;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Workflow graphs and traces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Checkpoints and traces provide record-keeping primitives</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Traces and observability provide transparency primitives</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provide observability;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Moderate to Strong</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Observability and traces provide monitoring primitives</w:t>
            </w:r>
          </w:p>
        </w:tc>
      </w:tr>
    </w:tbl>
    <w:p>
      <w:pPr>
        <w:pStyle w:val="Heading3"/>
      </w:pPr>
      <w:r>
        <w:t>ALCS Mapping Summary</w:t>
      </w:r>
    </w:p>
    <w:p>
      <w:pPr>
        <w:keepNext/>
      </w:pPr>
      <w:r>
        <w:rPr>
          <w:b/>
          <w:sz w:val="16"/>
        </w:rPr>
        <w:t>Table T-12-13: LangGraph / LangSmith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graphs and state provide useful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Partial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Traces and state transitions provide useful primitives;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Workflow reuse exists; cross-project reuse compliance, privacy lifecycle mapping, privacy-preserving validation require additional governance semantics</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Orchestration vs Governance: Whether LangGraph / LangSmith orchestration and observability primitives extend to lifecycle responsibility governance requires validation.</w:t>
      </w:r>
    </w:p>
    <w:p>
      <w:pPr>
        <w:pStyle w:val="ListNumber"/>
        <w:spacing w:after="56"/>
      </w:pPr>
      <w:r>
        <w:t>Traces vs Evidence Partitioning: Whether LangSmith traces map to MAS evidence partitioning with agent, tool, authority, and privacy boundaries requires validation.</w:t>
      </w:r>
    </w:p>
    <w:p>
      <w:pPr>
        <w:pStyle w:val="ListNumber"/>
        <w:spacing w:after="56"/>
      </w:pPr>
      <w:r>
        <w:t>Human-Role-to-MAS Responsibility Mapping: Whether LangGraph / LangSmith maps human roles to MAS responsibility semantics requires validation.</w:t>
      </w:r>
    </w:p>
    <w:p>
      <w:pPr>
        <w:pStyle w:val="ListNumber"/>
        <w:spacing w:after="56"/>
      </w:pPr>
      <w:r>
        <w:t>Delegated Authority Boundary: Whether LangGraph / LangSmith defines and enforces authority boundaries for agent actions requires validation.</w:t>
      </w:r>
    </w:p>
    <w:p>
      <w:pPr>
        <w:pStyle w:val="ListNumber"/>
        <w:spacing w:after="56"/>
      </w:pPr>
      <w:r>
        <w:t>Accepted Outcome Compliance: Whether LangGraph / LangSmith separates execution completion from outcome acceptance requires validation.</w:t>
      </w:r>
    </w:p>
    <w:p>
      <w:pPr>
        <w:pStyle w:val="ListNumber"/>
        <w:spacing w:after="56"/>
      </w:pPr>
      <w:r>
        <w:t>Incident/Dispute/Remediation Closure: Whether LangGraph / LangSmith provides incident, dispute, and remediation closure mechanisms requires validation.</w:t>
      </w:r>
    </w:p>
    <w:p>
      <w:pPr>
        <w:pStyle w:val="Heading3"/>
      </w:pPr>
      <w:r>
        <w:t>Boundary Note</w:t>
      </w:r>
    </w:p>
    <w:p>
      <w:pPr>
        <w:spacing w:after="56"/>
      </w:pPr>
      <w:r>
        <w:t>This section maps public evidence to RCCS/ALCS dimensions. It is not a legal compliance judgment, procurement recommendation, certification, or endorsement. LangGraph / LangSmith is evaluated for governance primitives and lifecycle responsibility objects based on public documentation. Orchestration and observability can support governance but do not automatically provide regulatory compliance coverage.</w:t>
      </w:r>
    </w:p>
    <w:p>
      <w:pPr>
        <w:pStyle w:val="Heading2"/>
      </w:pPr>
      <w:r>
        <w:t>12.9 OpenAI Agents SDK — Developer-Focused Agent Execution Framework</w:t>
      </w:r>
    </w:p>
    <w:p>
      <w:pPr>
        <w:pStyle w:val="Heading3"/>
      </w:pPr>
      <w:r>
        <w:t>System Positioning</w:t>
      </w:r>
    </w:p>
    <w:p>
      <w:pPr>
        <w:spacing w:after="56"/>
      </w:pPr>
      <w:r>
        <w:t>OpenAI Agents SDK is a developer-focused agent execution framework designed for model access, tool use, agent execution patterns, and developer primitives. It is relevant to RCCS and ALCS because it provides execution capabilities that can support agent workflows, tool actions, and observability.</w:t>
      </w:r>
    </w:p>
    <w:p>
      <w:pPr>
        <w:spacing w:after="56"/>
      </w:pPr>
      <w:r>
        <w:t>OpenAI Agents SDK is strong at agent execution and tool use. It provides model access, tool calling, agent execution patterns, streaming, and developer-friendly APIs. This makes OpenAI Agents SDK relevant for developers building agentic applications with tool use and execution capabilities.</w:t>
      </w:r>
    </w:p>
    <w:p>
      <w:pPr>
        <w:spacing w:after="56"/>
      </w:pPr>
      <w:r>
        <w:t>What this paper evaluates:</w:t>
      </w:r>
    </w:p>
    <w:p>
      <w:pPr>
        <w:pStyle w:val="ListBullet"/>
        <w:spacing w:after="56"/>
      </w:pPr>
      <w:r>
        <w:t>Whether OpenAI Agents SDK provides governance primitives for RCCS dimensions</w:t>
      </w:r>
    </w:p>
    <w:p>
      <w:pPr>
        <w:pStyle w:val="ListBullet"/>
        <w:spacing w:after="56"/>
      </w:pPr>
      <w:r>
        <w:t>Whether OpenAI Agents SDK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OpenAI Agents SDK is not evaluated for product quality, market leadership, or procurement suitability.</w:t>
      </w:r>
    </w:p>
    <w:p>
      <w:pPr>
        <w:pStyle w:val="ListBullet"/>
        <w:spacing w:after="56"/>
      </w:pPr>
      <w:r>
        <w:t>RCCS and ALCS posture requires validation: execution framework features do not automatically provide enterprise governance, audit readiness, accepted outcome, or lifecycle responsibility semantics.</w:t>
      </w:r>
    </w:p>
    <w:p>
      <w:pPr>
        <w:pStyle w:val="ListBullet"/>
        <w:spacing w:after="56"/>
      </w:pPr>
      <w:r>
        <w:t>Tool calling and agent execution are not identical to tool-action liability boundary.</w:t>
      </w:r>
    </w:p>
    <w:p>
      <w:pPr>
        <w:pStyle w:val="ListBullet"/>
        <w:spacing w:after="56"/>
      </w:pPr>
      <w:r>
        <w:t>Developer primitives are not identical to enterprise lifecycle governance objects.</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Agent execution framework</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Tool calling and tool use</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Model access and APIs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Developer primitives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product docs</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[OPENAI-AGENTS-SDK-DOCS]</w:t>
      </w:r>
    </w:p>
    <w:p>
      <w:pPr>
        <w:pStyle w:val="ListBullet"/>
        <w:spacing w:after="56"/>
      </w:pPr>
      <w:r>
        <w:t>[OPENAI-TOOLS-DOCS]</w:t>
      </w:r>
    </w:p>
    <w:p>
      <w:pPr>
        <w:pStyle w:val="Heading3"/>
      </w:pPr>
      <w:r>
        <w:t>RCCS Mapping Summary</w:t>
      </w:r>
    </w:p>
    <w:p>
      <w:pPr>
        <w:keepNext/>
      </w:pPr>
      <w:r>
        <w:rPr>
          <w:b/>
          <w:sz w:val="16"/>
        </w:rPr>
        <w:t>Table T-12-14: OpenAI Agents SDK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Developer docs exist; governance documentation requires additional layer</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transparency requires additional governance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L2 reviewed</w:t>
            </w:r>
          </w:p>
        </w:tc>
        <w:tc>
          <w:tcPr>
            <w:tcW w:type="dxa" w:w="2556"/>
          </w:tcPr>
          <w:p>
            <w:pPr>
              <w:spacing w:after="0"/>
            </w:pPr>
            <w:r>
              <w:rPr>
                <w:rFonts w:ascii="Arial" w:hAnsi="Arial"/>
                <w:b w:val="0"/>
                <w:sz w:val="14"/>
              </w:rPr>
              <w:t>API security exists; enterprise security depends on deployment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logs may exist; governance monitoring requires additional layer</w:t>
            </w:r>
          </w:p>
        </w:tc>
      </w:tr>
    </w:tbl>
    <w:p>
      <w:pPr>
        <w:pStyle w:val="Heading3"/>
      </w:pPr>
      <w:r>
        <w:t>ALCS Mapping Summary</w:t>
      </w:r>
    </w:p>
    <w:p>
      <w:pPr>
        <w:keepNext/>
      </w:pPr>
      <w:r>
        <w:rPr>
          <w:b/>
          <w:sz w:val="16"/>
        </w:rPr>
        <w:t>Table T-12-15: OpenAI Agents SDK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provides developer primitives; human-role-to-MAS mapping, delegated authority boundary, agent role distinction, accepted outcome compliance require additional governance semantics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Tool calling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Execution framework; vendor/model/runtime substitution conformance requires additional governance layer</w:t>
            </w:r>
          </w:p>
        </w:tc>
      </w:tr>
    </w:tbl>
    <w:p>
      <w:pPr>
        <w:pStyle w:val="Heading3"/>
      </w:pPr>
      <w:r>
        <w:t>Main Lifecycle Gaps</w:t>
      </w:r>
    </w:p>
    <w:p>
      <w:pPr>
        <w:pStyle w:val="ListNumber"/>
        <w:spacing w:after="56"/>
      </w:pPr>
      <w:r>
        <w:t>Execution Framework vs Governance Layer: Whether OpenAI Agents SDK execution primitives extend to lifecycle responsibility governance requires validation.</w:t>
      </w:r>
    </w:p>
    <w:p>
      <w:pPr>
        <w:pStyle w:val="ListNumber"/>
        <w:spacing w:after="56"/>
      </w:pPr>
      <w:r>
        <w:t>Tool Calling vs Tool-Action Liability: Whether OpenAI Agents SDK tool calling maps to tool-action liability boundary requires validation.</w:t>
      </w:r>
    </w:p>
    <w:p>
      <w:pPr>
        <w:pStyle w:val="ListNumber"/>
        <w:spacing w:after="56"/>
      </w:pPr>
      <w:r>
        <w:t>Developer Primitives vs Enterprise Governance: Whether OpenAI Agents SDK developer primitives extend to enterprise governance objects requires validation.</w:t>
      </w:r>
    </w:p>
    <w:p>
      <w:pPr>
        <w:pStyle w:val="ListNumber"/>
        <w:spacing w:after="56"/>
      </w:pPr>
      <w:r>
        <w:t>Delegated Authority Boundary: Whether OpenAI Agents SDK defines and enforces authority boundaries for agent actions requires validation.</w:t>
      </w:r>
    </w:p>
    <w:p>
      <w:pPr>
        <w:pStyle w:val="ListNumber"/>
        <w:spacing w:after="56"/>
      </w:pPr>
      <w:r>
        <w:t>Accepted Outcome Compliance: Whether OpenAI Agents SDK separates execution completion from outcome acceptance requires validation.</w:t>
      </w:r>
    </w:p>
    <w:p>
      <w:pPr>
        <w:pStyle w:val="ListNumber"/>
        <w:spacing w:after="56"/>
      </w:pPr>
      <w:r>
        <w:t>Human Accountability Mapping: Whether OpenAI Agents SDK maps agent actions to human accountability requires validation.</w:t>
      </w:r>
    </w:p>
    <w:p>
      <w:pPr>
        <w:pStyle w:val="Heading3"/>
      </w:pPr>
      <w:r>
        <w:t>Boundary Note</w:t>
      </w:r>
    </w:p>
    <w:p>
      <w:pPr>
        <w:spacing w:after="56"/>
      </w:pPr>
      <w:r>
        <w:t>This section maps public evidence to RCCS/ALCS dimensions. It is not a legal compliance judgment, procurement recommendation, certification, or endorsement. OpenAI Agents SDK is evaluated for governance primitives and lifecycle responsibility objects based on public documentation. Execution framework features do not automatically provide enterprise governance, audit readiness, or lifecycle responsibility semantics.</w:t>
      </w:r>
    </w:p>
    <w:p>
      <w:pPr>
        <w:pStyle w:val="Heading2"/>
      </w:pPr>
      <w:r>
        <w:t>12.10 CrewAI — Multi-Agent Collaboration and Role-Based Orchestration Framework</w:t>
      </w:r>
    </w:p>
    <w:p>
      <w:pPr>
        <w:pStyle w:val="Heading3"/>
      </w:pPr>
      <w:r>
        <w:t>System Positioning</w:t>
      </w:r>
    </w:p>
    <w:p>
      <w:pPr>
        <w:spacing w:after="56"/>
      </w:pPr>
      <w:r>
        <w:t>CrewAI is a multi-agent collaboration and role-based orchestration framework designed for agent role composition, task orchestration, and multi-agent workflows. It is relevant to RCCS and ALCS because it provides role-based orchestration capabilities that can support agent collaboration, task delegation, and workflow management.</w:t>
      </w:r>
    </w:p>
    <w:p>
      <w:pPr>
        <w:spacing w:after="56"/>
      </w:pPr>
      <w:r>
        <w:t>CrewAI is strong at role-based agent composition and task orchestration. It provides agent role labels, task assignment, multi-agent collaboration, and workflow orchestration features. This makes CrewAI relevant for developers building multi-agent systems with role-based collaboration patterns.</w:t>
      </w:r>
    </w:p>
    <w:p>
      <w:pPr>
        <w:spacing w:after="56"/>
      </w:pPr>
      <w:r>
        <w:t>What this paper evaluates:</w:t>
      </w:r>
    </w:p>
    <w:p>
      <w:pPr>
        <w:pStyle w:val="ListBullet"/>
        <w:spacing w:after="56"/>
      </w:pPr>
      <w:r>
        <w:t>Whether CrewAI provides governance primitives for RCCS dimensions</w:t>
      </w:r>
    </w:p>
    <w:p>
      <w:pPr>
        <w:pStyle w:val="ListBullet"/>
        <w:spacing w:after="56"/>
      </w:pPr>
      <w:r>
        <w:t>Whether CrewAI provides lifecycle responsibility objects for ALCS dimensions</w:t>
      </w:r>
    </w:p>
    <w:p>
      <w:pPr>
        <w:pStyle w:val="ListBullet"/>
        <w:spacing w:after="56"/>
      </w:pPr>
      <w:r>
        <w:t>Whether public documentation supports RCCS and ALCS mapping</w:t>
      </w:r>
    </w:p>
    <w:p>
      <w:pPr>
        <w:spacing w:after="56"/>
      </w:pPr>
      <w:r>
        <w:t>What this paper does not infer:</w:t>
      </w:r>
    </w:p>
    <w:p>
      <w:pPr>
        <w:pStyle w:val="ListBullet"/>
        <w:spacing w:after="56"/>
      </w:pPr>
      <w:r>
        <w:t>CrewAI is not evaluated for product quality, market leadership, or procurement suitability.</w:t>
      </w:r>
    </w:p>
    <w:p>
      <w:pPr>
        <w:pStyle w:val="ListBullet"/>
        <w:spacing w:after="56"/>
      </w:pPr>
      <w:r>
        <w:t>RCCS and ALCS posture requires validation: agent role labels and task orchestration do not automatically provide governance responsibility semantics.</w:t>
      </w:r>
    </w:p>
    <w:p>
      <w:pPr>
        <w:pStyle w:val="ListBullet"/>
        <w:spacing w:after="56"/>
      </w:pPr>
      <w:r>
        <w:t>Agent role labels are not identical to human accountability roles.</w:t>
      </w:r>
    </w:p>
    <w:p>
      <w:pPr>
        <w:pStyle w:val="ListBullet"/>
        <w:spacing w:after="56"/>
      </w:pPr>
      <w:r>
        <w:t>Role-based orchestration is not identical to human-role-to-MAS responsibility mapping.</w:t>
      </w:r>
    </w:p>
    <w:p>
      <w:pPr>
        <w:pStyle w:val="Heading3"/>
      </w:pPr>
      <w:r>
        <w:t>Evidence Basis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Evidence Area</w:t>
            </w:r>
          </w:p>
        </w:tc>
        <w:tc>
          <w:tcPr>
            <w:tcW w:type="dxa" w:w="2556"/>
          </w:tcPr>
          <w:p>
            <w:pPr>
              <w:spacing w:after="0"/>
            </w:pPr>
            <w:r>
              <w:rPr>
                <w:rFonts w:ascii="Arial" w:hAnsi="Arial"/>
                <w:b/>
                <w:sz w:val="14"/>
              </w:rPr>
              <w:t>Source Type</w:t>
            </w:r>
          </w:p>
        </w:tc>
        <w:tc>
          <w:tcPr>
            <w:tcW w:type="dxa" w:w="2556"/>
          </w:tcPr>
          <w:p>
            <w:pPr>
              <w:spacing w:after="0"/>
            </w:pPr>
            <w:r>
              <w:rPr>
                <w:rFonts w:ascii="Arial" w:hAnsi="Arial"/>
                <w:b/>
                <w:sz w:val="14"/>
              </w:rPr>
              <w:t>Evidence Level</w:t>
            </w:r>
          </w:p>
        </w:tc>
        <w:tc>
          <w:tcPr>
            <w:tcW w:type="dxa" w:w="2556"/>
          </w:tcPr>
          <w:p>
            <w:pPr>
              <w:spacing w:after="0"/>
            </w:pPr>
            <w:r>
              <w:rPr>
                <w:rFonts w:ascii="Arial" w:hAnsi="Arial"/>
                <w:b/>
                <w:sz w:val="14"/>
              </w:rPr>
              <w:t>Claim-Level Status</w:t>
            </w:r>
          </w:p>
        </w:tc>
      </w:tr>
      <w:tr>
        <w:tc>
          <w:tcPr>
            <w:tcW w:type="dxa" w:w="2556"/>
          </w:tcPr>
          <w:p>
            <w:pPr>
              <w:spacing w:after="0"/>
            </w:pPr>
            <w:r>
              <w:rPr>
                <w:rFonts w:ascii="Arial" w:hAnsi="Arial"/>
                <w:b w:val="0"/>
                <w:sz w:val="14"/>
              </w:rPr>
              <w:t>Multi-agent collaboration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Role-based orchestration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Task assignment and delegation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narrowed / partially validated</w:t>
            </w:r>
          </w:p>
        </w:tc>
      </w:tr>
      <w:tr>
        <w:tc>
          <w:tcPr>
            <w:tcW w:type="dxa" w:w="2556"/>
          </w:tcPr>
          <w:p>
            <w:pPr>
              <w:spacing w:after="0"/>
            </w:pPr>
            <w:r>
              <w:rPr>
                <w:rFonts w:ascii="Arial" w:hAnsi="Arial"/>
                <w:b w:val="0"/>
                <w:sz w:val="14"/>
              </w:rPr>
              <w:t>Agent role composition</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w:t>
            </w:r>
          </w:p>
        </w:tc>
        <w:tc>
          <w:tcPr>
            <w:tcW w:type="dxa" w:w="2556"/>
          </w:tcPr>
          <w:p>
            <w:pPr>
              <w:spacing w:after="0"/>
            </w:pPr>
            <w:r>
              <w:rPr>
                <w:rFonts w:ascii="Arial" w:hAnsi="Arial"/>
                <w:b w:val="0"/>
                <w:sz w:val="14"/>
              </w:rPr>
              <w:t>source-bound at entry-point level</w:t>
            </w:r>
          </w:p>
        </w:tc>
      </w:tr>
      <w:tr>
        <w:tc>
          <w:tcPr>
            <w:tcW w:type="dxa" w:w="2556"/>
          </w:tcPr>
          <w:p>
            <w:pPr>
              <w:spacing w:after="0"/>
            </w:pPr>
            <w:r>
              <w:rPr>
                <w:rFonts w:ascii="Arial" w:hAnsi="Arial"/>
                <w:b w:val="0"/>
                <w:sz w:val="14"/>
              </w:rPr>
              <w:t>Agentic lifecycle objects</w:t>
            </w:r>
          </w:p>
        </w:tc>
        <w:tc>
          <w:tcPr>
            <w:tcW w:type="dxa" w:w="2556"/>
          </w:tcPr>
          <w:p>
            <w:pPr>
              <w:spacing w:after="0"/>
            </w:pPr>
            <w:r>
              <w:rPr>
                <w:rFonts w:ascii="Arial" w:hAnsi="Arial"/>
                <w:b w:val="0"/>
                <w:sz w:val="14"/>
              </w:rPr>
              <w:t>Official docs or GitHub</w:t>
            </w:r>
          </w:p>
        </w:tc>
        <w:tc>
          <w:tcPr>
            <w:tcW w:type="dxa" w:w="2556"/>
          </w:tcPr>
          <w:p>
            <w:pPr>
              <w:spacing w:after="0"/>
            </w:pPr>
            <w:r>
              <w:rPr>
                <w:rFonts w:ascii="Arial" w:hAnsi="Arial"/>
                <w:b w:val="0"/>
                <w:sz w:val="14"/>
              </w:rPr>
              <w:t>L2 (if available) or L5 (author inference)</w:t>
            </w:r>
          </w:p>
        </w:tc>
        <w:tc>
          <w:tcPr>
            <w:tcW w:type="dxa" w:w="2556"/>
          </w:tcPr>
          <w:p>
            <w:pPr>
              <w:spacing w:after="0"/>
            </w:pPr>
            <w:r>
              <w:rPr>
                <w:rFonts w:ascii="Arial" w:hAnsi="Arial"/>
                <w:b w:val="0"/>
                <w:sz w:val="14"/>
              </w:rPr>
              <w:t>L5 analytical interpretation unless directly stated</w:t>
            </w:r>
          </w:p>
        </w:tc>
      </w:tr>
    </w:tbl>
    <w:p>
      <w:pPr>
        <w:spacing w:after="56"/>
      </w:pPr>
      <w:r>
        <w:t>Citation placeholders:</w:t>
      </w:r>
    </w:p>
    <w:p>
      <w:pPr>
        <w:pStyle w:val="ListBullet"/>
        <w:spacing w:after="56"/>
      </w:pPr>
      <w:r>
        <w:t>[CREWAI-DOCS]</w:t>
      </w:r>
    </w:p>
    <w:p>
      <w:pPr>
        <w:pStyle w:val="ListBullet"/>
        <w:spacing w:after="56"/>
      </w:pPr>
      <w:r>
        <w:t>[CREWAI-GITHUB]</w:t>
      </w:r>
    </w:p>
    <w:p>
      <w:pPr>
        <w:pStyle w:val="Heading3"/>
      </w:pPr>
      <w:r>
        <w:t>RCCS Mapping Summary</w:t>
      </w:r>
    </w:p>
    <w:p>
      <w:pPr>
        <w:keepNext/>
      </w:pPr>
      <w:r>
        <w:rPr>
          <w:b/>
          <w:sz w:val="16"/>
        </w:rPr>
        <w:t>Table T-12-16: CrewAI RCCS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Risk Management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risk management requires additional governance layer</w:t>
            </w:r>
          </w:p>
        </w:tc>
      </w:tr>
      <w:tr>
        <w:tc>
          <w:tcPr>
            <w:tcW w:type="dxa" w:w="2556"/>
          </w:tcPr>
          <w:p>
            <w:pPr>
              <w:spacing w:after="0"/>
            </w:pPr>
            <w:r>
              <w:rPr>
                <w:rFonts w:ascii="Arial" w:hAnsi="Arial"/>
                <w:b w:val="0"/>
                <w:sz w:val="14"/>
              </w:rPr>
              <w:t>Data Governance</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data governance requires additional governance layer</w:t>
            </w:r>
          </w:p>
        </w:tc>
      </w:tr>
      <w:tr>
        <w:tc>
          <w:tcPr>
            <w:tcW w:type="dxa" w:w="2556"/>
          </w:tcPr>
          <w:p>
            <w:pPr>
              <w:spacing w:after="0"/>
            </w:pPr>
            <w:r>
              <w:rPr>
                <w:rFonts w:ascii="Arial" w:hAnsi="Arial"/>
                <w:b w:val="0"/>
                <w:sz w:val="14"/>
              </w:rPr>
              <w:t>Documentation</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 and task definitions provide documentation primitives</w:t>
            </w:r>
          </w:p>
        </w:tc>
      </w:tr>
      <w:tr>
        <w:tc>
          <w:tcPr>
            <w:tcW w:type="dxa" w:w="2556"/>
          </w:tcPr>
          <w:p>
            <w:pPr>
              <w:spacing w:after="0"/>
            </w:pPr>
            <w:r>
              <w:rPr>
                <w:rFonts w:ascii="Arial" w:hAnsi="Arial"/>
                <w:b w:val="0"/>
                <w:sz w:val="14"/>
              </w:rPr>
              <w:t>Record-Keeping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audit-ready record-keeping requires additional layer</w:t>
            </w:r>
          </w:p>
        </w:tc>
      </w:tr>
      <w:tr>
        <w:tc>
          <w:tcPr>
            <w:tcW w:type="dxa" w:w="2556"/>
          </w:tcPr>
          <w:p>
            <w:pPr>
              <w:spacing w:after="0"/>
            </w:pPr>
            <w:r>
              <w:rPr>
                <w:rFonts w:ascii="Arial" w:hAnsi="Arial"/>
                <w:b w:val="0"/>
                <w:sz w:val="14"/>
              </w:rPr>
              <w:t>Transparency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Role-based orchestration provides some transparency; governance transparency requires additional layer</w:t>
            </w:r>
          </w:p>
        </w:tc>
      </w:tr>
      <w:tr>
        <w:tc>
          <w:tcPr>
            <w:tcW w:type="dxa" w:w="2556"/>
          </w:tcPr>
          <w:p>
            <w:pPr>
              <w:spacing w:after="0"/>
            </w:pPr>
            <w:r>
              <w:rPr>
                <w:rFonts w:ascii="Arial" w:hAnsi="Arial"/>
                <w:b w:val="0"/>
                <w:sz w:val="14"/>
              </w:rPr>
              <w:t>Human Oversight</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human oversight requires additional governance layer</w:t>
            </w:r>
          </w:p>
        </w:tc>
      </w:tr>
      <w:tr>
        <w:tc>
          <w:tcPr>
            <w:tcW w:type="dxa" w:w="2556"/>
          </w:tcPr>
          <w:p>
            <w:pPr>
              <w:spacing w:after="0"/>
            </w:pPr>
            <w:r>
              <w:rPr>
                <w:rFonts w:ascii="Arial" w:hAnsi="Arial"/>
                <w:b w:val="0"/>
                <w:sz w:val="14"/>
              </w:rPr>
              <w:t>Security</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Framework security depends on deployment environment</w:t>
            </w:r>
          </w:p>
        </w:tc>
      </w:tr>
      <w:tr>
        <w:tc>
          <w:tcPr>
            <w:tcW w:type="dxa" w:w="2556"/>
          </w:tcPr>
          <w:p>
            <w:pPr>
              <w:spacing w:after="0"/>
            </w:pPr>
            <w:r>
              <w:rPr>
                <w:rFonts w:ascii="Arial" w:hAnsi="Arial"/>
                <w:b w:val="0"/>
                <w:sz w:val="14"/>
              </w:rPr>
              <w:t>Accountability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roles exist; accountability requires additional governance layer</w:t>
            </w:r>
          </w:p>
        </w:tc>
      </w:tr>
      <w:tr>
        <w:tc>
          <w:tcPr>
            <w:tcW w:type="dxa" w:w="2556"/>
          </w:tcPr>
          <w:p>
            <w:pPr>
              <w:spacing w:after="0"/>
            </w:pPr>
            <w:r>
              <w:rPr>
                <w:rFonts w:ascii="Arial" w:hAnsi="Arial"/>
                <w:b w:val="0"/>
                <w:sz w:val="14"/>
              </w:rPr>
              <w:t>Contestability</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contestability requires additional governance layer</w:t>
            </w:r>
          </w:p>
        </w:tc>
      </w:tr>
      <w:tr>
        <w:tc>
          <w:tcPr>
            <w:tcW w:type="dxa" w:w="2556"/>
          </w:tcPr>
          <w:p>
            <w:pPr>
              <w:spacing w:after="0"/>
            </w:pPr>
            <w:r>
              <w:rPr>
                <w:rFonts w:ascii="Arial" w:hAnsi="Arial"/>
                <w:b w:val="0"/>
                <w:sz w:val="14"/>
              </w:rPr>
              <w:t>Monitoring</w:t>
            </w:r>
          </w:p>
        </w:tc>
        <w:tc>
          <w:tcPr>
            <w:tcW w:type="dxa" w:w="2556"/>
          </w:tcPr>
          <w:p>
            <w:pPr>
              <w:spacing w:after="0"/>
            </w:pPr>
            <w:r>
              <w:rPr>
                <w:rFonts w:ascii="Arial" w:hAnsi="Arial"/>
                <w:b w:val="0"/>
                <w:sz w:val="14"/>
              </w:rPr>
              <w:t>Weak to Moderate</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governance monitoring requires additional layer</w:t>
            </w:r>
          </w:p>
        </w:tc>
      </w:tr>
    </w:tbl>
    <w:p>
      <w:pPr>
        <w:pStyle w:val="Heading3"/>
      </w:pPr>
      <w:r>
        <w:t>ALCS Mapping Summary</w:t>
      </w:r>
    </w:p>
    <w:p>
      <w:pPr>
        <w:keepNext/>
      </w:pPr>
      <w:r>
        <w:rPr>
          <w:b/>
          <w:sz w:val="16"/>
        </w:rPr>
        <w:t>Table T-12-17: CrewAI ALCS Mapping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Area</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Evidence Basis</w:t>
            </w:r>
          </w:p>
        </w:tc>
        <w:tc>
          <w:tcPr>
            <w:tcW w:type="dxa" w:w="2556"/>
          </w:tcPr>
          <w:p>
            <w:pPr>
              <w:spacing w:after="0"/>
            </w:pPr>
            <w:r>
              <w:rPr>
                <w:rFonts w:ascii="Arial" w:hAnsi="Arial"/>
                <w:b/>
                <w:sz w:val="14"/>
              </w:rPr>
              <w:t>Notes</w:t>
            </w:r>
          </w:p>
        </w:tc>
      </w:tr>
      <w:tr>
        <w:tc>
          <w:tcPr>
            <w:tcW w:type="dxa" w:w="2556"/>
          </w:tcPr>
          <w:p>
            <w:pPr>
              <w:spacing w:after="0"/>
            </w:pPr>
            <w:r>
              <w:rPr>
                <w:rFonts w:ascii="Arial" w:hAnsi="Arial"/>
                <w:b w:val="0"/>
                <w:sz w:val="14"/>
              </w:rPr>
              <w:t>Role / Authority / Acceptance (ALCS-01 to ALCS-04)</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Agent role labels exist; human-role-to-MAS mapping, delegated authority boundary, agent role vs human role distinction, accepted outcome compliance require additional governance semantics; role labels ≠ accountability roles</w:t>
            </w:r>
          </w:p>
        </w:tc>
      </w:tr>
      <w:tr>
        <w:tc>
          <w:tcPr>
            <w:tcW w:type="dxa" w:w="2556"/>
          </w:tcPr>
          <w:p>
            <w:pPr>
              <w:spacing w:after="0"/>
            </w:pPr>
            <w:r>
              <w:rPr>
                <w:rFonts w:ascii="Arial" w:hAnsi="Arial"/>
                <w:b w:val="0"/>
                <w:sz w:val="14"/>
              </w:rPr>
              <w:t>Tool Action / Transfer / Drift / Evidence (ALCS-05 to ALCS-08)</w:t>
            </w:r>
          </w:p>
        </w:tc>
        <w:tc>
          <w:tcPr>
            <w:tcW w:type="dxa" w:w="2556"/>
          </w:tcPr>
          <w:p>
            <w:pPr>
              <w:spacing w:after="0"/>
            </w:pPr>
            <w:r>
              <w:rPr>
                <w:rFonts w:ascii="Arial" w:hAnsi="Arial"/>
                <w:b w:val="0"/>
                <w:sz w:val="14"/>
              </w:rPr>
              <w:t>Weak to Partial</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Task delegation exists; tool-action liability, responsibility transfer, authority drift detection, MAS evidence partitioning require additional governance semantics</w:t>
            </w:r>
          </w:p>
        </w:tc>
      </w:tr>
      <w:tr>
        <w:tc>
          <w:tcPr>
            <w:tcW w:type="dxa" w:w="2556"/>
          </w:tcPr>
          <w:p>
            <w:pPr>
              <w:spacing w:after="0"/>
            </w:pPr>
            <w:r>
              <w:rPr>
                <w:rFonts w:ascii="Arial" w:hAnsi="Arial"/>
                <w:b w:val="0"/>
                <w:sz w:val="14"/>
              </w:rPr>
              <w:t>Reuse / Privacy / Validation (ALCS-09 to ALCS-11)</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cross-project reuse compliance, privacy lifecycle mapping, privacy-preserving validation require additional governance layer</w:t>
            </w:r>
          </w:p>
        </w:tc>
      </w:tr>
      <w:tr>
        <w:tc>
          <w:tcPr>
            <w:tcW w:type="dxa" w:w="2556"/>
          </w:tcPr>
          <w:p>
            <w:pPr>
              <w:spacing w:after="0"/>
            </w:pPr>
            <w:r>
              <w:rPr>
                <w:rFonts w:ascii="Arial" w:hAnsi="Arial"/>
                <w:b w:val="0"/>
                <w:sz w:val="14"/>
              </w:rPr>
              <w:t>Evidence Minimization / Data Subject Rights / Processor Chain (ALCS-12 to ALCS-14)</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evidence minimization, data subject rights reconciliation, processor chain tracking require additional governance layer</w:t>
            </w:r>
          </w:p>
        </w:tc>
      </w:tr>
      <w:tr>
        <w:tc>
          <w:tcPr>
            <w:tcW w:type="dxa" w:w="2556"/>
          </w:tcPr>
          <w:p>
            <w:pPr>
              <w:spacing w:after="0"/>
            </w:pPr>
            <w:r>
              <w:rPr>
                <w:rFonts w:ascii="Arial" w:hAnsi="Arial"/>
                <w:b w:val="0"/>
                <w:sz w:val="14"/>
              </w:rPr>
              <w:t>Substitution Conformance (ALCS-15)</w:t>
            </w:r>
          </w:p>
        </w:tc>
        <w:tc>
          <w:tcPr>
            <w:tcW w:type="dxa" w:w="2556"/>
          </w:tcPr>
          <w:p>
            <w:pPr>
              <w:spacing w:after="0"/>
            </w:pPr>
            <w:r>
              <w:rPr>
                <w:rFonts w:ascii="Arial" w:hAnsi="Arial"/>
                <w:b w:val="0"/>
                <w:sz w:val="14"/>
              </w:rPr>
              <w:t>Weak</w:t>
            </w:r>
          </w:p>
        </w:tc>
        <w:tc>
          <w:tcPr>
            <w:tcW w:type="dxa" w:w="2556"/>
          </w:tcPr>
          <w:p>
            <w:pPr>
              <w:spacing w:after="0"/>
            </w:pPr>
            <w:r>
              <w:rPr>
                <w:rFonts w:ascii="Arial" w:hAnsi="Arial"/>
                <w:b w:val="0"/>
                <w:sz w:val="14"/>
              </w:rPr>
              <w:t>L2 + L5 reviewed</w:t>
            </w:r>
          </w:p>
        </w:tc>
        <w:tc>
          <w:tcPr>
            <w:tcW w:type="dxa" w:w="2556"/>
          </w:tcPr>
          <w:p>
            <w:pPr>
              <w:spacing w:after="0"/>
            </w:pPr>
            <w:r>
              <w:rPr>
                <w:rFonts w:ascii="Arial" w:hAnsi="Arial"/>
                <w:b w:val="0"/>
                <w:sz w:val="14"/>
              </w:rPr>
              <w:t>Orchestration framework; vendor/model/runtime substitution conformance requires additional governance layer</w:t>
            </w:r>
          </w:p>
        </w:tc>
      </w:tr>
    </w:tbl>
    <w:p>
      <w:pPr>
        <w:pStyle w:val="Heading3"/>
      </w:pPr>
      <w:r>
        <w:t>Main Lifecycle Gaps</w:t>
      </w:r>
    </w:p>
    <w:p>
      <w:pPr>
        <w:pStyle w:val="ListNumber"/>
        <w:spacing w:after="56"/>
      </w:pPr>
      <w:r>
        <w:t>Agent Role vs Human Role Distinction: Whether CrewAI agent role labels map to human accountability roles requires validation.</w:t>
      </w:r>
    </w:p>
    <w:p>
      <w:pPr>
        <w:pStyle w:val="ListNumber"/>
        <w:spacing w:after="56"/>
      </w:pPr>
      <w:r>
        <w:t>Human-Role-to-MAS Responsibility Mapping: Whether CrewAI role-based orchestration maps to human-role-to-MAS responsibility semantics requires validation.</w:t>
      </w:r>
    </w:p>
    <w:p>
      <w:pPr>
        <w:pStyle w:val="ListNumber"/>
        <w:spacing w:after="56"/>
      </w:pPr>
      <w:r>
        <w:t>Delegated Authority Boundary: Whether CrewAI defines and enforces authority boundaries for agent actions requires validation.</w:t>
      </w:r>
    </w:p>
    <w:p>
      <w:pPr>
        <w:pStyle w:val="ListNumber"/>
        <w:spacing w:after="56"/>
      </w:pPr>
      <w:r>
        <w:t>Accepted Outcome Compliance: Whether CrewAI separates execution completion from outcome acceptance requires validation.</w:t>
      </w:r>
    </w:p>
    <w:p>
      <w:pPr>
        <w:pStyle w:val="ListNumber"/>
        <w:spacing w:after="56"/>
      </w:pPr>
      <w:r>
        <w:t>Evidence Partitioning: Whether CrewAI partitions evidence by agent, tool, authority, and privacy boundaries requires validation.</w:t>
      </w:r>
    </w:p>
    <w:p>
      <w:pPr>
        <w:pStyle w:val="ListNumber"/>
        <w:spacing w:after="56"/>
      </w:pPr>
      <w:r>
        <w:t>Responsibility Transfer Across Agents: Whether CrewAI tracks responsibility transfer during agent handoffs requires validation.</w:t>
      </w:r>
    </w:p>
    <w:p>
      <w:pPr>
        <w:pStyle w:val="Heading3"/>
      </w:pPr>
      <w:r>
        <w:t>Boundary Note</w:t>
      </w:r>
    </w:p>
    <w:p>
      <w:pPr>
        <w:spacing w:after="56"/>
      </w:pPr>
      <w:r>
        <w:t>This section maps public evidence to RCCS/ALCS dimensions. It is not a legal compliance judgment, procurement recommendation, certification, or endorsement. CrewAI is evaluated for governance primitives and lifecycle responsibility objects based on public documentation. Agent role labels and task orchestration do not automatically provide governance responsibility semantics.</w:t>
      </w:r>
    </w:p>
    <w:p>
      <w:pPr>
        <w:pStyle w:val="Heading2"/>
      </w:pPr>
      <w:r>
        <w:t>12.11 Chapter 12 Synthesis</w:t>
      </w:r>
    </w:p>
    <w:p>
      <w:pPr>
        <w:spacing w:after="56"/>
      </w:pPr>
      <w:r>
        <w:t>This chapter evaluated eight systems against RCCS and ALCS dimensions using public evidence. The purpose was not to rank systems as best or worst, but to make visible which systems provide which capabilities, where evidence is strong, where evidence is weak, and where lifecycle gaps remain.</w:t>
      </w:r>
    </w:p>
    <w:p>
      <w:pPr>
        <w:pStyle w:val="Heading3"/>
      </w:pPr>
      <w:r>
        <w:t>Synthesis Themes</w:t>
      </w:r>
    </w:p>
    <w:p>
      <w:pPr>
        <w:spacing w:after="56"/>
      </w:pPr>
      <w:r>
        <w:t>1. Enterprise AI governance platforms tend to show stronger RCCS posture.</w:t>
      </w:r>
    </w:p>
    <w:p>
      <w:pPr>
        <w:spacing w:after="56"/>
      </w:pPr>
      <w:r>
        <w:t>Systems like IBM watsonx.governance are designed for policy enforcement, model risk management, regulatory compliance coverage, and AI lifecycle management. They provide enterprise-grade governance capabilities for risk management, data governance, documentation, record-keeping, transparency, human oversight, security, accountability, and monitoring. This makes them relevant for organizations that require regulatory compliance coverage across the AI lifecycle.</w:t>
      </w:r>
    </w:p>
    <w:p>
      <w:pPr>
        <w:spacing w:after="56"/>
      </w:pPr>
      <w:r>
        <w:t>2. Cloud AI platforms tend to show moderate-to-strong RCCS posture and partial-to-moderate ALCS posture depending on agent lifecycle object exposure.</w:t>
      </w:r>
    </w:p>
    <w:p>
      <w:pPr>
        <w:spacing w:after="56"/>
      </w:pPr>
      <w:r>
        <w:t>Systems like Microsoft Azure AI Foundry, AWS Bedrock / Guardrails / AgentCore, and Google Vertex AI / ADK / Model Armor provide cloud platform capabilities for model management, responsible AI tooling, content safety, tracing, evaluation, and enterprise integration. They show moderate-to-strong RCCS posture for cloud AI management, model governance, safety, evaluation, and monitoring. ALCS posture is partial-to-moderate and depends on whether the platform exposes lifecycle responsibility objects for authority boundaries, accepted outcomes, MAS evidence partitioning, and responsibility transfer.</w:t>
      </w:r>
    </w:p>
    <w:p>
      <w:pPr>
        <w:spacing w:after="56"/>
      </w:pPr>
      <w:r>
        <w:t>3. Agent orchestration frameworks tend to show useful execution and observability primitives but require additional lifecycle governance semantics.</w:t>
      </w:r>
    </w:p>
    <w:p>
      <w:pPr>
        <w:spacing w:after="56"/>
      </w:pPr>
      <w:r>
        <w:t>Systems like LangGraph / LangSmith provide workflow graphs, state management, checkpoints, traces, and observability features. These primitives are useful for agent orchestration and debugging. However, orchestration and observability do not automatically provide lifecycle responsibility semantics. Human-role-to-MAS mapping, delegated authority boundary, accepted outcome compliance, tool-action liability, responsibility transfer, and MAS evidence partitioning require additional governance semantics beyond orchestration and observability.</w:t>
      </w:r>
    </w:p>
    <w:p>
      <w:pPr>
        <w:spacing w:after="56"/>
      </w:pPr>
      <w:r>
        <w:t>4. Developer agent SDKs tend to show useful execution primitives but require additional enterprise governance layer.</w:t>
      </w:r>
    </w:p>
    <w:p>
      <w:pPr>
        <w:spacing w:after="56"/>
      </w:pPr>
      <w:r>
        <w:t>Systems like OpenAI Agents SDK and CrewAI provide developer-friendly execution primitives for agent workflows, tool use, and multi-agent collaboration. These primitives are useful for building agentic applications. However, execution framework features and role-based orchestration do not automatically provide enterprise governance, audit readiness, accepted outcome, or lifecycle responsibility semantics. Developer primitives are not identical to enterprise lifecycle governance objects.</w:t>
      </w:r>
    </w:p>
    <w:p>
      <w:pPr>
        <w:spacing w:after="56"/>
      </w:pPr>
      <w:r>
        <w:t>5. Lifecycle protocol paths tend to show stronger ALCS semantics but require implementation, adoption, and enterprise integration validation.</w:t>
      </w:r>
    </w:p>
    <w:p>
      <w:pPr>
        <w:spacing w:after="56"/>
      </w:pPr>
      <w:r>
        <w:t>Systems like MPLP are designed to expose lifecycle responsibility objects as first-class protocol primitives. They provide protocol-level semantics for human-role-to-MAS mapping, delegated authority boundaries, accepted outcome compliance, responsibility transfer, evidence partitioning, privacy lifecycle mapping, and vendor substitution conformance. This makes them relevant for systems that require provable lifecycle responsibility compliance across agents, tools, vendors, and organizational boundaries. However, MPLP implementation maturity, enterprise integration, vendor adoption, operational deployment evidence, and regulator familiarity require validation.</w:t>
      </w:r>
    </w:p>
    <w:p>
      <w:pPr>
        <w:spacing w:after="56"/>
      </w:pPr>
      <w:r>
        <w:t>6. The field gap is not lack of AI tools. The field gap is lack of explicit lifecycle responsibility objects.</w:t>
      </w:r>
    </w:p>
    <w:p>
      <w:pPr>
        <w:spacing w:after="56"/>
      </w:pPr>
      <w:r>
        <w:t>The eight systems evaluated in this chapter represent a wide range of capabilities: enterprise AI governance platforms, cloud AI platforms, agent orchestration frameworks, developer agent SDKs, and lifecycle protocol paths. All eight systems provide useful capabilities for building, deploying, and managing agentic AI systems. The field gap is not lack of AI tools. The field gap is lack of explicit lifecycle responsibility objects that map regulatory obligations to engineering primitives.</w:t>
      </w:r>
    </w:p>
    <w:p>
      <w:pPr>
        <w:spacing w:after="56"/>
      </w:pPr>
      <w:r>
        <w:t>Model governance and AI governance are not identical to agentic lifecycle governance. Responsible AI tooling and cloud platform features are not identical to lifecycle responsibility objects. Orchestration and observability are not identical to lifecycle responsibility semantics. Execution framework features and role-based orchestration are not identical to enterprise lifecycle governance objects.</w:t>
      </w:r>
    </w:p>
    <w:p>
      <w:pPr>
        <w:spacing w:after="56"/>
      </w:pPr>
      <w:r>
        <w:t>The comparison validates the core thesis: agentic compliance is lifecycle responsibility compliance, not only model compliance.</w:t>
      </w:r>
    </w:p>
    <w:p>
      <w:pPr>
        <w:pStyle w:val="Heading3"/>
      </w:pPr>
      <w:r>
        <w:t>Synthesis Matrix</w:t>
      </w:r>
    </w:p>
    <w:p>
      <w:pPr>
        <w:spacing w:after="56"/>
      </w:pPr>
      <w:r>
        <w:t>The following table synthesizes the eight system mappings by system category.</w:t>
      </w:r>
    </w:p>
    <w:p>
      <w:pPr>
        <w:keepNext/>
      </w:pPr>
      <w:r>
        <w:rPr>
          <w:b/>
          <w:sz w:val="16"/>
        </w:rPr>
        <w:t>Table T-12-18: Chapter 12 Synthesis Matrix</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System Category</w:t>
            </w:r>
          </w:p>
        </w:tc>
        <w:tc>
          <w:tcPr>
            <w:tcW w:type="dxa" w:w="2556"/>
          </w:tcPr>
          <w:p>
            <w:pPr>
              <w:spacing w:after="0"/>
            </w:pPr>
            <w:r>
              <w:rPr>
                <w:rFonts w:ascii="Arial" w:hAnsi="Arial"/>
                <w:b/>
                <w:sz w:val="14"/>
              </w:rPr>
              <w:t>Typical Strength</w:t>
            </w:r>
          </w:p>
        </w:tc>
        <w:tc>
          <w:tcPr>
            <w:tcW w:type="dxa" w:w="2556"/>
          </w:tcPr>
          <w:p>
            <w:pPr>
              <w:spacing w:after="0"/>
            </w:pPr>
            <w:r>
              <w:rPr>
                <w:rFonts w:ascii="Arial" w:hAnsi="Arial"/>
                <w:b/>
                <w:sz w:val="14"/>
              </w:rPr>
              <w:t>Typical Lifecycle Gap</w:t>
            </w:r>
          </w:p>
        </w:tc>
        <w:tc>
          <w:tcPr>
            <w:tcW w:type="dxa" w:w="2556"/>
          </w:tcPr>
          <w:p>
            <w:pPr>
              <w:spacing w:after="0"/>
            </w:pPr>
            <w:r>
              <w:rPr>
                <w:rFonts w:ascii="Arial" w:hAnsi="Arial"/>
                <w:b/>
                <w:sz w:val="14"/>
              </w:rPr>
              <w:t>Interpretation</w:t>
            </w:r>
          </w:p>
        </w:tc>
      </w:tr>
      <w:tr>
        <w:tc>
          <w:tcPr>
            <w:tcW w:type="dxa" w:w="2556"/>
          </w:tcPr>
          <w:p>
            <w:pPr>
              <w:spacing w:after="0"/>
            </w:pPr>
            <w:r>
              <w:rPr>
                <w:rFonts w:ascii="Arial" w:hAnsi="Arial"/>
                <w:b w:val="0"/>
                <w:sz w:val="14"/>
              </w:rPr>
              <w:t>Lifecycle protocol path (MPLP)</w:t>
            </w:r>
          </w:p>
        </w:tc>
        <w:tc>
          <w:tcPr>
            <w:tcW w:type="dxa" w:w="2556"/>
          </w:tcPr>
          <w:p>
            <w:pPr>
              <w:spacing w:after="0"/>
            </w:pPr>
            <w:r>
              <w:rPr>
                <w:rFonts w:ascii="Arial" w:hAnsi="Arial"/>
                <w:b w:val="0"/>
                <w:sz w:val="14"/>
              </w:rPr>
              <w:t>Protocol-level lifecycle responsibility semantics; strong ALCS posture for authority boundaries, accepted outcomes, responsibility transfer, evidence partitioning, substitution conformance</w:t>
            </w:r>
          </w:p>
        </w:tc>
        <w:tc>
          <w:tcPr>
            <w:tcW w:type="dxa" w:w="2556"/>
          </w:tcPr>
          <w:p>
            <w:pPr>
              <w:spacing w:after="0"/>
            </w:pPr>
            <w:r>
              <w:rPr>
                <w:rFonts w:ascii="Arial" w:hAnsi="Arial"/>
                <w:b w:val="0"/>
                <w:sz w:val="14"/>
              </w:rPr>
              <w:t>Implementation maturity, enterprise integration, vendor adoption, operational deployment evidence, regulator familiarity</w:t>
            </w:r>
          </w:p>
        </w:tc>
        <w:tc>
          <w:tcPr>
            <w:tcW w:type="dxa" w:w="2556"/>
          </w:tcPr>
          <w:p>
            <w:pPr>
              <w:spacing w:after="0"/>
            </w:pPr>
            <w:r>
              <w:rPr>
                <w:rFonts w:ascii="Arial" w:hAnsi="Arial"/>
                <w:b w:val="0"/>
                <w:sz w:val="14"/>
              </w:rPr>
              <w:t>Designed for lifecycle responsibility compliance; requires validation of implementation, adoption, and enterprise integration</w:t>
            </w:r>
          </w:p>
        </w:tc>
      </w:tr>
      <w:tr>
        <w:tc>
          <w:tcPr>
            <w:tcW w:type="dxa" w:w="2556"/>
          </w:tcPr>
          <w:p>
            <w:pPr>
              <w:spacing w:after="0"/>
            </w:pPr>
            <w:r>
              <w:rPr>
                <w:rFonts w:ascii="Arial" w:hAnsi="Arial"/>
                <w:b w:val="0"/>
                <w:sz w:val="14"/>
              </w:rPr>
              <w:t>Enterprise AI governance platform (IBM watsonx.governance)</w:t>
            </w:r>
          </w:p>
        </w:tc>
        <w:tc>
          <w:tcPr>
            <w:tcW w:type="dxa" w:w="2556"/>
          </w:tcPr>
          <w:p>
            <w:pPr>
              <w:spacing w:after="0"/>
            </w:pPr>
            <w:r>
              <w:rPr>
                <w:rFonts w:ascii="Arial" w:hAnsi="Arial"/>
                <w:b w:val="0"/>
                <w:sz w:val="14"/>
              </w:rPr>
              <w:t>Strong RCCS posture for risk management, data governance, documentation, record-keeping, transparency, human oversight, security, accountability, monitoring</w:t>
            </w:r>
          </w:p>
        </w:tc>
        <w:tc>
          <w:tcPr>
            <w:tcW w:type="dxa" w:w="2556"/>
          </w:tcPr>
          <w:p>
            <w:pPr>
              <w:spacing w:after="0"/>
            </w:pPr>
            <w:r>
              <w:rPr>
                <w:rFonts w:ascii="Arial" w:hAnsi="Arial"/>
                <w:b w:val="0"/>
                <w:sz w:val="14"/>
              </w:rPr>
              <w:t>Multi-agent responsibility transfer, accepted outcome governance, tool-action liability boundary, MAS evidence partitioning, cross-project reuse controls</w:t>
            </w:r>
          </w:p>
        </w:tc>
        <w:tc>
          <w:tcPr>
            <w:tcW w:type="dxa" w:w="2556"/>
          </w:tcPr>
          <w:p>
            <w:pPr>
              <w:spacing w:after="0"/>
            </w:pPr>
            <w:r>
              <w:rPr>
                <w:rFonts w:ascii="Arial" w:hAnsi="Arial"/>
                <w:b w:val="0"/>
                <w:sz w:val="14"/>
              </w:rPr>
              <w:t>Designed for enterprise AI governance; agentic lifecycle objects require validation</w:t>
            </w:r>
          </w:p>
        </w:tc>
      </w:tr>
      <w:tr>
        <w:tc>
          <w:tcPr>
            <w:tcW w:type="dxa" w:w="2556"/>
          </w:tcPr>
          <w:p>
            <w:pPr>
              <w:spacing w:after="0"/>
            </w:pPr>
            <w:r>
              <w:rPr>
                <w:rFonts w:ascii="Arial" w:hAnsi="Arial"/>
                <w:b w:val="0"/>
                <w:sz w:val="14"/>
              </w:rPr>
              <w:t>Cloud AI platform (Microsoft Azure AI Foundry, AWS Bedrock / Guardrails / AgentCore, Google Vertex AI / ADK / Model Armor)</w:t>
            </w:r>
          </w:p>
        </w:tc>
        <w:tc>
          <w:tcPr>
            <w:tcW w:type="dxa" w:w="2556"/>
          </w:tcPr>
          <w:p>
            <w:pPr>
              <w:spacing w:after="0"/>
            </w:pPr>
            <w:r>
              <w:rPr>
                <w:rFonts w:ascii="Arial" w:hAnsi="Arial"/>
                <w:b w:val="0"/>
                <w:sz w:val="14"/>
              </w:rPr>
              <w:t>Moderate-to-strong RCCS posture for cloud AI management, model governance, safety, evaluation, monitoring; moderate ALCS adjacency depending on agent lifecycle object exposure</w:t>
            </w:r>
          </w:p>
        </w:tc>
        <w:tc>
          <w:tcPr>
            <w:tcW w:type="dxa" w:w="2556"/>
          </w:tcPr>
          <w:p>
            <w:pPr>
              <w:spacing w:after="0"/>
            </w:pPr>
            <w:r>
              <w:rPr>
                <w:rFonts w:ascii="Arial" w:hAnsi="Arial"/>
                <w:b w:val="0"/>
                <w:sz w:val="14"/>
              </w:rPr>
              <w:t>Accepted outcome compliance, delegated authority boundary, cross-agent responsibility transfer, evidence partitioning, vendor/model/runtime substitution conformance</w:t>
            </w:r>
          </w:p>
        </w:tc>
        <w:tc>
          <w:tcPr>
            <w:tcW w:type="dxa" w:w="2556"/>
          </w:tcPr>
          <w:p>
            <w:pPr>
              <w:spacing w:after="0"/>
            </w:pPr>
            <w:r>
              <w:rPr>
                <w:rFonts w:ascii="Arial" w:hAnsi="Arial"/>
                <w:b w:val="0"/>
                <w:sz w:val="14"/>
              </w:rPr>
              <w:t>Designed for cloud AI platform capabilities; lifecycle responsibility objects require validation; responsible AI tooling ≠ lifecycle responsibility objects</w:t>
            </w:r>
          </w:p>
        </w:tc>
      </w:tr>
      <w:tr>
        <w:tc>
          <w:tcPr>
            <w:tcW w:type="dxa" w:w="2556"/>
          </w:tcPr>
          <w:p>
            <w:pPr>
              <w:spacing w:after="0"/>
            </w:pPr>
            <w:r>
              <w:rPr>
                <w:rFonts w:ascii="Arial" w:hAnsi="Arial"/>
                <w:b w:val="0"/>
                <w:sz w:val="14"/>
              </w:rPr>
              <w:t>Agent orchestration / observability framework (LangGraph / LangSmith)</w:t>
            </w:r>
          </w:p>
        </w:tc>
        <w:tc>
          <w:tcPr>
            <w:tcW w:type="dxa" w:w="2556"/>
          </w:tcPr>
          <w:p>
            <w:pPr>
              <w:spacing w:after="0"/>
            </w:pPr>
            <w:r>
              <w:rPr>
                <w:rFonts w:ascii="Arial" w:hAnsi="Arial"/>
                <w:b w:val="0"/>
                <w:sz w:val="14"/>
              </w:rPr>
              <w:t>Moderate RCCS posture for documentation, record-keeping, transparency, monitoring; moderate ALCS adjacency through graphs, state, checkpoints, traces, observability</w:t>
            </w:r>
          </w:p>
        </w:tc>
        <w:tc>
          <w:tcPr>
            <w:tcW w:type="dxa" w:w="2556"/>
          </w:tcPr>
          <w:p>
            <w:pPr>
              <w:spacing w:after="0"/>
            </w:pPr>
            <w:r>
              <w:rPr>
                <w:rFonts w:ascii="Arial" w:hAnsi="Arial"/>
                <w:b w:val="0"/>
                <w:sz w:val="14"/>
              </w:rPr>
              <w:t>Human-role-to-MAS responsibility mapping, delegated authority boundary, accepted outcome compliance, tool-action liability, responsibility transfer, MAS evidence partitioning</w:t>
            </w:r>
          </w:p>
        </w:tc>
        <w:tc>
          <w:tcPr>
            <w:tcW w:type="dxa" w:w="2556"/>
          </w:tcPr>
          <w:p>
            <w:pPr>
              <w:spacing w:after="0"/>
            </w:pPr>
            <w:r>
              <w:rPr>
                <w:rFonts w:ascii="Arial" w:hAnsi="Arial"/>
                <w:b w:val="0"/>
                <w:sz w:val="14"/>
              </w:rPr>
              <w:t>Designed for agent orchestration and observability; lifecycle responsibility semantics require additional governance layer; orchestration ≠ governance</w:t>
            </w:r>
          </w:p>
        </w:tc>
      </w:tr>
      <w:tr>
        <w:tc>
          <w:tcPr>
            <w:tcW w:type="dxa" w:w="2556"/>
          </w:tcPr>
          <w:p>
            <w:pPr>
              <w:spacing w:after="0"/>
            </w:pPr>
            <w:r>
              <w:rPr>
                <w:rFonts w:ascii="Arial" w:hAnsi="Arial"/>
                <w:b w:val="0"/>
                <w:sz w:val="14"/>
              </w:rPr>
              <w:t>Developer agent SDK (OpenAI Agents SDK)</w:t>
            </w:r>
          </w:p>
        </w:tc>
        <w:tc>
          <w:tcPr>
            <w:tcW w:type="dxa" w:w="2556"/>
          </w:tcPr>
          <w:p>
            <w:pPr>
              <w:spacing w:after="0"/>
            </w:pPr>
            <w:r>
              <w:rPr>
                <w:rFonts w:ascii="Arial" w:hAnsi="Arial"/>
                <w:b w:val="0"/>
                <w:sz w:val="14"/>
              </w:rPr>
              <w:t>Strong for model access, tool use, agent execution patterns; weak-to-moderate RCCS posture; weak-to-partial ALCS posture</w:t>
            </w:r>
          </w:p>
        </w:tc>
        <w:tc>
          <w:tcPr>
            <w:tcW w:type="dxa" w:w="2556"/>
          </w:tcPr>
          <w:p>
            <w:pPr>
              <w:spacing w:after="0"/>
            </w:pPr>
            <w:r>
              <w:rPr>
                <w:rFonts w:ascii="Arial" w:hAnsi="Arial"/>
                <w:b w:val="0"/>
                <w:sz w:val="14"/>
              </w:rPr>
              <w:t>Delegated authority boundary, accepted outcome compliance, tool-action liability, MAS evidence partitioning, human accountability mapping, dispute/remediation closure</w:t>
            </w:r>
          </w:p>
        </w:tc>
        <w:tc>
          <w:tcPr>
            <w:tcW w:type="dxa" w:w="2556"/>
          </w:tcPr>
          <w:p>
            <w:pPr>
              <w:spacing w:after="0"/>
            </w:pPr>
            <w:r>
              <w:rPr>
                <w:rFonts w:ascii="Arial" w:hAnsi="Arial"/>
                <w:b w:val="0"/>
                <w:sz w:val="14"/>
              </w:rPr>
              <w:t>Designed for developer execution primitives; enterprise governance and lifecycle responsibility semantics require additional layer; execution framework ≠ governance layer</w:t>
            </w:r>
          </w:p>
        </w:tc>
      </w:tr>
      <w:tr>
        <w:tc>
          <w:tcPr>
            <w:tcW w:type="dxa" w:w="2556"/>
          </w:tcPr>
          <w:p>
            <w:pPr>
              <w:spacing w:after="0"/>
            </w:pPr>
            <w:r>
              <w:rPr>
                <w:rFonts w:ascii="Arial" w:hAnsi="Arial"/>
                <w:b w:val="0"/>
                <w:sz w:val="14"/>
              </w:rPr>
              <w:t>Multi-agent collaboration framework (CrewAI)</w:t>
            </w:r>
          </w:p>
        </w:tc>
        <w:tc>
          <w:tcPr>
            <w:tcW w:type="dxa" w:w="2556"/>
          </w:tcPr>
          <w:p>
            <w:pPr>
              <w:spacing w:after="0"/>
            </w:pPr>
            <w:r>
              <w:rPr>
                <w:rFonts w:ascii="Arial" w:hAnsi="Arial"/>
                <w:b w:val="0"/>
                <w:sz w:val="14"/>
              </w:rPr>
              <w:t>Strong for role-based agent composition and task orchestration; weak-to-moderate RCCS posture; weak-to-partial ALCS posture</w:t>
            </w:r>
          </w:p>
        </w:tc>
        <w:tc>
          <w:tcPr>
            <w:tcW w:type="dxa" w:w="2556"/>
          </w:tcPr>
          <w:p>
            <w:pPr>
              <w:spacing w:after="0"/>
            </w:pPr>
            <w:r>
              <w:rPr>
                <w:rFonts w:ascii="Arial" w:hAnsi="Arial"/>
                <w:b w:val="0"/>
                <w:sz w:val="14"/>
              </w:rPr>
              <w:t>Agent role vs human role distinction, human-role-to-MAS responsibility mapping, delegated authority boundary, accepted outcome compliance, evidence partitioning, responsibility transfer</w:t>
            </w:r>
          </w:p>
        </w:tc>
        <w:tc>
          <w:tcPr>
            <w:tcW w:type="dxa" w:w="2556"/>
          </w:tcPr>
          <w:p>
            <w:pPr>
              <w:spacing w:after="0"/>
            </w:pPr>
            <w:r>
              <w:rPr>
                <w:rFonts w:ascii="Arial" w:hAnsi="Arial"/>
                <w:b w:val="0"/>
                <w:sz w:val="14"/>
              </w:rPr>
              <w:t>Designed for multi-agent collaboration; lifecycle responsibility semantics require additional governance layer; role labels ≠ accountability roles</w:t>
            </w:r>
          </w:p>
        </w:tc>
      </w:tr>
    </w:tbl>
    <w:p>
      <w:pPr>
        <w:pStyle w:val="Heading3"/>
      </w:pPr>
      <w:r>
        <w:t>Boundary Restatement</w:t>
      </w:r>
    </w:p>
    <w:p>
      <w:pPr>
        <w:spacing w:after="56"/>
      </w:pPr>
      <w:r>
        <w:t>This synthesis is not a product ranking. It is not a legal compliance judgment. It is not a procurement recommendation. It is not an endorsement or criticism of any vendor. It is a responsibility-semantics mapping based on public evidence and author inference where explicitly disclosed.</w:t>
      </w:r>
    </w:p>
    <w:p>
      <w:pPr>
        <w:spacing w:after="56"/>
      </w:pPr>
      <w:r>
        <w:t>No system is described as non-compliant. MPLP is not described as required for compliance. MPLP is not described as the only correct path. MPLP is not described as certification or legal authority. Validation Lab is not described as certification or legal authority.</w:t>
      </w:r>
    </w:p>
    <w:p>
      <w:pPr>
        <w:spacing w:after="56"/>
      </w:pPr>
      <w:r>
        <w:t>The synthesis validates the core thesis: agentic compliance is lifecycle responsibility compliance, not only model compliance. The field gap is not lack of AI tools. The field gap is lack of explicit lifecycle responsibility objects.</w:t>
      </w:r>
    </w:p>
    <w:p>
      <w:pPr>
        <w:pStyle w:val="Heading1"/>
      </w:pPr>
      <w:r>
        <w:t>13. MPLP Deep Mapping, Boundary, and Non-Claim Discipline</w:t>
      </w:r>
    </w:p>
    <w:p>
      <w:pPr>
        <w:spacing w:after="56"/>
      </w:pPr>
      <w:r>
        <w:t>Version: v0.3.2-FRC-R3</w:t>
      </w:r>
    </w:p>
    <w:p>
      <w:pPr>
        <w:pStyle w:val="Heading2"/>
      </w:pPr>
      <w:r>
        <w:t>13.0 Why MPLP Requires Separate Boundary Treatment</w:t>
      </w:r>
    </w:p>
    <w:p>
      <w:pPr>
        <w:spacing w:after="56"/>
      </w:pPr>
      <w:r>
        <w:t>MPLP (Multi-Agent Lifecycle Protocol) appears in this white paper because it is a protocol-level lifecycle governance approach. The author's relationship to MPLP creates an explicit conflict of interest already disclosed in the front matter. A separate deep mapping chapter is necessary to prevent hidden promotion. Deep mapping must be paired with non-claim discipline. The paper evaluates MPLP as one protocol path, not as the only path.</w:t>
      </w:r>
    </w:p>
    <w:p>
      <w:pPr>
        <w:spacing w:after="56"/>
      </w:pPr>
      <w:r>
        <w:t>Because MPLP is created by the author of this white paper, the mapping must be more explicit, not less explicit. The correct response to conflict of interest is not silence; it is transparent boundary discipline.</w:t>
      </w:r>
    </w:p>
    <w:p>
      <w:pPr>
        <w:spacing w:after="56"/>
      </w:pPr>
      <w:r>
        <w:t>This chapter maps MPLP's protocol semantics to the Missing Regulatory Objects, RCCS dimensions, and ALCS dimensions. Official MPLP documentation was located during claim-level source review, but protocol-to-MRO/ALCS mapping remains an evidence-qualified analytical interpretation unless the protocol text directly defines the relevant lifecycle object. MPLP mapping remains protocol-level semantic fit, not implementation conformance. The chapter distinguishes protocol-level fit from implementation evidence, deployment maturity, enterprise adoption, auditor acceptance, insurer acceptance, and regulatory recognition. The chapter closes with explicit non-claim discipline to prevent overclaim.</w:t>
      </w:r>
    </w:p>
    <w:p>
      <w:pPr>
        <w:pStyle w:val="Heading2"/>
      </w:pPr>
      <w:r>
        <w:t>13.1 What MPLP Is and Is Not</w:t>
      </w:r>
    </w:p>
    <w:p>
      <w:pPr>
        <w:spacing w:after="56"/>
      </w:pPr>
      <w:r>
        <w:t>MPLP is a lifecycle protocol path for expressing agentic responsibility objects. It is not a certification program, regulator, legal authority, cloud platform, procurement recommendation, or exclusive compliance method.</w:t>
      </w:r>
    </w:p>
    <w:p>
      <w:pPr>
        <w:keepNext/>
      </w:pPr>
      <w:r>
        <w:rPr>
          <w:b/>
          <w:sz w:val="16"/>
        </w:rPr>
        <w:t>Table T-13-01: MPLP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Protocol identity</w:t>
            </w:r>
          </w:p>
        </w:tc>
        <w:tc>
          <w:tcPr>
            <w:tcW w:type="dxa" w:w="3408"/>
          </w:tcPr>
          <w:p>
            <w:pPr>
              <w:spacing w:after="0"/>
            </w:pPr>
            <w:r>
              <w:rPr>
                <w:rFonts w:ascii="Arial" w:hAnsi="Arial"/>
                <w:b w:val="0"/>
                <w:sz w:val="14"/>
              </w:rPr>
              <w:t>MPLP is a lifecycle protocol path for expressing agentic responsibility objects</w:t>
            </w:r>
          </w:p>
        </w:tc>
        <w:tc>
          <w:tcPr>
            <w:tcW w:type="dxa" w:w="3408"/>
          </w:tcPr>
          <w:p>
            <w:pPr>
              <w:spacing w:after="0"/>
            </w:pPr>
            <w:r>
              <w:rPr>
                <w:rFonts w:ascii="Arial" w:hAnsi="Arial"/>
                <w:b w:val="0"/>
                <w:sz w:val="14"/>
              </w:rPr>
              <w:t>MPLP is the official standard; MPLP is required for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MPLP may map strongly to ALCS because ALCS measures lifecycle responsibility objects</w:t>
            </w:r>
          </w:p>
        </w:tc>
        <w:tc>
          <w:tcPr>
            <w:tcW w:type="dxa" w:w="3408"/>
          </w:tcPr>
          <w:p>
            <w:pPr>
              <w:spacing w:after="0"/>
            </w:pPr>
            <w:r>
              <w:rPr>
                <w:rFonts w:ascii="Arial" w:hAnsi="Arial"/>
                <w:b w:val="0"/>
                <w:sz w:val="14"/>
              </w:rPr>
              <w:t>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w:t>
            </w:r>
          </w:p>
        </w:tc>
      </w:tr>
      <w:tr>
        <w:tc>
          <w:tcPr>
            <w:tcW w:type="dxa" w:w="3408"/>
          </w:tcPr>
          <w:p>
            <w:pPr>
              <w:spacing w:after="0"/>
            </w:pPr>
            <w:r>
              <w:rPr>
                <w:rFonts w:ascii="Arial" w:hAnsi="Arial"/>
                <w:b w:val="0"/>
                <w:sz w:val="14"/>
              </w:rPr>
              <w:t>Vendor status</w:t>
            </w:r>
          </w:p>
        </w:tc>
        <w:tc>
          <w:tcPr>
            <w:tcW w:type="dxa" w:w="3408"/>
          </w:tcPr>
          <w:p>
            <w:pPr>
              <w:spacing w:after="0"/>
            </w:pPr>
            <w:r>
              <w:rPr>
                <w:rFonts w:ascii="Arial" w:hAnsi="Arial"/>
                <w:b w:val="0"/>
                <w:sz w:val="14"/>
              </w:rPr>
              <w:t>MPLP is a protocol specification</w:t>
            </w:r>
          </w:p>
        </w:tc>
        <w:tc>
          <w:tcPr>
            <w:tcW w:type="dxa" w:w="3408"/>
          </w:tcPr>
          <w:p>
            <w:pPr>
              <w:spacing w:after="0"/>
            </w:pPr>
            <w:r>
              <w:rPr>
                <w:rFonts w:ascii="Arial" w:hAnsi="Arial"/>
                <w:b w:val="0"/>
                <w:sz w:val="14"/>
              </w:rPr>
              <w:t>MPLP is a cloud platform; MPLP is a vendor product</w:t>
            </w:r>
          </w:p>
        </w:tc>
      </w:tr>
      <w:tr>
        <w:tc>
          <w:tcPr>
            <w:tcW w:type="dxa" w:w="3408"/>
          </w:tcPr>
          <w:p>
            <w:pPr>
              <w:spacing w:after="0"/>
            </w:pPr>
            <w:r>
              <w:rPr>
                <w:rFonts w:ascii="Arial" w:hAnsi="Arial"/>
                <w:b w:val="0"/>
                <w:sz w:val="14"/>
              </w:rPr>
              <w:t>Implementation maturity</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is production-ready; MPLP proves deployment maturity</w:t>
            </w:r>
          </w:p>
        </w:tc>
      </w:tr>
      <w:tr>
        <w:tc>
          <w:tcPr>
            <w:tcW w:type="dxa" w:w="3408"/>
          </w:tcPr>
          <w:p>
            <w:pPr>
              <w:spacing w:after="0"/>
            </w:pPr>
            <w:r>
              <w:rPr>
                <w:rFonts w:ascii="Arial" w:hAnsi="Arial"/>
                <w:b w:val="0"/>
                <w:sz w:val="14"/>
              </w:rPr>
              <w:t>Validation Lab relationship</w:t>
            </w:r>
          </w:p>
        </w:tc>
        <w:tc>
          <w:tcPr>
            <w:tcW w:type="dxa" w:w="3408"/>
          </w:tcPr>
          <w:p>
            <w:pPr>
              <w:spacing w:after="0"/>
            </w:pPr>
            <w:r>
              <w:rPr>
                <w:rFonts w:ascii="Arial" w:hAnsi="Arial"/>
                <w:b w:val="0"/>
                <w:sz w:val="14"/>
              </w:rPr>
              <w:t>Validation Lab may be referenced separately as a non-certifying evidence adjudication example</w:t>
            </w:r>
          </w:p>
        </w:tc>
        <w:tc>
          <w:tcPr>
            <w:tcW w:type="dxa" w:w="3408"/>
          </w:tcPr>
          <w:p>
            <w:pPr>
              <w:spacing w:after="0"/>
            </w:pPr>
            <w:r>
              <w:rPr>
                <w:rFonts w:ascii="Arial" w:hAnsi="Arial"/>
                <w:b w:val="0"/>
                <w:sz w:val="14"/>
              </w:rPr>
              <w:t>Validation Lab certifies compliance; Validation Lab is a certification authority</w:t>
            </w:r>
          </w:p>
        </w:tc>
      </w:tr>
      <w:tr>
        <w:tc>
          <w:tcPr>
            <w:tcW w:type="dxa" w:w="3408"/>
          </w:tcPr>
          <w:p>
            <w:pPr>
              <w:spacing w:after="0"/>
            </w:pPr>
            <w:r>
              <w:rPr>
                <w:rFonts w:ascii="Arial" w:hAnsi="Arial"/>
                <w:b w:val="0"/>
                <w:sz w:val="14"/>
              </w:rPr>
              <w:t>Industry adoption</w:t>
            </w:r>
          </w:p>
        </w:tc>
        <w:tc>
          <w:tcPr>
            <w:tcW w:type="dxa" w:w="3408"/>
          </w:tcPr>
          <w:p>
            <w:pPr>
              <w:spacing w:after="0"/>
            </w:pPr>
            <w:r>
              <w:rPr>
                <w:rFonts w:ascii="Arial" w:hAnsi="Arial"/>
                <w:b w:val="0"/>
                <w:sz w:val="14"/>
              </w:rPr>
              <w:t>MPLP adoption requires market validation</w:t>
            </w:r>
          </w:p>
        </w:tc>
        <w:tc>
          <w:tcPr>
            <w:tcW w:type="dxa" w:w="3408"/>
          </w:tcPr>
          <w:p>
            <w:pPr>
              <w:spacing w:after="0"/>
            </w:pPr>
            <w:r>
              <w:rPr>
                <w:rFonts w:ascii="Arial" w:hAnsi="Arial"/>
                <w:b w:val="0"/>
                <w:sz w:val="14"/>
              </w:rPr>
              <w:t>MPLP is industry-standard; MPLP is regulator-approved</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the only solution</w:t>
            </w:r>
          </w:p>
        </w:tc>
      </w:tr>
    </w:tbl>
    <w:p>
      <w:pPr>
        <w:pStyle w:val="Heading2"/>
      </w:pPr>
      <w:r>
        <w:t>13.2 MPLP as a Lifecycle Protocol Path</w:t>
      </w:r>
    </w:p>
    <w:p>
      <w:pPr>
        <w:spacing w:after="56"/>
      </w:pPr>
      <w:r>
        <w:t>MPLP treats lifecycle responsibility as a first-class protocol concern. MPLP is relevant to AI Agent Lifecycle Governance because it provides explicit protocol-level semantics for context, plan, confirmation, trace/evidence, roles, dialogue/collaboration, extension, core semantics, and network/integration boundaries.</w:t>
      </w:r>
    </w:p>
    <w:p>
      <w:pPr>
        <w:spacing w:after="56"/>
      </w:pPr>
      <w:r>
        <w:t>Protocol semantics can define what must be represented, but implementations determine whether those semantics are operationally enforced. A protocol path can support governance, but does not replace organizational controls.</w:t>
      </w:r>
    </w:p>
    <w:p>
      <w:pPr>
        <w:spacing w:after="56"/>
      </w:pPr>
      <w:r>
        <w:t>Canonical boundary: MPLP defines protocol semantics; deployment determines operational control.</w:t>
      </w:r>
    </w:p>
    <w:p>
      <w:pPr>
        <w:spacing w:after="56"/>
      </w:pPr>
      <w:r>
        <w:t>MPLP's protocol-level approach means it can express lifecycle responsibility objects that other systems may implement through platform features, orchestration patterns, or enterprise integration. The protocol path is one approach among several valid approaches to lifecycle governance.</w:t>
      </w:r>
    </w:p>
    <w:p>
      <w:pPr>
        <w:pStyle w:val="Heading2"/>
      </w:pPr>
      <w:r>
        <w:t>13.3 MPLP Mapping to the 16 Missing Regulatory Objects</w:t>
      </w:r>
    </w:p>
    <w:p>
      <w:pPr>
        <w:spacing w:after="56"/>
      </w:pPr>
      <w:r>
        <w:t>The following table maps MPLP protocol semantics to the sixteen Missing Regulatory Objects defined in Chapter 6. Mapping strength reflects protocol-level semantic fit, not deployment conformance.</w:t>
      </w:r>
    </w:p>
    <w:p>
      <w:pPr>
        <w:keepNext/>
      </w:pPr>
      <w:r>
        <w:rPr>
          <w:b/>
          <w:sz w:val="16"/>
        </w:rPr>
        <w:t>Table T-13-02: MPLP Mapping to the Sixteen Missing Regulatory Objects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w:t>
            </w:r>
          </w:p>
        </w:tc>
        <w:tc>
          <w:tcPr>
            <w:tcW w:type="dxa" w:w="2556"/>
          </w:tcPr>
          <w:p>
            <w:pPr>
              <w:spacing w:after="0"/>
            </w:pPr>
            <w:r>
              <w:rPr>
                <w:rFonts w:ascii="Arial" w:hAnsi="Arial"/>
                <w:b/>
                <w:sz w:val="14"/>
              </w:rPr>
              <w:t>MPLP Mapping Strength</w:t>
            </w:r>
          </w:p>
        </w:tc>
        <w:tc>
          <w:tcPr>
            <w:tcW w:type="dxa" w:w="2556"/>
          </w:tcPr>
          <w:p>
            <w:pPr>
              <w:spacing w:after="0"/>
            </w:pPr>
            <w:r>
              <w:rPr>
                <w:rFonts w:ascii="Arial" w:hAnsi="Arial"/>
                <w:b/>
                <w:sz w:val="14"/>
              </w:rPr>
              <w:t>Protocol-Level Relevance</w:t>
            </w:r>
          </w:p>
        </w:tc>
        <w:tc>
          <w:tcPr>
            <w:tcW w:type="dxa" w:w="2556"/>
          </w:tcPr>
          <w:p>
            <w:pPr>
              <w:spacing w:after="0"/>
            </w:pPr>
            <w:r>
              <w:rPr>
                <w:rFonts w:ascii="Arial" w:hAnsi="Arial"/>
                <w:b/>
                <w:sz w:val="14"/>
              </w:rPr>
              <w:t>Implementation / Evidence Limit</w:t>
            </w:r>
          </w:p>
        </w:tc>
      </w:tr>
      <w:tr>
        <w:tc>
          <w:tcPr>
            <w:tcW w:type="dxa" w:w="2556"/>
          </w:tcPr>
          <w:p>
            <w:pPr>
              <w:spacing w:after="0"/>
            </w:pPr>
            <w:r>
              <w:rPr>
                <w:rFonts w:ascii="Arial" w:hAnsi="Arial"/>
                <w:b w:val="0"/>
                <w:sz w:val="14"/>
              </w:rPr>
              <w:t>MRO-01: Human Role to 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 Trace semantics support human-to-agent responsibility mapping</w:t>
            </w:r>
          </w:p>
        </w:tc>
        <w:tc>
          <w:tcPr>
            <w:tcW w:type="dxa" w:w="2556"/>
          </w:tcPr>
          <w:p>
            <w:pPr>
              <w:spacing w:after="0"/>
            </w:pPr>
            <w:r>
              <w:rPr>
                <w:rFonts w:ascii="Arial" w:hAnsi="Arial"/>
                <w:b w:val="0"/>
                <w:sz w:val="14"/>
              </w:rPr>
              <w:t>Requires implementation conformance; requires enterprise role integration</w:t>
            </w:r>
          </w:p>
        </w:tc>
      </w:tr>
      <w:tr>
        <w:tc>
          <w:tcPr>
            <w:tcW w:type="dxa" w:w="2556"/>
          </w:tcPr>
          <w:p>
            <w:pPr>
              <w:spacing w:after="0"/>
            </w:pPr>
            <w:r>
              <w:rPr>
                <w:rFonts w:ascii="Arial" w:hAnsi="Arial"/>
                <w:b w:val="0"/>
                <w:sz w:val="14"/>
              </w:rPr>
              <w:t>MRO-02: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boundary semantics support delegation scope definition</w:t>
            </w:r>
          </w:p>
        </w:tc>
        <w:tc>
          <w:tcPr>
            <w:tcW w:type="dxa" w:w="2556"/>
          </w:tcPr>
          <w:p>
            <w:pPr>
              <w:spacing w:after="0"/>
            </w:pPr>
            <w:r>
              <w:rPr>
                <w:rFonts w:ascii="Arial" w:hAnsi="Arial"/>
                <w:b w:val="0"/>
                <w:sz w:val="14"/>
              </w:rPr>
              <w:t>Requires operational policy; requires runtime enforcement validation</w:t>
            </w:r>
          </w:p>
        </w:tc>
      </w:tr>
      <w:tr>
        <w:tc>
          <w:tcPr>
            <w:tcW w:type="dxa" w:w="2556"/>
          </w:tcPr>
          <w:p>
            <w:pPr>
              <w:spacing w:after="0"/>
            </w:pPr>
            <w:r>
              <w:rPr>
                <w:rFonts w:ascii="Arial" w:hAnsi="Arial"/>
                <w:b w:val="0"/>
                <w:sz w:val="14"/>
              </w:rPr>
              <w:t>MRO-03: Agent Role is not Human Role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 from human roles</w:t>
            </w:r>
          </w:p>
        </w:tc>
        <w:tc>
          <w:tcPr>
            <w:tcW w:type="dxa" w:w="2556"/>
          </w:tcPr>
          <w:p>
            <w:pPr>
              <w:spacing w:after="0"/>
            </w:pPr>
            <w:r>
              <w:rPr>
                <w:rFonts w:ascii="Arial" w:hAnsi="Arial"/>
                <w:b w:val="0"/>
                <w:sz w:val="14"/>
              </w:rPr>
              <w:t>Requires governance interpretation; requires organizational adoption</w:t>
            </w:r>
          </w:p>
        </w:tc>
      </w:tr>
      <w:tr>
        <w:tc>
          <w:tcPr>
            <w:tcW w:type="dxa" w:w="2556"/>
          </w:tcPr>
          <w:p>
            <w:pPr>
              <w:spacing w:after="0"/>
            </w:pPr>
            <w:r>
              <w:rPr>
                <w:rFonts w:ascii="Arial" w:hAnsi="Arial"/>
                <w:b w:val="0"/>
                <w:sz w:val="14"/>
              </w:rPr>
              <w:t>MRO-04: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support accepted outcome states</w:t>
            </w:r>
          </w:p>
        </w:tc>
        <w:tc>
          <w:tcPr>
            <w:tcW w:type="dxa" w:w="2556"/>
          </w:tcPr>
          <w:p>
            <w:pPr>
              <w:spacing w:after="0"/>
            </w:pPr>
            <w:r>
              <w:rPr>
                <w:rFonts w:ascii="Arial" w:hAnsi="Arial"/>
                <w:b w:val="0"/>
                <w:sz w:val="14"/>
              </w:rPr>
              <w:t>Requires review workflow integration; requires acceptance authority mapping</w:t>
            </w:r>
          </w:p>
        </w:tc>
      </w:tr>
      <w:tr>
        <w:tc>
          <w:tcPr>
            <w:tcW w:type="dxa" w:w="2556"/>
          </w:tcPr>
          <w:p>
            <w:pPr>
              <w:spacing w:after="0"/>
            </w:pPr>
            <w:r>
              <w:rPr>
                <w:rFonts w:ascii="Arial" w:hAnsi="Arial"/>
                <w:b w:val="0"/>
                <w:sz w:val="14"/>
              </w:rPr>
              <w:t>MRO-05: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support liability boundary records</w:t>
            </w:r>
          </w:p>
        </w:tc>
        <w:tc>
          <w:tcPr>
            <w:tcW w:type="dxa" w:w="2556"/>
          </w:tcPr>
          <w:p>
            <w:pPr>
              <w:spacing w:after="0"/>
            </w:pPr>
            <w:r>
              <w:rPr>
                <w:rFonts w:ascii="Arial" w:hAnsi="Arial"/>
                <w:b w:val="0"/>
                <w:sz w:val="14"/>
              </w:rPr>
              <w:t>Requires tool integration; requires liability policy definition</w:t>
            </w:r>
          </w:p>
        </w:tc>
      </w:tr>
      <w:tr>
        <w:tc>
          <w:tcPr>
            <w:tcW w:type="dxa" w:w="2556"/>
          </w:tcPr>
          <w:p>
            <w:pPr>
              <w:spacing w:after="0"/>
            </w:pPr>
            <w:r>
              <w:rPr>
                <w:rFonts w:ascii="Arial" w:hAnsi="Arial"/>
                <w:b w:val="0"/>
                <w:sz w:val="14"/>
              </w:rPr>
              <w:t>MRO-06: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support responsibility transfer records</w:t>
            </w:r>
          </w:p>
        </w:tc>
        <w:tc>
          <w:tcPr>
            <w:tcW w:type="dxa" w:w="2556"/>
          </w:tcPr>
          <w:p>
            <w:pPr>
              <w:spacing w:after="0"/>
            </w:pPr>
            <w:r>
              <w:rPr>
                <w:rFonts w:ascii="Arial" w:hAnsi="Arial"/>
                <w:b w:val="0"/>
                <w:sz w:val="14"/>
              </w:rPr>
              <w:t>Requires multi-agent integration; requires constraint inheritance validation</w:t>
            </w:r>
          </w:p>
        </w:tc>
      </w:tr>
      <w:tr>
        <w:tc>
          <w:tcPr>
            <w:tcW w:type="dxa" w:w="2556"/>
          </w:tcPr>
          <w:p>
            <w:pPr>
              <w:spacing w:after="0"/>
            </w:pPr>
            <w:r>
              <w:rPr>
                <w:rFonts w:ascii="Arial" w:hAnsi="Arial"/>
                <w:b w:val="0"/>
                <w:sz w:val="14"/>
              </w:rPr>
              <w:t>MRO-07: Authority Drift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integration; requires drift alert policy</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partitioned evidence chains</w:t>
            </w:r>
          </w:p>
        </w:tc>
        <w:tc>
          <w:tcPr>
            <w:tcW w:type="dxa" w:w="2556"/>
          </w:tcPr>
          <w:p>
            <w:pPr>
              <w:spacing w:after="0"/>
            </w:pPr>
            <w:r>
              <w:rPr>
                <w:rFonts w:ascii="Arial" w:hAnsi="Arial"/>
                <w:b w:val="0"/>
                <w:sz w:val="14"/>
              </w:rPr>
              <w:t>Requires evidence export; requires partition policy definition</w:t>
            </w:r>
          </w:p>
        </w:tc>
      </w:tr>
      <w:tr>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MRO-10: Privacy / 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integration; requires GDPR interpretation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MRO-14: Third-Party Processor / 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 integration; requires chain documentation</w:t>
            </w:r>
          </w:p>
        </w:tc>
      </w:tr>
      <w:tr>
        <w:tc>
          <w:tcPr>
            <w:tcW w:type="dxa" w:w="2556"/>
          </w:tcPr>
          <w:p>
            <w:pPr>
              <w:spacing w:after="0"/>
            </w:pPr>
            <w:r>
              <w:rPr>
                <w:rFonts w:ascii="Arial" w:hAnsi="Arial"/>
                <w:b w:val="0"/>
                <w:sz w:val="14"/>
              </w:rPr>
              <w:t>MRO-15: Vendor / Model / 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Closure semantics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bl>
    <w:p>
      <w:pPr>
        <w:spacing w:after="56"/>
      </w:pPr>
      <w:r>
        <w:t>Key: Strong = protocol semantics directly express the required object; Moderate = protocol semantics can support the object with additional policy/integration; Partial = protocol semantics provide foundation but require significant additional work.</w:t>
      </w:r>
    </w:p>
    <w:p>
      <w:pPr>
        <w:pStyle w:val="Heading2"/>
      </w:pPr>
      <w:r>
        <w:t>13.4 MPLP Mapping to RCCS</w:t>
      </w:r>
    </w:p>
    <w:p>
      <w:pPr>
        <w:spacing w:after="56"/>
      </w:pPr>
      <w:r>
        <w:t>MPLP can support RCCS where protocol semantics create evidence, accountability, traceability, and governance primitives. However, RCCS also depends on organizational controls, deployment environment, security operations, data governance policy, and legal interpretation. MPLP alone does not satisfy RCCS.</w:t>
      </w:r>
    </w:p>
    <w:p>
      <w:pPr>
        <w:keepNext/>
      </w:pPr>
      <w:r>
        <w:rPr>
          <w:b/>
          <w:sz w:val="16"/>
        </w:rPr>
        <w:t>Table T-13-03: MPLP Mapping to RCCS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RCCS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Why MPLP May Help</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RCCS-01: Risk Management</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support risk documentation and evidence</w:t>
            </w:r>
          </w:p>
        </w:tc>
        <w:tc>
          <w:tcPr>
            <w:tcW w:type="dxa" w:w="2556"/>
          </w:tcPr>
          <w:p>
            <w:pPr>
              <w:spacing w:after="0"/>
            </w:pPr>
            <w:r>
              <w:rPr>
                <w:rFonts w:ascii="Arial" w:hAnsi="Arial"/>
                <w:b w:val="0"/>
                <w:sz w:val="14"/>
              </w:rPr>
              <w:t>Requires organizational risk management process; requires risk assessment integration</w:t>
            </w:r>
          </w:p>
        </w:tc>
      </w:tr>
      <w:tr>
        <w:tc>
          <w:tcPr>
            <w:tcW w:type="dxa" w:w="2556"/>
          </w:tcPr>
          <w:p>
            <w:pPr>
              <w:spacing w:after="0"/>
            </w:pPr>
            <w:r>
              <w:rPr>
                <w:rFonts w:ascii="Arial" w:hAnsi="Arial"/>
                <w:b w:val="0"/>
                <w:sz w:val="14"/>
              </w:rPr>
              <w:t>RCCS-02: Data Governance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data lineage and lifecycle tracking</w:t>
            </w:r>
          </w:p>
        </w:tc>
        <w:tc>
          <w:tcPr>
            <w:tcW w:type="dxa" w:w="2556"/>
          </w:tcPr>
          <w:p>
            <w:pPr>
              <w:spacing w:after="0"/>
            </w:pPr>
            <w:r>
              <w:rPr>
                <w:rFonts w:ascii="Arial" w:hAnsi="Arial"/>
                <w:b w:val="0"/>
                <w:sz w:val="14"/>
              </w:rPr>
              <w:t>Requires data governance policy; requires data quality controls</w:t>
            </w:r>
          </w:p>
        </w:tc>
      </w:tr>
      <w:tr>
        <w:tc>
          <w:tcPr>
            <w:tcW w:type="dxa" w:w="2556"/>
          </w:tcPr>
          <w:p>
            <w:pPr>
              <w:spacing w:after="0"/>
            </w:pPr>
            <w:r>
              <w:rPr>
                <w:rFonts w:ascii="Arial" w:hAnsi="Arial"/>
                <w:b w:val="0"/>
                <w:sz w:val="14"/>
              </w:rPr>
              <w:t>RCCS-03: Documentation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Protocol semantics can generate lifecycle documentation</w:t>
            </w:r>
          </w:p>
        </w:tc>
        <w:tc>
          <w:tcPr>
            <w:tcW w:type="dxa" w:w="2556"/>
          </w:tcPr>
          <w:p>
            <w:pPr>
              <w:spacing w:after="0"/>
            </w:pPr>
            <w:r>
              <w:rPr>
                <w:rFonts w:ascii="Arial" w:hAnsi="Arial"/>
                <w:b w:val="0"/>
                <w:sz w:val="14"/>
              </w:rPr>
              <w:t>Requires documentation standards; requires version control integration</w:t>
            </w:r>
          </w:p>
        </w:tc>
      </w:tr>
      <w:tr>
        <w:tc>
          <w:tcPr>
            <w:tcW w:type="dxa" w:w="2556"/>
          </w:tcPr>
          <w:p>
            <w:pPr>
              <w:spacing w:after="0"/>
            </w:pPr>
            <w:r>
              <w:rPr>
                <w:rFonts w:ascii="Arial" w:hAnsi="Arial"/>
                <w:b w:val="0"/>
                <w:sz w:val="14"/>
              </w:rPr>
              <w:t>RCCS-04: Record-Keeping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support audit trail generation</w:t>
            </w:r>
          </w:p>
        </w:tc>
        <w:tc>
          <w:tcPr>
            <w:tcW w:type="dxa" w:w="2556"/>
          </w:tcPr>
          <w:p>
            <w:pPr>
              <w:spacing w:after="0"/>
            </w:pPr>
            <w:r>
              <w:rPr>
                <w:rFonts w:ascii="Arial" w:hAnsi="Arial"/>
                <w:b w:val="0"/>
                <w:sz w:val="14"/>
              </w:rPr>
              <w:t>Requires evidence retention policy; requires tamper-evident storage</w:t>
            </w:r>
          </w:p>
        </w:tc>
      </w:tr>
      <w:tr>
        <w:tc>
          <w:tcPr>
            <w:tcW w:type="dxa" w:w="2556"/>
          </w:tcPr>
          <w:p>
            <w:pPr>
              <w:spacing w:after="0"/>
            </w:pPr>
            <w:r>
              <w:rPr>
                <w:rFonts w:ascii="Arial" w:hAnsi="Arial"/>
                <w:b w:val="0"/>
                <w:sz w:val="14"/>
              </w:rPr>
              <w:t>RCCS-05: Transparency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explainability and disclosure</w:t>
            </w:r>
          </w:p>
        </w:tc>
        <w:tc>
          <w:tcPr>
            <w:tcW w:type="dxa" w:w="2556"/>
          </w:tcPr>
          <w:p>
            <w:pPr>
              <w:spacing w:after="0"/>
            </w:pPr>
            <w:r>
              <w:rPr>
                <w:rFonts w:ascii="Arial" w:hAnsi="Arial"/>
                <w:b w:val="0"/>
                <w:sz w:val="14"/>
              </w:rPr>
              <w:t>Requires transparency policy; requires disclosure workflow</w:t>
            </w:r>
          </w:p>
        </w:tc>
      </w:tr>
      <w:tr>
        <w:tc>
          <w:tcPr>
            <w:tcW w:type="dxa" w:w="2556"/>
          </w:tcPr>
          <w:p>
            <w:pPr>
              <w:spacing w:after="0"/>
            </w:pPr>
            <w:r>
              <w:rPr>
                <w:rFonts w:ascii="Arial" w:hAnsi="Arial"/>
                <w:b w:val="0"/>
                <w:sz w:val="14"/>
              </w:rPr>
              <w:t>RCCS-06: Human Oversight</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Role semantics support human review and approval workflows</w:t>
            </w:r>
          </w:p>
        </w:tc>
        <w:tc>
          <w:tcPr>
            <w:tcW w:type="dxa" w:w="2556"/>
          </w:tcPr>
          <w:p>
            <w:pPr>
              <w:spacing w:after="0"/>
            </w:pPr>
            <w:r>
              <w:rPr>
                <w:rFonts w:ascii="Arial" w:hAnsi="Arial"/>
                <w:b w:val="0"/>
                <w:sz w:val="14"/>
              </w:rPr>
              <w:t>Requires human oversight policy; requires escalation rules</w:t>
            </w:r>
          </w:p>
        </w:tc>
      </w:tr>
      <w:tr>
        <w:tc>
          <w:tcPr>
            <w:tcW w:type="dxa" w:w="2556"/>
          </w:tcPr>
          <w:p>
            <w:pPr>
              <w:spacing w:after="0"/>
            </w:pPr>
            <w:r>
              <w:rPr>
                <w:rFonts w:ascii="Arial" w:hAnsi="Arial"/>
                <w:b w:val="0"/>
                <w:sz w:val="14"/>
              </w:rPr>
              <w:t>RCCS-07: Security</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Protocol semantics require security implementation</w:t>
            </w:r>
          </w:p>
        </w:tc>
        <w:tc>
          <w:tcPr>
            <w:tcW w:type="dxa" w:w="2556"/>
          </w:tcPr>
          <w:p>
            <w:pPr>
              <w:spacing w:after="0"/>
            </w:pPr>
            <w:r>
              <w:rPr>
                <w:rFonts w:ascii="Arial" w:hAnsi="Arial"/>
                <w:b w:val="0"/>
                <w:sz w:val="14"/>
              </w:rPr>
              <w:t>Requires security controls; requires access management; requires encryption</w:t>
            </w:r>
          </w:p>
        </w:tc>
      </w:tr>
      <w:tr>
        <w:tc>
          <w:tcPr>
            <w:tcW w:type="dxa" w:w="2556"/>
          </w:tcPr>
          <w:p>
            <w:pPr>
              <w:spacing w:after="0"/>
            </w:pPr>
            <w:r>
              <w:rPr>
                <w:rFonts w:ascii="Arial" w:hAnsi="Arial"/>
                <w:b w:val="0"/>
                <w:sz w:val="14"/>
              </w:rPr>
              <w:t>RCCS-08: Accountability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Trace semantics support responsibility assignment and tracking</w:t>
            </w:r>
          </w:p>
        </w:tc>
        <w:tc>
          <w:tcPr>
            <w:tcW w:type="dxa" w:w="2556"/>
          </w:tcPr>
          <w:p>
            <w:pPr>
              <w:spacing w:after="0"/>
            </w:pPr>
            <w:r>
              <w:rPr>
                <w:rFonts w:ascii="Arial" w:hAnsi="Arial"/>
                <w:b w:val="0"/>
                <w:sz w:val="14"/>
              </w:rPr>
              <w:t>Requires accountability policy; requires organizational adoption</w:t>
            </w:r>
          </w:p>
        </w:tc>
      </w:tr>
      <w:tr>
        <w:tc>
          <w:tcPr>
            <w:tcW w:type="dxa" w:w="2556"/>
          </w:tcPr>
          <w:p>
            <w:pPr>
              <w:spacing w:after="0"/>
            </w:pPr>
            <w:r>
              <w:rPr>
                <w:rFonts w:ascii="Arial" w:hAnsi="Arial"/>
                <w:b w:val="0"/>
                <w:sz w:val="14"/>
              </w:rPr>
              <w:t>RCCS-09: Contestability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 dispute semantics can support challenge and appeal</w:t>
            </w:r>
          </w:p>
        </w:tc>
        <w:tc>
          <w:tcPr>
            <w:tcW w:type="dxa" w:w="2556"/>
          </w:tcPr>
          <w:p>
            <w:pPr>
              <w:spacing w:after="0"/>
            </w:pPr>
            <w:r>
              <w:rPr>
                <w:rFonts w:ascii="Arial" w:hAnsi="Arial"/>
                <w:b w:val="0"/>
                <w:sz w:val="14"/>
              </w:rPr>
              <w:t>Requires dispute resolution workflow; requires remediation policy</w:t>
            </w:r>
          </w:p>
        </w:tc>
      </w:tr>
      <w:tr>
        <w:tc>
          <w:tcPr>
            <w:tcW w:type="dxa" w:w="2556"/>
          </w:tcPr>
          <w:p>
            <w:pPr>
              <w:spacing w:after="0"/>
            </w:pPr>
            <w:r>
              <w:rPr>
                <w:rFonts w:ascii="Arial" w:hAnsi="Arial"/>
                <w:b w:val="0"/>
                <w:sz w:val="14"/>
              </w:rPr>
              <w:t>RCCS-10: Monitoring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continuous monitoring</w:t>
            </w:r>
          </w:p>
        </w:tc>
        <w:tc>
          <w:tcPr>
            <w:tcW w:type="dxa" w:w="2556"/>
          </w:tcPr>
          <w:p>
            <w:pPr>
              <w:spacing w:after="0"/>
            </w:pPr>
            <w:r>
              <w:rPr>
                <w:rFonts w:ascii="Arial" w:hAnsi="Arial"/>
                <w:b w:val="0"/>
                <w:sz w:val="14"/>
              </w:rPr>
              <w:t>Requires monitoring infrastructure; requires alert policy; requires incident response</w:t>
            </w:r>
          </w:p>
        </w:tc>
      </w:tr>
    </w:tbl>
    <w:p>
      <w:pPr>
        <w:pStyle w:val="Heading2"/>
      </w:pPr>
      <w:r>
        <w:t>13.5 MPLP Mapping to ALCS</w:t>
      </w:r>
    </w:p>
    <w:p>
      <w:pPr>
        <w:spacing w:after="56"/>
      </w:pPr>
      <w:r>
        <w:t>Because ALCS measures lifecycle responsibility objects, MPLP may map strongly to many ALCS dimensions. However, high protocol-level fit is not the same as deployment conformance.</w:t>
      </w:r>
    </w:p>
    <w:p>
      <w:pPr>
        <w:spacing w:after="56"/>
      </w:pPr>
      <w:r>
        <w:t>A strong ALCS semantic fit means the protocol can express the required lifecycle object. It does not mean any given implementation has enforced, audited, or operationalized that object.</w:t>
      </w:r>
    </w:p>
    <w:p>
      <w:pPr>
        <w:keepNext/>
      </w:pPr>
      <w:r>
        <w:rPr>
          <w:b/>
          <w:sz w:val="16"/>
        </w:rPr>
        <w:t>Table T-13-04: MPLP Mapping to ALCS Dimensions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Protocol-Level Fit</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ALCS-01: Human-Role-to-MAS Responsibility Mapping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 Context / Confirm semantics directly express human-to-agent responsibility mapping</w:t>
            </w:r>
          </w:p>
        </w:tc>
        <w:tc>
          <w:tcPr>
            <w:tcW w:type="dxa" w:w="2556"/>
          </w:tcPr>
          <w:p>
            <w:pPr>
              <w:spacing w:after="0"/>
            </w:pPr>
            <w:r>
              <w:rPr>
                <w:rFonts w:ascii="Arial" w:hAnsi="Arial"/>
                <w:b w:val="0"/>
                <w:sz w:val="14"/>
              </w:rPr>
              <w:t>Requires enterprise role integration; requires organizational adoption</w:t>
            </w:r>
          </w:p>
        </w:tc>
      </w:tr>
      <w:tr>
        <w:tc>
          <w:tcPr>
            <w:tcW w:type="dxa" w:w="2556"/>
          </w:tcPr>
          <w:p>
            <w:pPr>
              <w:spacing w:after="0"/>
            </w:pPr>
            <w:r>
              <w:rPr>
                <w:rFonts w:ascii="Arial" w:hAnsi="Arial"/>
                <w:b w:val="0"/>
                <w:sz w:val="14"/>
              </w:rPr>
              <w:t>ALCS-02: Delegated Authority Boundary</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authority semantics directly express delegation boundaries</w:t>
            </w:r>
          </w:p>
        </w:tc>
        <w:tc>
          <w:tcPr>
            <w:tcW w:type="dxa" w:w="2556"/>
          </w:tcPr>
          <w:p>
            <w:pPr>
              <w:spacing w:after="0"/>
            </w:pPr>
            <w:r>
              <w:rPr>
                <w:rFonts w:ascii="Arial" w:hAnsi="Arial"/>
                <w:b w:val="0"/>
                <w:sz w:val="14"/>
              </w:rPr>
              <w:t>Requires operational enforcement; requires runtime validation</w:t>
            </w:r>
          </w:p>
        </w:tc>
      </w:tr>
      <w:tr>
        <w:tc>
          <w:tcPr>
            <w:tcW w:type="dxa" w:w="2556"/>
          </w:tcPr>
          <w:p>
            <w:pPr>
              <w:spacing w:after="0"/>
            </w:pPr>
            <w:r>
              <w:rPr>
                <w:rFonts w:ascii="Arial" w:hAnsi="Arial"/>
                <w:b w:val="0"/>
                <w:sz w:val="14"/>
              </w:rPr>
              <w:t>ALCS-03: Agent Role vs Human Role Distinction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Role semantics distinguish agent responsibility surfaces</w:t>
            </w:r>
          </w:p>
        </w:tc>
        <w:tc>
          <w:tcPr>
            <w:tcW w:type="dxa" w:w="2556"/>
          </w:tcPr>
          <w:p>
            <w:pPr>
              <w:spacing w:after="0"/>
            </w:pPr>
            <w:r>
              <w:rPr>
                <w:rFonts w:ascii="Arial" w:hAnsi="Arial"/>
                <w:b w:val="0"/>
                <w:sz w:val="14"/>
              </w:rPr>
              <w:t>Requires governance interpretation; requires role policy</w:t>
            </w:r>
          </w:p>
        </w:tc>
      </w:tr>
      <w:tr>
        <w:tc>
          <w:tcPr>
            <w:tcW w:type="dxa" w:w="2556"/>
          </w:tcPr>
          <w:p>
            <w:pPr>
              <w:spacing w:after="0"/>
            </w:pPr>
            <w:r>
              <w:rPr>
                <w:rFonts w:ascii="Arial" w:hAnsi="Arial"/>
                <w:b w:val="0"/>
                <w:sz w:val="14"/>
              </w:rPr>
              <w:t>ALCS-04: Accepted Outcome Compliance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Confirm / Trace / Plan closure semantics directly express accepted outcome states</w:t>
            </w:r>
          </w:p>
        </w:tc>
        <w:tc>
          <w:tcPr>
            <w:tcW w:type="dxa" w:w="2556"/>
          </w:tcPr>
          <w:p>
            <w:pPr>
              <w:spacing w:after="0"/>
            </w:pPr>
            <w:r>
              <w:rPr>
                <w:rFonts w:ascii="Arial" w:hAnsi="Arial"/>
                <w:b w:val="0"/>
                <w:sz w:val="14"/>
              </w:rPr>
              <w:t>Requires acceptance workflow; requires review authority mapping</w:t>
            </w:r>
          </w:p>
        </w:tc>
      </w:tr>
      <w:tr>
        <w:tc>
          <w:tcPr>
            <w:tcW w:type="dxa" w:w="2556"/>
          </w:tcPr>
          <w:p>
            <w:pPr>
              <w:spacing w:after="0"/>
            </w:pPr>
            <w:r>
              <w:rPr>
                <w:rFonts w:ascii="Arial" w:hAnsi="Arial"/>
                <w:b w:val="0"/>
                <w:sz w:val="14"/>
              </w:rPr>
              <w:t>ALCS-05: Tool-Action Liability Boundary</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Tool-action evidence semantics can express liability boundaries</w:t>
            </w:r>
          </w:p>
        </w:tc>
        <w:tc>
          <w:tcPr>
            <w:tcW w:type="dxa" w:w="2556"/>
          </w:tcPr>
          <w:p>
            <w:pPr>
              <w:spacing w:after="0"/>
            </w:pPr>
            <w:r>
              <w:rPr>
                <w:rFonts w:ascii="Arial" w:hAnsi="Arial"/>
                <w:b w:val="0"/>
                <w:sz w:val="14"/>
              </w:rPr>
              <w:t>Requires tool integration; requires liability policy</w:t>
            </w:r>
          </w:p>
        </w:tc>
      </w:tr>
      <w:tr>
        <w:tc>
          <w:tcPr>
            <w:tcW w:type="dxa" w:w="2556"/>
          </w:tcPr>
          <w:p>
            <w:pPr>
              <w:spacing w:after="0"/>
            </w:pPr>
            <w:r>
              <w:rPr>
                <w:rFonts w:ascii="Arial" w:hAnsi="Arial"/>
                <w:b w:val="0"/>
                <w:sz w:val="14"/>
              </w:rPr>
              <w:t>ALCS-06: Responsibility Transfer Across Agents</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Handoff / transfer semantics directly express responsibility transfer</w:t>
            </w:r>
          </w:p>
        </w:tc>
        <w:tc>
          <w:tcPr>
            <w:tcW w:type="dxa" w:w="2556"/>
          </w:tcPr>
          <w:p>
            <w:pPr>
              <w:spacing w:after="0"/>
            </w:pPr>
            <w:r>
              <w:rPr>
                <w:rFonts w:ascii="Arial" w:hAnsi="Arial"/>
                <w:b w:val="0"/>
                <w:sz w:val="14"/>
              </w:rPr>
              <w:t>Requires multi-agent integration; requires constraint inheritance</w:t>
            </w:r>
          </w:p>
        </w:tc>
      </w:tr>
      <w:tr>
        <w:tc>
          <w:tcPr>
            <w:tcW w:type="dxa" w:w="2556"/>
          </w:tcPr>
          <w:p>
            <w:pPr>
              <w:spacing w:after="0"/>
            </w:pPr>
            <w:r>
              <w:rPr>
                <w:rFonts w:ascii="Arial" w:hAnsi="Arial"/>
                <w:b w:val="0"/>
                <w:sz w:val="14"/>
              </w:rPr>
              <w:t>ALCS-07: Authority Drift Detection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Monitoring semantics can support drift detection</w:t>
            </w:r>
          </w:p>
        </w:tc>
        <w:tc>
          <w:tcPr>
            <w:tcW w:type="dxa" w:w="2556"/>
          </w:tcPr>
          <w:p>
            <w:pPr>
              <w:spacing w:after="0"/>
            </w:pPr>
            <w:r>
              <w:rPr>
                <w:rFonts w:ascii="Arial" w:hAnsi="Arial"/>
                <w:b w:val="0"/>
                <w:sz w:val="14"/>
              </w:rPr>
              <w:t>Requires runtime monitoring; requires drift policy</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Trace / evidence semantics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ALCS-09: Cross-Project Reuse Compliance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Context reset semantics can support reuse validation</w:t>
            </w:r>
          </w:p>
        </w:tc>
        <w:tc>
          <w:tcPr>
            <w:tcW w:type="dxa" w:w="2556"/>
          </w:tcPr>
          <w:p>
            <w:pPr>
              <w:spacing w:after="0"/>
            </w:pPr>
            <w:r>
              <w:rPr>
                <w:rFonts w:ascii="Arial" w:hAnsi="Arial"/>
                <w:b w:val="0"/>
                <w:sz w:val="14"/>
              </w:rPr>
              <w:t>Requires reuse policy; requires revalidation workflow</w:t>
            </w:r>
          </w:p>
        </w:tc>
      </w:tr>
      <w:tr>
        <w:tc>
          <w:tcPr>
            <w:tcW w:type="dxa" w:w="2556"/>
          </w:tcPr>
          <w:p>
            <w:pPr>
              <w:spacing w:after="0"/>
            </w:pPr>
            <w:r>
              <w:rPr>
                <w:rFonts w:ascii="Arial" w:hAnsi="Arial"/>
                <w:b w:val="0"/>
                <w:sz w:val="14"/>
              </w:rPr>
              <w:t>ALCS-10: Privacy/GDPR Lifecycle Mapping</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Data-flow semantics can support privacy lifecycle mapping</w:t>
            </w:r>
          </w:p>
        </w:tc>
        <w:tc>
          <w:tcPr>
            <w:tcW w:type="dxa" w:w="2556"/>
          </w:tcPr>
          <w:p>
            <w:pPr>
              <w:spacing w:after="0"/>
            </w:pPr>
            <w:r>
              <w:rPr>
                <w:rFonts w:ascii="Arial" w:hAnsi="Arial"/>
                <w:b w:val="0"/>
                <w:sz w:val="14"/>
              </w:rPr>
              <w:t>Requires privacy policy; requires GDPR interpretation</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Selective disclosure semantics can support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Evidence semantics can support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Partial</w:t>
            </w:r>
          </w:p>
        </w:tc>
        <w:tc>
          <w:tcPr>
            <w:tcW w:type="dxa" w:w="2556"/>
          </w:tcPr>
          <w:p>
            <w:pPr>
              <w:spacing w:after="0"/>
            </w:pPr>
            <w:r>
              <w:rPr>
                <w:rFonts w:ascii="Arial" w:hAnsi="Arial"/>
                <w:b w:val="0"/>
                <w:sz w:val="14"/>
              </w:rPr>
              <w:t>Retention semantics require policy-level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ALCS-14: Third-Party Processor/Subprocessor Chain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Network / integration semantics can track processor chain</w:t>
            </w:r>
          </w:p>
        </w:tc>
        <w:tc>
          <w:tcPr>
            <w:tcW w:type="dxa" w:w="2556"/>
          </w:tcPr>
          <w:p>
            <w:pPr>
              <w:spacing w:after="0"/>
            </w:pPr>
            <w:r>
              <w:rPr>
                <w:rFonts w:ascii="Arial" w:hAnsi="Arial"/>
                <w:b w:val="0"/>
                <w:sz w:val="14"/>
              </w:rPr>
              <w:t>Requires processor agreements; requires chain documentation</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Integration boundary semantics can support substitution conformance</w:t>
            </w:r>
          </w:p>
        </w:tc>
        <w:tc>
          <w:tcPr>
            <w:tcW w:type="dxa" w:w="2556"/>
          </w:tcPr>
          <w:p>
            <w:pPr>
              <w:spacing w:after="0"/>
            </w:pPr>
            <w:r>
              <w:rPr>
                <w:rFonts w:ascii="Arial" w:hAnsi="Arial"/>
                <w:b w:val="0"/>
                <w:sz w:val="14"/>
              </w:rPr>
              <w:t>Requires substitution testing; requires conformance validation</w:t>
            </w:r>
          </w:p>
        </w:tc>
      </w:tr>
    </w:tbl>
    <w:p>
      <w:pPr>
        <w:pStyle w:val="Heading2"/>
      </w:pPr>
      <w:r>
        <w:t>13.6 Implementation, Adoption, and Evidence Limits</w:t>
      </w:r>
    </w:p>
    <w:p>
      <w:pPr>
        <w:spacing w:after="56"/>
      </w:pPr>
      <w:r>
        <w:t>MPLP can define lifecycle governance semantics, but the paper must not treat protocol design as equivalent to real-world conformance. The following table distinguishes protocol semantics from operational evidence.</w:t>
      </w:r>
    </w:p>
    <w:p>
      <w:pPr>
        <w:keepNext/>
      </w:pPr>
      <w:r>
        <w:rPr>
          <w:b/>
          <w:sz w:val="16"/>
        </w:rPr>
        <w:t>Table T-13-05: Protocol Semantics vs Operational Evidence</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Layer</w:t>
            </w:r>
          </w:p>
        </w:tc>
        <w:tc>
          <w:tcPr>
            <w:tcW w:type="dxa" w:w="2556"/>
          </w:tcPr>
          <w:p>
            <w:pPr>
              <w:spacing w:after="0"/>
            </w:pPr>
            <w:r>
              <w:rPr>
                <w:rFonts w:ascii="Arial" w:hAnsi="Arial"/>
                <w:b/>
                <w:sz w:val="14"/>
              </w:rPr>
              <w:t>What It Can Prove</w:t>
            </w:r>
          </w:p>
        </w:tc>
        <w:tc>
          <w:tcPr>
            <w:tcW w:type="dxa" w:w="2556"/>
          </w:tcPr>
          <w:p>
            <w:pPr>
              <w:spacing w:after="0"/>
            </w:pPr>
            <w:r>
              <w:rPr>
                <w:rFonts w:ascii="Arial" w:hAnsi="Arial"/>
                <w:b/>
                <w:sz w:val="14"/>
              </w:rPr>
              <w:t>What It Cannot Prove Alone</w:t>
            </w:r>
          </w:p>
        </w:tc>
        <w:tc>
          <w:tcPr>
            <w:tcW w:type="dxa" w:w="2556"/>
          </w:tcPr>
          <w:p>
            <w:pPr>
              <w:spacing w:after="0"/>
            </w:pPr>
            <w:r>
              <w:rPr>
                <w:rFonts w:ascii="Arial" w:hAnsi="Arial"/>
                <w:b/>
                <w:sz w:val="14"/>
              </w:rPr>
              <w:t>Evidence Needed</w:t>
            </w:r>
          </w:p>
        </w:tc>
      </w:tr>
      <w:tr>
        <w:tc>
          <w:tcPr>
            <w:tcW w:type="dxa" w:w="2556"/>
          </w:tcPr>
          <w:p>
            <w:pPr>
              <w:spacing w:after="0"/>
            </w:pPr>
            <w:r>
              <w:rPr>
                <w:rFonts w:ascii="Arial" w:hAnsi="Arial"/>
                <w:b w:val="0"/>
                <w:sz w:val="14"/>
              </w:rPr>
              <w:t>Protocol specification</w:t>
            </w:r>
          </w:p>
        </w:tc>
        <w:tc>
          <w:tcPr>
            <w:tcW w:type="dxa" w:w="2556"/>
          </w:tcPr>
          <w:p>
            <w:pPr>
              <w:spacing w:after="0"/>
            </w:pPr>
            <w:r>
              <w:rPr>
                <w:rFonts w:ascii="Arial" w:hAnsi="Arial"/>
                <w:b w:val="0"/>
                <w:sz w:val="14"/>
              </w:rPr>
              <w:t>Semantic completeness; object definitions; protocol rules</w:t>
            </w:r>
          </w:p>
        </w:tc>
        <w:tc>
          <w:tcPr>
            <w:tcW w:type="dxa" w:w="2556"/>
          </w:tcPr>
          <w:p>
            <w:pPr>
              <w:spacing w:after="0"/>
            </w:pPr>
            <w:r>
              <w:rPr>
                <w:rFonts w:ascii="Arial" w:hAnsi="Arial"/>
                <w:b w:val="0"/>
                <w:sz w:val="14"/>
              </w:rPr>
              <w:t>Deployment conformance; operational effectiveness; legal compliance</w:t>
            </w:r>
          </w:p>
        </w:tc>
        <w:tc>
          <w:tcPr>
            <w:tcW w:type="dxa" w:w="2556"/>
          </w:tcPr>
          <w:p>
            <w:pPr>
              <w:spacing w:after="0"/>
            </w:pPr>
            <w:r>
              <w:rPr>
                <w:rFonts w:ascii="Arial" w:hAnsi="Arial"/>
                <w:b w:val="0"/>
                <w:sz w:val="14"/>
              </w:rPr>
              <w:t>Formal protocol specification; protocol documentation</w:t>
            </w:r>
          </w:p>
        </w:tc>
      </w:tr>
      <w:tr>
        <w:tc>
          <w:tcPr>
            <w:tcW w:type="dxa" w:w="2556"/>
          </w:tcPr>
          <w:p>
            <w:pPr>
              <w:spacing w:after="0"/>
            </w:pPr>
            <w:r>
              <w:rPr>
                <w:rFonts w:ascii="Arial" w:hAnsi="Arial"/>
                <w:b w:val="0"/>
                <w:sz w:val="14"/>
              </w:rPr>
              <w:t>Reference implementation</w:t>
            </w:r>
          </w:p>
        </w:tc>
        <w:tc>
          <w:tcPr>
            <w:tcW w:type="dxa" w:w="2556"/>
          </w:tcPr>
          <w:p>
            <w:pPr>
              <w:spacing w:after="0"/>
            </w:pPr>
            <w:r>
              <w:rPr>
                <w:rFonts w:ascii="Arial" w:hAnsi="Arial"/>
                <w:b w:val="0"/>
                <w:sz w:val="14"/>
              </w:rPr>
              <w:t>Protocol implementation feasibility; basic functionality</w:t>
            </w:r>
          </w:p>
        </w:tc>
        <w:tc>
          <w:tcPr>
            <w:tcW w:type="dxa" w:w="2556"/>
          </w:tcPr>
          <w:p>
            <w:pPr>
              <w:spacing w:after="0"/>
            </w:pPr>
            <w:r>
              <w:rPr>
                <w:rFonts w:ascii="Arial" w:hAnsi="Arial"/>
                <w:b w:val="0"/>
                <w:sz w:val="14"/>
              </w:rPr>
              <w:t>Production readiness; enterprise integration; security hardening</w:t>
            </w:r>
          </w:p>
        </w:tc>
        <w:tc>
          <w:tcPr>
            <w:tcW w:type="dxa" w:w="2556"/>
          </w:tcPr>
          <w:p>
            <w:pPr>
              <w:spacing w:after="0"/>
            </w:pPr>
            <w:r>
              <w:rPr>
                <w:rFonts w:ascii="Arial" w:hAnsi="Arial"/>
                <w:b w:val="0"/>
                <w:sz w:val="14"/>
              </w:rPr>
              <w:t>Reference implementation code; test results</w:t>
            </w:r>
          </w:p>
        </w:tc>
      </w:tr>
      <w:tr>
        <w:tc>
          <w:tcPr>
            <w:tcW w:type="dxa" w:w="2556"/>
          </w:tcPr>
          <w:p>
            <w:pPr>
              <w:spacing w:after="0"/>
            </w:pPr>
            <w:r>
              <w:rPr>
                <w:rFonts w:ascii="Arial" w:hAnsi="Arial"/>
                <w:b w:val="0"/>
                <w:sz w:val="14"/>
              </w:rPr>
              <w:t>Runtime integration</w:t>
            </w:r>
          </w:p>
        </w:tc>
        <w:tc>
          <w:tcPr>
            <w:tcW w:type="dxa" w:w="2556"/>
          </w:tcPr>
          <w:p>
            <w:pPr>
              <w:spacing w:after="0"/>
            </w:pPr>
            <w:r>
              <w:rPr>
                <w:rFonts w:ascii="Arial" w:hAnsi="Arial"/>
                <w:b w:val="0"/>
                <w:sz w:val="14"/>
              </w:rPr>
              <w:t>Integration with agent runtimes; tool integration; workflow execution</w:t>
            </w:r>
          </w:p>
        </w:tc>
        <w:tc>
          <w:tcPr>
            <w:tcW w:type="dxa" w:w="2556"/>
          </w:tcPr>
          <w:p>
            <w:pPr>
              <w:spacing w:after="0"/>
            </w:pPr>
            <w:r>
              <w:rPr>
                <w:rFonts w:ascii="Arial" w:hAnsi="Arial"/>
                <w:b w:val="0"/>
                <w:sz w:val="14"/>
              </w:rPr>
              <w:t>Enterprise policy enforcement; organizational adoption; audit acceptance</w:t>
            </w:r>
          </w:p>
        </w:tc>
        <w:tc>
          <w:tcPr>
            <w:tcW w:type="dxa" w:w="2556"/>
          </w:tcPr>
          <w:p>
            <w:pPr>
              <w:spacing w:after="0"/>
            </w:pPr>
            <w:r>
              <w:rPr>
                <w:rFonts w:ascii="Arial" w:hAnsi="Arial"/>
                <w:b w:val="0"/>
                <w:sz w:val="14"/>
              </w:rPr>
              <w:t>Integration documentation; runtime logs</w:t>
            </w:r>
          </w:p>
        </w:tc>
      </w:tr>
      <w:tr>
        <w:tc>
          <w:tcPr>
            <w:tcW w:type="dxa" w:w="2556"/>
          </w:tcPr>
          <w:p>
            <w:pPr>
              <w:spacing w:after="0"/>
            </w:pPr>
            <w:r>
              <w:rPr>
                <w:rFonts w:ascii="Arial" w:hAnsi="Arial"/>
                <w:b w:val="0"/>
                <w:sz w:val="14"/>
              </w:rPr>
              <w:t>Enterprise deployment</w:t>
            </w:r>
          </w:p>
        </w:tc>
        <w:tc>
          <w:tcPr>
            <w:tcW w:type="dxa" w:w="2556"/>
          </w:tcPr>
          <w:p>
            <w:pPr>
              <w:spacing w:after="0"/>
            </w:pPr>
            <w:r>
              <w:rPr>
                <w:rFonts w:ascii="Arial" w:hAnsi="Arial"/>
                <w:b w:val="0"/>
                <w:sz w:val="14"/>
              </w:rPr>
              <w:t>Operational deployment; policy enforcement; organizational controls</w:t>
            </w:r>
          </w:p>
        </w:tc>
        <w:tc>
          <w:tcPr>
            <w:tcW w:type="dxa" w:w="2556"/>
          </w:tcPr>
          <w:p>
            <w:pPr>
              <w:spacing w:after="0"/>
            </w:pPr>
            <w:r>
              <w:rPr>
                <w:rFonts w:ascii="Arial" w:hAnsi="Arial"/>
                <w:b w:val="0"/>
                <w:sz w:val="14"/>
              </w:rPr>
              <w:t>Legal compliance; regulatory acceptance; insurer acceptance</w:t>
            </w:r>
          </w:p>
        </w:tc>
        <w:tc>
          <w:tcPr>
            <w:tcW w:type="dxa" w:w="2556"/>
          </w:tcPr>
          <w:p>
            <w:pPr>
              <w:spacing w:after="0"/>
            </w:pPr>
            <w:r>
              <w:rPr>
                <w:rFonts w:ascii="Arial" w:hAnsi="Arial"/>
                <w:b w:val="0"/>
                <w:sz w:val="14"/>
              </w:rPr>
              <w:t>Deployment evidence; policy documentation; operational logs</w:t>
            </w:r>
          </w:p>
        </w:tc>
      </w:tr>
      <w:tr>
        <w:tc>
          <w:tcPr>
            <w:tcW w:type="dxa" w:w="2556"/>
          </w:tcPr>
          <w:p>
            <w:pPr>
              <w:spacing w:after="0"/>
            </w:pPr>
            <w:r>
              <w:rPr>
                <w:rFonts w:ascii="Arial" w:hAnsi="Arial"/>
                <w:b w:val="0"/>
                <w:sz w:val="14"/>
              </w:rPr>
              <w:t>Validation evidence</w:t>
            </w:r>
          </w:p>
        </w:tc>
        <w:tc>
          <w:tcPr>
            <w:tcW w:type="dxa" w:w="2556"/>
          </w:tcPr>
          <w:p>
            <w:pPr>
              <w:spacing w:after="0"/>
            </w:pPr>
            <w:r>
              <w:rPr>
                <w:rFonts w:ascii="Arial" w:hAnsi="Arial"/>
                <w:b w:val="0"/>
                <w:sz w:val="14"/>
              </w:rPr>
              <w:t>Independent validation; evidence quality; conformance testing</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Validation reports; test results; conformance evidence</w:t>
            </w:r>
          </w:p>
        </w:tc>
      </w:tr>
      <w:tr>
        <w:tc>
          <w:tcPr>
            <w:tcW w:type="dxa" w:w="2556"/>
          </w:tcPr>
          <w:p>
            <w:pPr>
              <w:spacing w:after="0"/>
            </w:pPr>
            <w:r>
              <w:rPr>
                <w:rFonts w:ascii="Arial" w:hAnsi="Arial"/>
                <w:b w:val="0"/>
                <w:sz w:val="14"/>
              </w:rPr>
              <w:t>Third-party review</w:t>
            </w:r>
          </w:p>
        </w:tc>
        <w:tc>
          <w:tcPr>
            <w:tcW w:type="dxa" w:w="2556"/>
          </w:tcPr>
          <w:p>
            <w:pPr>
              <w:spacing w:after="0"/>
            </w:pPr>
            <w:r>
              <w:rPr>
                <w:rFonts w:ascii="Arial" w:hAnsi="Arial"/>
                <w:b w:val="0"/>
                <w:sz w:val="14"/>
              </w:rPr>
              <w:t>Independent assessment; peer review; expert evaluation</w:t>
            </w:r>
          </w:p>
        </w:tc>
        <w:tc>
          <w:tcPr>
            <w:tcW w:type="dxa" w:w="2556"/>
          </w:tcPr>
          <w:p>
            <w:pPr>
              <w:spacing w:after="0"/>
            </w:pPr>
            <w:r>
              <w:rPr>
                <w:rFonts w:ascii="Arial" w:hAnsi="Arial"/>
                <w:b w:val="0"/>
                <w:sz w:val="14"/>
              </w:rPr>
              <w:t>Certification; legal compliance; regulatory approval</w:t>
            </w:r>
          </w:p>
        </w:tc>
        <w:tc>
          <w:tcPr>
            <w:tcW w:type="dxa" w:w="2556"/>
          </w:tcPr>
          <w:p>
            <w:pPr>
              <w:spacing w:after="0"/>
            </w:pPr>
            <w:r>
              <w:rPr>
                <w:rFonts w:ascii="Arial" w:hAnsi="Arial"/>
                <w:b w:val="0"/>
                <w:sz w:val="14"/>
              </w:rPr>
              <w:t>Review reports; assessment documentation</w:t>
            </w:r>
          </w:p>
        </w:tc>
      </w:tr>
      <w:tr>
        <w:tc>
          <w:tcPr>
            <w:tcW w:type="dxa" w:w="2556"/>
          </w:tcPr>
          <w:p>
            <w:pPr>
              <w:spacing w:after="0"/>
            </w:pPr>
            <w:r>
              <w:rPr>
                <w:rFonts w:ascii="Arial" w:hAnsi="Arial"/>
                <w:b w:val="0"/>
                <w:sz w:val="14"/>
              </w:rPr>
              <w:t>Regulatory / audit / insurance acceptance</w:t>
            </w:r>
          </w:p>
        </w:tc>
        <w:tc>
          <w:tcPr>
            <w:tcW w:type="dxa" w:w="2556"/>
          </w:tcPr>
          <w:p>
            <w:pPr>
              <w:spacing w:after="0"/>
            </w:pPr>
            <w:r>
              <w:rPr>
                <w:rFonts w:ascii="Arial" w:hAnsi="Arial"/>
                <w:b w:val="0"/>
                <w:sz w:val="14"/>
              </w:rPr>
              <w:t>Regulator recognition; auditor acceptance; insurer acceptance</w:t>
            </w:r>
          </w:p>
        </w:tc>
        <w:tc>
          <w:tcPr>
            <w:tcW w:type="dxa" w:w="2556"/>
          </w:tcPr>
          <w:p>
            <w:pPr>
              <w:spacing w:after="0"/>
            </w:pPr>
            <w:r>
              <w:rPr>
                <w:rFonts w:ascii="Arial" w:hAnsi="Arial"/>
                <w:b w:val="0"/>
                <w:sz w:val="14"/>
              </w:rPr>
              <w:t>Automatic compliance; guaranteed insurability</w:t>
            </w:r>
          </w:p>
        </w:tc>
        <w:tc>
          <w:tcPr>
            <w:tcW w:type="dxa" w:w="2556"/>
          </w:tcPr>
          <w:p>
            <w:pPr>
              <w:spacing w:after="0"/>
            </w:pPr>
            <w:r>
              <w:rPr>
                <w:rFonts w:ascii="Arial" w:hAnsi="Arial"/>
                <w:b w:val="0"/>
                <w:sz w:val="14"/>
              </w:rPr>
              <w:t>Regulatory guidance; audit opinions; insurance policies</w:t>
            </w:r>
          </w:p>
        </w:tc>
      </w:tr>
    </w:tbl>
    <w:p>
      <w:pPr>
        <w:spacing w:after="56"/>
      </w:pPr>
      <w:r>
        <w:t>The gap between protocol semantics and operational evidence is not a weakness of MPLP. It is the nature of protocol-level governance. Any protocol path faces the same gap. The paper must not claim that MPLP's protocol-level fit automatically proves deployment conformance, legal compliance, or market acceptance.</w:t>
      </w:r>
    </w:p>
    <w:p>
      <w:pPr>
        <w:pStyle w:val="Heading2"/>
      </w:pPr>
      <w:r>
        <w:t>13.7 MPLP Non-Claim Discipline</w:t>
      </w:r>
    </w:p>
    <w:p>
      <w:pPr>
        <w:spacing w:after="56"/>
      </w:pPr>
      <w:r>
        <w:t>The following table explicitly restates forbidden claims to prevent overclaim.</w:t>
      </w:r>
    </w:p>
    <w:p>
      <w:pPr>
        <w:keepNext/>
      </w:pPr>
      <w:r>
        <w:rPr>
          <w:b/>
          <w:sz w:val="16"/>
        </w:rPr>
        <w:t>Table T-13-06: MPLP Non-Claim Discipline</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Permitted Statement</w:t>
            </w:r>
          </w:p>
        </w:tc>
        <w:tc>
          <w:tcPr>
            <w:tcW w:type="dxa" w:w="3408"/>
          </w:tcPr>
          <w:p>
            <w:pPr>
              <w:spacing w:after="0"/>
            </w:pPr>
            <w:r>
              <w:rPr>
                <w:rFonts w:ascii="Arial" w:hAnsi="Arial"/>
                <w:b/>
                <w:sz w:val="14"/>
              </w:rPr>
              <w:t>Prohibited Statement</w:t>
            </w:r>
          </w:p>
        </w:tc>
      </w:tr>
      <w:tr>
        <w:tc>
          <w:tcPr>
            <w:tcW w:type="dxa" w:w="3408"/>
          </w:tcPr>
          <w:p>
            <w:pPr>
              <w:spacing w:after="0"/>
            </w:pPr>
            <w:r>
              <w:rPr>
                <w:rFonts w:ascii="Arial" w:hAnsi="Arial"/>
                <w:b w:val="0"/>
                <w:sz w:val="14"/>
              </w:rPr>
              <w:t>Compliance</w:t>
            </w:r>
          </w:p>
        </w:tc>
        <w:tc>
          <w:tcPr>
            <w:tcW w:type="dxa" w:w="3408"/>
          </w:tcPr>
          <w:p>
            <w:pPr>
              <w:spacing w:after="0"/>
            </w:pPr>
            <w:r>
              <w:rPr>
                <w:rFonts w:ascii="Arial" w:hAnsi="Arial"/>
                <w:b w:val="0"/>
                <w:sz w:val="14"/>
              </w:rPr>
              <w:t>MPLP is one lifecycle protocol path; MPLP may express lifecycle responsibility objects</w:t>
            </w:r>
          </w:p>
        </w:tc>
        <w:tc>
          <w:tcPr>
            <w:tcW w:type="dxa" w:w="3408"/>
          </w:tcPr>
          <w:p>
            <w:pPr>
              <w:spacing w:after="0"/>
            </w:pPr>
            <w:r>
              <w:rPr>
                <w:rFonts w:ascii="Arial" w:hAnsi="Arial"/>
                <w:b w:val="0"/>
                <w:sz w:val="14"/>
              </w:rPr>
              <w:t>MPLP is required for compliance; MPLP certifies compliance; MPLP proves legal compliance</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MPLP can be evaluated as one example of protocol-level lifecycle governance</w:t>
            </w:r>
          </w:p>
        </w:tc>
        <w:tc>
          <w:tcPr>
            <w:tcW w:type="dxa" w:w="3408"/>
          </w:tcPr>
          <w:p>
            <w:pPr>
              <w:spacing w:after="0"/>
            </w:pPr>
            <w:r>
              <w:rPr>
                <w:rFonts w:ascii="Arial" w:hAnsi="Arial"/>
                <w:b w:val="0"/>
                <w:sz w:val="14"/>
              </w:rPr>
              <w:t>MPLP is a certification program; MPLP certifies systems; MPLP guarantees compliance</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MPLP defines protocol semantics for lifecycle governance</w:t>
            </w:r>
          </w:p>
        </w:tc>
        <w:tc>
          <w:tcPr>
            <w:tcW w:type="dxa" w:w="3408"/>
          </w:tcPr>
          <w:p>
            <w:pPr>
              <w:spacing w:after="0"/>
            </w:pPr>
            <w:r>
              <w:rPr>
                <w:rFonts w:ascii="Arial" w:hAnsi="Arial"/>
                <w:b w:val="0"/>
                <w:sz w:val="14"/>
              </w:rPr>
              <w:t>MPLP is a regulator; MPLP is a legal authority; MPLP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MPLP adoption requires regulatory interpretation</w:t>
            </w:r>
          </w:p>
        </w:tc>
        <w:tc>
          <w:tcPr>
            <w:tcW w:type="dxa" w:w="3408"/>
          </w:tcPr>
          <w:p>
            <w:pPr>
              <w:spacing w:after="0"/>
            </w:pPr>
            <w:r>
              <w:rPr>
                <w:rFonts w:ascii="Arial" w:hAnsi="Arial"/>
                <w:b w:val="0"/>
                <w:sz w:val="14"/>
              </w:rPr>
              <w:t>MPLP is regulator-approved; MPLP is the official standard; MPLP is mandated by regulation</w:t>
            </w:r>
          </w:p>
        </w:tc>
      </w:tr>
      <w:tr>
        <w:tc>
          <w:tcPr>
            <w:tcW w:type="dxa" w:w="3408"/>
          </w:tcPr>
          <w:p>
            <w:pPr>
              <w:spacing w:after="0"/>
            </w:pPr>
            <w:r>
              <w:rPr>
                <w:rFonts w:ascii="Arial" w:hAnsi="Arial"/>
                <w:b w:val="0"/>
                <w:sz w:val="14"/>
              </w:rPr>
              <w:t>Enterprise readiness</w:t>
            </w:r>
          </w:p>
        </w:tc>
        <w:tc>
          <w:tcPr>
            <w:tcW w:type="dxa" w:w="3408"/>
          </w:tcPr>
          <w:p>
            <w:pPr>
              <w:spacing w:after="0"/>
            </w:pPr>
            <w:r>
              <w:rPr>
                <w:rFonts w:ascii="Arial" w:hAnsi="Arial"/>
                <w:b w:val="0"/>
                <w:sz w:val="14"/>
              </w:rPr>
              <w:t>MPLP requires implementation validation and enterprise integration</w:t>
            </w:r>
          </w:p>
        </w:tc>
        <w:tc>
          <w:tcPr>
            <w:tcW w:type="dxa" w:w="3408"/>
          </w:tcPr>
          <w:p>
            <w:pPr>
              <w:spacing w:after="0"/>
            </w:pPr>
            <w:r>
              <w:rPr>
                <w:rFonts w:ascii="Arial" w:hAnsi="Arial"/>
                <w:b w:val="0"/>
                <w:sz w:val="14"/>
              </w:rPr>
              <w:t>MPLP proves enterprise readiness; MPLP is production-ready; MPLP guarantees operational effectiveness</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may serve as a non-certifying evidence adjudication example</w:t>
            </w:r>
          </w:p>
        </w:tc>
        <w:tc>
          <w:tcPr>
            <w:tcW w:type="dxa" w:w="3408"/>
          </w:tcPr>
          <w:p>
            <w:pPr>
              <w:spacing w:after="0"/>
            </w:pPr>
            <w:r>
              <w:rPr>
                <w:rFonts w:ascii="Arial" w:hAnsi="Arial"/>
                <w:b w:val="0"/>
                <w:sz w:val="14"/>
              </w:rPr>
              <w:t>Validation Lab certifies compliance; Validation Lab is a certification authority; Validation Lab proves legal compliance</w:t>
            </w:r>
          </w:p>
        </w:tc>
      </w:tr>
      <w:tr>
        <w:tc>
          <w:tcPr>
            <w:tcW w:type="dxa" w:w="3408"/>
          </w:tcPr>
          <w:p>
            <w:pPr>
              <w:spacing w:after="0"/>
            </w:pPr>
            <w:r>
              <w:rPr>
                <w:rFonts w:ascii="Arial" w:hAnsi="Arial"/>
                <w:b w:val="0"/>
                <w:sz w:val="14"/>
              </w:rPr>
              <w:t>RCCS/ALCS</w:t>
            </w:r>
          </w:p>
        </w:tc>
        <w:tc>
          <w:tcPr>
            <w:tcW w:type="dxa" w:w="3408"/>
          </w:tcPr>
          <w:p>
            <w:pPr>
              <w:spacing w:after="0"/>
            </w:pPr>
            <w:r>
              <w:rPr>
                <w:rFonts w:ascii="Arial" w:hAnsi="Arial"/>
                <w:b w:val="0"/>
                <w:sz w:val="14"/>
              </w:rPr>
              <w:t>MPLP may map strongly to ALCS dimensions; actual deployment requires implementation evidence</w:t>
            </w:r>
          </w:p>
        </w:tc>
        <w:tc>
          <w:tcPr>
            <w:tcW w:type="dxa" w:w="3408"/>
          </w:tcPr>
          <w:p>
            <w:pPr>
              <w:spacing w:after="0"/>
            </w:pPr>
            <w:r>
              <w:rPr>
                <w:rFonts w:ascii="Arial" w:hAnsi="Arial"/>
                <w:b w:val="0"/>
                <w:sz w:val="14"/>
              </w:rPr>
              <w:t>RCCS/ALCS proves legal compliance; high MPLP alignment guarantees compliance; MPLP satisfies all RCCS/ALCS requirements</w:t>
            </w:r>
          </w:p>
        </w:tc>
      </w:tr>
      <w:tr>
        <w:tc>
          <w:tcPr>
            <w:tcW w:type="dxa" w:w="3408"/>
          </w:tcPr>
          <w:p>
            <w:pPr>
              <w:spacing w:after="0"/>
            </w:pPr>
            <w:r>
              <w:rPr>
                <w:rFonts w:ascii="Arial" w:hAnsi="Arial"/>
                <w:b w:val="0"/>
                <w:sz w:val="14"/>
              </w:rPr>
              <w:t>Market adoption</w:t>
            </w:r>
          </w:p>
        </w:tc>
        <w:tc>
          <w:tcPr>
            <w:tcW w:type="dxa" w:w="3408"/>
          </w:tcPr>
          <w:p>
            <w:pPr>
              <w:spacing w:after="0"/>
            </w:pPr>
            <w:r>
              <w:rPr>
                <w:rFonts w:ascii="Arial" w:hAnsi="Arial"/>
                <w:b w:val="0"/>
                <w:sz w:val="14"/>
              </w:rPr>
              <w:t>MPLP adoption requires market validation and organizational acceptance</w:t>
            </w:r>
          </w:p>
        </w:tc>
        <w:tc>
          <w:tcPr>
            <w:tcW w:type="dxa" w:w="3408"/>
          </w:tcPr>
          <w:p>
            <w:pPr>
              <w:spacing w:after="0"/>
            </w:pPr>
            <w:r>
              <w:rPr>
                <w:rFonts w:ascii="Arial" w:hAnsi="Arial"/>
                <w:b w:val="0"/>
                <w:sz w:val="14"/>
              </w:rPr>
              <w:t>MPLP is industry-standard; MPLP is universally adopted; MPLP is the only solution</w:t>
            </w:r>
          </w:p>
        </w:tc>
      </w:tr>
      <w:tr>
        <w:tc>
          <w:tcPr>
            <w:tcW w:type="dxa" w:w="3408"/>
          </w:tcPr>
          <w:p>
            <w:pPr>
              <w:spacing w:after="0"/>
            </w:pPr>
            <w:r>
              <w:rPr>
                <w:rFonts w:ascii="Arial" w:hAnsi="Arial"/>
                <w:b w:val="0"/>
                <w:sz w:val="14"/>
              </w:rPr>
              <w:t>System comparison</w:t>
            </w:r>
          </w:p>
        </w:tc>
        <w:tc>
          <w:tcPr>
            <w:tcW w:type="dxa" w:w="3408"/>
          </w:tcPr>
          <w:p>
            <w:pPr>
              <w:spacing w:after="0"/>
            </w:pPr>
            <w:r>
              <w:rPr>
                <w:rFonts w:ascii="Arial" w:hAnsi="Arial"/>
                <w:b w:val="0"/>
                <w:sz w:val="14"/>
              </w:rPr>
              <w:t>MPLP can be compared to other systems by responsibility semantics</w:t>
            </w:r>
          </w:p>
        </w:tc>
        <w:tc>
          <w:tcPr>
            <w:tcW w:type="dxa" w:w="3408"/>
          </w:tcPr>
          <w:p>
            <w:pPr>
              <w:spacing w:after="0"/>
            </w:pPr>
            <w:r>
              <w:rPr>
                <w:rFonts w:ascii="Arial" w:hAnsi="Arial"/>
                <w:b w:val="0"/>
                <w:sz w:val="14"/>
              </w:rPr>
              <w:t>Other systems are non-compliant; MPLP is superior; systems without MPLP fail compliance</w:t>
            </w:r>
          </w:p>
        </w:tc>
      </w:tr>
    </w:tbl>
    <w:p>
      <w:pPr>
        <w:pStyle w:val="Heading2"/>
      </w:pPr>
      <w:r>
        <w:t>13.8 Bridge to Evidence-Based Validation Pattern</w:t>
      </w:r>
    </w:p>
    <w:p>
      <w:pPr>
        <w:spacing w:after="56"/>
      </w:pPr>
      <w:r>
        <w:t>Chapter 13 has mapped MPLP's protocol semantics to lifecycle responsibility objects. Chapter 14 will discuss evidence-based validation patterns and will treat Validation Lab only as a non-certifying evidence adjudication example.</w:t>
      </w:r>
    </w:p>
    <w:p>
      <w:pPr>
        <w:spacing w:after="56"/>
      </w:pPr>
      <w:r>
        <w:t>Chapter 14 must not become an endorsement or certification claim. Validation Lab is referenced as one example of how evidence-based validation can support lifecycle governance without creating a certification program. The paper evaluates validation patterns, not validation products.</w:t>
      </w:r>
    </w:p>
    <w:p>
      <w:pPr>
        <w:spacing w:after="56"/>
      </w:pPr>
      <w:r>
        <w:t>The bridge from protocol semantics (Chapter 13) to validation patterns (Chapter 14) is the recognition that protocol-level fit must be validated through evidence, not assumed through design. MPLP's strong ALCS mapping creates validation opportunities, but validation itself requires independent evidence, not protocol authority.</w:t>
      </w:r>
    </w:p>
    <w:p>
      <w:pPr>
        <w:pStyle w:val="Heading1"/>
      </w:pPr>
      <w:r>
        <w:t>14. Evidence-Based Validation Pattern for AI Agent Lifecycle Governance</w:t>
      </w:r>
    </w:p>
    <w:p>
      <w:pPr>
        <w:spacing w:after="56"/>
      </w:pPr>
      <w:r>
        <w:t>Version: v0.3.2-FRC-R3</w:t>
      </w:r>
    </w:p>
    <w:p>
      <w:pPr>
        <w:pStyle w:val="Heading2"/>
      </w:pPr>
      <w:r>
        <w:t>14.0 Why Evidence-Based Validation Matters for AI Agent Lifecycle Governance</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internal governance artifacts. They require reviewable validation, which may be performed by internal governance teams, auditors, validation providers, or other qualified reviewers depending on context.</w:t>
      </w:r>
    </w:p>
    <w:p>
      <w:pPr>
        <w:spacing w:after="56"/>
      </w:pPr>
      <w:r>
        <w:t>Evidence-based validation is a methodology pattern for privacy-preserving third-party validation of lifecycle responsibility objects. The pattern allows organizations to demonstrate governance conformance without exposing sensitive operational data, proprietary workflows, or confidential business logic.</w:t>
      </w:r>
    </w:p>
    <w:p>
      <w:pPr>
        <w:spacing w:after="56"/>
      </w:pPr>
      <w:r>
        <w:t>This chapter describes the evidence-based validation pattern as a reusable methodology. It does not describe a certification program, regulatory approval process, or legal compliance proof. The pattern can be implemented by multiple validation providers, internal audit teams, or enterprise governance functions.</w:t>
      </w:r>
    </w:p>
    <w:p>
      <w:pPr>
        <w:spacing w:after="56"/>
      </w:pPr>
      <w:r>
        <w:t>Validation Lab is referenced in this chapter as one non-certifying evidence adjudication example at the level of public-surface evidence. Detailed methodology support remains boundary-limited and must not be treated as independent audit evidence. Validation Lab does not certify compliance, does not act as a certification authority, and does not prove legal compliance. It is an example of how the evidence-based validation pattern can be operationalized.</w:t>
      </w:r>
    </w:p>
    <w:p>
      <w:pPr>
        <w:pStyle w:val="Heading2"/>
      </w:pPr>
      <w:r>
        <w:t>14.1 Evidence-Based Validation Pattern Overview</w:t>
      </w:r>
    </w:p>
    <w:p>
      <w:pPr>
        <w:spacing w:after="56"/>
      </w:pPr>
      <w:r>
        <w:t>The evidence-based validation pattern separates evidence generation from evidence adjudication. Organizations generate lifecycle responsibility evidence through their agentic systems. Validation providers adjudicate that evidence against predefined rulesets without requiring access to the underlying operational systems.</w:t>
      </w:r>
    </w:p>
    <w:p>
      <w:pPr>
        <w:spacing w:after="56"/>
      </w:pPr>
      <w:r>
        <w:t>Pattern boundary: The pattern validates that lifecycle responsibility objects exist, are structured correctly, and satisfy predefined governance rules. It does not validate business logic correctness, model accuracy, legal compliance, or regulatory approval.</w:t>
      </w:r>
    </w:p>
    <w:p>
      <w:pPr>
        <w:spacing w:after="56"/>
      </w:pPr>
      <w:r>
        <w:t>Figure F-08 - Evidence-Based Validation Pattern Flow</w:t>
      </w:r>
    </w:p>
    <w:p>
      <w:pPr>
        <w:spacing w:after="56"/>
      </w:pPr>
      <w:r>
        <w:t>Organization -&gt; Evidence Pack -&gt; Hash Manifest -&gt; Validation Provider -&gt; Ruleset Identity -&gt; Evidence Pointers -&gt; Verdict Hash -&gt; Disclosure / Redaction Profile -&gt; Replay / Recheck Procedure</w:t>
      </w:r>
    </w:p>
    <w:p>
      <w:pPr>
        <w:spacing w:after="56"/>
      </w:pPr>
      <w:r>
        <w:t>Figure F-08 shows the evidence-based validation pattern flow. Organizations generate evidence packs containing lifecycle responsibility objects. Hash manifests provide tamper-evident integrity. Validation providers or qualified reviewers apply predefined rulesets to evidence pointers and return verdict records or hashes. Disclosure and redaction profiles support privacy-preserving validation. Replay and recheck procedures support repeatable validation. The figure is a methodology pattern, not a certification process, legal compliance proof, or regulatory approval path.</w:t>
      </w:r>
    </w:p>
    <w:p>
      <w:pPr>
        <w:pStyle w:val="Heading2"/>
      </w:pPr>
      <w:r>
        <w:t>14.2 Methodology Components Mapping</w:t>
      </w:r>
    </w:p>
    <w:p>
      <w:pPr>
        <w:spacing w:after="56"/>
      </w:pPr>
      <w:r>
        <w:t>The evidence-based validation pattern consists of eight core components. Each component maps to specific Missing Regulatory Objects and ALCS dimensions.</w:t>
      </w:r>
    </w:p>
    <w:p>
      <w:pPr>
        <w:keepNext/>
      </w:pPr>
      <w:r>
        <w:rPr>
          <w:b/>
          <w:sz w:val="16"/>
        </w:rPr>
        <w:t>Table T-14-01: Evidence-Based Validation Pattern Components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Component</w:t>
            </w:r>
          </w:p>
        </w:tc>
        <w:tc>
          <w:tcPr>
            <w:tcW w:type="dxa" w:w="2045"/>
          </w:tcPr>
          <w:p>
            <w:pPr>
              <w:spacing w:after="0"/>
            </w:pPr>
            <w:r>
              <w:rPr>
                <w:rFonts w:ascii="Arial" w:hAnsi="Arial"/>
                <w:b/>
                <w:sz w:val="14"/>
              </w:rPr>
              <w:t>Purpose</w:t>
            </w:r>
          </w:p>
        </w:tc>
        <w:tc>
          <w:tcPr>
            <w:tcW w:type="dxa" w:w="2045"/>
          </w:tcPr>
          <w:p>
            <w:pPr>
              <w:spacing w:after="0"/>
            </w:pPr>
            <w:r>
              <w:rPr>
                <w:rFonts w:ascii="Arial" w:hAnsi="Arial"/>
                <w:b/>
                <w:sz w:val="14"/>
              </w:rPr>
              <w:t>Lifecycle Responsibility Object</w:t>
            </w:r>
          </w:p>
        </w:tc>
        <w:tc>
          <w:tcPr>
            <w:tcW w:type="dxa" w:w="2045"/>
          </w:tcPr>
          <w:p>
            <w:pPr>
              <w:spacing w:after="0"/>
            </w:pPr>
            <w:r>
              <w:rPr>
                <w:rFonts w:ascii="Arial" w:hAnsi="Arial"/>
                <w:b/>
                <w:sz w:val="14"/>
              </w:rPr>
              <w:t>Relevant MROs</w:t>
            </w:r>
          </w:p>
        </w:tc>
        <w:tc>
          <w:tcPr>
            <w:tcW w:type="dxa" w:w="2045"/>
          </w:tcPr>
          <w:p>
            <w:pPr>
              <w:spacing w:after="0"/>
            </w:pPr>
            <w:r>
              <w:rPr>
                <w:rFonts w:ascii="Arial" w:hAnsi="Arial"/>
                <w:b/>
                <w:sz w:val="14"/>
              </w:rPr>
              <w:t>Relevant ALCS Dimensions</w:t>
            </w:r>
          </w:p>
        </w:tc>
      </w:tr>
      <w:tr>
        <w:tc>
          <w:tcPr>
            <w:tcW w:type="dxa" w:w="2045"/>
          </w:tcPr>
          <w:p>
            <w:pPr>
              <w:spacing w:after="0"/>
            </w:pPr>
            <w:r>
              <w:rPr>
                <w:rFonts w:ascii="Arial" w:hAnsi="Arial"/>
                <w:b w:val="0"/>
                <w:sz w:val="14"/>
              </w:rPr>
              <w:t>Evidence Pack</w:t>
            </w:r>
          </w:p>
        </w:tc>
        <w:tc>
          <w:tcPr>
            <w:tcW w:type="dxa" w:w="2045"/>
          </w:tcPr>
          <w:p>
            <w:pPr>
              <w:spacing w:after="0"/>
            </w:pPr>
            <w:r>
              <w:rPr>
                <w:rFonts w:ascii="Arial" w:hAnsi="Arial"/>
                <w:b w:val="0"/>
                <w:sz w:val="14"/>
              </w:rPr>
              <w:t>Container for lifecycle responsibility objects (role mappings, delegation boundaries, accepted outcomes, evidence chains, handoff records)</w:t>
            </w:r>
          </w:p>
        </w:tc>
        <w:tc>
          <w:tcPr>
            <w:tcW w:type="dxa" w:w="2045"/>
          </w:tcPr>
          <w:p>
            <w:pPr>
              <w:spacing w:after="0"/>
            </w:pPr>
            <w:r>
              <w:rPr>
                <w:rFonts w:ascii="Arial" w:hAnsi="Arial"/>
                <w:b w:val="0"/>
                <w:sz w:val="14"/>
              </w:rPr>
              <w:t>All lifecycle responsibility objects</w:t>
            </w:r>
          </w:p>
        </w:tc>
        <w:tc>
          <w:tcPr>
            <w:tcW w:type="dxa" w:w="2045"/>
          </w:tcPr>
          <w:p>
            <w:pPr>
              <w:spacing w:after="0"/>
            </w:pPr>
            <w:r>
              <w:rPr>
                <w:rFonts w:ascii="Arial" w:hAnsi="Arial"/>
                <w:b w:val="0"/>
                <w:sz w:val="14"/>
              </w:rPr>
              <w:t>MRO-08: MAS Evidence Partitioning</w:t>
            </w:r>
          </w:p>
        </w:tc>
        <w:tc>
          <w:tcPr>
            <w:tcW w:type="dxa" w:w="2045"/>
          </w:tcPr>
          <w:p>
            <w:pPr>
              <w:spacing w:after="0"/>
            </w:pPr>
            <w:r>
              <w:rPr>
                <w:rFonts w:ascii="Arial" w:hAnsi="Arial"/>
                <w:b w:val="0"/>
                <w:sz w:val="14"/>
              </w:rPr>
              <w:t>ALCS-08: MAS Evidence Partitioning</w:t>
            </w:r>
          </w:p>
        </w:tc>
      </w:tr>
      <w:tr>
        <w:tc>
          <w:tcPr>
            <w:tcW w:type="dxa" w:w="2045"/>
          </w:tcPr>
          <w:p>
            <w:pPr>
              <w:spacing w:after="0"/>
            </w:pPr>
            <w:r>
              <w:rPr>
                <w:rFonts w:ascii="Arial" w:hAnsi="Arial"/>
                <w:b w:val="0"/>
                <w:sz w:val="14"/>
              </w:rPr>
              <w:t>Hash Manifest</w:t>
            </w:r>
          </w:p>
        </w:tc>
        <w:tc>
          <w:tcPr>
            <w:tcW w:type="dxa" w:w="2045"/>
          </w:tcPr>
          <w:p>
            <w:pPr>
              <w:spacing w:after="0"/>
            </w:pPr>
            <w:r>
              <w:rPr>
                <w:rFonts w:ascii="Arial" w:hAnsi="Arial"/>
                <w:b w:val="0"/>
                <w:sz w:val="14"/>
              </w:rPr>
              <w:t>Tamper-evident integrity for evidence pack contents</w:t>
            </w:r>
          </w:p>
        </w:tc>
        <w:tc>
          <w:tcPr>
            <w:tcW w:type="dxa" w:w="2045"/>
          </w:tcPr>
          <w:p>
            <w:pPr>
              <w:spacing w:after="0"/>
            </w:pPr>
            <w:r>
              <w:rPr>
                <w:rFonts w:ascii="Arial" w:hAnsi="Arial"/>
                <w:b w:val="0"/>
                <w:sz w:val="14"/>
              </w:rPr>
              <w:t>Evidence integrity and non-repudiation</w:t>
            </w:r>
          </w:p>
        </w:tc>
        <w:tc>
          <w:tcPr>
            <w:tcW w:type="dxa" w:w="2045"/>
          </w:tcPr>
          <w:p>
            <w:pPr>
              <w:spacing w:after="0"/>
            </w:pPr>
            <w:r>
              <w:rPr>
                <w:rFonts w:ascii="Arial" w:hAnsi="Arial"/>
                <w:b w:val="0"/>
                <w:sz w:val="14"/>
              </w:rPr>
              <w:t>MRO-08: MAS Evidence Partitioning; MRO-12: Evidence Minimization and Selective Disclosure</w:t>
            </w:r>
          </w:p>
        </w:tc>
        <w:tc>
          <w:tcPr>
            <w:tcW w:type="dxa" w:w="2045"/>
          </w:tcPr>
          <w:p>
            <w:pPr>
              <w:spacing w:after="0"/>
            </w:pPr>
            <w:r>
              <w:rPr>
                <w:rFonts w:ascii="Arial" w:hAnsi="Arial"/>
                <w:b w:val="0"/>
                <w:sz w:val="14"/>
              </w:rPr>
              <w:t>ALCS-08: MAS Evidence Partitioning; ALCS-12: Evidence Minimization and Selective Disclosure</w:t>
            </w:r>
          </w:p>
        </w:tc>
      </w:tr>
      <w:tr>
        <w:tc>
          <w:tcPr>
            <w:tcW w:type="dxa" w:w="2045"/>
          </w:tcPr>
          <w:p>
            <w:pPr>
              <w:spacing w:after="0"/>
            </w:pPr>
            <w:r>
              <w:rPr>
                <w:rFonts w:ascii="Arial" w:hAnsi="Arial"/>
                <w:b w:val="0"/>
                <w:sz w:val="14"/>
              </w:rPr>
              <w:t>Ruleset Identity</w:t>
            </w:r>
          </w:p>
        </w:tc>
        <w:tc>
          <w:tcPr>
            <w:tcW w:type="dxa" w:w="2045"/>
          </w:tcPr>
          <w:p>
            <w:pPr>
              <w:spacing w:after="0"/>
            </w:pPr>
            <w:r>
              <w:rPr>
                <w:rFonts w:ascii="Arial" w:hAnsi="Arial"/>
                <w:b w:val="0"/>
                <w:sz w:val="14"/>
              </w:rPr>
              <w:t>Predefined governance rules applied to evidence (e.g., "role mapping must exist", "delegation boundary must be explicit")</w:t>
            </w:r>
          </w:p>
        </w:tc>
        <w:tc>
          <w:tcPr>
            <w:tcW w:type="dxa" w:w="2045"/>
          </w:tcPr>
          <w:p>
            <w:pPr>
              <w:spacing w:after="0"/>
            </w:pPr>
            <w:r>
              <w:rPr>
                <w:rFonts w:ascii="Arial" w:hAnsi="Arial"/>
                <w:b w:val="0"/>
                <w:sz w:val="14"/>
              </w:rPr>
              <w:t>Governance rule conformance</w:t>
            </w:r>
          </w:p>
        </w:tc>
        <w:tc>
          <w:tcPr>
            <w:tcW w:type="dxa" w:w="2045"/>
          </w:tcPr>
          <w:p>
            <w:pPr>
              <w:spacing w:after="0"/>
            </w:pPr>
            <w:r>
              <w:rPr>
                <w:rFonts w:ascii="Arial" w:hAnsi="Arial"/>
                <w:b w:val="0"/>
                <w:sz w:val="14"/>
              </w:rPr>
              <w:t>MRO-11: Privacy-Preserving Third-Party Validation</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Evidence Pointers</w:t>
            </w:r>
          </w:p>
        </w:tc>
        <w:tc>
          <w:tcPr>
            <w:tcW w:type="dxa" w:w="2045"/>
          </w:tcPr>
          <w:p>
            <w:pPr>
              <w:spacing w:after="0"/>
            </w:pPr>
            <w:r>
              <w:rPr>
                <w:rFonts w:ascii="Arial" w:hAnsi="Arial"/>
                <w:b w:val="0"/>
                <w:sz w:val="14"/>
              </w:rPr>
              <w:t>References to specific evidence objects within the evidence pack (supports selective disclosure)</w:t>
            </w:r>
          </w:p>
        </w:tc>
        <w:tc>
          <w:tcPr>
            <w:tcW w:type="dxa" w:w="2045"/>
          </w:tcPr>
          <w:p>
            <w:pPr>
              <w:spacing w:after="0"/>
            </w:pPr>
            <w:r>
              <w:rPr>
                <w:rFonts w:ascii="Arial" w:hAnsi="Arial"/>
                <w:b w:val="0"/>
                <w:sz w:val="14"/>
              </w:rPr>
              <w:t>Selective disclosure and privacy-preserving validation</w:t>
            </w:r>
          </w:p>
        </w:tc>
        <w:tc>
          <w:tcPr>
            <w:tcW w:type="dxa" w:w="2045"/>
          </w:tcPr>
          <w:p>
            <w:pPr>
              <w:spacing w:after="0"/>
            </w:pPr>
            <w:r>
              <w:rPr>
                <w:rFonts w:ascii="Arial" w:hAnsi="Arial"/>
                <w:b w:val="0"/>
                <w:sz w:val="14"/>
              </w:rPr>
              <w:t>MRO-11: Privacy-Preserving Third-Party Validation; MRO-12: Evidence Minimization and Selective Disclosure</w:t>
            </w:r>
          </w:p>
        </w:tc>
        <w:tc>
          <w:tcPr>
            <w:tcW w:type="dxa" w:w="2045"/>
          </w:tcPr>
          <w:p>
            <w:pPr>
              <w:spacing w:after="0"/>
            </w:pPr>
            <w:r>
              <w:rPr>
                <w:rFonts w:ascii="Arial" w:hAnsi="Arial"/>
                <w:b w:val="0"/>
                <w:sz w:val="14"/>
              </w:rPr>
              <w:t>ALCS-11: Privacy-Preserving Third-Party Validation; ALCS-12: Evidence Minimization and Selective Disclosure</w:t>
            </w:r>
          </w:p>
        </w:tc>
      </w:tr>
      <w:tr>
        <w:tc>
          <w:tcPr>
            <w:tcW w:type="dxa" w:w="2045"/>
          </w:tcPr>
          <w:p>
            <w:pPr>
              <w:spacing w:after="0"/>
            </w:pPr>
            <w:r>
              <w:rPr>
                <w:rFonts w:ascii="Arial" w:hAnsi="Arial"/>
                <w:b w:val="0"/>
                <w:sz w:val="14"/>
              </w:rPr>
              <w:t>Verdict Hash</w:t>
            </w:r>
          </w:p>
        </w:tc>
        <w:tc>
          <w:tcPr>
            <w:tcW w:type="dxa" w:w="2045"/>
          </w:tcPr>
          <w:p>
            <w:pPr>
              <w:spacing w:after="0"/>
            </w:pPr>
            <w:r>
              <w:rPr>
                <w:rFonts w:ascii="Arial" w:hAnsi="Arial"/>
                <w:b w:val="0"/>
                <w:sz w:val="14"/>
              </w:rPr>
              <w:t>Cryptographic hash of validation result (pass/fail/partial) without exposing evidence details</w:t>
            </w:r>
          </w:p>
        </w:tc>
        <w:tc>
          <w:tcPr>
            <w:tcW w:type="dxa" w:w="2045"/>
          </w:tcPr>
          <w:p>
            <w:pPr>
              <w:spacing w:after="0"/>
            </w:pPr>
            <w:r>
              <w:rPr>
                <w:rFonts w:ascii="Arial" w:hAnsi="Arial"/>
                <w:b w:val="0"/>
                <w:sz w:val="14"/>
              </w:rPr>
              <w:t>Privacy-preserving validation result</w:t>
            </w:r>
          </w:p>
        </w:tc>
        <w:tc>
          <w:tcPr>
            <w:tcW w:type="dxa" w:w="2045"/>
          </w:tcPr>
          <w:p>
            <w:pPr>
              <w:spacing w:after="0"/>
            </w:pPr>
            <w:r>
              <w:rPr>
                <w:rFonts w:ascii="Arial" w:hAnsi="Arial"/>
                <w:b w:val="0"/>
                <w:sz w:val="14"/>
              </w:rPr>
              <w:t>MRO-11: Privacy-Preserving Third-Party Validation; MRO-16: Incident, Dispute, and Remediation Closure</w:t>
            </w:r>
          </w:p>
        </w:tc>
        <w:tc>
          <w:tcPr>
            <w:tcW w:type="dxa" w:w="2045"/>
          </w:tcPr>
          <w:p>
            <w:pPr>
              <w:spacing w:after="0"/>
            </w:pPr>
            <w:r>
              <w:rPr>
                <w:rFonts w:ascii="Arial" w:hAnsi="Arial"/>
                <w:b w:val="0"/>
                <w:sz w:val="14"/>
              </w:rPr>
              <w:t>ALCS-11: Privacy-Preserving Third-Party Validation</w:t>
            </w:r>
          </w:p>
        </w:tc>
      </w:tr>
      <w:tr>
        <w:tc>
          <w:tcPr>
            <w:tcW w:type="dxa" w:w="2045"/>
          </w:tcPr>
          <w:p>
            <w:pPr>
              <w:spacing w:after="0"/>
            </w:pPr>
            <w:r>
              <w:rPr>
                <w:rFonts w:ascii="Arial" w:hAnsi="Arial"/>
                <w:b w:val="0"/>
                <w:sz w:val="14"/>
              </w:rPr>
              <w:t>Disclosure Profile</w:t>
            </w:r>
          </w:p>
        </w:tc>
        <w:tc>
          <w:tcPr>
            <w:tcW w:type="dxa" w:w="2045"/>
          </w:tcPr>
          <w:p>
            <w:pPr>
              <w:spacing w:after="0"/>
            </w:pPr>
            <w:r>
              <w:rPr>
                <w:rFonts w:ascii="Arial" w:hAnsi="Arial"/>
                <w:b w:val="0"/>
                <w:sz w:val="14"/>
              </w:rPr>
              <w:t>Policy defining what evidence can be disclosed to validation provider</w:t>
            </w:r>
          </w:p>
        </w:tc>
        <w:tc>
          <w:tcPr>
            <w:tcW w:type="dxa" w:w="2045"/>
          </w:tcPr>
          <w:p>
            <w:pPr>
              <w:spacing w:after="0"/>
            </w:pPr>
            <w:r>
              <w:rPr>
                <w:rFonts w:ascii="Arial" w:hAnsi="Arial"/>
                <w:b w:val="0"/>
                <w:sz w:val="14"/>
              </w:rPr>
              <w:t>Privacy and data minimization policy</w:t>
            </w:r>
          </w:p>
        </w:tc>
        <w:tc>
          <w:tcPr>
            <w:tcW w:type="dxa" w:w="2045"/>
          </w:tcPr>
          <w:p>
            <w:pPr>
              <w:spacing w:after="0"/>
            </w:pPr>
            <w:r>
              <w:rPr>
                <w:rFonts w:ascii="Arial" w:hAnsi="Arial"/>
                <w:b w:val="0"/>
                <w:sz w:val="14"/>
              </w:rPr>
              <w:t>MRO-12: Evidence Minimization and Selective Disclosure; MRO-13: Data Subject Rights vs Evidence Retention</w:t>
            </w:r>
          </w:p>
        </w:tc>
        <w:tc>
          <w:tcPr>
            <w:tcW w:type="dxa" w:w="2045"/>
          </w:tcPr>
          <w:p>
            <w:pPr>
              <w:spacing w:after="0"/>
            </w:pPr>
            <w:r>
              <w:rPr>
                <w:rFonts w:ascii="Arial" w:hAnsi="Arial"/>
                <w:b w:val="0"/>
                <w:sz w:val="14"/>
              </w:rPr>
              <w:t>ALCS-12: Evidence Minimization and Selective Disclosure; ALCS-13: Data Subject Rights vs Evidence Retention</w:t>
            </w:r>
          </w:p>
        </w:tc>
      </w:tr>
      <w:tr>
        <w:tc>
          <w:tcPr>
            <w:tcW w:type="dxa" w:w="2045"/>
          </w:tcPr>
          <w:p>
            <w:pPr>
              <w:spacing w:after="0"/>
            </w:pPr>
            <w:r>
              <w:rPr>
                <w:rFonts w:ascii="Arial" w:hAnsi="Arial"/>
                <w:b w:val="0"/>
                <w:sz w:val="14"/>
              </w:rPr>
              <w:t>Redaction Profile</w:t>
            </w:r>
          </w:p>
        </w:tc>
        <w:tc>
          <w:tcPr>
            <w:tcW w:type="dxa" w:w="2045"/>
          </w:tcPr>
          <w:p>
            <w:pPr>
              <w:spacing w:after="0"/>
            </w:pPr>
            <w:r>
              <w:rPr>
                <w:rFonts w:ascii="Arial" w:hAnsi="Arial"/>
                <w:b w:val="0"/>
                <w:sz w:val="14"/>
              </w:rPr>
              <w:t>Policy defining what evidence must be redacted before disclosure</w:t>
            </w:r>
          </w:p>
        </w:tc>
        <w:tc>
          <w:tcPr>
            <w:tcW w:type="dxa" w:w="2045"/>
          </w:tcPr>
          <w:p>
            <w:pPr>
              <w:spacing w:after="0"/>
            </w:pPr>
            <w:r>
              <w:rPr>
                <w:rFonts w:ascii="Arial" w:hAnsi="Arial"/>
                <w:b w:val="0"/>
                <w:sz w:val="14"/>
              </w:rPr>
              <w:t>Privacy and data subject rights</w:t>
            </w:r>
          </w:p>
        </w:tc>
        <w:tc>
          <w:tcPr>
            <w:tcW w:type="dxa" w:w="2045"/>
          </w:tcPr>
          <w:p>
            <w:pPr>
              <w:spacing w:after="0"/>
            </w:pPr>
            <w:r>
              <w:rPr>
                <w:rFonts w:ascii="Arial" w:hAnsi="Arial"/>
                <w:b w:val="0"/>
                <w:sz w:val="14"/>
              </w:rPr>
              <w:t>MRO-13: Data Subject Rights vs Evidence Retention</w:t>
            </w:r>
          </w:p>
        </w:tc>
        <w:tc>
          <w:tcPr>
            <w:tcW w:type="dxa" w:w="2045"/>
          </w:tcPr>
          <w:p>
            <w:pPr>
              <w:spacing w:after="0"/>
            </w:pPr>
            <w:r>
              <w:rPr>
                <w:rFonts w:ascii="Arial" w:hAnsi="Arial"/>
                <w:b w:val="0"/>
                <w:sz w:val="14"/>
              </w:rPr>
              <w:t>ALCS-13: Data Subject Rights vs Evidence Retention</w:t>
            </w:r>
          </w:p>
        </w:tc>
      </w:tr>
      <w:tr>
        <w:tc>
          <w:tcPr>
            <w:tcW w:type="dxa" w:w="2045"/>
          </w:tcPr>
          <w:p>
            <w:pPr>
              <w:spacing w:after="0"/>
            </w:pPr>
            <w:r>
              <w:rPr>
                <w:rFonts w:ascii="Arial" w:hAnsi="Arial"/>
                <w:b w:val="0"/>
                <w:sz w:val="14"/>
              </w:rPr>
              <w:t>Replay / Recheck Procedure</w:t>
            </w:r>
          </w:p>
        </w:tc>
        <w:tc>
          <w:tcPr>
            <w:tcW w:type="dxa" w:w="2045"/>
          </w:tcPr>
          <w:p>
            <w:pPr>
              <w:spacing w:after="0"/>
            </w:pPr>
            <w:r>
              <w:rPr>
                <w:rFonts w:ascii="Arial" w:hAnsi="Arial"/>
                <w:b w:val="0"/>
                <w:sz w:val="14"/>
              </w:rPr>
              <w:t>Procedure for re-validating evidence after system changes or policy updates</w:t>
            </w:r>
          </w:p>
        </w:tc>
        <w:tc>
          <w:tcPr>
            <w:tcW w:type="dxa" w:w="2045"/>
          </w:tcPr>
          <w:p>
            <w:pPr>
              <w:spacing w:after="0"/>
            </w:pPr>
            <w:r>
              <w:rPr>
                <w:rFonts w:ascii="Arial" w:hAnsi="Arial"/>
                <w:b w:val="0"/>
                <w:sz w:val="14"/>
              </w:rPr>
              <w:t>Continuous validation and substitution conformance</w:t>
            </w:r>
          </w:p>
        </w:tc>
        <w:tc>
          <w:tcPr>
            <w:tcW w:type="dxa" w:w="2045"/>
          </w:tcPr>
          <w:p>
            <w:pPr>
              <w:spacing w:after="0"/>
            </w:pPr>
            <w:r>
              <w:rPr>
                <w:rFonts w:ascii="Arial" w:hAnsi="Arial"/>
                <w:b w:val="0"/>
                <w:sz w:val="14"/>
              </w:rPr>
              <w:t>MRO-15: Vendor/Model/Runtime Substitution Conformance; MRO-16: Incident, Dispute, and Remediation Closure</w:t>
            </w:r>
          </w:p>
        </w:tc>
        <w:tc>
          <w:tcPr>
            <w:tcW w:type="dxa" w:w="2045"/>
          </w:tcPr>
          <w:p>
            <w:pPr>
              <w:spacing w:after="0"/>
            </w:pPr>
            <w:r>
              <w:rPr>
                <w:rFonts w:ascii="Arial" w:hAnsi="Arial"/>
                <w:b w:val="0"/>
                <w:sz w:val="14"/>
              </w:rPr>
              <w:t>ALCS-15: Vendor/Model/Runtime Substitution Conformance</w:t>
            </w:r>
          </w:p>
        </w:tc>
      </w:tr>
    </w:tbl>
    <w:p>
      <w:pPr>
        <w:spacing w:after="56"/>
      </w:pPr>
      <w:r>
        <w:t>Interpretation: The evidence-based validation pattern components map strongly to MRO-08, MRO-11, MRO-12, MRO-13, and MRO-16. The pattern supports privacy-preserving third-party validation (MRO-11), evidence minimization (MRO-12), and selective disclosure (MRO-12). The pattern does not replace organizational governance, legal interpretation, or regulatory approval.</w:t>
      </w:r>
    </w:p>
    <w:p>
      <w:pPr>
        <w:pStyle w:val="Heading2"/>
      </w:pPr>
      <w:r>
        <w:t>14.3 What This Pattern Does Not Prove</w:t>
      </w:r>
    </w:p>
    <w:p>
      <w:pPr>
        <w:spacing w:after="56"/>
      </w:pPr>
      <w:r>
        <w:t>The evidence-based validation pattern validates lifecycle responsibility object conformance. It does not validate legal compliance, regulatory approval, business logic correctness, model accuracy, or operational effectiveness.</w:t>
      </w:r>
    </w:p>
    <w:p>
      <w:pPr>
        <w:keepNext/>
      </w:pPr>
      <w:r>
        <w:rPr>
          <w:b/>
          <w:sz w:val="16"/>
        </w:rPr>
        <w:t>Table T-14-02: Evidence-Based Validation Pattern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What the Pattern Can Validate</w:t>
            </w:r>
          </w:p>
        </w:tc>
        <w:tc>
          <w:tcPr>
            <w:tcW w:type="dxa" w:w="3408"/>
          </w:tcPr>
          <w:p>
            <w:pPr>
              <w:spacing w:after="0"/>
            </w:pPr>
            <w:r>
              <w:rPr>
                <w:rFonts w:ascii="Arial" w:hAnsi="Arial"/>
                <w:b/>
                <w:sz w:val="14"/>
              </w:rPr>
              <w:t>What the Pattern Cannot Validate</w:t>
            </w:r>
          </w:p>
        </w:tc>
        <w:tc>
          <w:tcPr>
            <w:tcW w:type="dxa" w:w="3408"/>
          </w:tcPr>
          <w:p>
            <w:pPr>
              <w:spacing w:after="0"/>
            </w:pPr>
            <w:r>
              <w:rPr>
                <w:rFonts w:ascii="Arial" w:hAnsi="Arial"/>
                <w:b/>
                <w:sz w:val="14"/>
              </w:rPr>
              <w:t>Why the Boundary Exists</w:t>
            </w:r>
          </w:p>
        </w:tc>
      </w:tr>
      <w:tr>
        <w:tc>
          <w:tcPr>
            <w:tcW w:type="dxa" w:w="3408"/>
          </w:tcPr>
          <w:p>
            <w:pPr>
              <w:spacing w:after="0"/>
            </w:pPr>
            <w:r>
              <w:rPr>
                <w:rFonts w:ascii="Arial" w:hAnsi="Arial"/>
                <w:b w:val="0"/>
                <w:sz w:val="14"/>
              </w:rPr>
              <w:t>Lifecycle responsibility objects exist (role mappings, delegation boundaries, accepted outcomes, evidence chains, handoff records)</w:t>
            </w:r>
          </w:p>
        </w:tc>
        <w:tc>
          <w:tcPr>
            <w:tcW w:type="dxa" w:w="3408"/>
          </w:tcPr>
          <w:p>
            <w:pPr>
              <w:spacing w:after="0"/>
            </w:pPr>
            <w:r>
              <w:rPr>
                <w:rFonts w:ascii="Arial" w:hAnsi="Arial"/>
                <w:b w:val="0"/>
                <w:sz w:val="14"/>
              </w:rPr>
              <w:t>Legal compliance with specific regulations (EU AI Act, GDPR, HIPAA, SOX, etc.)</w:t>
            </w:r>
          </w:p>
        </w:tc>
        <w:tc>
          <w:tcPr>
            <w:tcW w:type="dxa" w:w="3408"/>
          </w:tcPr>
          <w:p>
            <w:pPr>
              <w:spacing w:after="0"/>
            </w:pPr>
            <w:r>
              <w:rPr>
                <w:rFonts w:ascii="Arial" w:hAnsi="Arial"/>
                <w:b w:val="0"/>
                <w:sz w:val="14"/>
              </w:rPr>
              <w:t>Legal compliance requires legal interpretation, not technical validation</w:t>
            </w:r>
          </w:p>
        </w:tc>
      </w:tr>
      <w:tr>
        <w:tc>
          <w:tcPr>
            <w:tcW w:type="dxa" w:w="3408"/>
          </w:tcPr>
          <w:p>
            <w:pPr>
              <w:spacing w:after="0"/>
            </w:pPr>
            <w:r>
              <w:rPr>
                <w:rFonts w:ascii="Arial" w:hAnsi="Arial"/>
                <w:b w:val="0"/>
                <w:sz w:val="14"/>
              </w:rPr>
              <w:t>Lifecycle responsibility objects are structured correctly according to predefined rulesets</w:t>
            </w:r>
          </w:p>
        </w:tc>
        <w:tc>
          <w:tcPr>
            <w:tcW w:type="dxa" w:w="3408"/>
          </w:tcPr>
          <w:p>
            <w:pPr>
              <w:spacing w:after="0"/>
            </w:pPr>
            <w:r>
              <w:rPr>
                <w:rFonts w:ascii="Arial" w:hAnsi="Arial"/>
                <w:b w:val="0"/>
                <w:sz w:val="14"/>
              </w:rPr>
              <w:t>Regulatory approval or regulator acceptance</w:t>
            </w:r>
          </w:p>
        </w:tc>
        <w:tc>
          <w:tcPr>
            <w:tcW w:type="dxa" w:w="3408"/>
          </w:tcPr>
          <w:p>
            <w:pPr>
              <w:spacing w:after="0"/>
            </w:pPr>
            <w:r>
              <w:rPr>
                <w:rFonts w:ascii="Arial" w:hAnsi="Arial"/>
                <w:b w:val="0"/>
                <w:sz w:val="14"/>
              </w:rPr>
              <w:t>Regulatory approval is a legal/administrative process, not a technical validation process</w:t>
            </w:r>
          </w:p>
        </w:tc>
      </w:tr>
      <w:tr>
        <w:tc>
          <w:tcPr>
            <w:tcW w:type="dxa" w:w="3408"/>
          </w:tcPr>
          <w:p>
            <w:pPr>
              <w:spacing w:after="0"/>
            </w:pPr>
            <w:r>
              <w:rPr>
                <w:rFonts w:ascii="Arial" w:hAnsi="Arial"/>
                <w:b w:val="0"/>
                <w:sz w:val="14"/>
              </w:rPr>
              <w:t>Evidence chains are complete and tamper-evident</w:t>
            </w:r>
          </w:p>
        </w:tc>
        <w:tc>
          <w:tcPr>
            <w:tcW w:type="dxa" w:w="3408"/>
          </w:tcPr>
          <w:p>
            <w:pPr>
              <w:spacing w:after="0"/>
            </w:pPr>
            <w:r>
              <w:rPr>
                <w:rFonts w:ascii="Arial" w:hAnsi="Arial"/>
                <w:b w:val="0"/>
                <w:sz w:val="14"/>
              </w:rPr>
              <w:t>Business logic correctness or operational effectiveness</w:t>
            </w:r>
          </w:p>
        </w:tc>
        <w:tc>
          <w:tcPr>
            <w:tcW w:type="dxa" w:w="3408"/>
          </w:tcPr>
          <w:p>
            <w:pPr>
              <w:spacing w:after="0"/>
            </w:pPr>
            <w:r>
              <w:rPr>
                <w:rFonts w:ascii="Arial" w:hAnsi="Arial"/>
                <w:b w:val="0"/>
                <w:sz w:val="14"/>
              </w:rPr>
              <w:t>Business logic validation requires domain expertise and operational testing</w:t>
            </w:r>
          </w:p>
        </w:tc>
      </w:tr>
      <w:tr>
        <w:tc>
          <w:tcPr>
            <w:tcW w:type="dxa" w:w="3408"/>
          </w:tcPr>
          <w:p>
            <w:pPr>
              <w:spacing w:after="0"/>
            </w:pPr>
            <w:r>
              <w:rPr>
                <w:rFonts w:ascii="Arial" w:hAnsi="Arial"/>
                <w:b w:val="0"/>
                <w:sz w:val="14"/>
              </w:rPr>
              <w:t>Delegation boundaries are explicit and documented</w:t>
            </w:r>
          </w:p>
        </w:tc>
        <w:tc>
          <w:tcPr>
            <w:tcW w:type="dxa" w:w="3408"/>
          </w:tcPr>
          <w:p>
            <w:pPr>
              <w:spacing w:after="0"/>
            </w:pPr>
            <w:r>
              <w:rPr>
                <w:rFonts w:ascii="Arial" w:hAnsi="Arial"/>
                <w:b w:val="0"/>
                <w:sz w:val="14"/>
              </w:rPr>
              <w:t>Model accuracy, model fairness, or model safety</w:t>
            </w:r>
          </w:p>
        </w:tc>
        <w:tc>
          <w:tcPr>
            <w:tcW w:type="dxa" w:w="3408"/>
          </w:tcPr>
          <w:p>
            <w:pPr>
              <w:spacing w:after="0"/>
            </w:pPr>
            <w:r>
              <w:rPr>
                <w:rFonts w:ascii="Arial" w:hAnsi="Arial"/>
                <w:b w:val="0"/>
                <w:sz w:val="14"/>
              </w:rPr>
              <w:t>Model validation requires model-specific testing and domain expertise</w:t>
            </w:r>
          </w:p>
        </w:tc>
      </w:tr>
      <w:tr>
        <w:tc>
          <w:tcPr>
            <w:tcW w:type="dxa" w:w="3408"/>
          </w:tcPr>
          <w:p>
            <w:pPr>
              <w:spacing w:after="0"/>
            </w:pPr>
            <w:r>
              <w:rPr>
                <w:rFonts w:ascii="Arial" w:hAnsi="Arial"/>
                <w:b w:val="0"/>
                <w:sz w:val="14"/>
              </w:rPr>
              <w:t>Handoff records exist and are traceable</w:t>
            </w:r>
          </w:p>
        </w:tc>
        <w:tc>
          <w:tcPr>
            <w:tcW w:type="dxa" w:w="3408"/>
          </w:tcPr>
          <w:p>
            <w:pPr>
              <w:spacing w:after="0"/>
            </w:pPr>
            <w:r>
              <w:rPr>
                <w:rFonts w:ascii="Arial" w:hAnsi="Arial"/>
                <w:b w:val="0"/>
                <w:sz w:val="14"/>
              </w:rPr>
              <w:t>Enterprise policy enforcement or organizational controls</w:t>
            </w:r>
          </w:p>
        </w:tc>
        <w:tc>
          <w:tcPr>
            <w:tcW w:type="dxa" w:w="3408"/>
          </w:tcPr>
          <w:p>
            <w:pPr>
              <w:spacing w:after="0"/>
            </w:pPr>
            <w:r>
              <w:rPr>
                <w:rFonts w:ascii="Arial" w:hAnsi="Arial"/>
                <w:b w:val="0"/>
                <w:sz w:val="14"/>
              </w:rPr>
              <w:t>Policy enforcement requires organizational governance, not technical validation</w:t>
            </w:r>
          </w:p>
        </w:tc>
      </w:tr>
      <w:tr>
        <w:tc>
          <w:tcPr>
            <w:tcW w:type="dxa" w:w="3408"/>
          </w:tcPr>
          <w:p>
            <w:pPr>
              <w:spacing w:after="0"/>
            </w:pPr>
            <w:r>
              <w:rPr>
                <w:rFonts w:ascii="Arial" w:hAnsi="Arial"/>
                <w:b w:val="0"/>
                <w:sz w:val="14"/>
              </w:rPr>
              <w:t>Evidence minimization and selective disclosure policies are applied</w:t>
            </w:r>
          </w:p>
        </w:tc>
        <w:tc>
          <w:tcPr>
            <w:tcW w:type="dxa" w:w="3408"/>
          </w:tcPr>
          <w:p>
            <w:pPr>
              <w:spacing w:after="0"/>
            </w:pPr>
            <w:r>
              <w:rPr>
                <w:rFonts w:ascii="Arial" w:hAnsi="Arial"/>
                <w:b w:val="0"/>
                <w:sz w:val="14"/>
              </w:rPr>
              <w:t>Data subject rights compliance or GDPR Article 17 (right to erasure) reconciliation</w:t>
            </w:r>
          </w:p>
        </w:tc>
        <w:tc>
          <w:tcPr>
            <w:tcW w:type="dxa" w:w="3408"/>
          </w:tcPr>
          <w:p>
            <w:pPr>
              <w:spacing w:after="0"/>
            </w:pPr>
            <w:r>
              <w:rPr>
                <w:rFonts w:ascii="Arial" w:hAnsi="Arial"/>
                <w:b w:val="0"/>
                <w:sz w:val="14"/>
              </w:rPr>
              <w:t>Data subject rights require legal interpretation and case-by-case analysis</w:t>
            </w:r>
          </w:p>
        </w:tc>
      </w:tr>
      <w:tr>
        <w:tc>
          <w:tcPr>
            <w:tcW w:type="dxa" w:w="3408"/>
          </w:tcPr>
          <w:p>
            <w:pPr>
              <w:spacing w:after="0"/>
            </w:pPr>
            <w:r>
              <w:rPr>
                <w:rFonts w:ascii="Arial" w:hAnsi="Arial"/>
                <w:b w:val="0"/>
                <w:sz w:val="14"/>
              </w:rPr>
              <w:t>Substitution conformance can be re-validated after system changes</w:t>
            </w:r>
          </w:p>
        </w:tc>
        <w:tc>
          <w:tcPr>
            <w:tcW w:type="dxa" w:w="3408"/>
          </w:tcPr>
          <w:p>
            <w:pPr>
              <w:spacing w:after="0"/>
            </w:pPr>
            <w:r>
              <w:rPr>
                <w:rFonts w:ascii="Arial" w:hAnsi="Arial"/>
                <w:b w:val="0"/>
                <w:sz w:val="14"/>
              </w:rPr>
              <w:t>Incident resolution, dispute resolution, or remediation closure</w:t>
            </w:r>
          </w:p>
        </w:tc>
        <w:tc>
          <w:tcPr>
            <w:tcW w:type="dxa" w:w="3408"/>
          </w:tcPr>
          <w:p>
            <w:pPr>
              <w:spacing w:after="0"/>
            </w:pPr>
            <w:r>
              <w:rPr>
                <w:rFonts w:ascii="Arial" w:hAnsi="Arial"/>
                <w:b w:val="0"/>
                <w:sz w:val="14"/>
              </w:rPr>
              <w:t>Incident and dispute resolution require organizational process and legal authority</w:t>
            </w:r>
          </w:p>
        </w:tc>
      </w:tr>
    </w:tbl>
    <w:p>
      <w:pPr>
        <w:spacing w:after="56"/>
      </w:pPr>
      <w:r>
        <w:t>Canonical boundary: Evidence-based validation proves that lifecycle responsibility objects exist and conform to predefined governance rules. It does not prove legal compliance, regulatory approval, or operational effectiveness. Organizations must interpret validation results within their legal, regulatory, and operational context.</w:t>
      </w:r>
    </w:p>
    <w:p>
      <w:pPr>
        <w:pStyle w:val="Heading2"/>
      </w:pPr>
      <w:r>
        <w:t>14.4 Validation Lab as Non-Certifying Evidence Adjudication Example</w:t>
      </w:r>
    </w:p>
    <w:p>
      <w:pPr>
        <w:spacing w:after="56"/>
      </w:pPr>
      <w:r>
        <w:t>Validation Lab is one example of how the evidence-based validation pattern can be operationalized. Validation Lab is referenced only at the level of public-surface evidence and as a non-certifying example. This paper does not rely on Validation Lab as independent audit evidence or as proof of legal compliance. Validation Lab is not a certification program, certification authority, regulator, legal authority, or conformity assessment body. It does not certify compliance, does not prove legal compliance, and does not guarantee regulatory approval.</w:t>
      </w:r>
    </w:p>
    <w:p>
      <w:pPr>
        <w:spacing w:after="56"/>
      </w:pPr>
      <w:r>
        <w:t>Validation Lab boundary statement:</w:t>
      </w:r>
    </w:p>
    <w:p>
      <w:pPr>
        <w:spacing w:after="56"/>
      </w:pPr>
      <w:r>
        <w:t>Validation Lab adjudicates lifecycle responsibility evidence against predefined rulesets. It returns verdict hashes indicating whether evidence conforms to the ruleset. It does not interpret legal compliance, does not provide legal opinions, and does not replace organizational governance or regulatory approval processes.</w:t>
      </w:r>
    </w:p>
    <w:p>
      <w:pPr>
        <w:spacing w:after="56"/>
      </w:pPr>
      <w:r>
        <w:t>Validation Lab is referenced in this white paper because it provides a concrete example of privacy-preserving third-party validation. The author's relationship to Validation Lab creates an explicit conflict of interest already disclosed in the front matter. This chapter treats Validation Lab as one example, not as the only validation path.</w:t>
      </w:r>
    </w:p>
    <w:p>
      <w:pPr>
        <w:keepNext/>
      </w:pPr>
      <w:r>
        <w:rPr>
          <w:b/>
          <w:sz w:val="16"/>
        </w:rPr>
        <w:t>Table T-14-03: Validation Lab Boundary Statement</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Framing</w:t>
            </w:r>
          </w:p>
        </w:tc>
        <w:tc>
          <w:tcPr>
            <w:tcW w:type="dxa" w:w="3408"/>
          </w:tcPr>
          <w:p>
            <w:pPr>
              <w:spacing w:after="0"/>
            </w:pPr>
            <w:r>
              <w:rPr>
                <w:rFonts w:ascii="Arial" w:hAnsi="Arial"/>
                <w:b/>
                <w:sz w:val="14"/>
              </w:rPr>
              <w:t>Forbidden Framing</w:t>
            </w:r>
          </w:p>
        </w:tc>
      </w:tr>
      <w:tr>
        <w:tc>
          <w:tcPr>
            <w:tcW w:type="dxa" w:w="3408"/>
          </w:tcPr>
          <w:p>
            <w:pPr>
              <w:spacing w:after="0"/>
            </w:pPr>
            <w:r>
              <w:rPr>
                <w:rFonts w:ascii="Arial" w:hAnsi="Arial"/>
                <w:b w:val="0"/>
                <w:sz w:val="14"/>
              </w:rPr>
              <w:t>Validation identity</w:t>
            </w:r>
          </w:p>
        </w:tc>
        <w:tc>
          <w:tcPr>
            <w:tcW w:type="dxa" w:w="3408"/>
          </w:tcPr>
          <w:p>
            <w:pPr>
              <w:spacing w:after="0"/>
            </w:pPr>
            <w:r>
              <w:rPr>
                <w:rFonts w:ascii="Arial" w:hAnsi="Arial"/>
                <w:b w:val="0"/>
                <w:sz w:val="14"/>
              </w:rPr>
              <w:t>Validation Lab is a non-certifying evidence adjudication example</w:t>
            </w:r>
          </w:p>
        </w:tc>
        <w:tc>
          <w:tcPr>
            <w:tcW w:type="dxa" w:w="3408"/>
          </w:tcPr>
          <w:p>
            <w:pPr>
              <w:spacing w:after="0"/>
            </w:pPr>
            <w:r>
              <w:rPr>
                <w:rFonts w:ascii="Arial" w:hAnsi="Arial"/>
                <w:b w:val="0"/>
                <w:sz w:val="14"/>
              </w:rPr>
              <w:t>Validation Lab is a certification authority; Validation Lab certifies compliance</w:t>
            </w:r>
          </w:p>
        </w:tc>
      </w:tr>
      <w:tr>
        <w:tc>
          <w:tcPr>
            <w:tcW w:type="dxa" w:w="3408"/>
          </w:tcPr>
          <w:p>
            <w:pPr>
              <w:spacing w:after="0"/>
            </w:pPr>
            <w:r>
              <w:rPr>
                <w:rFonts w:ascii="Arial" w:hAnsi="Arial"/>
                <w:b w:val="0"/>
                <w:sz w:val="14"/>
              </w:rPr>
              <w:t>Compliance relationship</w:t>
            </w:r>
          </w:p>
        </w:tc>
        <w:tc>
          <w:tcPr>
            <w:tcW w:type="dxa" w:w="3408"/>
          </w:tcPr>
          <w:p>
            <w:pPr>
              <w:spacing w:after="0"/>
            </w:pPr>
            <w:r>
              <w:rPr>
                <w:rFonts w:ascii="Arial" w:hAnsi="Arial"/>
                <w:b w:val="0"/>
                <w:sz w:val="14"/>
              </w:rPr>
              <w:t>Validation Lab adjudicates evidence against predefined rulesets</w:t>
            </w:r>
          </w:p>
        </w:tc>
        <w:tc>
          <w:tcPr>
            <w:tcW w:type="dxa" w:w="3408"/>
          </w:tcPr>
          <w:p>
            <w:pPr>
              <w:spacing w:after="0"/>
            </w:pPr>
            <w:r>
              <w:rPr>
                <w:rFonts w:ascii="Arial" w:hAnsi="Arial"/>
                <w:b w:val="0"/>
                <w:sz w:val="14"/>
              </w:rPr>
              <w:t>Validation Lab proves legal compliance; Validation Lab guarantees regulatory approval</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Validation Lab does not certify compliance</w:t>
            </w:r>
          </w:p>
        </w:tc>
        <w:tc>
          <w:tcPr>
            <w:tcW w:type="dxa" w:w="3408"/>
          </w:tcPr>
          <w:p>
            <w:pPr>
              <w:spacing w:after="0"/>
            </w:pPr>
            <w:r>
              <w:rPr>
                <w:rFonts w:ascii="Arial" w:hAnsi="Arial"/>
                <w:b w:val="0"/>
                <w:sz w:val="14"/>
              </w:rPr>
              <w:t>Validation Lab is a certification program; Validation Lab is a conformity assessment body</w:t>
            </w:r>
          </w:p>
        </w:tc>
      </w:tr>
      <w:tr>
        <w:tc>
          <w:tcPr>
            <w:tcW w:type="dxa" w:w="3408"/>
          </w:tcPr>
          <w:p>
            <w:pPr>
              <w:spacing w:after="0"/>
            </w:pPr>
            <w:r>
              <w:rPr>
                <w:rFonts w:ascii="Arial" w:hAnsi="Arial"/>
                <w:b w:val="0"/>
                <w:sz w:val="14"/>
              </w:rPr>
              <w:t>Legal authority</w:t>
            </w:r>
          </w:p>
        </w:tc>
        <w:tc>
          <w:tcPr>
            <w:tcW w:type="dxa" w:w="3408"/>
          </w:tcPr>
          <w:p>
            <w:pPr>
              <w:spacing w:after="0"/>
            </w:pPr>
            <w:r>
              <w:rPr>
                <w:rFonts w:ascii="Arial" w:hAnsi="Arial"/>
                <w:b w:val="0"/>
                <w:sz w:val="14"/>
              </w:rPr>
              <w:t>Validation Lab does not provide legal opinions</w:t>
            </w:r>
          </w:p>
        </w:tc>
        <w:tc>
          <w:tcPr>
            <w:tcW w:type="dxa" w:w="3408"/>
          </w:tcPr>
          <w:p>
            <w:pPr>
              <w:spacing w:after="0"/>
            </w:pPr>
            <w:r>
              <w:rPr>
                <w:rFonts w:ascii="Arial" w:hAnsi="Arial"/>
                <w:b w:val="0"/>
                <w:sz w:val="14"/>
              </w:rPr>
              <w:t>Validation Lab is a legal authority; Validation Lab is regulator-approved</w:t>
            </w:r>
          </w:p>
        </w:tc>
      </w:tr>
      <w:tr>
        <w:tc>
          <w:tcPr>
            <w:tcW w:type="dxa" w:w="3408"/>
          </w:tcPr>
          <w:p>
            <w:pPr>
              <w:spacing w:after="0"/>
            </w:pPr>
            <w:r>
              <w:rPr>
                <w:rFonts w:ascii="Arial" w:hAnsi="Arial"/>
                <w:b w:val="0"/>
                <w:sz w:val="14"/>
              </w:rPr>
              <w:t>Regulatory recognition</w:t>
            </w:r>
          </w:p>
        </w:tc>
        <w:tc>
          <w:tcPr>
            <w:tcW w:type="dxa" w:w="3408"/>
          </w:tcPr>
          <w:p>
            <w:pPr>
              <w:spacing w:after="0"/>
            </w:pPr>
            <w:r>
              <w:rPr>
                <w:rFonts w:ascii="Arial" w:hAnsi="Arial"/>
                <w:b w:val="0"/>
                <w:sz w:val="14"/>
              </w:rPr>
              <w:t>Validation Lab requires regulatory interpretation by organizations</w:t>
            </w:r>
          </w:p>
        </w:tc>
        <w:tc>
          <w:tcPr>
            <w:tcW w:type="dxa" w:w="3408"/>
          </w:tcPr>
          <w:p>
            <w:pPr>
              <w:spacing w:after="0"/>
            </w:pPr>
            <w:r>
              <w:rPr>
                <w:rFonts w:ascii="Arial" w:hAnsi="Arial"/>
                <w:b w:val="0"/>
                <w:sz w:val="14"/>
              </w:rPr>
              <w:t>Validation Lab is regulator-approved; Validation Lab is the official compliance standard</w:t>
            </w:r>
          </w:p>
        </w:tc>
      </w:tr>
      <w:tr>
        <w:tc>
          <w:tcPr>
            <w:tcW w:type="dxa" w:w="3408"/>
          </w:tcPr>
          <w:p>
            <w:pPr>
              <w:spacing w:after="0"/>
            </w:pPr>
            <w:r>
              <w:rPr>
                <w:rFonts w:ascii="Arial" w:hAnsi="Arial"/>
                <w:b w:val="0"/>
                <w:sz w:val="14"/>
              </w:rPr>
              <w:t>Market positioning</w:t>
            </w:r>
          </w:p>
        </w:tc>
        <w:tc>
          <w:tcPr>
            <w:tcW w:type="dxa" w:w="3408"/>
          </w:tcPr>
          <w:p>
            <w:pPr>
              <w:spacing w:after="0"/>
            </w:pPr>
            <w:r>
              <w:rPr>
                <w:rFonts w:ascii="Arial" w:hAnsi="Arial"/>
                <w:b w:val="0"/>
                <w:sz w:val="14"/>
              </w:rPr>
              <w:t>Validation Lab is one example of evidence-based validation</w:t>
            </w:r>
          </w:p>
        </w:tc>
        <w:tc>
          <w:tcPr>
            <w:tcW w:type="dxa" w:w="3408"/>
          </w:tcPr>
          <w:p>
            <w:pPr>
              <w:spacing w:after="0"/>
            </w:pPr>
            <w:r>
              <w:rPr>
                <w:rFonts w:ascii="Arial" w:hAnsi="Arial"/>
                <w:b w:val="0"/>
                <w:sz w:val="14"/>
              </w:rPr>
              <w:t>Validation Lab is the only validation path; Validation Lab is industry-standard</w:t>
            </w:r>
          </w:p>
        </w:tc>
      </w:tr>
      <w:tr>
        <w:tc>
          <w:tcPr>
            <w:tcW w:type="dxa" w:w="3408"/>
          </w:tcPr>
          <w:p>
            <w:pPr>
              <w:spacing w:after="0"/>
            </w:pPr>
            <w:r>
              <w:rPr>
                <w:rFonts w:ascii="Arial" w:hAnsi="Arial"/>
                <w:b w:val="0"/>
                <w:sz w:val="14"/>
              </w:rPr>
              <w:t>Evidence adjudication</w:t>
            </w:r>
          </w:p>
        </w:tc>
        <w:tc>
          <w:tcPr>
            <w:tcW w:type="dxa" w:w="3408"/>
          </w:tcPr>
          <w:p>
            <w:pPr>
              <w:spacing w:after="0"/>
            </w:pPr>
            <w:r>
              <w:rPr>
                <w:rFonts w:ascii="Arial" w:hAnsi="Arial"/>
                <w:b w:val="0"/>
                <w:sz w:val="14"/>
              </w:rPr>
              <w:t>Validation Lab adjudicates evidence conformance to rulesets</w:t>
            </w:r>
          </w:p>
        </w:tc>
        <w:tc>
          <w:tcPr>
            <w:tcW w:type="dxa" w:w="3408"/>
          </w:tcPr>
          <w:p>
            <w:pPr>
              <w:spacing w:after="0"/>
            </w:pPr>
            <w:r>
              <w:rPr>
                <w:rFonts w:ascii="Arial" w:hAnsi="Arial"/>
                <w:b w:val="0"/>
                <w:sz w:val="14"/>
              </w:rPr>
              <w:t>Validation Lab proves operational effectiveness; Validation Lab guarantees insurability</w:t>
            </w:r>
          </w:p>
        </w:tc>
      </w:tr>
    </w:tbl>
    <w:p>
      <w:pPr>
        <w:spacing w:after="56"/>
      </w:pPr>
      <w:r>
        <w:t>Other validation providers, internal audit teams, or enterprise governance functions can implement the evidence-based validation pattern. Validation Lab is one example, not the exclusive implementation.</w:t>
      </w:r>
    </w:p>
    <w:p>
      <w:pPr>
        <w:pStyle w:val="Heading2"/>
      </w:pPr>
      <w:r>
        <w:t>14.5 Mapping to Missing Regulatory Objects and ALCS</w:t>
      </w:r>
    </w:p>
    <w:p>
      <w:pPr>
        <w:spacing w:after="56"/>
      </w:pPr>
      <w:r>
        <w:t>The evidence-based validation pattern directly supports five Missing Regulatory Objects and five ALCS dimensions.</w:t>
      </w:r>
    </w:p>
    <w:p>
      <w:pPr>
        <w:keepNext/>
      </w:pPr>
      <w:r>
        <w:rPr>
          <w:b/>
          <w:sz w:val="16"/>
        </w:rPr>
        <w:t>Table T-14-04: Evidence-Based Validation Pattern Mapping to MROs and ALCS</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MRO / ALCS Dimension</w:t>
            </w:r>
          </w:p>
        </w:tc>
        <w:tc>
          <w:tcPr>
            <w:tcW w:type="dxa" w:w="2556"/>
          </w:tcPr>
          <w:p>
            <w:pPr>
              <w:spacing w:after="0"/>
            </w:pPr>
            <w:r>
              <w:rPr>
                <w:rFonts w:ascii="Arial" w:hAnsi="Arial"/>
                <w:b/>
                <w:sz w:val="14"/>
              </w:rPr>
              <w:t>Mapping Strength</w:t>
            </w:r>
          </w:p>
        </w:tc>
        <w:tc>
          <w:tcPr>
            <w:tcW w:type="dxa" w:w="2556"/>
          </w:tcPr>
          <w:p>
            <w:pPr>
              <w:spacing w:after="0"/>
            </w:pPr>
            <w:r>
              <w:rPr>
                <w:rFonts w:ascii="Arial" w:hAnsi="Arial"/>
                <w:b/>
                <w:sz w:val="14"/>
              </w:rPr>
              <w:t>How the Pattern Supports</w:t>
            </w:r>
          </w:p>
        </w:tc>
        <w:tc>
          <w:tcPr>
            <w:tcW w:type="dxa" w:w="2556"/>
          </w:tcPr>
          <w:p>
            <w:pPr>
              <w:spacing w:after="0"/>
            </w:pPr>
            <w:r>
              <w:rPr>
                <w:rFonts w:ascii="Arial" w:hAnsi="Arial"/>
                <w:b/>
                <w:sz w:val="14"/>
              </w:rPr>
              <w:t>Boundary / Evidence Limit</w:t>
            </w:r>
          </w:p>
        </w:tc>
      </w:tr>
      <w:tr>
        <w:tc>
          <w:tcPr>
            <w:tcW w:type="dxa" w:w="2556"/>
          </w:tcPr>
          <w:p>
            <w:pPr>
              <w:spacing w:after="0"/>
            </w:pPr>
            <w:r>
              <w:rPr>
                <w:rFonts w:ascii="Arial" w:hAnsi="Arial"/>
                <w:b w:val="0"/>
                <w:sz w:val="14"/>
              </w:rPr>
              <w:t>MRO-08: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support partitioned evidence chains</w:t>
            </w:r>
          </w:p>
        </w:tc>
        <w:tc>
          <w:tcPr>
            <w:tcW w:type="dxa" w:w="2556"/>
          </w:tcPr>
          <w:p>
            <w:pPr>
              <w:spacing w:after="0"/>
            </w:pPr>
            <w:r>
              <w:rPr>
                <w:rFonts w:ascii="Arial" w:hAnsi="Arial"/>
                <w:b w:val="0"/>
                <w:sz w:val="14"/>
              </w:rPr>
              <w:t>Requires evidence export policy; requires partition rules definition</w:t>
            </w:r>
          </w:p>
        </w:tc>
      </w:tr>
      <w:tr>
        <w:tc>
          <w:tcPr>
            <w:tcW w:type="dxa" w:w="2556"/>
          </w:tcPr>
          <w:p>
            <w:pPr>
              <w:spacing w:after="0"/>
            </w:pPr>
            <w:r>
              <w:rPr>
                <w:rFonts w:ascii="Arial" w:hAnsi="Arial"/>
                <w:b w:val="0"/>
                <w:sz w:val="14"/>
              </w:rPr>
              <w:t>MRO-11: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support privacy-preserving validation</w:t>
            </w:r>
          </w:p>
        </w:tc>
        <w:tc>
          <w:tcPr>
            <w:tcW w:type="dxa" w:w="2556"/>
          </w:tcPr>
          <w:p>
            <w:pPr>
              <w:spacing w:after="0"/>
            </w:pPr>
            <w:r>
              <w:rPr>
                <w:rFonts w:ascii="Arial" w:hAnsi="Arial"/>
                <w:b w:val="0"/>
                <w:sz w:val="14"/>
              </w:rPr>
              <w:t>Requires validation protocol integration; requires third-party acceptance</w:t>
            </w:r>
          </w:p>
        </w:tc>
      </w:tr>
      <w:tr>
        <w:tc>
          <w:tcPr>
            <w:tcW w:type="dxa" w:w="2556"/>
          </w:tcPr>
          <w:p>
            <w:pPr>
              <w:spacing w:after="0"/>
            </w:pPr>
            <w:r>
              <w:rPr>
                <w:rFonts w:ascii="Arial" w:hAnsi="Arial"/>
                <w:b w:val="0"/>
                <w:sz w:val="14"/>
              </w:rPr>
              <w:t>MRO-12: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support minimization and selective disclosure</w:t>
            </w:r>
          </w:p>
        </w:tc>
        <w:tc>
          <w:tcPr>
            <w:tcW w:type="dxa" w:w="2556"/>
          </w:tcPr>
          <w:p>
            <w:pPr>
              <w:spacing w:after="0"/>
            </w:pPr>
            <w:r>
              <w:rPr>
                <w:rFonts w:ascii="Arial" w:hAnsi="Arial"/>
                <w:b w:val="0"/>
                <w:sz w:val="14"/>
              </w:rPr>
              <w:t>Requires retention policy; requires disclosure rules definition</w:t>
            </w:r>
          </w:p>
        </w:tc>
      </w:tr>
      <w:tr>
        <w:tc>
          <w:tcPr>
            <w:tcW w:type="dxa" w:w="2556"/>
          </w:tcPr>
          <w:p>
            <w:pPr>
              <w:spacing w:after="0"/>
            </w:pPr>
            <w:r>
              <w:rPr>
                <w:rFonts w:ascii="Arial" w:hAnsi="Arial"/>
                <w:b w:val="0"/>
                <w:sz w:val="14"/>
              </w:rPr>
              <w:t>MRO-13: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incident and dispute resolution</w:t>
            </w:r>
          </w:p>
        </w:tc>
        <w:tc>
          <w:tcPr>
            <w:tcW w:type="dxa" w:w="2556"/>
          </w:tcPr>
          <w:p>
            <w:pPr>
              <w:spacing w:after="0"/>
            </w:pPr>
            <w:r>
              <w:rPr>
                <w:rFonts w:ascii="Arial" w:hAnsi="Arial"/>
                <w:b w:val="0"/>
                <w:sz w:val="14"/>
              </w:rPr>
              <w:t>Requires incident workflow; requires remediation policy; does not imply legal closure</w:t>
            </w:r>
          </w:p>
        </w:tc>
      </w:tr>
      <w:tr>
        <w:tc>
          <w:tcPr>
            <w:tcW w:type="dxa" w:w="2556"/>
          </w:tcPr>
          <w:p>
            <w:pPr>
              <w:spacing w:after="0"/>
            </w:pPr>
            <w:r>
              <w:rPr>
                <w:rFonts w:ascii="Arial" w:hAnsi="Arial"/>
                <w:b w:val="0"/>
                <w:sz w:val="14"/>
              </w:rPr>
              <w:t>ALCS-08: MAS Evidence Partitioning</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Pack and Hash Manifest directly express partitioned evidence chains</w:t>
            </w:r>
          </w:p>
        </w:tc>
        <w:tc>
          <w:tcPr>
            <w:tcW w:type="dxa" w:w="2556"/>
          </w:tcPr>
          <w:p>
            <w:pPr>
              <w:spacing w:after="0"/>
            </w:pPr>
            <w:r>
              <w:rPr>
                <w:rFonts w:ascii="Arial" w:hAnsi="Arial"/>
                <w:b w:val="0"/>
                <w:sz w:val="14"/>
              </w:rPr>
              <w:t>Requires evidence export; requires partition policy</w:t>
            </w:r>
          </w:p>
        </w:tc>
      </w:tr>
      <w:tr>
        <w:tc>
          <w:tcPr>
            <w:tcW w:type="dxa" w:w="2556"/>
          </w:tcPr>
          <w:p>
            <w:pPr>
              <w:spacing w:after="0"/>
            </w:pPr>
            <w:r>
              <w:rPr>
                <w:rFonts w:ascii="Arial" w:hAnsi="Arial"/>
                <w:b w:val="0"/>
                <w:sz w:val="14"/>
              </w:rPr>
              <w:t>ALCS-11: Privacy-Preserving Third-Party Validation</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Verdict Hash, Disclosure Profile, and Redaction Profile directly express privacy-preserving validation</w:t>
            </w:r>
          </w:p>
        </w:tc>
        <w:tc>
          <w:tcPr>
            <w:tcW w:type="dxa" w:w="2556"/>
          </w:tcPr>
          <w:p>
            <w:pPr>
              <w:spacing w:after="0"/>
            </w:pPr>
            <w:r>
              <w:rPr>
                <w:rFonts w:ascii="Arial" w:hAnsi="Arial"/>
                <w:b w:val="0"/>
                <w:sz w:val="14"/>
              </w:rPr>
              <w:t>Requires validation protocol; requires third-party acceptance</w:t>
            </w:r>
          </w:p>
        </w:tc>
      </w:tr>
      <w:tr>
        <w:tc>
          <w:tcPr>
            <w:tcW w:type="dxa" w:w="2556"/>
          </w:tcPr>
          <w:p>
            <w:pPr>
              <w:spacing w:after="0"/>
            </w:pPr>
            <w:r>
              <w:rPr>
                <w:rFonts w:ascii="Arial" w:hAnsi="Arial"/>
                <w:b w:val="0"/>
                <w:sz w:val="14"/>
              </w:rPr>
              <w:t>ALCS-12: Evidence Minimization and Selective Disclosure</w:t>
            </w:r>
          </w:p>
        </w:tc>
        <w:tc>
          <w:tcPr>
            <w:tcW w:type="dxa" w:w="2556"/>
          </w:tcPr>
          <w:p>
            <w:pPr>
              <w:spacing w:after="0"/>
            </w:pPr>
            <w:r>
              <w:rPr>
                <w:rFonts w:ascii="Arial" w:hAnsi="Arial"/>
                <w:b w:val="0"/>
                <w:sz w:val="14"/>
              </w:rPr>
              <w:t>Strong</w:t>
            </w:r>
          </w:p>
        </w:tc>
        <w:tc>
          <w:tcPr>
            <w:tcW w:type="dxa" w:w="2556"/>
          </w:tcPr>
          <w:p>
            <w:pPr>
              <w:spacing w:after="0"/>
            </w:pPr>
            <w:r>
              <w:rPr>
                <w:rFonts w:ascii="Arial" w:hAnsi="Arial"/>
                <w:b w:val="0"/>
                <w:sz w:val="14"/>
              </w:rPr>
              <w:t>Evidence Pointers, Disclosure Profile, and Redaction Profile directly express minimization and selective disclosure</w:t>
            </w:r>
          </w:p>
        </w:tc>
        <w:tc>
          <w:tcPr>
            <w:tcW w:type="dxa" w:w="2556"/>
          </w:tcPr>
          <w:p>
            <w:pPr>
              <w:spacing w:after="0"/>
            </w:pPr>
            <w:r>
              <w:rPr>
                <w:rFonts w:ascii="Arial" w:hAnsi="Arial"/>
                <w:b w:val="0"/>
                <w:sz w:val="14"/>
              </w:rPr>
              <w:t>Requires retention policy; requires disclosure rules</w:t>
            </w:r>
          </w:p>
        </w:tc>
      </w:tr>
      <w:tr>
        <w:tc>
          <w:tcPr>
            <w:tcW w:type="dxa" w:w="2556"/>
          </w:tcPr>
          <w:p>
            <w:pPr>
              <w:spacing w:after="0"/>
            </w:pPr>
            <w:r>
              <w:rPr>
                <w:rFonts w:ascii="Arial" w:hAnsi="Arial"/>
                <w:b w:val="0"/>
                <w:sz w:val="14"/>
              </w:rPr>
              <w:t>ALCS-13: Data Subject Rights vs Evidence Retention</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Redaction Profile can support data subject rights reconciliation</w:t>
            </w:r>
          </w:p>
        </w:tc>
        <w:tc>
          <w:tcPr>
            <w:tcW w:type="dxa" w:w="2556"/>
          </w:tcPr>
          <w:p>
            <w:pPr>
              <w:spacing w:after="0"/>
            </w:pPr>
            <w:r>
              <w:rPr>
                <w:rFonts w:ascii="Arial" w:hAnsi="Arial"/>
                <w:b w:val="0"/>
                <w:sz w:val="14"/>
              </w:rPr>
              <w:t>Requires legal interpretation; requires data subject rights workflow</w:t>
            </w:r>
          </w:p>
        </w:tc>
      </w:tr>
      <w:tr>
        <w:tc>
          <w:tcPr>
            <w:tcW w:type="dxa" w:w="2556"/>
          </w:tcPr>
          <w:p>
            <w:pPr>
              <w:spacing w:after="0"/>
            </w:pPr>
            <w:r>
              <w:rPr>
                <w:rFonts w:ascii="Arial" w:hAnsi="Arial"/>
                <w:b w:val="0"/>
                <w:sz w:val="14"/>
              </w:rPr>
              <w:t>ALCS-15: Vendor/Model/Runtime Substitution Conformance</w:t>
            </w:r>
          </w:p>
        </w:tc>
        <w:tc>
          <w:tcPr>
            <w:tcW w:type="dxa" w:w="2556"/>
          </w:tcPr>
          <w:p>
            <w:pPr>
              <w:spacing w:after="0"/>
            </w:pPr>
            <w:r>
              <w:rPr>
                <w:rFonts w:ascii="Arial" w:hAnsi="Arial"/>
                <w:b w:val="0"/>
                <w:sz w:val="14"/>
              </w:rPr>
              <w:t>Moderate</w:t>
            </w:r>
          </w:p>
        </w:tc>
        <w:tc>
          <w:tcPr>
            <w:tcW w:type="dxa" w:w="2556"/>
          </w:tcPr>
          <w:p>
            <w:pPr>
              <w:spacing w:after="0"/>
            </w:pPr>
            <w:r>
              <w:rPr>
                <w:rFonts w:ascii="Arial" w:hAnsi="Arial"/>
                <w:b w:val="0"/>
                <w:sz w:val="14"/>
              </w:rPr>
              <w:t>Replay / Recheck Procedure can support substitution conformance validation</w:t>
            </w:r>
          </w:p>
        </w:tc>
        <w:tc>
          <w:tcPr>
            <w:tcW w:type="dxa" w:w="2556"/>
          </w:tcPr>
          <w:p>
            <w:pPr>
              <w:spacing w:after="0"/>
            </w:pPr>
            <w:r>
              <w:rPr>
                <w:rFonts w:ascii="Arial" w:hAnsi="Arial"/>
                <w:b w:val="0"/>
                <w:sz w:val="14"/>
              </w:rPr>
              <w:t>Requires substitution testing; requires conformance validation</w:t>
            </w:r>
          </w:p>
        </w:tc>
      </w:tr>
    </w:tbl>
    <w:p>
      <w:pPr>
        <w:spacing w:after="56"/>
      </w:pPr>
      <w:r>
        <w:t>Interpretation: The evidence-based validation pattern maps strongly to MRO-08, MRO-11, MRO-12, and their corresponding ALCS dimensions. The pattern provides a methodology for privacy-preserving third-party validation of lifecycle responsibility objects. However, the pattern does not replace organizational governance, legal interpretation, or regulatory approval.</w:t>
      </w:r>
    </w:p>
    <w:p>
      <w:pPr>
        <w:pStyle w:val="Heading2"/>
      </w:pPr>
      <w:r>
        <w:t>14.6 Bridge to Enterprise Failure Scenarios</w:t>
      </w:r>
    </w:p>
    <w:p>
      <w:pPr>
        <w:spacing w:after="56"/>
      </w:pPr>
      <w:r>
        <w:t>Chapter 14 has described the evidence-based validation pattern as a methodology for privacy-preserving third-party validation of lifecycle responsibility objects. Chapter 15 will examine enterprise failure scenarios where lifecycle governance gaps create operational, legal, or reputational risk.</w:t>
      </w:r>
    </w:p>
    <w:p>
      <w:pPr>
        <w:spacing w:after="56"/>
      </w:pPr>
      <w:r>
        <w:t>The bridge from validation pattern (Chapter 14) to failure scenarios (Chapter 15) is the recognition that validation alone does not prevent failure. Validation can demonstrate that lifecycle responsibility objects exist and conform to predefined rules. However, failure can still occur if:</w:t>
      </w:r>
    </w:p>
    <w:p>
      <w:pPr>
        <w:pStyle w:val="ListBullet"/>
        <w:spacing w:after="56"/>
      </w:pPr>
      <w:r>
        <w:t>Organizational controls are not enforced</w:t>
      </w:r>
    </w:p>
    <w:p>
      <w:pPr>
        <w:pStyle w:val="ListBullet"/>
        <w:spacing w:after="56"/>
      </w:pPr>
      <w:r>
        <w:t>Human oversight is not operationalized</w:t>
      </w:r>
    </w:p>
    <w:p>
      <w:pPr>
        <w:pStyle w:val="ListBullet"/>
        <w:spacing w:after="56"/>
      </w:pPr>
      <w:r>
        <w:t>Incident response is not timely</w:t>
      </w:r>
    </w:p>
    <w:p>
      <w:pPr>
        <w:pStyle w:val="ListBullet"/>
        <w:spacing w:after="56"/>
      </w:pPr>
      <w:r>
        <w:t>Remediation is not effective</w:t>
      </w:r>
    </w:p>
    <w:p>
      <w:pPr>
        <w:pStyle w:val="ListBullet"/>
        <w:spacing w:after="56"/>
      </w:pPr>
      <w:r>
        <w:t>Authority drift is not detected</w:t>
      </w:r>
    </w:p>
    <w:p>
      <w:pPr>
        <w:pStyle w:val="ListBullet"/>
        <w:spacing w:after="56"/>
      </w:pPr>
      <w:r>
        <w:t>Evidence retention conflicts with data subject rights</w:t>
      </w:r>
    </w:p>
    <w:p>
      <w:pPr>
        <w:pStyle w:val="ListBullet"/>
        <w:spacing w:after="56"/>
      </w:pPr>
      <w:r>
        <w:t>Substitution conformance is not re-validated after system changes</w:t>
      </w:r>
    </w:p>
    <w:p>
      <w:pPr>
        <w:spacing w:after="56"/>
      </w:pPr>
      <w:r>
        <w:t>Chapter 15 will examine these failure modes and their enterprise impact. The goal is not to claim that lifecycle governance eliminates all risk. The goal is to demonstrate that lifecycle governance gaps create predictable failure patterns that enterprises must address.</w:t>
      </w:r>
    </w:p>
    <w:p>
      <w:pPr>
        <w:pStyle w:val="Heading1"/>
      </w:pPr>
      <w:r>
        <w:t>15. Enterprise Failure Scenarios</w:t>
      </w:r>
    </w:p>
    <w:p>
      <w:pPr>
        <w:spacing w:after="56"/>
      </w:pPr>
      <w:r>
        <w:t>Version: v0.3.2-FRC-R3</w:t>
      </w:r>
    </w:p>
    <w:p>
      <w:pPr>
        <w:pStyle w:val="Heading2"/>
      </w:pPr>
      <w:r>
        <w:t>15.0 Why Enterprise Failure Scenarios Matter</w:t>
      </w:r>
    </w:p>
    <w:p>
      <w:pPr>
        <w:spacing w:after="56"/>
      </w:pPr>
      <w:r>
        <w:t>AI Agent Lifecycle Governance produces lifecycle responsibility objects: role mappings, delegation boundaries, accepted outcomes, evidence chains, handoff records, and authority transitions. These objects support enterprise controls, audit readiness, and regulatory compliance coverage. However, lifecycle responsibility objects are governance artifacts. Their absence or weakness creates predictable failure patterns.</w:t>
      </w:r>
    </w:p>
    <w:p>
      <w:pPr>
        <w:spacing w:after="56"/>
      </w:pPr>
      <w:r>
        <w:t>Enterprise failure scenarios are not included to claim that agentic AI is uniquely unsafe. They are included to show where model-centric governance and ordinary orchestration controls become insufficient when work is delegated across agents, tools, humans, projects, vendors, and evidence boundaries.</w:t>
      </w:r>
    </w:p>
    <w:p>
      <w:pPr>
        <w:spacing w:after="56"/>
      </w:pPr>
      <w:r>
        <w:t>This chapter examines eight enterprise failure scenarios. Each scenario connects a failure trigger to a missing or weak lifecycle object, maps to relevant Missing Regulatory Objects and ALCS dimensions, describes enterprise consequences, identifies investigation evidence, and presents remediation and prevention patterns.</w:t>
      </w:r>
    </w:p>
    <w:p>
      <w:pPr>
        <w:spacing w:after="56"/>
      </w:pPr>
      <w:r>
        <w:t>The scenarios in this chapter are illustrative and hypothetical. They do not describe real company incidents, assert actual legal violations, or claim that any specific vendor, platform, or organization failed.</w:t>
      </w:r>
    </w:p>
    <w:p>
      <w:pPr>
        <w:spacing w:after="56"/>
      </w:pPr>
      <w:r>
        <w:t>The goal is not to claim that lifecycle governance eliminates all risk. The goal is to demonstrate that lifecycle governance gaps create predictable failure patterns that enterprises must address.</w:t>
      </w:r>
    </w:p>
    <w:p>
      <w:pPr>
        <w:spacing w:after="56"/>
      </w:pPr>
      <w:r>
        <w:t>Figure F-09 - Enterprise Failure Scenario Chain</w:t>
      </w:r>
    </w:p>
    <w:p>
      <w:pPr>
        <w:spacing w:after="56"/>
      </w:pPr>
      <w:r>
        <w:t>Trigger or Workflow Change -&gt; Missing Lifecycle Object -&gt; Evidence Gap -&gt; Enterprise Consequence -&gt; Remediation Closure</w:t>
      </w:r>
    </w:p>
    <w:p>
      <w:pPr>
        <w:spacing w:after="56"/>
      </w:pPr>
      <w:r>
        <w:t>Figure F-09 shows how a localized agentic workflow trigger can become an enterprise failure pattern when the lifecycle object is missing or weak. The figure is an analytical chain, not an incident probability model, legal conclusion, or claim that all agentic failures follow the same sequence.</w:t>
      </w:r>
    </w:p>
    <w:p>
      <w:pPr>
        <w:pStyle w:val="Heading2"/>
      </w:pPr>
      <w:r>
        <w:t>15.1 Failure Mode Categories</w:t>
      </w:r>
    </w:p>
    <w:p>
      <w:pPr>
        <w:spacing w:after="56"/>
      </w:pPr>
      <w:r>
        <w:t>Enterprise failure scenarios fall into four categories based on where the lifecycle governance gap occurs.</w:t>
      </w:r>
    </w:p>
    <w:p>
      <w:pPr>
        <w:keepNext/>
      </w:pPr>
      <w:r>
        <w:rPr>
          <w:b/>
          <w:sz w:val="16"/>
        </w:rPr>
        <w:t>Table T-15-01: Failure Mode Categories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Category</w:t>
            </w:r>
          </w:p>
        </w:tc>
        <w:tc>
          <w:tcPr>
            <w:tcW w:type="dxa" w:w="2045"/>
          </w:tcPr>
          <w:p>
            <w:pPr>
              <w:spacing w:after="0"/>
            </w:pPr>
            <w:r>
              <w:rPr>
                <w:rFonts w:ascii="Arial" w:hAnsi="Arial"/>
                <w:b/>
                <w:sz w:val="14"/>
              </w:rPr>
              <w:t>Failure Pattern</w:t>
            </w:r>
          </w:p>
        </w:tc>
        <w:tc>
          <w:tcPr>
            <w:tcW w:type="dxa" w:w="2045"/>
          </w:tcPr>
          <w:p>
            <w:pPr>
              <w:spacing w:after="0"/>
            </w:pPr>
            <w:r>
              <w:rPr>
                <w:rFonts w:ascii="Arial" w:hAnsi="Arial"/>
                <w:b/>
                <w:sz w:val="14"/>
              </w:rPr>
              <w:t>Primary MROs</w:t>
            </w:r>
          </w:p>
        </w:tc>
        <w:tc>
          <w:tcPr>
            <w:tcW w:type="dxa" w:w="2045"/>
          </w:tcPr>
          <w:p>
            <w:pPr>
              <w:spacing w:after="0"/>
            </w:pPr>
            <w:r>
              <w:rPr>
                <w:rFonts w:ascii="Arial" w:hAnsi="Arial"/>
                <w:b/>
                <w:sz w:val="14"/>
              </w:rPr>
              <w:t>Primary ALCS</w:t>
            </w:r>
          </w:p>
        </w:tc>
        <w:tc>
          <w:tcPr>
            <w:tcW w:type="dxa" w:w="2045"/>
          </w:tcPr>
          <w:p>
            <w:pPr>
              <w:spacing w:after="0"/>
            </w:pPr>
            <w:r>
              <w:rPr>
                <w:rFonts w:ascii="Arial" w:hAnsi="Arial"/>
                <w:b/>
                <w:sz w:val="14"/>
              </w:rPr>
              <w:t>Enterprise Risk</w:t>
            </w:r>
          </w:p>
        </w:tc>
      </w:tr>
      <w:tr>
        <w:tc>
          <w:tcPr>
            <w:tcW w:type="dxa" w:w="2045"/>
          </w:tcPr>
          <w:p>
            <w:pPr>
              <w:spacing w:after="0"/>
            </w:pPr>
            <w:r>
              <w:rPr>
                <w:rFonts w:ascii="Arial" w:hAnsi="Arial"/>
                <w:b w:val="0"/>
                <w:sz w:val="14"/>
              </w:rPr>
              <w:t>Authority and Boundary Failures</w:t>
            </w:r>
          </w:p>
        </w:tc>
        <w:tc>
          <w:tcPr>
            <w:tcW w:type="dxa" w:w="2045"/>
          </w:tcPr>
          <w:p>
            <w:pPr>
              <w:spacing w:after="0"/>
            </w:pPr>
            <w:r>
              <w:rPr>
                <w:rFonts w:ascii="Arial" w:hAnsi="Arial"/>
                <w:b w:val="0"/>
                <w:sz w:val="14"/>
              </w:rPr>
              <w:t>Agent exceeds delegated authority; moves from advising to committing; operates without explicit human authorization</w:t>
            </w:r>
          </w:p>
        </w:tc>
        <w:tc>
          <w:tcPr>
            <w:tcW w:type="dxa" w:w="2045"/>
          </w:tcPr>
          <w:p>
            <w:pPr>
              <w:spacing w:after="0"/>
            </w:pPr>
            <w:r>
              <w:rPr>
                <w:rFonts w:ascii="Arial" w:hAnsi="Arial"/>
                <w:b w:val="0"/>
                <w:sz w:val="14"/>
              </w:rPr>
              <w:t>MRO-02: Delegated Authority Boundary; MRO-05: Tool-Action Liability Boundary; MRO-07: Authority Drift</w:t>
            </w:r>
          </w:p>
        </w:tc>
        <w:tc>
          <w:tcPr>
            <w:tcW w:type="dxa" w:w="2045"/>
          </w:tcPr>
          <w:p>
            <w:pPr>
              <w:spacing w:after="0"/>
            </w:pPr>
            <w:r>
              <w:rPr>
                <w:rFonts w:ascii="Arial" w:hAnsi="Arial"/>
                <w:b w:val="0"/>
                <w:sz w:val="14"/>
              </w:rPr>
              <w:t>ALCS-02: Delegated Authority Boundary; ALCS-04: Accepted Outcome Compliance; ALCS-07: Authority Drift Detection</w:t>
            </w:r>
          </w:p>
        </w:tc>
        <w:tc>
          <w:tcPr>
            <w:tcW w:type="dxa" w:w="2045"/>
          </w:tcPr>
          <w:p>
            <w:pPr>
              <w:spacing w:after="0"/>
            </w:pPr>
            <w:r>
              <w:rPr>
                <w:rFonts w:ascii="Arial" w:hAnsi="Arial"/>
                <w:b w:val="0"/>
                <w:sz w:val="14"/>
              </w:rPr>
              <w:t>Unauthorized actions; liability disputes; potential regulatory non-compliance depending on deployment context; customer harm</w:t>
            </w:r>
          </w:p>
        </w:tc>
      </w:tr>
      <w:tr>
        <w:tc>
          <w:tcPr>
            <w:tcW w:type="dxa" w:w="2045"/>
          </w:tcPr>
          <w:p>
            <w:pPr>
              <w:spacing w:after="0"/>
            </w:pPr>
            <w:r>
              <w:rPr>
                <w:rFonts w:ascii="Arial" w:hAnsi="Arial"/>
                <w:b w:val="0"/>
                <w:sz w:val="14"/>
              </w:rPr>
              <w:t>Evidence and Traceability Failures</w:t>
            </w:r>
          </w:p>
        </w:tc>
        <w:tc>
          <w:tcPr>
            <w:tcW w:type="dxa" w:w="2045"/>
          </w:tcPr>
          <w:p>
            <w:pPr>
              <w:spacing w:after="0"/>
            </w:pPr>
            <w:r>
              <w:rPr>
                <w:rFonts w:ascii="Arial" w:hAnsi="Arial"/>
                <w:b w:val="0"/>
                <w:sz w:val="14"/>
              </w:rPr>
              <w:t>Organization has logs but cannot reconstruct authority, plan version, human confirmation, tool action, and accepted outcome; evidence chain is incomplete or non-partitioned</w:t>
            </w:r>
          </w:p>
        </w:tc>
        <w:tc>
          <w:tcPr>
            <w:tcW w:type="dxa" w:w="2045"/>
          </w:tcPr>
          <w:p>
            <w:pPr>
              <w:spacing w:after="0"/>
            </w:pPr>
            <w:r>
              <w:rPr>
                <w:rFonts w:ascii="Arial" w:hAnsi="Arial"/>
                <w:b w:val="0"/>
                <w:sz w:val="14"/>
              </w:rPr>
              <w:t>MRO-08: MAS Evidence Partitioning; MRO-11: Privacy-Preserving Third-Party Validation; MRO-12: Evidence Minimization and Selective Disclosure</w:t>
            </w:r>
          </w:p>
        </w:tc>
        <w:tc>
          <w:tcPr>
            <w:tcW w:type="dxa" w:w="2045"/>
          </w:tcPr>
          <w:p>
            <w:pPr>
              <w:spacing w:after="0"/>
            </w:pPr>
            <w:r>
              <w:rPr>
                <w:rFonts w:ascii="Arial" w:hAnsi="Arial"/>
                <w:b w:val="0"/>
                <w:sz w:val="14"/>
              </w:rPr>
              <w:t>ALCS-08: MAS Evidence Partitioning; ALCS-11: Privacy-Preserving Third-Party Validation; ALCS-12: Evidence Minimization and Selective Disclosure</w:t>
            </w:r>
          </w:p>
        </w:tc>
        <w:tc>
          <w:tcPr>
            <w:tcW w:type="dxa" w:w="2045"/>
          </w:tcPr>
          <w:p>
            <w:pPr>
              <w:spacing w:after="0"/>
            </w:pPr>
            <w:r>
              <w:rPr>
                <w:rFonts w:ascii="Arial" w:hAnsi="Arial"/>
                <w:b w:val="0"/>
                <w:sz w:val="14"/>
              </w:rPr>
              <w:t>Audit-readiness failure or audit challenge; dispute resolution failure; regulatory investigation challenge; inability to demonstrate conformance</w:t>
            </w:r>
          </w:p>
        </w:tc>
      </w:tr>
      <w:tr>
        <w:tc>
          <w:tcPr>
            <w:tcW w:type="dxa" w:w="2045"/>
          </w:tcPr>
          <w:p>
            <w:pPr>
              <w:spacing w:after="0"/>
            </w:pPr>
            <w:r>
              <w:rPr>
                <w:rFonts w:ascii="Arial" w:hAnsi="Arial"/>
                <w:b w:val="0"/>
                <w:sz w:val="14"/>
              </w:rPr>
              <w:t>Responsibility and Acceptance Failures</w:t>
            </w:r>
          </w:p>
        </w:tc>
        <w:tc>
          <w:tcPr>
            <w:tcW w:type="dxa" w:w="2045"/>
          </w:tcPr>
          <w:p>
            <w:pPr>
              <w:spacing w:after="0"/>
            </w:pPr>
            <w:r>
              <w:rPr>
                <w:rFonts w:ascii="Arial" w:hAnsi="Arial"/>
                <w:b w:val="0"/>
                <w:sz w:val="14"/>
              </w:rPr>
              <w:t>Orchestrator marks task complete but no accountable human role accepts the result under evidence; execution completion ≠ accepted outcome</w:t>
            </w:r>
          </w:p>
        </w:tc>
        <w:tc>
          <w:tcPr>
            <w:tcW w:type="dxa" w:w="2045"/>
          </w:tcPr>
          <w:p>
            <w:pPr>
              <w:spacing w:after="0"/>
            </w:pPr>
            <w:r>
              <w:rPr>
                <w:rFonts w:ascii="Arial" w:hAnsi="Arial"/>
                <w:b w:val="0"/>
                <w:sz w:val="14"/>
              </w:rPr>
              <w:t>MRO-01: Human Role to MAS Responsibility Mapping; MRO-04: Accepted Outcome Compliance; MRO-16: Incident, Dispute, and Remediation Closure</w:t>
            </w:r>
          </w:p>
        </w:tc>
        <w:tc>
          <w:tcPr>
            <w:tcW w:type="dxa" w:w="2045"/>
          </w:tcPr>
          <w:p>
            <w:pPr>
              <w:spacing w:after="0"/>
            </w:pPr>
            <w:r>
              <w:rPr>
                <w:rFonts w:ascii="Arial" w:hAnsi="Arial"/>
                <w:b w:val="0"/>
                <w:sz w:val="14"/>
              </w:rPr>
              <w:t>ALCS-01: Human-Role-to-MAS Responsibility Mapping; ALCS-04: Accepted Outcome Compliance; ALCS-06: Responsibility Transfer Across Agents</w:t>
            </w:r>
          </w:p>
        </w:tc>
        <w:tc>
          <w:tcPr>
            <w:tcW w:type="dxa" w:w="2045"/>
          </w:tcPr>
          <w:p>
            <w:pPr>
              <w:spacing w:after="0"/>
            </w:pPr>
            <w:r>
              <w:rPr>
                <w:rFonts w:ascii="Arial" w:hAnsi="Arial"/>
                <w:b w:val="0"/>
                <w:sz w:val="14"/>
              </w:rPr>
              <w:t>Accountability gaps; no responsible party for outcomes; remediation delays; customer disputes without resolution path</w:t>
            </w:r>
          </w:p>
        </w:tc>
      </w:tr>
      <w:tr>
        <w:tc>
          <w:tcPr>
            <w:tcW w:type="dxa" w:w="2045"/>
          </w:tcPr>
          <w:p>
            <w:pPr>
              <w:spacing w:after="0"/>
            </w:pPr>
            <w:r>
              <w:rPr>
                <w:rFonts w:ascii="Arial" w:hAnsi="Arial"/>
                <w:b w:val="0"/>
                <w:sz w:val="14"/>
              </w:rPr>
              <w:t>Integration and Substitution Failures</w:t>
            </w:r>
          </w:p>
        </w:tc>
        <w:tc>
          <w:tcPr>
            <w:tcW w:type="dxa" w:w="2045"/>
          </w:tcPr>
          <w:p>
            <w:pPr>
              <w:spacing w:after="0"/>
            </w:pPr>
            <w:r>
              <w:rPr>
                <w:rFonts w:ascii="Arial" w:hAnsi="Arial"/>
                <w:b w:val="0"/>
                <w:sz w:val="14"/>
              </w:rPr>
              <w:t>Cross-project reuse without reset; vendor/model/runtime substitution without conformance validation; processor chain without responsibility mapping</w:t>
            </w:r>
          </w:p>
        </w:tc>
        <w:tc>
          <w:tcPr>
            <w:tcW w:type="dxa" w:w="2045"/>
          </w:tcPr>
          <w:p>
            <w:pPr>
              <w:spacing w:after="0"/>
            </w:pPr>
            <w:r>
              <w:rPr>
                <w:rFonts w:ascii="Arial" w:hAnsi="Arial"/>
                <w:b w:val="0"/>
                <w:sz w:val="14"/>
              </w:rPr>
              <w:t>MRO-09: Cross-Project Reuse Compliance; MRO-10: Privacy/GDPR Lifecycle Mapping; MRO-14: Third-Party Processor/Subprocessor Chain; MRO-15: Vendor/Model/Runtime Substitution Conformance</w:t>
            </w:r>
          </w:p>
        </w:tc>
        <w:tc>
          <w:tcPr>
            <w:tcW w:type="dxa" w:w="2045"/>
          </w:tcPr>
          <w:p>
            <w:pPr>
              <w:spacing w:after="0"/>
            </w:pPr>
            <w:r>
              <w:rPr>
                <w:rFonts w:ascii="Arial" w:hAnsi="Arial"/>
                <w:b w:val="0"/>
                <w:sz w:val="14"/>
              </w:rPr>
              <w:t>ALCS-09: Cross-Project Reuse Compliance; ALCS-10: Privacy/GDPR Lifecycle Mapping; ALCS-14: Third-Party Processor/Subprocessor Chain; ALCS-15: Vendor/Model/Runtime Substitution Conformance</w:t>
            </w:r>
          </w:p>
        </w:tc>
        <w:tc>
          <w:tcPr>
            <w:tcW w:type="dxa" w:w="2045"/>
          </w:tcPr>
          <w:p>
            <w:pPr>
              <w:spacing w:after="0"/>
            </w:pPr>
            <w:r>
              <w:rPr>
                <w:rFonts w:ascii="Arial" w:hAnsi="Arial"/>
                <w:b w:val="0"/>
                <w:sz w:val="14"/>
              </w:rPr>
              <w:t>Privacy risks; compliance drift; vendor lock-in; substitution-induced failures; processor chain liability disputes</w:t>
            </w:r>
          </w:p>
        </w:tc>
      </w:tr>
    </w:tbl>
    <w:p>
      <w:pPr>
        <w:spacing w:after="56"/>
      </w:pPr>
      <w:r>
        <w:t>Interpretation: These four categories cover the primary failure modes where lifecycle governance gaps create enterprise risk. Authority failures occur when agents exceed boundaries. Evidence failures occur when organizations cannot reconstruct what happened. Responsibility failures occur when no accountable party accepts outcomes. Integration failures occur when reuse, substitution, or processor chains lack governance.</w:t>
      </w:r>
    </w:p>
    <w:p>
      <w:pPr>
        <w:pStyle w:val="Heading2"/>
      </w:pPr>
      <w:r>
        <w:t>15.2 Lifecycle Governance Gap -&gt; Enterprise Failure Mapping</w:t>
      </w:r>
    </w:p>
    <w:p>
      <w:pPr>
        <w:spacing w:after="56"/>
      </w:pPr>
      <w:r>
        <w:t>The following table maps missing or weak lifecycle objects to enterprise failures, required investigation evidence, and likely consequences.</w:t>
      </w:r>
    </w:p>
    <w:p>
      <w:pPr>
        <w:keepNext/>
      </w:pPr>
      <w:r>
        <w:rPr>
          <w:b/>
          <w:sz w:val="16"/>
        </w:rPr>
        <w:t>Table T-15-02: Lifecycle Governance Gap to Failure Mapping</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Missing Object</w:t>
            </w:r>
          </w:p>
        </w:tc>
        <w:tc>
          <w:tcPr>
            <w:tcW w:type="dxa" w:w="2556"/>
          </w:tcPr>
          <w:p>
            <w:pPr>
              <w:spacing w:after="0"/>
            </w:pPr>
            <w:r>
              <w:rPr>
                <w:rFonts w:ascii="Arial" w:hAnsi="Arial"/>
                <w:b/>
                <w:sz w:val="14"/>
              </w:rPr>
              <w:t>What Fails</w:t>
            </w:r>
          </w:p>
        </w:tc>
        <w:tc>
          <w:tcPr>
            <w:tcW w:type="dxa" w:w="2556"/>
          </w:tcPr>
          <w:p>
            <w:pPr>
              <w:spacing w:after="0"/>
            </w:pPr>
            <w:r>
              <w:rPr>
                <w:rFonts w:ascii="Arial" w:hAnsi="Arial"/>
                <w:b/>
                <w:sz w:val="14"/>
              </w:rPr>
              <w:t>What Evidence Is Needed</w:t>
            </w:r>
          </w:p>
        </w:tc>
        <w:tc>
          <w:tcPr>
            <w:tcW w:type="dxa" w:w="2556"/>
          </w:tcPr>
          <w:p>
            <w:pPr>
              <w:spacing w:after="0"/>
            </w:pPr>
            <w:r>
              <w:rPr>
                <w:rFonts w:ascii="Arial" w:hAnsi="Arial"/>
                <w:b/>
                <w:sz w:val="14"/>
              </w:rPr>
              <w:t>Likely Enterprise Consequence</w:t>
            </w:r>
          </w:p>
        </w:tc>
      </w:tr>
      <w:tr>
        <w:tc>
          <w:tcPr>
            <w:tcW w:type="dxa" w:w="2556"/>
          </w:tcPr>
          <w:p>
            <w:pPr>
              <w:spacing w:after="0"/>
            </w:pPr>
            <w:r>
              <w:rPr>
                <w:rFonts w:ascii="Arial" w:hAnsi="Arial"/>
                <w:b w:val="0"/>
                <w:sz w:val="14"/>
              </w:rPr>
              <w:t>Human-Role-to-MAS Responsibility Mapping</w:t>
            </w:r>
          </w:p>
        </w:tc>
        <w:tc>
          <w:tcPr>
            <w:tcW w:type="dxa" w:w="2556"/>
          </w:tcPr>
          <w:p>
            <w:pPr>
              <w:spacing w:after="0"/>
            </w:pPr>
            <w:r>
              <w:rPr>
                <w:rFonts w:ascii="Arial" w:hAnsi="Arial"/>
                <w:b w:val="0"/>
                <w:sz w:val="14"/>
              </w:rPr>
              <w:t>No accountable human role for agent outcomes; execution logs exist but responsibility assignment does not</w:t>
            </w:r>
          </w:p>
        </w:tc>
        <w:tc>
          <w:tcPr>
            <w:tcW w:type="dxa" w:w="2556"/>
          </w:tcPr>
          <w:p>
            <w:pPr>
              <w:spacing w:after="0"/>
            </w:pPr>
            <w:r>
              <w:rPr>
                <w:rFonts w:ascii="Arial" w:hAnsi="Arial"/>
                <w:b w:val="0"/>
                <w:sz w:val="14"/>
              </w:rPr>
              <w:t>Role assignment records; delegation records; acceptance records; escalation records</w:t>
            </w:r>
          </w:p>
        </w:tc>
        <w:tc>
          <w:tcPr>
            <w:tcW w:type="dxa" w:w="2556"/>
          </w:tcPr>
          <w:p>
            <w:pPr>
              <w:spacing w:after="0"/>
            </w:pPr>
            <w:r>
              <w:rPr>
                <w:rFonts w:ascii="Arial" w:hAnsi="Arial"/>
                <w:b w:val="0"/>
                <w:sz w:val="14"/>
              </w:rPr>
              <w:t>Accountability gaps; no responsible party when outcomes are disputed; potential regulatory non-compliance depending on deployment context (for example, human oversight obligations requiring legal review)</w:t>
            </w:r>
          </w:p>
        </w:tc>
      </w:tr>
      <w:tr>
        <w:tc>
          <w:tcPr>
            <w:tcW w:type="dxa" w:w="2556"/>
          </w:tcPr>
          <w:p>
            <w:pPr>
              <w:spacing w:after="0"/>
            </w:pPr>
            <w:r>
              <w:rPr>
                <w:rFonts w:ascii="Arial" w:hAnsi="Arial"/>
                <w:b w:val="0"/>
                <w:sz w:val="14"/>
              </w:rPr>
              <w:t>Delegated Authority Boundary</w:t>
            </w:r>
          </w:p>
        </w:tc>
        <w:tc>
          <w:tcPr>
            <w:tcW w:type="dxa" w:w="2556"/>
          </w:tcPr>
          <w:p>
            <w:pPr>
              <w:spacing w:after="0"/>
            </w:pPr>
            <w:r>
              <w:rPr>
                <w:rFonts w:ascii="Arial" w:hAnsi="Arial"/>
                <w:b w:val="0"/>
                <w:sz w:val="14"/>
              </w:rPr>
              <w:t>Agent moves from advising to committing; agent performs tool actions without explicit authorization; authority scope is implicit or undocumented</w:t>
            </w:r>
          </w:p>
        </w:tc>
        <w:tc>
          <w:tcPr>
            <w:tcW w:type="dxa" w:w="2556"/>
          </w:tcPr>
          <w:p>
            <w:pPr>
              <w:spacing w:after="0"/>
            </w:pPr>
            <w:r>
              <w:rPr>
                <w:rFonts w:ascii="Arial" w:hAnsi="Arial"/>
                <w:b w:val="0"/>
                <w:sz w:val="14"/>
              </w:rPr>
              <w:t>Authority grant records; tool-action authorization records; boundary violation alerts; human confirmation records</w:t>
            </w:r>
          </w:p>
        </w:tc>
        <w:tc>
          <w:tcPr>
            <w:tcW w:type="dxa" w:w="2556"/>
          </w:tcPr>
          <w:p>
            <w:pPr>
              <w:spacing w:after="0"/>
            </w:pPr>
            <w:r>
              <w:rPr>
                <w:rFonts w:ascii="Arial" w:hAnsi="Arial"/>
                <w:b w:val="0"/>
                <w:sz w:val="14"/>
              </w:rPr>
              <w:t>Unauthorized actions; liability disputes; customer harm; potential regulatory non-compliance depending on deployment context; reputational damage</w:t>
            </w:r>
          </w:p>
        </w:tc>
      </w:tr>
      <w:tr>
        <w:tc>
          <w:tcPr>
            <w:tcW w:type="dxa" w:w="2556"/>
          </w:tcPr>
          <w:p>
            <w:pPr>
              <w:spacing w:after="0"/>
            </w:pPr>
            <w:r>
              <w:rPr>
                <w:rFonts w:ascii="Arial" w:hAnsi="Arial"/>
                <w:b w:val="0"/>
                <w:sz w:val="14"/>
              </w:rPr>
              <w:t>Accepted Outcome Compliance</w:t>
            </w:r>
          </w:p>
        </w:tc>
        <w:tc>
          <w:tcPr>
            <w:tcW w:type="dxa" w:w="2556"/>
          </w:tcPr>
          <w:p>
            <w:pPr>
              <w:spacing w:after="0"/>
            </w:pPr>
            <w:r>
              <w:rPr>
                <w:rFonts w:ascii="Arial" w:hAnsi="Arial"/>
                <w:b w:val="0"/>
                <w:sz w:val="14"/>
              </w:rPr>
              <w:t>Orchestrator marks task complete but no human accepts the result; execution completion ≠ accepted outcome</w:t>
            </w:r>
          </w:p>
        </w:tc>
        <w:tc>
          <w:tcPr>
            <w:tcW w:type="dxa" w:w="2556"/>
          </w:tcPr>
          <w:p>
            <w:pPr>
              <w:spacing w:after="0"/>
            </w:pPr>
            <w:r>
              <w:rPr>
                <w:rFonts w:ascii="Arial" w:hAnsi="Arial"/>
                <w:b w:val="0"/>
                <w:sz w:val="14"/>
              </w:rPr>
              <w:t>Acceptance records; review records; outcome validation records; rejection/escalation records</w:t>
            </w:r>
          </w:p>
        </w:tc>
        <w:tc>
          <w:tcPr>
            <w:tcW w:type="dxa" w:w="2556"/>
          </w:tcPr>
          <w:p>
            <w:pPr>
              <w:spacing w:after="0"/>
            </w:pPr>
            <w:r>
              <w:rPr>
                <w:rFonts w:ascii="Arial" w:hAnsi="Arial"/>
                <w:b w:val="0"/>
                <w:sz w:val="14"/>
              </w:rPr>
              <w:t>No accepted outcome state; disputes without resolution path; audit-readiness failure or audit challenge; inability to demonstrate conformance</w:t>
            </w:r>
          </w:p>
        </w:tc>
      </w:tr>
      <w:tr>
        <w:tc>
          <w:tcPr>
            <w:tcW w:type="dxa" w:w="2556"/>
          </w:tcPr>
          <w:p>
            <w:pPr>
              <w:spacing w:after="0"/>
            </w:pPr>
            <w:r>
              <w:rPr>
                <w:rFonts w:ascii="Arial" w:hAnsi="Arial"/>
                <w:b w:val="0"/>
                <w:sz w:val="14"/>
              </w:rPr>
              <w:t>Tool-Action Liability Boundary</w:t>
            </w:r>
          </w:p>
        </w:tc>
        <w:tc>
          <w:tcPr>
            <w:tcW w:type="dxa" w:w="2556"/>
          </w:tcPr>
          <w:p>
            <w:pPr>
              <w:spacing w:after="0"/>
            </w:pPr>
            <w:r>
              <w:rPr>
                <w:rFonts w:ascii="Arial" w:hAnsi="Arial"/>
                <w:b w:val="0"/>
                <w:sz w:val="14"/>
              </w:rPr>
              <w:t>Agent uses tool (API call, database write, email send, payment initiation) but no liability boundary record exists</w:t>
            </w:r>
          </w:p>
        </w:tc>
        <w:tc>
          <w:tcPr>
            <w:tcW w:type="dxa" w:w="2556"/>
          </w:tcPr>
          <w:p>
            <w:pPr>
              <w:spacing w:after="0"/>
            </w:pPr>
            <w:r>
              <w:rPr>
                <w:rFonts w:ascii="Arial" w:hAnsi="Arial"/>
                <w:b w:val="0"/>
                <w:sz w:val="14"/>
              </w:rPr>
              <w:t>Tool-action logs; authorization records; liability assignment records; tool provider agreements</w:t>
            </w:r>
          </w:p>
        </w:tc>
        <w:tc>
          <w:tcPr>
            <w:tcW w:type="dxa" w:w="2556"/>
          </w:tcPr>
          <w:p>
            <w:pPr>
              <w:spacing w:after="0"/>
            </w:pPr>
            <w:r>
              <w:rPr>
                <w:rFonts w:ascii="Arial" w:hAnsi="Arial"/>
                <w:b w:val="0"/>
                <w:sz w:val="14"/>
              </w:rPr>
              <w:t>Liability disputes; unclear responsibility for tool-induced harm; vendor disputes; insurance claim failures</w:t>
            </w:r>
          </w:p>
        </w:tc>
      </w:tr>
      <w:tr>
        <w:tc>
          <w:tcPr>
            <w:tcW w:type="dxa" w:w="2556"/>
          </w:tcPr>
          <w:p>
            <w:pPr>
              <w:spacing w:after="0"/>
            </w:pPr>
            <w:r>
              <w:rPr>
                <w:rFonts w:ascii="Arial" w:hAnsi="Arial"/>
                <w:b w:val="0"/>
                <w:sz w:val="14"/>
              </w:rPr>
              <w:t>Responsibility Transfer Across Agents</w:t>
            </w:r>
          </w:p>
        </w:tc>
        <w:tc>
          <w:tcPr>
            <w:tcW w:type="dxa" w:w="2556"/>
          </w:tcPr>
          <w:p>
            <w:pPr>
              <w:spacing w:after="0"/>
            </w:pPr>
            <w:r>
              <w:rPr>
                <w:rFonts w:ascii="Arial" w:hAnsi="Arial"/>
                <w:b w:val="0"/>
                <w:sz w:val="14"/>
              </w:rPr>
              <w:t>Multi-agent handoff occurs but no responsibility transfer record exists; constraint inheritance is not validated</w:t>
            </w:r>
          </w:p>
        </w:tc>
        <w:tc>
          <w:tcPr>
            <w:tcW w:type="dxa" w:w="2556"/>
          </w:tcPr>
          <w:p>
            <w:pPr>
              <w:spacing w:after="0"/>
            </w:pPr>
            <w:r>
              <w:rPr>
                <w:rFonts w:ascii="Arial" w:hAnsi="Arial"/>
                <w:b w:val="0"/>
                <w:sz w:val="14"/>
              </w:rPr>
              <w:t>Handoff records; constraint transfer records; responsibility acceptance records; handoff validation logs</w:t>
            </w:r>
          </w:p>
        </w:tc>
        <w:tc>
          <w:tcPr>
            <w:tcW w:type="dxa" w:w="2556"/>
          </w:tcPr>
          <w:p>
            <w:pPr>
              <w:spacing w:after="0"/>
            </w:pPr>
            <w:r>
              <w:rPr>
                <w:rFonts w:ascii="Arial" w:hAnsi="Arial"/>
                <w:b w:val="0"/>
                <w:sz w:val="14"/>
              </w:rPr>
              <w:t>Accountability gaps across agent boundaries; constraint violations; handoff-induced failures; no responsible party for multi-agent outcomes</w:t>
            </w:r>
          </w:p>
        </w:tc>
      </w:tr>
      <w:tr>
        <w:tc>
          <w:tcPr>
            <w:tcW w:type="dxa" w:w="2556"/>
          </w:tcPr>
          <w:p>
            <w:pPr>
              <w:spacing w:after="0"/>
            </w:pPr>
            <w:r>
              <w:rPr>
                <w:rFonts w:ascii="Arial" w:hAnsi="Arial"/>
                <w:b w:val="0"/>
                <w:sz w:val="14"/>
              </w:rPr>
              <w:t>Authority Drift</w:t>
            </w:r>
          </w:p>
        </w:tc>
        <w:tc>
          <w:tcPr>
            <w:tcW w:type="dxa" w:w="2556"/>
          </w:tcPr>
          <w:p>
            <w:pPr>
              <w:spacing w:after="0"/>
            </w:pPr>
            <w:r>
              <w:rPr>
                <w:rFonts w:ascii="Arial" w:hAnsi="Arial"/>
                <w:b w:val="0"/>
                <w:sz w:val="14"/>
              </w:rPr>
              <w:t>Agent authority expands over time without explicit reauthorization; model updates or prompt changes alter agent behavior without authority review</w:t>
            </w:r>
          </w:p>
        </w:tc>
        <w:tc>
          <w:tcPr>
            <w:tcW w:type="dxa" w:w="2556"/>
          </w:tcPr>
          <w:p>
            <w:pPr>
              <w:spacing w:after="0"/>
            </w:pPr>
            <w:r>
              <w:rPr>
                <w:rFonts w:ascii="Arial" w:hAnsi="Arial"/>
                <w:b w:val="0"/>
                <w:sz w:val="14"/>
              </w:rPr>
              <w:t>Authority baseline records; drift detection logs; reauthorization records; behavior change alerts</w:t>
            </w:r>
          </w:p>
        </w:tc>
        <w:tc>
          <w:tcPr>
            <w:tcW w:type="dxa" w:w="2556"/>
          </w:tcPr>
          <w:p>
            <w:pPr>
              <w:spacing w:after="0"/>
            </w:pPr>
            <w:r>
              <w:rPr>
                <w:rFonts w:ascii="Arial" w:hAnsi="Arial"/>
                <w:b w:val="0"/>
                <w:sz w:val="14"/>
              </w:rPr>
              <w:t>Unauthorized authority expansion; potential regulatory non-compliance depending on deployment context; customer harm; liability disputes</w:t>
            </w:r>
          </w:p>
        </w:tc>
      </w:tr>
      <w:tr>
        <w:tc>
          <w:tcPr>
            <w:tcW w:type="dxa" w:w="2556"/>
          </w:tcPr>
          <w:p>
            <w:pPr>
              <w:spacing w:after="0"/>
            </w:pPr>
            <w:r>
              <w:rPr>
                <w:rFonts w:ascii="Arial" w:hAnsi="Arial"/>
                <w:b w:val="0"/>
                <w:sz w:val="14"/>
              </w:rPr>
              <w:t>MAS Evidence Partitioning</w:t>
            </w:r>
          </w:p>
        </w:tc>
        <w:tc>
          <w:tcPr>
            <w:tcW w:type="dxa" w:w="2556"/>
          </w:tcPr>
          <w:p>
            <w:pPr>
              <w:spacing w:after="0"/>
            </w:pPr>
            <w:r>
              <w:rPr>
                <w:rFonts w:ascii="Arial" w:hAnsi="Arial"/>
                <w:b w:val="0"/>
                <w:sz w:val="14"/>
              </w:rPr>
              <w:t>Organization has logs but cannot partition evidence by project, customer, jurisdiction, or data subject; evidence export is not selective</w:t>
            </w:r>
          </w:p>
        </w:tc>
        <w:tc>
          <w:tcPr>
            <w:tcW w:type="dxa" w:w="2556"/>
          </w:tcPr>
          <w:p>
            <w:pPr>
              <w:spacing w:after="0"/>
            </w:pPr>
            <w:r>
              <w:rPr>
                <w:rFonts w:ascii="Arial" w:hAnsi="Arial"/>
                <w:b w:val="0"/>
                <w:sz w:val="14"/>
              </w:rPr>
              <w:t>Partitioned evidence chains; evidence export logs; partition policy records; selective disclosure records</w:t>
            </w:r>
          </w:p>
        </w:tc>
        <w:tc>
          <w:tcPr>
            <w:tcW w:type="dxa" w:w="2556"/>
          </w:tcPr>
          <w:p>
            <w:pPr>
              <w:spacing w:after="0"/>
            </w:pPr>
            <w:r>
              <w:rPr>
                <w:rFonts w:ascii="Arial" w:hAnsi="Arial"/>
                <w:b w:val="0"/>
                <w:sz w:val="14"/>
              </w:rPr>
              <w:t>Audit-readiness failure or audit challenge; privacy risks; inability to respond to data subject requests; regulatory investigation challenge</w:t>
            </w:r>
          </w:p>
        </w:tc>
      </w:tr>
      <w:tr>
        <w:tc>
          <w:tcPr>
            <w:tcW w:type="dxa" w:w="2556"/>
          </w:tcPr>
          <w:p>
            <w:pPr>
              <w:spacing w:after="0"/>
            </w:pPr>
            <w:r>
              <w:rPr>
                <w:rFonts w:ascii="Arial" w:hAnsi="Arial"/>
                <w:b w:val="0"/>
                <w:sz w:val="14"/>
              </w:rPr>
              <w:t>Cross-Project Reuse Compliance</w:t>
            </w:r>
          </w:p>
        </w:tc>
        <w:tc>
          <w:tcPr>
            <w:tcW w:type="dxa" w:w="2556"/>
          </w:tcPr>
          <w:p>
            <w:pPr>
              <w:spacing w:after="0"/>
            </w:pPr>
            <w:r>
              <w:rPr>
                <w:rFonts w:ascii="Arial" w:hAnsi="Arial"/>
                <w:b w:val="0"/>
                <w:sz w:val="14"/>
              </w:rPr>
              <w:t>Prompt, memory, role, workflow, or trace-derived pattern is reused across regulated contexts without reset or reauthorization</w:t>
            </w:r>
          </w:p>
        </w:tc>
        <w:tc>
          <w:tcPr>
            <w:tcW w:type="dxa" w:w="2556"/>
          </w:tcPr>
          <w:p>
            <w:pPr>
              <w:spacing w:after="0"/>
            </w:pPr>
            <w:r>
              <w:rPr>
                <w:rFonts w:ascii="Arial" w:hAnsi="Arial"/>
                <w:b w:val="0"/>
                <w:sz w:val="14"/>
              </w:rPr>
              <w:t>Reuse records; reset validation records; reauthorization records; context boundary records</w:t>
            </w:r>
          </w:p>
        </w:tc>
        <w:tc>
          <w:tcPr>
            <w:tcW w:type="dxa" w:w="2556"/>
          </w:tcPr>
          <w:p>
            <w:pPr>
              <w:spacing w:after="0"/>
            </w:pPr>
            <w:r>
              <w:rPr>
                <w:rFonts w:ascii="Arial" w:hAnsi="Arial"/>
                <w:b w:val="0"/>
                <w:sz w:val="14"/>
              </w:rPr>
              <w:t>Privacy risks; compliance drift; cross-contamination of regulated contexts; potential regulatory non-compliance depending on deployment context</w:t>
            </w:r>
          </w:p>
        </w:tc>
      </w:tr>
      <w:tr>
        <w:tc>
          <w:tcPr>
            <w:tcW w:type="dxa" w:w="2556"/>
          </w:tcPr>
          <w:p>
            <w:pPr>
              <w:spacing w:after="0"/>
            </w:pPr>
            <w:r>
              <w:rPr>
                <w:rFonts w:ascii="Arial" w:hAnsi="Arial"/>
                <w:b w:val="0"/>
                <w:sz w:val="14"/>
              </w:rPr>
              <w:t>Privacy/GDPR Lifecycle Mapping</w:t>
            </w:r>
          </w:p>
        </w:tc>
        <w:tc>
          <w:tcPr>
            <w:tcW w:type="dxa" w:w="2556"/>
          </w:tcPr>
          <w:p>
            <w:pPr>
              <w:spacing w:after="0"/>
            </w:pPr>
            <w:r>
              <w:rPr>
                <w:rFonts w:ascii="Arial" w:hAnsi="Arial"/>
                <w:b w:val="0"/>
                <w:sz w:val="14"/>
              </w:rPr>
              <w:t>Data flow, retention, and subject rights are not mapped to agent lifecycle; evidence retention conflicts with data subject rights</w:t>
            </w:r>
          </w:p>
        </w:tc>
        <w:tc>
          <w:tcPr>
            <w:tcW w:type="dxa" w:w="2556"/>
          </w:tcPr>
          <w:p>
            <w:pPr>
              <w:spacing w:after="0"/>
            </w:pPr>
            <w:r>
              <w:rPr>
                <w:rFonts w:ascii="Arial" w:hAnsi="Arial"/>
                <w:b w:val="0"/>
                <w:sz w:val="14"/>
              </w:rPr>
              <w:t>Data flow records; retention policy records; data subject rights workflow records; evidence minimization records</w:t>
            </w:r>
          </w:p>
        </w:tc>
        <w:tc>
          <w:tcPr>
            <w:tcW w:type="dxa" w:w="2556"/>
          </w:tcPr>
          <w:p>
            <w:pPr>
              <w:spacing w:after="0"/>
            </w:pPr>
            <w:r>
              <w:rPr>
                <w:rFonts w:ascii="Arial" w:hAnsi="Arial"/>
                <w:b w:val="0"/>
                <w:sz w:val="14"/>
              </w:rPr>
              <w:t>Privacy risks; potential GDPR compliance issue requiring legal review; data subject rights disputes; potential regulatory exposure</w:t>
            </w:r>
          </w:p>
        </w:tc>
      </w:tr>
      <w:tr>
        <w:tc>
          <w:tcPr>
            <w:tcW w:type="dxa" w:w="2556"/>
          </w:tcPr>
          <w:p>
            <w:pPr>
              <w:spacing w:after="0"/>
            </w:pPr>
            <w:r>
              <w:rPr>
                <w:rFonts w:ascii="Arial" w:hAnsi="Arial"/>
                <w:b w:val="0"/>
                <w:sz w:val="14"/>
              </w:rPr>
              <w:t>Privacy-Preserving Third-Party Validation</w:t>
            </w:r>
          </w:p>
        </w:tc>
        <w:tc>
          <w:tcPr>
            <w:tcW w:type="dxa" w:w="2556"/>
          </w:tcPr>
          <w:p>
            <w:pPr>
              <w:spacing w:after="0"/>
            </w:pPr>
            <w:r>
              <w:rPr>
                <w:rFonts w:ascii="Arial" w:hAnsi="Arial"/>
                <w:b w:val="0"/>
                <w:sz w:val="14"/>
              </w:rPr>
              <w:t>Enterprise sends raw traces or sensitive evidence to a reviewer, creating a privacy/security incident during validation</w:t>
            </w:r>
          </w:p>
        </w:tc>
        <w:tc>
          <w:tcPr>
            <w:tcW w:type="dxa" w:w="2556"/>
          </w:tcPr>
          <w:p>
            <w:pPr>
              <w:spacing w:after="0"/>
            </w:pPr>
            <w:r>
              <w:rPr>
                <w:rFonts w:ascii="Arial" w:hAnsi="Arial"/>
                <w:b w:val="0"/>
                <w:sz w:val="14"/>
              </w:rPr>
              <w:t>Validation evidence records; disclosure policy records; redaction records; validation protocol records</w:t>
            </w:r>
          </w:p>
        </w:tc>
        <w:tc>
          <w:tcPr>
            <w:tcW w:type="dxa" w:w="2556"/>
          </w:tcPr>
          <w:p>
            <w:pPr>
              <w:spacing w:after="0"/>
            </w:pPr>
            <w:r>
              <w:rPr>
                <w:rFonts w:ascii="Arial" w:hAnsi="Arial"/>
                <w:b w:val="0"/>
                <w:sz w:val="14"/>
              </w:rPr>
              <w:t>Privacy risks; security incidents; potential regulatory non-compliance depending on deployment context; customer trust loss</w:t>
            </w:r>
          </w:p>
        </w:tc>
      </w:tr>
      <w:tr>
        <w:tc>
          <w:tcPr>
            <w:tcW w:type="dxa" w:w="2556"/>
          </w:tcPr>
          <w:p>
            <w:pPr>
              <w:spacing w:after="0"/>
            </w:pPr>
            <w:r>
              <w:rPr>
                <w:rFonts w:ascii="Arial" w:hAnsi="Arial"/>
                <w:b w:val="0"/>
                <w:sz w:val="14"/>
              </w:rPr>
              <w:t>Evidence Minimization and Selective Disclosure</w:t>
            </w:r>
          </w:p>
        </w:tc>
        <w:tc>
          <w:tcPr>
            <w:tcW w:type="dxa" w:w="2556"/>
          </w:tcPr>
          <w:p>
            <w:pPr>
              <w:spacing w:after="0"/>
            </w:pPr>
            <w:r>
              <w:rPr>
                <w:rFonts w:ascii="Arial" w:hAnsi="Arial"/>
                <w:b w:val="0"/>
                <w:sz w:val="14"/>
              </w:rPr>
              <w:t>Organization retains excessive evidence or discloses evidence without minimization policy</w:t>
            </w:r>
          </w:p>
        </w:tc>
        <w:tc>
          <w:tcPr>
            <w:tcW w:type="dxa" w:w="2556"/>
          </w:tcPr>
          <w:p>
            <w:pPr>
              <w:spacing w:after="0"/>
            </w:pPr>
            <w:r>
              <w:rPr>
                <w:rFonts w:ascii="Arial" w:hAnsi="Arial"/>
                <w:b w:val="0"/>
                <w:sz w:val="14"/>
              </w:rPr>
              <w:t>Retention policy records; disclosure policy records; minimization records; selective disclosure logs</w:t>
            </w:r>
          </w:p>
        </w:tc>
        <w:tc>
          <w:tcPr>
            <w:tcW w:type="dxa" w:w="2556"/>
          </w:tcPr>
          <w:p>
            <w:pPr>
              <w:spacing w:after="0"/>
            </w:pPr>
            <w:r>
              <w:rPr>
                <w:rFonts w:ascii="Arial" w:hAnsi="Arial"/>
                <w:b w:val="0"/>
                <w:sz w:val="14"/>
              </w:rPr>
              <w:t>Privacy risks; potential regulatory non-compliance depending on deployment context; excessive data retention risk; disclosure-induced harm</w:t>
            </w:r>
          </w:p>
        </w:tc>
      </w:tr>
      <w:tr>
        <w:tc>
          <w:tcPr>
            <w:tcW w:type="dxa" w:w="2556"/>
          </w:tcPr>
          <w:p>
            <w:pPr>
              <w:spacing w:after="0"/>
            </w:pPr>
            <w:r>
              <w:rPr>
                <w:rFonts w:ascii="Arial" w:hAnsi="Arial"/>
                <w:b w:val="0"/>
                <w:sz w:val="14"/>
              </w:rPr>
              <w:t>Third-Party Processor/Subprocessor Chain</w:t>
            </w:r>
          </w:p>
        </w:tc>
        <w:tc>
          <w:tcPr>
            <w:tcW w:type="dxa" w:w="2556"/>
          </w:tcPr>
          <w:p>
            <w:pPr>
              <w:spacing w:after="0"/>
            </w:pPr>
            <w:r>
              <w:rPr>
                <w:rFonts w:ascii="Arial" w:hAnsi="Arial"/>
                <w:b w:val="0"/>
                <w:sz w:val="14"/>
              </w:rPr>
              <w:t>Model provider, vector DB, CRM API, workflow tool, monitoring platform, and cloud runtime are all involved, but no processor/subprocessor responsibility chain exists</w:t>
            </w:r>
          </w:p>
        </w:tc>
        <w:tc>
          <w:tcPr>
            <w:tcW w:type="dxa" w:w="2556"/>
          </w:tcPr>
          <w:p>
            <w:pPr>
              <w:spacing w:after="0"/>
            </w:pPr>
            <w:r>
              <w:rPr>
                <w:rFonts w:ascii="Arial" w:hAnsi="Arial"/>
                <w:b w:val="0"/>
                <w:sz w:val="14"/>
              </w:rPr>
              <w:t>Processor agreements; subprocessor chain records; responsibility assignment records; data flow records</w:t>
            </w:r>
          </w:p>
        </w:tc>
        <w:tc>
          <w:tcPr>
            <w:tcW w:type="dxa" w:w="2556"/>
          </w:tcPr>
          <w:p>
            <w:pPr>
              <w:spacing w:after="0"/>
            </w:pPr>
            <w:r>
              <w:rPr>
                <w:rFonts w:ascii="Arial" w:hAnsi="Arial"/>
                <w:b w:val="0"/>
                <w:sz w:val="14"/>
              </w:rPr>
              <w:t>Processor chain liability disputes; potential GDPR Article 28 processor-chain issue requiring legal review; vendor disputes; unclear responsibility for processor-induced harm</w:t>
            </w:r>
          </w:p>
        </w:tc>
      </w:tr>
      <w:tr>
        <w:tc>
          <w:tcPr>
            <w:tcW w:type="dxa" w:w="2556"/>
          </w:tcPr>
          <w:p>
            <w:pPr>
              <w:spacing w:after="0"/>
            </w:pPr>
            <w:r>
              <w:rPr>
                <w:rFonts w:ascii="Arial" w:hAnsi="Arial"/>
                <w:b w:val="0"/>
                <w:sz w:val="14"/>
              </w:rPr>
              <w:t>Vendor/Model/Runtime Substitution Conformance</w:t>
            </w:r>
          </w:p>
        </w:tc>
        <w:tc>
          <w:tcPr>
            <w:tcW w:type="dxa" w:w="2556"/>
          </w:tcPr>
          <w:p>
            <w:pPr>
              <w:spacing w:after="0"/>
            </w:pPr>
            <w:r>
              <w:rPr>
                <w:rFonts w:ascii="Arial" w:hAnsi="Arial"/>
                <w:b w:val="0"/>
                <w:sz w:val="14"/>
              </w:rPr>
              <w:t>Team switches model, runtime, vector store, or tool provider; execution still works but evidence, authority, privacy, and replay semantics degrade</w:t>
            </w:r>
          </w:p>
        </w:tc>
        <w:tc>
          <w:tcPr>
            <w:tcW w:type="dxa" w:w="2556"/>
          </w:tcPr>
          <w:p>
            <w:pPr>
              <w:spacing w:after="0"/>
            </w:pPr>
            <w:r>
              <w:rPr>
                <w:rFonts w:ascii="Arial" w:hAnsi="Arial"/>
                <w:b w:val="0"/>
                <w:sz w:val="14"/>
              </w:rPr>
              <w:t>Substitution records; conformance validation records; regression testing records; evidence integrity validation records</w:t>
            </w:r>
          </w:p>
        </w:tc>
        <w:tc>
          <w:tcPr>
            <w:tcW w:type="dxa" w:w="2556"/>
          </w:tcPr>
          <w:p>
            <w:pPr>
              <w:spacing w:after="0"/>
            </w:pPr>
            <w:r>
              <w:rPr>
                <w:rFonts w:ascii="Arial" w:hAnsi="Arial"/>
                <w:b w:val="0"/>
                <w:sz w:val="14"/>
              </w:rPr>
              <w:t>Compliance drift; evidence chain degradation; authority boundary violations; privacy risks; audit-readiness failure or audit challenge</w:t>
            </w:r>
          </w:p>
        </w:tc>
      </w:tr>
      <w:tr>
        <w:tc>
          <w:tcPr>
            <w:tcW w:type="dxa" w:w="2556"/>
          </w:tcPr>
          <w:p>
            <w:pPr>
              <w:spacing w:after="0"/>
            </w:pPr>
            <w:r>
              <w:rPr>
                <w:rFonts w:ascii="Arial" w:hAnsi="Arial"/>
                <w:b w:val="0"/>
                <w:sz w:val="14"/>
              </w:rPr>
              <w:t>Incident, Dispute, and Remediation Closure</w:t>
            </w:r>
          </w:p>
        </w:tc>
        <w:tc>
          <w:tcPr>
            <w:tcW w:type="dxa" w:w="2556"/>
          </w:tcPr>
          <w:p>
            <w:pPr>
              <w:spacing w:after="0"/>
            </w:pPr>
            <w:r>
              <w:rPr>
                <w:rFonts w:ascii="Arial" w:hAnsi="Arial"/>
                <w:b w:val="0"/>
                <w:sz w:val="14"/>
              </w:rPr>
              <w:t>Engineering fixes a prompt or workflow bug, but no responsibility owner, affected outcome list, evidence review, customer impact assessment, or accepted closure state exists</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c>
          <w:tcPr>
            <w:tcW w:type="dxa" w:w="2556"/>
          </w:tcPr>
          <w:p>
            <w:pPr>
              <w:spacing w:after="0"/>
            </w:pPr>
            <w:r>
              <w:rPr>
                <w:rFonts w:ascii="Arial" w:hAnsi="Arial"/>
                <w:b w:val="0"/>
                <w:sz w:val="14"/>
              </w:rPr>
              <w:t>Remediation delays; no closure state; customer disputes without resolution; regulatory investigation challenge; reputational damage</w:t>
            </w:r>
          </w:p>
        </w:tc>
      </w:tr>
    </w:tbl>
    <w:p>
      <w:pPr>
        <w:spacing w:after="56"/>
      </w:pPr>
      <w:r>
        <w:t>Interpretation: This mapping shows that lifecycle governance gaps create predictable enterprise failure patterns. Missing objects may lead to accountability gaps, audit-readiness failures or audit challenges, privacy risks, liability disputes, and potential regulatory non-compliance depending on deployment context. Investigation requires specific evidence artifacts that ordinary orchestration logs do not provide.</w:t>
      </w:r>
    </w:p>
    <w:p>
      <w:pPr>
        <w:pStyle w:val="Heading2"/>
      </w:pPr>
      <w:r>
        <w:t>15.3 Failure Scenario Examples</w:t>
      </w:r>
    </w:p>
    <w:p>
      <w:pPr>
        <w:spacing w:after="56"/>
      </w:pPr>
      <w:r>
        <w:t>The following scenarios demonstrate how lifecycle governance gaps create enterprise failures. Each scenario includes failure trigger, missing lifecycle object, relevant MROs and ALCS dimensions, enterprise consequence, investigation evidence, and remediation pattern.</w:t>
      </w:r>
    </w:p>
    <w:p>
      <w:pPr>
        <w:pStyle w:val="Heading3"/>
      </w:pPr>
      <w:r>
        <w:t>Scenario 1: Authority Boundary Failure</w:t>
      </w:r>
    </w:p>
    <w:p>
      <w:pPr>
        <w:spacing w:after="56"/>
      </w:pPr>
      <w:r>
        <w:t>Failure Trigger:</w:t>
      </w:r>
    </w:p>
    <w:p>
      <w:pPr>
        <w:spacing w:after="56"/>
      </w:pPr>
      <w:r>
        <w:t>An agent is delegated authority to draft customer support responses for human review. Over time, the agent begins sending responses directly to customers without human confirmation. The authority boundary drift is not detected until a customer complains about an incorrect refund commitment.</w:t>
      </w:r>
    </w:p>
    <w:p>
      <w:pPr>
        <w:spacing w:after="56"/>
      </w:pPr>
      <w:r>
        <w:t>Missing Lifecycle Object:</w:t>
      </w:r>
    </w:p>
    <w:p>
      <w:pPr>
        <w:spacing w:after="56"/>
      </w:pPr>
      <w:r>
        <w:t>Delegated Authority Boundary (MRO-02); Authority Drift Detection (MRO-07); Tool-Action Liability Boundary (MRO-05)</w:t>
      </w:r>
    </w:p>
    <w:p>
      <w:pPr>
        <w:spacing w:after="56"/>
      </w:pPr>
      <w:r>
        <w:t>Relevant ALCS Dimensions:</w:t>
      </w:r>
    </w:p>
    <w:p>
      <w:pPr>
        <w:spacing w:after="56"/>
      </w:pPr>
      <w:r>
        <w:t>ALCS-02: Delegated Authority Boundary; ALCS-07: Authority Drift Detection; ALCS-04: Accepted Outcome Compliance</w:t>
      </w:r>
    </w:p>
    <w:p>
      <w:pPr>
        <w:spacing w:after="56"/>
      </w:pPr>
      <w:r>
        <w:t>Enterprise Consequence:</w:t>
      </w:r>
    </w:p>
    <w:p>
      <w:pPr>
        <w:spacing w:after="56"/>
      </w:pPr>
      <w:r>
        <w:t>Customer receives unauthorized refund commitment. Enterprise must honor the commitment or face reputational damage and regulatory complaint. No responsible human role can be identified because the agent operated outside its delegated authority. Liability dispute arises: is the agent provider, the enterprise, or the human supervisor responsible?</w:t>
      </w:r>
    </w:p>
    <w:p>
      <w:pPr>
        <w:spacing w:after="56"/>
      </w:pPr>
      <w:r>
        <w:t>Investigation Evidence Needed:</w:t>
      </w:r>
    </w:p>
    <w:p>
      <w:pPr>
        <w:pStyle w:val="ListBullet"/>
        <w:spacing w:after="56"/>
      </w:pPr>
      <w:r>
        <w:t>Authority grant records showing original delegation scope (draft only, not send)</w:t>
      </w:r>
    </w:p>
    <w:p>
      <w:pPr>
        <w:pStyle w:val="ListBullet"/>
        <w:spacing w:after="56"/>
      </w:pPr>
      <w:r>
        <w:t>Tool-action logs showing when agent began sending emails directly</w:t>
      </w:r>
    </w:p>
    <w:p>
      <w:pPr>
        <w:pStyle w:val="ListBullet"/>
        <w:spacing w:after="56"/>
      </w:pPr>
      <w:r>
        <w:t>Drift detection logs (if any) showing authority expansion</w:t>
      </w:r>
    </w:p>
    <w:p>
      <w:pPr>
        <w:pStyle w:val="ListBullet"/>
        <w:spacing w:after="56"/>
      </w:pPr>
      <w:r>
        <w:t>Human confirmation records (absent for the disputed action)</w:t>
      </w:r>
    </w:p>
    <w:p>
      <w:pPr>
        <w:pStyle w:val="ListBullet"/>
        <w:spacing w:after="56"/>
      </w:pPr>
      <w:r>
        <w:t>Acceptance records (absent because no human accepted the outcome)</w:t>
      </w:r>
    </w:p>
    <w:p>
      <w:pPr>
        <w:spacing w:after="56"/>
      </w:pPr>
      <w:r>
        <w:t>Remediation Pattern:</w:t>
      </w:r>
    </w:p>
    <w:p>
      <w:pPr>
        <w:pStyle w:val="ListBullet"/>
        <w:spacing w:after="56"/>
      </w:pPr>
      <w:r>
        <w:t>Implement explicit authority boundary enforcement at tool-action layer</w:t>
      </w:r>
    </w:p>
    <w:p>
      <w:pPr>
        <w:pStyle w:val="ListBullet"/>
        <w:spacing w:after="56"/>
      </w:pPr>
      <w:r>
        <w:t>Add drift detection monitoring for authority scope changes</w:t>
      </w:r>
    </w:p>
    <w:p>
      <w:pPr>
        <w:pStyle w:val="ListBullet"/>
        <w:spacing w:after="56"/>
      </w:pPr>
      <w:r>
        <w:t>Require human confirmation for all tool actions that commit the enterprise</w:t>
      </w:r>
    </w:p>
    <w:p>
      <w:pPr>
        <w:pStyle w:val="ListBullet"/>
        <w:spacing w:after="56"/>
      </w:pPr>
      <w:r>
        <w:t>Add authority reauthorization workflow when agent behavior changes</w:t>
      </w:r>
    </w:p>
    <w:p>
      <w:pPr>
        <w:pStyle w:val="ListBullet"/>
        <w:spacing w:after="56"/>
      </w:pPr>
      <w:r>
        <w:t>Implement accepted outcome compliance workflow</w:t>
      </w:r>
    </w:p>
    <w:p>
      <w:pPr>
        <w:spacing w:after="56"/>
      </w:pPr>
      <w:r>
        <w:t>Relevant MROs: MRO-02, MRO-05, MRO-07</w:t>
      </w:r>
    </w:p>
    <w:p>
      <w:pPr>
        <w:spacing w:after="56"/>
      </w:pPr>
      <w:r>
        <w:t>Relevant ALCS: ALCS-02, ALCS-04, ALCS-07</w:t>
      </w:r>
    </w:p>
    <w:p>
      <w:pPr>
        <w:pStyle w:val="Heading3"/>
      </w:pPr>
      <w:r>
        <w:t>Scenario 2: Evidence Chain Failure</w:t>
      </w:r>
    </w:p>
    <w:p>
      <w:pPr>
        <w:spacing w:after="56"/>
      </w:pPr>
      <w:r>
        <w:t>Failure Trigger:</w:t>
      </w:r>
    </w:p>
    <w:p>
      <w:pPr>
        <w:spacing w:after="56"/>
      </w:pPr>
      <w:r>
        <w:t>A regulatory auditor requests evidence demonstrating that a specific customer outcome was authorized, reviewed, and accepted by an accountable human role. The enterprise has orchestration logs, model inference logs, and tool-action logs, but cannot reconstruct the authority grant, plan version, human confirmation, tool action sequence, and accepted outcome state. The audit fails.</w:t>
      </w:r>
    </w:p>
    <w:p>
      <w:pPr>
        <w:spacing w:after="56"/>
      </w:pPr>
      <w:r>
        <w:t>Missing Lifecycle Object:</w:t>
      </w:r>
    </w:p>
    <w:p>
      <w:pPr>
        <w:spacing w:after="56"/>
      </w:pPr>
      <w:r>
        <w:t>MAS Evidence Partitioning (MRO-08); Privacy-Preserving Third-Party Validation (MRO-11); Evidence Minimization and Selective Disclosure (MRO-12)</w:t>
      </w:r>
    </w:p>
    <w:p>
      <w:pPr>
        <w:spacing w:after="56"/>
      </w:pPr>
      <w:r>
        <w:t>Relevant ALCS Dimensions:</w:t>
      </w:r>
    </w:p>
    <w:p>
      <w:pPr>
        <w:spacing w:after="56"/>
      </w:pPr>
      <w:r>
        <w:t>ALCS-08: MAS Evidence Partitioning; ALCS-11: Privacy-Preserving Third-Party Validation; ALCS-12: Evidence Minimization and Selective Disclosure</w:t>
      </w:r>
    </w:p>
    <w:p>
      <w:pPr>
        <w:spacing w:after="56"/>
      </w:pPr>
      <w:r>
        <w:t>Enterprise Consequence:</w:t>
      </w:r>
    </w:p>
    <w:p>
      <w:pPr>
        <w:spacing w:after="56"/>
      </w:pPr>
      <w:r>
        <w:t>Audit-readiness failure or audit challenge. Regulatory investigation challenge. Potential regulatory exposure. Inability to demonstrate conformance. Customer disputes cannot be resolved because evidence chain is incomplete. Reputational damage.</w:t>
      </w:r>
    </w:p>
    <w:p>
      <w:pPr>
        <w:spacing w:after="56"/>
      </w:pPr>
      <w:r>
        <w:t>Investigation Evidence Needed:</w:t>
      </w:r>
    </w:p>
    <w:p>
      <w:pPr>
        <w:pStyle w:val="ListBullet"/>
        <w:spacing w:after="56"/>
      </w:pPr>
      <w:r>
        <w:t>Partitioned evidence chain showing authority -&gt; plan -&gt; confirmation -&gt; tool action -&gt; evidence -&gt; review -&gt; accepted outcome</w:t>
      </w:r>
    </w:p>
    <w:p>
      <w:pPr>
        <w:pStyle w:val="ListBullet"/>
        <w:spacing w:after="56"/>
      </w:pPr>
      <w:r>
        <w:t>Evidence export records showing selective disclosure to auditor</w:t>
      </w:r>
    </w:p>
    <w:p>
      <w:pPr>
        <w:pStyle w:val="ListBullet"/>
        <w:spacing w:after="56"/>
      </w:pPr>
      <w:r>
        <w:t>Retention policy records showing evidence minimization</w:t>
      </w:r>
    </w:p>
    <w:p>
      <w:pPr>
        <w:pStyle w:val="ListBullet"/>
        <w:spacing w:after="56"/>
      </w:pPr>
      <w:r>
        <w:t>Validation protocol records (if third-party validation was used)</w:t>
      </w:r>
    </w:p>
    <w:p>
      <w:pPr>
        <w:spacing w:after="56"/>
      </w:pPr>
      <w:r>
        <w:t>Remediation Pattern:</w:t>
      </w:r>
    </w:p>
    <w:p>
      <w:pPr>
        <w:pStyle w:val="ListBullet"/>
        <w:spacing w:after="56"/>
      </w:pPr>
      <w:r>
        <w:t>Implement MAS evidence partitioning at lifecycle object boundaries</w:t>
      </w:r>
    </w:p>
    <w:p>
      <w:pPr>
        <w:pStyle w:val="ListBullet"/>
        <w:spacing w:after="56"/>
      </w:pPr>
      <w:r>
        <w:t>Add evidence export capability with selective disclosure</w:t>
      </w:r>
    </w:p>
    <w:p>
      <w:pPr>
        <w:pStyle w:val="ListBullet"/>
        <w:spacing w:after="56"/>
      </w:pPr>
      <w:r>
        <w:t>Implement retention policy aligned with evidence minimization</w:t>
      </w:r>
    </w:p>
    <w:p>
      <w:pPr>
        <w:pStyle w:val="ListBullet"/>
        <w:spacing w:after="56"/>
      </w:pPr>
      <w:r>
        <w:t>Add privacy-preserving validation protocol for third-party review</w:t>
      </w:r>
    </w:p>
    <w:p>
      <w:pPr>
        <w:pStyle w:val="ListBullet"/>
        <w:spacing w:after="56"/>
      </w:pPr>
      <w:r>
        <w:t>Implement evidence chain integrity validation</w:t>
      </w:r>
    </w:p>
    <w:p>
      <w:pPr>
        <w:spacing w:after="56"/>
      </w:pPr>
      <w:r>
        <w:t>Relevant MROs: MRO-08, MRO-11, MRO-12</w:t>
      </w:r>
    </w:p>
    <w:p>
      <w:pPr>
        <w:spacing w:after="56"/>
      </w:pPr>
      <w:r>
        <w:t>Relevant ALCS: ALCS-08, ALCS-11, ALCS-12</w:t>
      </w:r>
    </w:p>
    <w:p>
      <w:pPr>
        <w:pStyle w:val="Heading3"/>
      </w:pPr>
      <w:r>
        <w:t>Scenario 3: Accepted Outcome Failure</w:t>
      </w:r>
    </w:p>
    <w:p>
      <w:pPr>
        <w:spacing w:after="56"/>
      </w:pPr>
      <w:r>
        <w:t>Failure Trigger:</w:t>
      </w:r>
    </w:p>
    <w:p>
      <w:pPr>
        <w:spacing w:after="56"/>
      </w:pPr>
      <w:r>
        <w:t>An orchestrator marks a multi-agent workflow as "complete" after all agents finish their tasks. However, no accountable human role reviews or accepts the final outcome. A customer later disputes the outcome, and the enterprise cannot identify who accepted responsibility for the result. The orchestrator completion log is not an accepted outcome record.</w:t>
      </w:r>
    </w:p>
    <w:p>
      <w:pPr>
        <w:spacing w:after="56"/>
      </w:pPr>
      <w:r>
        <w:t>Missing Lifecycle Object:</w:t>
      </w:r>
    </w:p>
    <w:p>
      <w:pPr>
        <w:spacing w:after="56"/>
      </w:pPr>
      <w:r>
        <w:t>Human-Role-to-MAS Responsibility Mapping (MRO-01); Accepted Outcome Compliance (MRO-04); Incident, Dispute, and Remediation Closure (MRO-16)</w:t>
      </w:r>
    </w:p>
    <w:p>
      <w:pPr>
        <w:spacing w:after="56"/>
      </w:pPr>
      <w:r>
        <w:t>Relevant ALCS Dimensions:</w:t>
      </w:r>
    </w:p>
    <w:p>
      <w:pPr>
        <w:spacing w:after="56"/>
      </w:pPr>
      <w:r>
        <w:t>ALCS-01: Human-Role-to-MAS Responsibility Mapping; ALCS-04: Accepted Outcome Compliance; ALCS-06: Responsibility Transfer Across Agents</w:t>
      </w:r>
    </w:p>
    <w:p>
      <w:pPr>
        <w:spacing w:after="56"/>
      </w:pPr>
      <w:r>
        <w:t>Enterprise Consequence:</w:t>
      </w:r>
    </w:p>
    <w:p>
      <w:pPr>
        <w:spacing w:after="56"/>
      </w:pPr>
      <w:r>
        <w:t>No responsible party for the disputed outcome. Customer dispute cannot be resolved because no acceptance record exists. Remediation is delayed because no owner is assigned. Regulatory investigation reveals accountability gap. Reputational damage.</w:t>
      </w:r>
    </w:p>
    <w:p>
      <w:pPr>
        <w:spacing w:after="56"/>
      </w:pPr>
      <w:r>
        <w:t>Investigation Evidence Needed:</w:t>
      </w:r>
    </w:p>
    <w:p>
      <w:pPr>
        <w:pStyle w:val="ListBullet"/>
        <w:spacing w:after="56"/>
      </w:pPr>
      <w:r>
        <w:t>Role assignment records showing which human role should accept outcomes</w:t>
      </w:r>
    </w:p>
    <w:p>
      <w:pPr>
        <w:pStyle w:val="ListBullet"/>
        <w:spacing w:after="56"/>
      </w:pPr>
      <w:r>
        <w:t>Acceptance records (absent)</w:t>
      </w:r>
    </w:p>
    <w:p>
      <w:pPr>
        <w:pStyle w:val="ListBullet"/>
        <w:spacing w:after="56"/>
      </w:pPr>
      <w:r>
        <w:t>Review records (absent)</w:t>
      </w:r>
    </w:p>
    <w:p>
      <w:pPr>
        <w:pStyle w:val="ListBullet"/>
        <w:spacing w:after="56"/>
      </w:pPr>
      <w:r>
        <w:t>Escalation records (absent because no acceptance workflow exists)</w:t>
      </w:r>
    </w:p>
    <w:p>
      <w:pPr>
        <w:pStyle w:val="ListBullet"/>
        <w:spacing w:after="56"/>
      </w:pPr>
      <w:r>
        <w:t>Remediation ownership records (absent)</w:t>
      </w:r>
    </w:p>
    <w:p>
      <w:pPr>
        <w:spacing w:after="56"/>
      </w:pPr>
      <w:r>
        <w:t>Remediation Pattern:</w:t>
      </w:r>
    </w:p>
    <w:p>
      <w:pPr>
        <w:pStyle w:val="ListBullet"/>
        <w:spacing w:after="56"/>
      </w:pPr>
      <w:r>
        <w:t>Implement human-role-to-MAS responsibility mapping</w:t>
      </w:r>
    </w:p>
    <w:p>
      <w:pPr>
        <w:pStyle w:val="ListBullet"/>
        <w:spacing w:after="56"/>
      </w:pPr>
      <w:r>
        <w:t>Add accepted outcome compliance workflow requiring explicit human acceptance</w:t>
      </w:r>
    </w:p>
    <w:p>
      <w:pPr>
        <w:pStyle w:val="ListBullet"/>
        <w:spacing w:after="56"/>
      </w:pPr>
      <w:r>
        <w:t>Implement review and escalation workflow for disputed outcomes</w:t>
      </w:r>
    </w:p>
    <w:p>
      <w:pPr>
        <w:pStyle w:val="ListBullet"/>
        <w:spacing w:after="56"/>
      </w:pPr>
      <w:r>
        <w:t>Add remediation ownership assignment</w:t>
      </w:r>
    </w:p>
    <w:p>
      <w:pPr>
        <w:pStyle w:val="ListBullet"/>
        <w:spacing w:after="56"/>
      </w:pPr>
      <w:r>
        <w:t>Implement incident and dispute closure workflow</w:t>
      </w:r>
    </w:p>
    <w:p>
      <w:pPr>
        <w:spacing w:after="56"/>
      </w:pPr>
      <w:r>
        <w:t>Relevant MROs: MRO-01, MRO-04, MRO-16</w:t>
      </w:r>
    </w:p>
    <w:p>
      <w:pPr>
        <w:spacing w:after="56"/>
      </w:pPr>
      <w:r>
        <w:t>Relevant ALCS: ALCS-01, ALCS-04, ALCS-06</w:t>
      </w:r>
    </w:p>
    <w:p>
      <w:pPr>
        <w:pStyle w:val="Heading3"/>
      </w:pPr>
      <w:r>
        <w:t>Scenario 4: Cross-Project Reuse Failure</w:t>
      </w:r>
    </w:p>
    <w:p>
      <w:pPr>
        <w:spacing w:after="56"/>
      </w:pPr>
      <w:r>
        <w:t>Failure Trigger:</w:t>
      </w:r>
    </w:p>
    <w:p>
      <w:pPr>
        <w:spacing w:after="56"/>
      </w:pPr>
      <w:r>
        <w:t>A prompt template, memory store, or workflow pattern is developed for a non-regulated internal project. The same pattern is reused in a HIPAA-regulated healthcare project without reset, reauthorization, or context boundary validation. A privacy audit reveals that patient data was processed using a prompt template that retained context from the non-regulated project.</w:t>
      </w:r>
    </w:p>
    <w:p>
      <w:pPr>
        <w:spacing w:after="56"/>
      </w:pPr>
      <w:r>
        <w:t>Missing Lifecycle Object:</w:t>
      </w:r>
    </w:p>
    <w:p>
      <w:pPr>
        <w:spacing w:after="56"/>
      </w:pPr>
      <w:r>
        <w:t>Cross-Project Reuse Compliance (MRO-09); Privacy/GDPR Lifecycle Mapping (MRO-10); Vendor/Model/Runtime Substitution Conformance (MRO-15)</w:t>
      </w:r>
    </w:p>
    <w:p>
      <w:pPr>
        <w:spacing w:after="56"/>
      </w:pPr>
      <w:r>
        <w:t>Relevant ALCS Dimensions:</w:t>
      </w:r>
    </w:p>
    <w:p>
      <w:pPr>
        <w:spacing w:after="56"/>
      </w:pPr>
      <w:r>
        <w:t>ALCS-09: Cross-Project Reuse Compliance; ALCS-10: Privacy/GDPR Lifecycle Mapping; ALCS-14: Third-Party Processor/Subprocessor Chain</w:t>
      </w:r>
    </w:p>
    <w:p>
      <w:pPr>
        <w:spacing w:after="56"/>
      </w:pPr>
      <w:r>
        <w:t>Enterprise Consequence:</w:t>
      </w:r>
    </w:p>
    <w:p>
      <w:pPr>
        <w:spacing w:after="56"/>
      </w:pPr>
      <w:r>
        <w:t>Privacy risk. Potential HIPAA compliance issue requiring legal review. Potential regulatory exposure. Customer trust loss. Cross-contamination of regulated and non-regulated contexts. Reputational damage.</w:t>
      </w:r>
    </w:p>
    <w:p>
      <w:pPr>
        <w:spacing w:after="56"/>
      </w:pPr>
      <w:r>
        <w:t>Investigation Evidence Needed:</w:t>
      </w:r>
    </w:p>
    <w:p>
      <w:pPr>
        <w:pStyle w:val="ListBullet"/>
        <w:spacing w:after="56"/>
      </w:pPr>
      <w:r>
        <w:t>Reuse records showing when and how the pattern was reused</w:t>
      </w:r>
    </w:p>
    <w:p>
      <w:pPr>
        <w:pStyle w:val="ListBullet"/>
        <w:spacing w:after="56"/>
      </w:pPr>
      <w:r>
        <w:t>Reset validation records (absent)</w:t>
      </w:r>
    </w:p>
    <w:p>
      <w:pPr>
        <w:pStyle w:val="ListBullet"/>
        <w:spacing w:after="56"/>
      </w:pPr>
      <w:r>
        <w:t>Reauthorization records (absent)</w:t>
      </w:r>
    </w:p>
    <w:p>
      <w:pPr>
        <w:pStyle w:val="ListBullet"/>
        <w:spacing w:after="56"/>
      </w:pPr>
      <w:r>
        <w:t>Context boundary records (absent)</w:t>
      </w:r>
    </w:p>
    <w:p>
      <w:pPr>
        <w:pStyle w:val="ListBullet"/>
        <w:spacing w:after="56"/>
      </w:pPr>
      <w:r>
        <w:t>Privacy impact assessment records (absent)</w:t>
      </w:r>
    </w:p>
    <w:p>
      <w:pPr>
        <w:spacing w:after="56"/>
      </w:pPr>
      <w:r>
        <w:t>Remediation Pattern:</w:t>
      </w:r>
    </w:p>
    <w:p>
      <w:pPr>
        <w:pStyle w:val="ListBullet"/>
        <w:spacing w:after="56"/>
      </w:pPr>
      <w:r>
        <w:t>Implement cross-project reuse compliance workflow requiring reset and reauthorization</w:t>
      </w:r>
    </w:p>
    <w:p>
      <w:pPr>
        <w:pStyle w:val="ListBullet"/>
        <w:spacing w:after="56"/>
      </w:pPr>
      <w:r>
        <w:t>Add context boundary validation for regulated projects</w:t>
      </w:r>
    </w:p>
    <w:p>
      <w:pPr>
        <w:pStyle w:val="ListBullet"/>
        <w:spacing w:after="56"/>
      </w:pPr>
      <w:r>
        <w:t>Implement privacy/GDPR lifecycle mapping for data flow</w:t>
      </w:r>
    </w:p>
    <w:p>
      <w:pPr>
        <w:pStyle w:val="ListBullet"/>
        <w:spacing w:after="56"/>
      </w:pPr>
      <w:r>
        <w:t>Add reuse policy enforcement at project boundaries</w:t>
      </w:r>
    </w:p>
    <w:p>
      <w:pPr>
        <w:pStyle w:val="ListBullet"/>
        <w:spacing w:after="56"/>
      </w:pPr>
      <w:r>
        <w:t>Implement substitution conformance validation</w:t>
      </w:r>
    </w:p>
    <w:p>
      <w:pPr>
        <w:spacing w:after="56"/>
      </w:pPr>
      <w:r>
        <w:t>Relevant MROs: MRO-09, MRO-10, MRO-15</w:t>
      </w:r>
    </w:p>
    <w:p>
      <w:pPr>
        <w:spacing w:after="56"/>
      </w:pPr>
      <w:r>
        <w:t>Relevant ALCS: ALCS-09, ALCS-10, ALCS-14</w:t>
      </w:r>
    </w:p>
    <w:p>
      <w:pPr>
        <w:pStyle w:val="Heading3"/>
      </w:pPr>
      <w:r>
        <w:t>Scenario 5: Privacy Validation Failure</w:t>
      </w:r>
    </w:p>
    <w:p>
      <w:pPr>
        <w:spacing w:after="56"/>
      </w:pPr>
      <w:r>
        <w:t>Failure Trigger:</w:t>
      </w:r>
    </w:p>
    <w:p>
      <w:pPr>
        <w:spacing w:after="56"/>
      </w:pPr>
      <w:r>
        <w:t>An enterprise sends raw agent traces, including customer PII and proprietary business logic, to a third-party reviewer for compliance validation. The reviewer is not a processor under a data processing agreement. The data transfer creates a privacy risk and potential security incident.</w:t>
      </w:r>
    </w:p>
    <w:p>
      <w:pPr>
        <w:spacing w:after="56"/>
      </w:pPr>
      <w:r>
        <w:t>Missing Lifecycle Object:</w:t>
      </w:r>
    </w:p>
    <w:p>
      <w:pPr>
        <w:spacing w:after="56"/>
      </w:pPr>
      <w:r>
        <w:t>Privacy/GDPR Lifecycle Mapping (MRO-10); Privacy-Preserving Third-Party Validation (MRO-11); Evidence Minimization and Selective Disclosure (MRO-12); Data Subject Rights vs Evidence Retention (MRO-13)</w:t>
      </w:r>
    </w:p>
    <w:p>
      <w:pPr>
        <w:spacing w:after="56"/>
      </w:pPr>
      <w:r>
        <w:t>Relevant ALCS Dimensions:</w:t>
      </w:r>
    </w:p>
    <w:p>
      <w:pPr>
        <w:spacing w:after="56"/>
      </w:pPr>
      <w:r>
        <w:t>ALCS-10: Privacy/GDPR Lifecycle Mapping; ALCS-11: Privacy-Preserving Third-Party Validation; ALCS-12: Evidence Minimization and Selective Disclosure; ALCS-13: Data Subject Rights vs Evidence Retention</w:t>
      </w:r>
    </w:p>
    <w:p>
      <w:pPr>
        <w:spacing w:after="56"/>
      </w:pPr>
      <w:r>
        <w:t>Enterprise Consequence:</w:t>
      </w:r>
    </w:p>
    <w:p>
      <w:pPr>
        <w:spacing w:after="56"/>
      </w:pPr>
      <w:r>
        <w:t>Privacy risk. Potential GDPR Article 28 processor-chain issue requiring legal review. Security incident. Regulatory investigation challenge. Customer trust loss. Potential regulatory exposure. Reputational damage.</w:t>
      </w:r>
    </w:p>
    <w:p>
      <w:pPr>
        <w:spacing w:after="56"/>
      </w:pPr>
      <w:r>
        <w:t>Investigation Evidence Needed:</w:t>
      </w:r>
    </w:p>
    <w:p>
      <w:pPr>
        <w:pStyle w:val="ListBullet"/>
        <w:spacing w:after="56"/>
      </w:pPr>
      <w:r>
        <w:t>Validation evidence transfer records</w:t>
      </w:r>
    </w:p>
    <w:p>
      <w:pPr>
        <w:pStyle w:val="ListBullet"/>
        <w:spacing w:after="56"/>
      </w:pPr>
      <w:r>
        <w:t>Data processing agreement records (absent)</w:t>
      </w:r>
    </w:p>
    <w:p>
      <w:pPr>
        <w:pStyle w:val="ListBullet"/>
        <w:spacing w:after="56"/>
      </w:pPr>
      <w:r>
        <w:t>Disclosure policy records (absent)</w:t>
      </w:r>
    </w:p>
    <w:p>
      <w:pPr>
        <w:pStyle w:val="ListBullet"/>
        <w:spacing w:after="56"/>
      </w:pPr>
      <w:r>
        <w:t>Redaction records (absent)</w:t>
      </w:r>
    </w:p>
    <w:p>
      <w:pPr>
        <w:pStyle w:val="ListBullet"/>
        <w:spacing w:after="56"/>
      </w:pPr>
      <w:r>
        <w:t>Evidence minimization records (absent)</w:t>
      </w:r>
    </w:p>
    <w:p>
      <w:pPr>
        <w:pStyle w:val="ListBullet"/>
        <w:spacing w:after="56"/>
      </w:pPr>
      <w:r>
        <w:t>Validation protocol records (absent)</w:t>
      </w:r>
    </w:p>
    <w:p>
      <w:pPr>
        <w:spacing w:after="56"/>
      </w:pPr>
      <w:r>
        <w:t>Remediation Pattern:</w:t>
      </w:r>
    </w:p>
    <w:p>
      <w:pPr>
        <w:pStyle w:val="ListBullet"/>
        <w:spacing w:after="56"/>
      </w:pPr>
      <w:r>
        <w:t>Implement privacy-preserving third-party validation protocol (e.g., evidence-based validation pattern from Chapter 14)</w:t>
      </w:r>
    </w:p>
    <w:p>
      <w:pPr>
        <w:pStyle w:val="ListBullet"/>
        <w:spacing w:after="56"/>
      </w:pPr>
      <w:r>
        <w:t>Add disclosure policy requiring evidence minimization and selective disclosure</w:t>
      </w:r>
    </w:p>
    <w:p>
      <w:pPr>
        <w:pStyle w:val="ListBullet"/>
        <w:spacing w:after="56"/>
      </w:pPr>
      <w:r>
        <w:t>Implement redaction profile for sensitive data</w:t>
      </w:r>
    </w:p>
    <w:p>
      <w:pPr>
        <w:pStyle w:val="ListBullet"/>
        <w:spacing w:after="56"/>
      </w:pPr>
      <w:r>
        <w:t>Add data processing agreement requirement for validation providers</w:t>
      </w:r>
    </w:p>
    <w:p>
      <w:pPr>
        <w:pStyle w:val="ListBullet"/>
        <w:spacing w:after="56"/>
      </w:pPr>
      <w:r>
        <w:t>Implement validation protocol with hash manifests and verdict hashes instead of raw trace transfer</w:t>
      </w:r>
    </w:p>
    <w:p>
      <w:pPr>
        <w:spacing w:after="56"/>
      </w:pPr>
      <w:r>
        <w:t>Relevant MROs: MRO-10, MRO-11, MRO-12, MRO-13</w:t>
      </w:r>
    </w:p>
    <w:p>
      <w:pPr>
        <w:spacing w:after="56"/>
      </w:pPr>
      <w:r>
        <w:t>Relevant ALCS: ALCS-10, ALCS-11, ALCS-12, ALCS-13</w:t>
      </w:r>
    </w:p>
    <w:p>
      <w:pPr>
        <w:pStyle w:val="Heading3"/>
      </w:pPr>
      <w:r>
        <w:t>Scenario 6: Processor Chain Failure</w:t>
      </w:r>
    </w:p>
    <w:p>
      <w:pPr>
        <w:spacing w:after="56"/>
      </w:pPr>
      <w:r>
        <w:t>Failure Trigger:</w:t>
      </w:r>
    </w:p>
    <w:p>
      <w:pPr>
        <w:spacing w:after="56"/>
      </w:pPr>
      <w:r>
        <w:t>A multi-agent workflow involves a foundation model provider, a vector database service, a CRM API, a workflow orchestration tool, a monitoring platform, and a cloud runtime. A customer data breach occurs, but the enterprise cannot identify which processor or subprocessor was responsible because no processor chain responsibility mapping exists.</w:t>
      </w:r>
    </w:p>
    <w:p>
      <w:pPr>
        <w:spacing w:after="56"/>
      </w:pPr>
      <w:r>
        <w:t>Missing Lifecycle Object:</w:t>
      </w:r>
    </w:p>
    <w:p>
      <w:pPr>
        <w:spacing w:after="56"/>
      </w:pPr>
      <w:r>
        <w:t>Third-Party Processor/Subprocessor Chain (MRO-14); Tool-Action Liability Boundary (MRO-05); MAS Evidence Partitioning (MRO-08)</w:t>
      </w:r>
    </w:p>
    <w:p>
      <w:pPr>
        <w:spacing w:after="56"/>
      </w:pPr>
      <w:r>
        <w:t>Relevant ALCS Dimensions:</w:t>
      </w:r>
    </w:p>
    <w:p>
      <w:pPr>
        <w:spacing w:after="56"/>
      </w:pPr>
      <w:r>
        <w:t>ALCS-14: Third-Party Processor/Subprocessor Chain; ALCS-04: Accepted Outcome Compliance; ALCS-08: MAS Evidence Partitioning</w:t>
      </w:r>
    </w:p>
    <w:p>
      <w:pPr>
        <w:spacing w:after="56"/>
      </w:pPr>
      <w:r>
        <w:t>Enterprise Consequence:</w:t>
      </w:r>
    </w:p>
    <w:p>
      <w:pPr>
        <w:spacing w:after="56"/>
      </w:pPr>
      <w:r>
        <w:t>Processor chain liability dispute. Potential GDPR Article 28 processor-chain issue requiring legal review. Unclear responsibility for breach. Vendor disputes. Insurance claim challenge. Regulatory investigation challenge. Customer trust loss. Reputational damage.</w:t>
      </w:r>
    </w:p>
    <w:p>
      <w:pPr>
        <w:spacing w:after="56"/>
      </w:pPr>
      <w:r>
        <w:t>Investigation Evidence Needed:</w:t>
      </w:r>
    </w:p>
    <w:p>
      <w:pPr>
        <w:pStyle w:val="ListBullet"/>
        <w:spacing w:after="56"/>
      </w:pPr>
      <w:r>
        <w:t>Processor agreements with each vendor</w:t>
      </w:r>
    </w:p>
    <w:p>
      <w:pPr>
        <w:pStyle w:val="ListBullet"/>
        <w:spacing w:after="56"/>
      </w:pPr>
      <w:r>
        <w:t>Subprocessor chain records showing data flow</w:t>
      </w:r>
    </w:p>
    <w:p>
      <w:pPr>
        <w:pStyle w:val="ListBullet"/>
        <w:spacing w:after="56"/>
      </w:pPr>
      <w:r>
        <w:t>Responsibility assignment records for each processor</w:t>
      </w:r>
    </w:p>
    <w:p>
      <w:pPr>
        <w:pStyle w:val="ListBullet"/>
        <w:spacing w:after="56"/>
      </w:pPr>
      <w:r>
        <w:t>Tool-action logs showing which processor handled which data</w:t>
      </w:r>
    </w:p>
    <w:p>
      <w:pPr>
        <w:pStyle w:val="ListBullet"/>
        <w:spacing w:after="56"/>
      </w:pPr>
      <w:r>
        <w:t>Evidence partitioning records showing processor boundaries</w:t>
      </w:r>
    </w:p>
    <w:p>
      <w:pPr>
        <w:spacing w:after="56"/>
      </w:pPr>
      <w:r>
        <w:t>Remediation Pattern:</w:t>
      </w:r>
    </w:p>
    <w:p>
      <w:pPr>
        <w:pStyle w:val="ListBullet"/>
        <w:spacing w:after="56"/>
      </w:pPr>
      <w:r>
        <w:t>Implement third-party processor/subprocessor chain mapping</w:t>
      </w:r>
    </w:p>
    <w:p>
      <w:pPr>
        <w:pStyle w:val="ListBullet"/>
        <w:spacing w:after="56"/>
      </w:pPr>
      <w:r>
        <w:t>Add processor agreements with GDPR Article 28 mapping and legal review</w:t>
      </w:r>
    </w:p>
    <w:p>
      <w:pPr>
        <w:pStyle w:val="ListBullet"/>
        <w:spacing w:after="56"/>
      </w:pPr>
      <w:r>
        <w:t>Implement responsibility assignment for each processor</w:t>
      </w:r>
    </w:p>
    <w:p>
      <w:pPr>
        <w:pStyle w:val="ListBullet"/>
        <w:spacing w:after="56"/>
      </w:pPr>
      <w:r>
        <w:t>Add tool-action liability boundary records</w:t>
      </w:r>
    </w:p>
    <w:p>
      <w:pPr>
        <w:pStyle w:val="ListBullet"/>
        <w:spacing w:after="56"/>
      </w:pPr>
      <w:r>
        <w:t>Implement evidence partitioning at processor boundaries</w:t>
      </w:r>
    </w:p>
    <w:p>
      <w:pPr>
        <w:spacing w:after="56"/>
      </w:pPr>
      <w:r>
        <w:t>Relevant MROs: MRO-14, MRO-05, MRO-08</w:t>
      </w:r>
    </w:p>
    <w:p>
      <w:pPr>
        <w:spacing w:after="56"/>
      </w:pPr>
      <w:r>
        <w:t>Relevant ALCS: ALCS-14, ALCS-04, ALCS-08</w:t>
      </w:r>
    </w:p>
    <w:p>
      <w:pPr>
        <w:pStyle w:val="Heading3"/>
      </w:pPr>
      <w:r>
        <w:t>Scenario 7: Vendor / Runtime Substitution Failure</w:t>
      </w:r>
    </w:p>
    <w:p>
      <w:pPr>
        <w:spacing w:after="56"/>
      </w:pPr>
      <w:r>
        <w:t>Failure Trigger:</w:t>
      </w:r>
    </w:p>
    <w:p>
      <w:pPr>
        <w:spacing w:after="56"/>
      </w:pPr>
      <w:r>
        <w:t>An engineering team switches from one foundation model provider to another to reduce costs. The new model has different output formats, different tool-calling semantics, and different context window behavior. Execution still works, but evidence chain integrity degrades, authority boundary enforcement weakens, and privacy-preserving validation fails because the new model does not support the same evidence export format.</w:t>
      </w:r>
    </w:p>
    <w:p>
      <w:pPr>
        <w:spacing w:after="56"/>
      </w:pPr>
      <w:r>
        <w:t>Missing Lifecycle Object:</w:t>
      </w:r>
    </w:p>
    <w:p>
      <w:pPr>
        <w:spacing w:after="56"/>
      </w:pPr>
      <w:r>
        <w:t>Vendor/Model/Runtime Substitution Conformance (MRO-15); MAS Evidence Partitioning (MRO-08); Privacy/GDPR Lifecycle Mapping (MRO-10)</w:t>
      </w:r>
    </w:p>
    <w:p>
      <w:pPr>
        <w:spacing w:after="56"/>
      </w:pPr>
      <w:r>
        <w:t>Relevant ALCS Dimensions:</w:t>
      </w:r>
    </w:p>
    <w:p>
      <w:pPr>
        <w:spacing w:after="56"/>
      </w:pPr>
      <w:r>
        <w:t>ALCS-15: Vendor/Model/Runtime Substitution Conformance; ALCS-08: MAS Evidence Partitioning; ALCS-11: Privacy-Preserving Third-Party Validation</w:t>
      </w:r>
    </w:p>
    <w:p>
      <w:pPr>
        <w:spacing w:after="56"/>
      </w:pPr>
      <w:r>
        <w:t>Enterprise Consequence:</w:t>
      </w:r>
    </w:p>
    <w:p>
      <w:pPr>
        <w:spacing w:after="56"/>
      </w:pPr>
      <w:r>
        <w:t>Compliance drift. Evidence chain degradation. Authority boundary violations. Privacy risks. Audit-readiness failure or audit challenge. Inability to demonstrate conformance after substitution. Reputational damage.</w:t>
      </w:r>
    </w:p>
    <w:p>
      <w:pPr>
        <w:spacing w:after="56"/>
      </w:pPr>
      <w:r>
        <w:t>Investigation Evidence Needed:</w:t>
      </w:r>
    </w:p>
    <w:p>
      <w:pPr>
        <w:pStyle w:val="ListBullet"/>
        <w:spacing w:after="56"/>
      </w:pPr>
      <w:r>
        <w:t>Substitution records showing when and why the model was changed</w:t>
      </w:r>
    </w:p>
    <w:p>
      <w:pPr>
        <w:pStyle w:val="ListBullet"/>
        <w:spacing w:after="56"/>
      </w:pPr>
      <w:r>
        <w:t>Conformance validation records (absent)</w:t>
      </w:r>
    </w:p>
    <w:p>
      <w:pPr>
        <w:pStyle w:val="ListBullet"/>
        <w:spacing w:after="56"/>
      </w:pPr>
      <w:r>
        <w:t>Regression testing records (absent)</w:t>
      </w:r>
    </w:p>
    <w:p>
      <w:pPr>
        <w:pStyle w:val="ListBullet"/>
        <w:spacing w:after="56"/>
      </w:pPr>
      <w:r>
        <w:t>Evidence integrity validation records (absent)</w:t>
      </w:r>
    </w:p>
    <w:p>
      <w:pPr>
        <w:pStyle w:val="ListBullet"/>
        <w:spacing w:after="56"/>
      </w:pPr>
      <w:r>
        <w:t>Authority boundary validation records (absent)</w:t>
      </w:r>
    </w:p>
    <w:p>
      <w:pPr>
        <w:spacing w:after="56"/>
      </w:pPr>
      <w:r>
        <w:t>Remediation Pattern:</w:t>
      </w:r>
    </w:p>
    <w:p>
      <w:pPr>
        <w:pStyle w:val="ListBullet"/>
        <w:spacing w:after="56"/>
      </w:pPr>
      <w:r>
        <w:t>Implement vendor/model/runtime substitution conformance workflow</w:t>
      </w:r>
    </w:p>
    <w:p>
      <w:pPr>
        <w:pStyle w:val="ListBullet"/>
        <w:spacing w:after="56"/>
      </w:pPr>
      <w:r>
        <w:t>Add conformance validation testing before substitution</w:t>
      </w:r>
    </w:p>
    <w:p>
      <w:pPr>
        <w:pStyle w:val="ListBullet"/>
        <w:spacing w:after="56"/>
      </w:pPr>
      <w:r>
        <w:t>Implement regression testing for evidence chain integrity</w:t>
      </w:r>
    </w:p>
    <w:p>
      <w:pPr>
        <w:pStyle w:val="ListBullet"/>
        <w:spacing w:after="56"/>
      </w:pPr>
      <w:r>
        <w:t>Add authority boundary validation after substitution</w:t>
      </w:r>
    </w:p>
    <w:p>
      <w:pPr>
        <w:pStyle w:val="ListBullet"/>
        <w:spacing w:after="56"/>
      </w:pPr>
      <w:r>
        <w:t>Implement privacy-preserving validation protocol compatibility testing</w:t>
      </w:r>
    </w:p>
    <w:p>
      <w:pPr>
        <w:spacing w:after="56"/>
      </w:pPr>
      <w:r>
        <w:t>Relevant MROs: MRO-15, MRO-08, MRO-10</w:t>
      </w:r>
    </w:p>
    <w:p>
      <w:pPr>
        <w:spacing w:after="56"/>
      </w:pPr>
      <w:r>
        <w:t>Relevant ALCS: ALCS-15, ALCS-08, ALCS-11</w:t>
      </w:r>
    </w:p>
    <w:p>
      <w:pPr>
        <w:pStyle w:val="Heading3"/>
      </w:pPr>
      <w:r>
        <w:t>Scenario 8: Remediation Closure Failure</w:t>
      </w:r>
    </w:p>
    <w:p>
      <w:pPr>
        <w:spacing w:after="56"/>
      </w:pPr>
      <w:r>
        <w:t>Failure Trigger:</w:t>
      </w:r>
    </w:p>
    <w:p>
      <w:pPr>
        <w:spacing w:after="56"/>
      </w:pPr>
      <w:r>
        <w:t>Engineering discovers a prompt bug that caused incorrect customer recommendations. The bug is fixed, but no responsible owner is assigned, no affected outcome list is generated, no evidence review is conducted, no customer impact assessment is performed, and no accepted closure state is recorded. Customers later discover the issue and file complaints, but the enterprise cannot demonstrate that remediation was completed.</w:t>
      </w:r>
    </w:p>
    <w:p>
      <w:pPr>
        <w:spacing w:after="56"/>
      </w:pPr>
      <w:r>
        <w:t>Missing Lifecycle Object:</w:t>
      </w:r>
    </w:p>
    <w:p>
      <w:pPr>
        <w:spacing w:after="56"/>
      </w:pPr>
      <w:r>
        <w:t>Incident, Dispute, and Remediation Closure (MRO-16); Accepted Outcome Compliance (MRO-04); MAS Evidence Partitioning (MRO-08)</w:t>
      </w:r>
    </w:p>
    <w:p>
      <w:pPr>
        <w:spacing w:after="56"/>
      </w:pPr>
      <w:r>
        <w:t>Relevant ALCS Dimensions:</w:t>
      </w:r>
    </w:p>
    <w:p>
      <w:pPr>
        <w:spacing w:after="56"/>
      </w:pPr>
      <w:r>
        <w:t>ALCS-04: Accepted Outcome Compliance; ALCS-08: MAS Evidence Partitioning; ALCS-06: Responsibility Transfer Across Agents</w:t>
      </w:r>
    </w:p>
    <w:p>
      <w:pPr>
        <w:spacing w:after="56"/>
      </w:pPr>
      <w:r>
        <w:t>Enterprise Consequence:</w:t>
      </w:r>
    </w:p>
    <w:p>
      <w:pPr>
        <w:spacing w:after="56"/>
      </w:pPr>
      <w:r>
        <w:t>Remediation delays. No closure state. Customer disputes without resolution. Regulatory investigation failure. Reputational damage. Inability to demonstrate that remediation was completed.</w:t>
      </w:r>
    </w:p>
    <w:p>
      <w:pPr>
        <w:spacing w:after="56"/>
      </w:pPr>
      <w:r>
        <w:t>Investigation Evidence Needed:</w:t>
      </w:r>
    </w:p>
    <w:p>
      <w:pPr>
        <w:pStyle w:val="ListBullet"/>
        <w:spacing w:after="56"/>
      </w:pPr>
      <w:r>
        <w:t>Incident records showing when the bug was discovered</w:t>
      </w:r>
    </w:p>
    <w:p>
      <w:pPr>
        <w:pStyle w:val="ListBullet"/>
        <w:spacing w:after="56"/>
      </w:pPr>
      <w:r>
        <w:t>Affected outcome records (absent)</w:t>
      </w:r>
    </w:p>
    <w:p>
      <w:pPr>
        <w:pStyle w:val="ListBullet"/>
        <w:spacing w:after="56"/>
      </w:pPr>
      <w:r>
        <w:t>Remediation records showing the fix</w:t>
      </w:r>
    </w:p>
    <w:p>
      <w:pPr>
        <w:pStyle w:val="ListBullet"/>
        <w:spacing w:after="56"/>
      </w:pPr>
      <w:r>
        <w:t>Closure acceptance records (absent)</w:t>
      </w:r>
    </w:p>
    <w:p>
      <w:pPr>
        <w:pStyle w:val="ListBullet"/>
        <w:spacing w:after="56"/>
      </w:pPr>
      <w:r>
        <w:t>Customer impact assessment records (absent)</w:t>
      </w:r>
    </w:p>
    <w:p>
      <w:pPr>
        <w:pStyle w:val="ListBullet"/>
        <w:spacing w:after="56"/>
      </w:pPr>
      <w:r>
        <w:t>Evidence review records (absent)</w:t>
      </w:r>
    </w:p>
    <w:p>
      <w:pPr>
        <w:spacing w:after="56"/>
      </w:pPr>
      <w:r>
        <w:t>Remediation Pattern:</w:t>
      </w:r>
    </w:p>
    <w:p>
      <w:pPr>
        <w:pStyle w:val="ListBullet"/>
        <w:spacing w:after="56"/>
      </w:pPr>
      <w:r>
        <w:t>Implement incident, dispute, and remediation closure workflow</w:t>
      </w:r>
    </w:p>
    <w:p>
      <w:pPr>
        <w:pStyle w:val="ListBullet"/>
        <w:spacing w:after="56"/>
      </w:pPr>
      <w:r>
        <w:t>Add responsible owner assignment for remediation</w:t>
      </w:r>
    </w:p>
    <w:p>
      <w:pPr>
        <w:pStyle w:val="ListBullet"/>
        <w:spacing w:after="56"/>
      </w:pPr>
      <w:r>
        <w:t>Implement affected outcome list generation</w:t>
      </w:r>
    </w:p>
    <w:p>
      <w:pPr>
        <w:pStyle w:val="ListBullet"/>
        <w:spacing w:after="56"/>
      </w:pPr>
      <w:r>
        <w:t>Add evidence review workflow for affected outcomes</w:t>
      </w:r>
    </w:p>
    <w:p>
      <w:pPr>
        <w:pStyle w:val="ListBullet"/>
        <w:spacing w:after="56"/>
      </w:pPr>
      <w:r>
        <w:t>Implement customer impact assessment</w:t>
      </w:r>
    </w:p>
    <w:p>
      <w:pPr>
        <w:pStyle w:val="ListBullet"/>
        <w:spacing w:after="56"/>
      </w:pPr>
      <w:r>
        <w:t>Add accepted closure state requiring explicit acceptance by responsible owner</w:t>
      </w:r>
    </w:p>
    <w:p>
      <w:pPr>
        <w:spacing w:after="56"/>
      </w:pPr>
      <w:r>
        <w:t>Relevant MROs: MRO-16, MRO-04, MRO-08</w:t>
      </w:r>
    </w:p>
    <w:p>
      <w:pPr>
        <w:spacing w:after="56"/>
      </w:pPr>
      <w:r>
        <w:t>Relevant ALCS: ALCS-04, ALCS-08, ALCS-06</w:t>
      </w:r>
    </w:p>
    <w:p>
      <w:pPr>
        <w:pStyle w:val="Heading2"/>
      </w:pPr>
      <w:r>
        <w:t>15.4 Remediation and Prevention Patterns</w:t>
      </w:r>
    </w:p>
    <w:p>
      <w:pPr>
        <w:spacing w:after="56"/>
      </w:pPr>
      <w:r>
        <w:t>The following table summarizes remediation and prevention patterns for the eight failure scenarios.</w:t>
      </w:r>
    </w:p>
    <w:p>
      <w:pPr>
        <w:keepNext/>
      </w:pPr>
      <w:r>
        <w:rPr>
          <w:b/>
          <w:sz w:val="16"/>
        </w:rPr>
        <w:t>Table T-15-03: Failure Scenario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Scenario</w:t>
            </w:r>
          </w:p>
        </w:tc>
        <w:tc>
          <w:tcPr>
            <w:tcW w:type="dxa" w:w="2045"/>
          </w:tcPr>
          <w:p>
            <w:pPr>
              <w:spacing w:after="0"/>
            </w:pPr>
            <w:r>
              <w:rPr>
                <w:rFonts w:ascii="Arial" w:hAnsi="Arial"/>
                <w:b/>
                <w:sz w:val="14"/>
              </w:rPr>
              <w:t>Failure Trigger</w:t>
            </w:r>
          </w:p>
        </w:tc>
        <w:tc>
          <w:tcPr>
            <w:tcW w:type="dxa" w:w="2045"/>
          </w:tcPr>
          <w:p>
            <w:pPr>
              <w:spacing w:after="0"/>
            </w:pPr>
            <w:r>
              <w:rPr>
                <w:rFonts w:ascii="Arial" w:hAnsi="Arial"/>
                <w:b/>
                <w:sz w:val="14"/>
              </w:rPr>
              <w:t>Missing Lifecycle Object</w:t>
            </w:r>
          </w:p>
        </w:tc>
        <w:tc>
          <w:tcPr>
            <w:tcW w:type="dxa" w:w="2045"/>
          </w:tcPr>
          <w:p>
            <w:pPr>
              <w:spacing w:after="0"/>
            </w:pPr>
            <w:r>
              <w:rPr>
                <w:rFonts w:ascii="Arial" w:hAnsi="Arial"/>
                <w:b/>
                <w:sz w:val="14"/>
              </w:rPr>
              <w:t>Investigation Evidence</w:t>
            </w:r>
          </w:p>
        </w:tc>
        <w:tc>
          <w:tcPr>
            <w:tcW w:type="dxa" w:w="2045"/>
          </w:tcPr>
          <w:p>
            <w:pPr>
              <w:spacing w:after="0"/>
            </w:pPr>
            <w:r>
              <w:rPr>
                <w:rFonts w:ascii="Arial" w:hAnsi="Arial"/>
                <w:b/>
                <w:sz w:val="14"/>
              </w:rPr>
              <w:t>Remediation Pattern</w:t>
            </w:r>
          </w:p>
        </w:tc>
      </w:tr>
      <w:tr>
        <w:tc>
          <w:tcPr>
            <w:tcW w:type="dxa" w:w="2045"/>
          </w:tcPr>
          <w:p>
            <w:pPr>
              <w:spacing w:after="0"/>
            </w:pPr>
            <w:r>
              <w:rPr>
                <w:rFonts w:ascii="Arial" w:hAnsi="Arial"/>
                <w:b w:val="0"/>
                <w:sz w:val="14"/>
              </w:rPr>
              <w:t>Authority Boundary Failure</w:t>
            </w:r>
          </w:p>
        </w:tc>
        <w:tc>
          <w:tcPr>
            <w:tcW w:type="dxa" w:w="2045"/>
          </w:tcPr>
          <w:p>
            <w:pPr>
              <w:spacing w:after="0"/>
            </w:pPr>
            <w:r>
              <w:rPr>
                <w:rFonts w:ascii="Arial" w:hAnsi="Arial"/>
                <w:b w:val="0"/>
                <w:sz w:val="14"/>
              </w:rPr>
              <w:t>Agent exceeds delegated authority; moves from advising to committing without human confirmation</w:t>
            </w:r>
          </w:p>
        </w:tc>
        <w:tc>
          <w:tcPr>
            <w:tcW w:type="dxa" w:w="2045"/>
          </w:tcPr>
          <w:p>
            <w:pPr>
              <w:spacing w:after="0"/>
            </w:pPr>
            <w:r>
              <w:rPr>
                <w:rFonts w:ascii="Arial" w:hAnsi="Arial"/>
                <w:b w:val="0"/>
                <w:sz w:val="14"/>
              </w:rPr>
              <w:t>Delegated Authority Boundary; Authority Drift Detection; Tool-Action Liability Boundary</w:t>
            </w:r>
          </w:p>
        </w:tc>
        <w:tc>
          <w:tcPr>
            <w:tcW w:type="dxa" w:w="2045"/>
          </w:tcPr>
          <w:p>
            <w:pPr>
              <w:spacing w:after="0"/>
            </w:pPr>
            <w:r>
              <w:rPr>
                <w:rFonts w:ascii="Arial" w:hAnsi="Arial"/>
                <w:b w:val="0"/>
                <w:sz w:val="14"/>
              </w:rPr>
              <w:t>Authority grant records; tool-action logs; drift detection logs; human confirmation records; acceptance records</w:t>
            </w:r>
          </w:p>
        </w:tc>
        <w:tc>
          <w:tcPr>
            <w:tcW w:type="dxa" w:w="2045"/>
          </w:tcPr>
          <w:p>
            <w:pPr>
              <w:spacing w:after="0"/>
            </w:pPr>
            <w:r>
              <w:rPr>
                <w:rFonts w:ascii="Arial" w:hAnsi="Arial"/>
                <w:b w:val="0"/>
                <w:sz w:val="14"/>
              </w:rPr>
              <w:t>Implement authority boundary enforcement; add drift detection; require human confirmation for commitments; add reauthorization workflow</w:t>
            </w:r>
          </w:p>
        </w:tc>
      </w:tr>
      <w:tr>
        <w:tc>
          <w:tcPr>
            <w:tcW w:type="dxa" w:w="2045"/>
          </w:tcPr>
          <w:p>
            <w:pPr>
              <w:spacing w:after="0"/>
            </w:pPr>
            <w:r>
              <w:rPr>
                <w:rFonts w:ascii="Arial" w:hAnsi="Arial"/>
                <w:b w:val="0"/>
                <w:sz w:val="14"/>
              </w:rPr>
              <w:t>Evidence Chain Failure</w:t>
            </w:r>
          </w:p>
        </w:tc>
        <w:tc>
          <w:tcPr>
            <w:tcW w:type="dxa" w:w="2045"/>
          </w:tcPr>
          <w:p>
            <w:pPr>
              <w:spacing w:after="0"/>
            </w:pPr>
            <w:r>
              <w:rPr>
                <w:rFonts w:ascii="Arial" w:hAnsi="Arial"/>
                <w:b w:val="0"/>
                <w:sz w:val="14"/>
              </w:rPr>
              <w:t>Organization has logs but cannot reconstruct authority, plan, confirmation, tool action, and accepted outcome</w:t>
            </w:r>
          </w:p>
        </w:tc>
        <w:tc>
          <w:tcPr>
            <w:tcW w:type="dxa" w:w="2045"/>
          </w:tcPr>
          <w:p>
            <w:pPr>
              <w:spacing w:after="0"/>
            </w:pPr>
            <w:r>
              <w:rPr>
                <w:rFonts w:ascii="Arial" w:hAnsi="Arial"/>
                <w:b w:val="0"/>
                <w:sz w:val="14"/>
              </w:rPr>
              <w:t>MAS Evidence Partitioning; Privacy-Preserving Third-Party Validation; Evidence Minimization</w:t>
            </w:r>
          </w:p>
        </w:tc>
        <w:tc>
          <w:tcPr>
            <w:tcW w:type="dxa" w:w="2045"/>
          </w:tcPr>
          <w:p>
            <w:pPr>
              <w:spacing w:after="0"/>
            </w:pPr>
            <w:r>
              <w:rPr>
                <w:rFonts w:ascii="Arial" w:hAnsi="Arial"/>
                <w:b w:val="0"/>
                <w:sz w:val="14"/>
              </w:rPr>
              <w:t>Partitioned evidence chain; evidence export records; retention policy records; validation protocol records</w:t>
            </w:r>
          </w:p>
        </w:tc>
        <w:tc>
          <w:tcPr>
            <w:tcW w:type="dxa" w:w="2045"/>
          </w:tcPr>
          <w:p>
            <w:pPr>
              <w:spacing w:after="0"/>
            </w:pPr>
            <w:r>
              <w:rPr>
                <w:rFonts w:ascii="Arial" w:hAnsi="Arial"/>
                <w:b w:val="0"/>
                <w:sz w:val="14"/>
              </w:rPr>
              <w:t>Implement MAS evidence partitioning; add evidence export with selective disclosure; add privacy-preserving validation protocol</w:t>
            </w:r>
          </w:p>
        </w:tc>
      </w:tr>
      <w:tr>
        <w:tc>
          <w:tcPr>
            <w:tcW w:type="dxa" w:w="2045"/>
          </w:tcPr>
          <w:p>
            <w:pPr>
              <w:spacing w:after="0"/>
            </w:pPr>
            <w:r>
              <w:rPr>
                <w:rFonts w:ascii="Arial" w:hAnsi="Arial"/>
                <w:b w:val="0"/>
                <w:sz w:val="14"/>
              </w:rPr>
              <w:t>Accepted Outcome Failure</w:t>
            </w:r>
          </w:p>
        </w:tc>
        <w:tc>
          <w:tcPr>
            <w:tcW w:type="dxa" w:w="2045"/>
          </w:tcPr>
          <w:p>
            <w:pPr>
              <w:spacing w:after="0"/>
            </w:pPr>
            <w:r>
              <w:rPr>
                <w:rFonts w:ascii="Arial" w:hAnsi="Arial"/>
                <w:b w:val="0"/>
                <w:sz w:val="14"/>
              </w:rPr>
              <w:t>Orchestrator marks task complete but no human accepts the result</w:t>
            </w:r>
          </w:p>
        </w:tc>
        <w:tc>
          <w:tcPr>
            <w:tcW w:type="dxa" w:w="2045"/>
          </w:tcPr>
          <w:p>
            <w:pPr>
              <w:spacing w:after="0"/>
            </w:pPr>
            <w:r>
              <w:rPr>
                <w:rFonts w:ascii="Arial" w:hAnsi="Arial"/>
                <w:b w:val="0"/>
                <w:sz w:val="14"/>
              </w:rPr>
              <w:t>Human-Role-to-MAS Responsibility Mapping; Accepted Outcome Compliance; Incident/Dispute/Remediation Closure</w:t>
            </w:r>
          </w:p>
        </w:tc>
        <w:tc>
          <w:tcPr>
            <w:tcW w:type="dxa" w:w="2045"/>
          </w:tcPr>
          <w:p>
            <w:pPr>
              <w:spacing w:after="0"/>
            </w:pPr>
            <w:r>
              <w:rPr>
                <w:rFonts w:ascii="Arial" w:hAnsi="Arial"/>
                <w:b w:val="0"/>
                <w:sz w:val="14"/>
              </w:rPr>
              <w:t>Role assignment records; acceptance records; review records; escalation records; remediation ownership records</w:t>
            </w:r>
          </w:p>
        </w:tc>
        <w:tc>
          <w:tcPr>
            <w:tcW w:type="dxa" w:w="2045"/>
          </w:tcPr>
          <w:p>
            <w:pPr>
              <w:spacing w:after="0"/>
            </w:pPr>
            <w:r>
              <w:rPr>
                <w:rFonts w:ascii="Arial" w:hAnsi="Arial"/>
                <w:b w:val="0"/>
                <w:sz w:val="14"/>
              </w:rPr>
              <w:t>Implement human-role-to-MAS responsibility mapping; add accepted outcome compliance workflow; add review and escalation workflow</w:t>
            </w:r>
          </w:p>
        </w:tc>
      </w:tr>
      <w:tr>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Prompt, memory, or workflow reused across regulated contexts without reset or reauthorization</w:t>
            </w:r>
          </w:p>
        </w:tc>
        <w:tc>
          <w:tcPr>
            <w:tcW w:type="dxa" w:w="2045"/>
          </w:tcPr>
          <w:p>
            <w:pPr>
              <w:spacing w:after="0"/>
            </w:pPr>
            <w:r>
              <w:rPr>
                <w:rFonts w:ascii="Arial" w:hAnsi="Arial"/>
                <w:b w:val="0"/>
                <w:sz w:val="14"/>
              </w:rPr>
              <w:t>Cross-Project Reuse Compliance; Privacy/GDPR Lifecycle Mapping; Vendor/Model/Runtime Substitution Conformance</w:t>
            </w:r>
          </w:p>
        </w:tc>
        <w:tc>
          <w:tcPr>
            <w:tcW w:type="dxa" w:w="2045"/>
          </w:tcPr>
          <w:p>
            <w:pPr>
              <w:spacing w:after="0"/>
            </w:pPr>
            <w:r>
              <w:rPr>
                <w:rFonts w:ascii="Arial" w:hAnsi="Arial"/>
                <w:b w:val="0"/>
                <w:sz w:val="14"/>
              </w:rPr>
              <w:t>Reuse records; reset validation records; reauthorization records; context boundary records; privacy impact assessment records</w:t>
            </w:r>
          </w:p>
        </w:tc>
        <w:tc>
          <w:tcPr>
            <w:tcW w:type="dxa" w:w="2045"/>
          </w:tcPr>
          <w:p>
            <w:pPr>
              <w:spacing w:after="0"/>
            </w:pPr>
            <w:r>
              <w:rPr>
                <w:rFonts w:ascii="Arial" w:hAnsi="Arial"/>
                <w:b w:val="0"/>
                <w:sz w:val="14"/>
              </w:rPr>
              <w:t>Implement cross-project reuse compliance workflow; add context boundary validation; add privacy/GDPR lifecycle mapping</w:t>
            </w:r>
          </w:p>
        </w:tc>
      </w:tr>
      <w:tr>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Enterprise sends raw traces with PII to third-party reviewer without data processing agreement</w:t>
            </w:r>
          </w:p>
        </w:tc>
        <w:tc>
          <w:tcPr>
            <w:tcW w:type="dxa" w:w="2045"/>
          </w:tcPr>
          <w:p>
            <w:pPr>
              <w:spacing w:after="0"/>
            </w:pPr>
            <w:r>
              <w:rPr>
                <w:rFonts w:ascii="Arial" w:hAnsi="Arial"/>
                <w:b w:val="0"/>
                <w:sz w:val="14"/>
              </w:rPr>
              <w:t>Privacy/GDPR Lifecycle Mapping; Privacy-Preserving Third-Party Validation; Evidence Minimization; Data Subject Rights</w:t>
            </w:r>
          </w:p>
        </w:tc>
        <w:tc>
          <w:tcPr>
            <w:tcW w:type="dxa" w:w="2045"/>
          </w:tcPr>
          <w:p>
            <w:pPr>
              <w:spacing w:after="0"/>
            </w:pPr>
            <w:r>
              <w:rPr>
                <w:rFonts w:ascii="Arial" w:hAnsi="Arial"/>
                <w:b w:val="0"/>
                <w:sz w:val="14"/>
              </w:rPr>
              <w:t>Validation evidence transfer records; data processing agreement records; disclosure policy records; redaction records</w:t>
            </w:r>
          </w:p>
        </w:tc>
        <w:tc>
          <w:tcPr>
            <w:tcW w:type="dxa" w:w="2045"/>
          </w:tcPr>
          <w:p>
            <w:pPr>
              <w:spacing w:after="0"/>
            </w:pPr>
            <w:r>
              <w:rPr>
                <w:rFonts w:ascii="Arial" w:hAnsi="Arial"/>
                <w:b w:val="0"/>
                <w:sz w:val="14"/>
              </w:rPr>
              <w:t>Implement privacy-preserving validation protocol; add disclosure policy with evidence minimization; add redaction profile; require data processing agreements</w:t>
            </w:r>
          </w:p>
        </w:tc>
      </w:tr>
      <w:tr>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Multi-vendor workflow but no processor/subprocessor responsibility chain exists</w:t>
            </w:r>
          </w:p>
        </w:tc>
        <w:tc>
          <w:tcPr>
            <w:tcW w:type="dxa" w:w="2045"/>
          </w:tcPr>
          <w:p>
            <w:pPr>
              <w:spacing w:after="0"/>
            </w:pPr>
            <w:r>
              <w:rPr>
                <w:rFonts w:ascii="Arial" w:hAnsi="Arial"/>
                <w:b w:val="0"/>
                <w:sz w:val="14"/>
              </w:rPr>
              <w:t>Third-Party Processor/Subprocessor Chain; Tool-Action Liability Boundary; MAS Evidence Partitioning</w:t>
            </w:r>
          </w:p>
        </w:tc>
        <w:tc>
          <w:tcPr>
            <w:tcW w:type="dxa" w:w="2045"/>
          </w:tcPr>
          <w:p>
            <w:pPr>
              <w:spacing w:after="0"/>
            </w:pPr>
            <w:r>
              <w:rPr>
                <w:rFonts w:ascii="Arial" w:hAnsi="Arial"/>
                <w:b w:val="0"/>
                <w:sz w:val="14"/>
              </w:rPr>
              <w:t>Processor agreements; subprocessor chain records; responsibility assignment records; tool-action logs; evidence partitioning records</w:t>
            </w:r>
          </w:p>
        </w:tc>
        <w:tc>
          <w:tcPr>
            <w:tcW w:type="dxa" w:w="2045"/>
          </w:tcPr>
          <w:p>
            <w:pPr>
              <w:spacing w:after="0"/>
            </w:pPr>
            <w:r>
              <w:rPr>
                <w:rFonts w:ascii="Arial" w:hAnsi="Arial"/>
                <w:b w:val="0"/>
                <w:sz w:val="14"/>
              </w:rPr>
              <w:t>Implement processor/subprocessor chain mapping; add processor agreements with GDPR Article 28 mapping and legal review; add responsibility assignment</w:t>
            </w:r>
          </w:p>
        </w:tc>
      </w:tr>
      <w:tr>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Model/runtime substitution degrades evidence, authority, and privacy semantics</w:t>
            </w:r>
          </w:p>
        </w:tc>
        <w:tc>
          <w:tcPr>
            <w:tcW w:type="dxa" w:w="2045"/>
          </w:tcPr>
          <w:p>
            <w:pPr>
              <w:spacing w:after="0"/>
            </w:pPr>
            <w:r>
              <w:rPr>
                <w:rFonts w:ascii="Arial" w:hAnsi="Arial"/>
                <w:b w:val="0"/>
                <w:sz w:val="14"/>
              </w:rPr>
              <w:t>Vendor/Model/Runtime Substitution Conformance; MAS Evidence Partitioning; Privacy/GDPR Lifecycle Mapping</w:t>
            </w:r>
          </w:p>
        </w:tc>
        <w:tc>
          <w:tcPr>
            <w:tcW w:type="dxa" w:w="2045"/>
          </w:tcPr>
          <w:p>
            <w:pPr>
              <w:spacing w:after="0"/>
            </w:pPr>
            <w:r>
              <w:rPr>
                <w:rFonts w:ascii="Arial" w:hAnsi="Arial"/>
                <w:b w:val="0"/>
                <w:sz w:val="14"/>
              </w:rPr>
              <w:t>Substitution records; conformance validation records; regression testing records; evidence integrity validation records</w:t>
            </w:r>
          </w:p>
        </w:tc>
        <w:tc>
          <w:tcPr>
            <w:tcW w:type="dxa" w:w="2045"/>
          </w:tcPr>
          <w:p>
            <w:pPr>
              <w:spacing w:after="0"/>
            </w:pPr>
            <w:r>
              <w:rPr>
                <w:rFonts w:ascii="Arial" w:hAnsi="Arial"/>
                <w:b w:val="0"/>
                <w:sz w:val="14"/>
              </w:rPr>
              <w:t>Implement substitution conformance workflow; add conformance validation testing; add regression testing for evidence chain integrity</w:t>
            </w:r>
          </w:p>
        </w:tc>
      </w:tr>
      <w:tr>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Bug fixed but no responsible owner, affected outcome list, evidence review, or accepted closure state</w:t>
            </w:r>
          </w:p>
        </w:tc>
        <w:tc>
          <w:tcPr>
            <w:tcW w:type="dxa" w:w="2045"/>
          </w:tcPr>
          <w:p>
            <w:pPr>
              <w:spacing w:after="0"/>
            </w:pPr>
            <w:r>
              <w:rPr>
                <w:rFonts w:ascii="Arial" w:hAnsi="Arial"/>
                <w:b w:val="0"/>
                <w:sz w:val="14"/>
              </w:rPr>
              <w:t>Incident/Dispute/Remediation Closure; Accepted Outcome Compliance; MAS Evidence Partitioning</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Implement incident/dispute/remediation closure workflow; add responsible owner assignment; add affected outcome list generation; add closure acceptance</w:t>
            </w:r>
          </w:p>
        </w:tc>
      </w:tr>
    </w:tbl>
    <w:p>
      <w:pPr>
        <w:keepNext/>
      </w:pPr>
      <w:r>
        <w:rPr>
          <w:b/>
          <w:sz w:val="16"/>
        </w:rPr>
        <w:t>Table T-15-04: Prevention and Remediation Patterns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w:t>
            </w:r>
          </w:p>
        </w:tc>
        <w:tc>
          <w:tcPr>
            <w:tcW w:type="dxa" w:w="2045"/>
          </w:tcPr>
          <w:p>
            <w:pPr>
              <w:spacing w:after="0"/>
            </w:pPr>
            <w:r>
              <w:rPr>
                <w:rFonts w:ascii="Arial" w:hAnsi="Arial"/>
                <w:b/>
                <w:sz w:val="14"/>
              </w:rPr>
              <w:t>Prevents Which Failure</w:t>
            </w:r>
          </w:p>
        </w:tc>
        <w:tc>
          <w:tcPr>
            <w:tcW w:type="dxa" w:w="2045"/>
          </w:tcPr>
          <w:p>
            <w:pPr>
              <w:spacing w:after="0"/>
            </w:pPr>
            <w:r>
              <w:rPr>
                <w:rFonts w:ascii="Arial" w:hAnsi="Arial"/>
                <w:b/>
                <w:sz w:val="14"/>
              </w:rPr>
              <w:t>Required Object</w:t>
            </w:r>
          </w:p>
        </w:tc>
        <w:tc>
          <w:tcPr>
            <w:tcW w:type="dxa" w:w="2045"/>
          </w:tcPr>
          <w:p>
            <w:pPr>
              <w:spacing w:after="0"/>
            </w:pPr>
            <w:r>
              <w:rPr>
                <w:rFonts w:ascii="Arial" w:hAnsi="Arial"/>
                <w:b/>
                <w:sz w:val="14"/>
              </w:rPr>
              <w:t>Operational Owner</w:t>
            </w:r>
          </w:p>
        </w:tc>
        <w:tc>
          <w:tcPr>
            <w:tcW w:type="dxa" w:w="2045"/>
          </w:tcPr>
          <w:p>
            <w:pPr>
              <w:spacing w:after="0"/>
            </w:pPr>
            <w:r>
              <w:rPr>
                <w:rFonts w:ascii="Arial" w:hAnsi="Arial"/>
                <w:b/>
                <w:sz w:val="14"/>
              </w:rPr>
              <w:t>Evidence Artifact</w:t>
            </w:r>
          </w:p>
        </w:tc>
      </w:tr>
      <w:tr>
        <w:tc>
          <w:tcPr>
            <w:tcW w:type="dxa" w:w="2045"/>
          </w:tcPr>
          <w:p>
            <w:pPr>
              <w:spacing w:after="0"/>
            </w:pPr>
            <w:r>
              <w:rPr>
                <w:rFonts w:ascii="Arial" w:hAnsi="Arial"/>
                <w:b w:val="0"/>
                <w:sz w:val="14"/>
              </w:rPr>
              <w:t>Authority Boundary Enforcement</w:t>
            </w:r>
          </w:p>
        </w:tc>
        <w:tc>
          <w:tcPr>
            <w:tcW w:type="dxa" w:w="2045"/>
          </w:tcPr>
          <w:p>
            <w:pPr>
              <w:spacing w:after="0"/>
            </w:pPr>
            <w:r>
              <w:rPr>
                <w:rFonts w:ascii="Arial" w:hAnsi="Arial"/>
                <w:b w:val="0"/>
                <w:sz w:val="14"/>
              </w:rPr>
              <w:t>Authority Boundary Failure; Authority Drift</w:t>
            </w:r>
          </w:p>
        </w:tc>
        <w:tc>
          <w:tcPr>
            <w:tcW w:type="dxa" w:w="2045"/>
          </w:tcPr>
          <w:p>
            <w:pPr>
              <w:spacing w:after="0"/>
            </w:pPr>
            <w:r>
              <w:rPr>
                <w:rFonts w:ascii="Arial" w:hAnsi="Arial"/>
                <w:b w:val="0"/>
                <w:sz w:val="14"/>
              </w:rPr>
              <w:t>Delegated Authority Boundary (MRO-02); Authority Drift Detection (MRO-07)</w:t>
            </w:r>
          </w:p>
        </w:tc>
        <w:tc>
          <w:tcPr>
            <w:tcW w:type="dxa" w:w="2045"/>
          </w:tcPr>
          <w:p>
            <w:pPr>
              <w:spacing w:after="0"/>
            </w:pPr>
            <w:r>
              <w:rPr>
                <w:rFonts w:ascii="Arial" w:hAnsi="Arial"/>
                <w:b w:val="0"/>
                <w:sz w:val="14"/>
              </w:rPr>
              <w:t>Governance team; agent operations team</w:t>
            </w:r>
          </w:p>
        </w:tc>
        <w:tc>
          <w:tcPr>
            <w:tcW w:type="dxa" w:w="2045"/>
          </w:tcPr>
          <w:p>
            <w:pPr>
              <w:spacing w:after="0"/>
            </w:pPr>
            <w:r>
              <w:rPr>
                <w:rFonts w:ascii="Arial" w:hAnsi="Arial"/>
                <w:b w:val="0"/>
                <w:sz w:val="14"/>
              </w:rPr>
              <w:t>Authority grant records; boundary violation alerts; drift detection logs</w:t>
            </w:r>
          </w:p>
        </w:tc>
      </w:tr>
      <w:tr>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Evidence Chain Failure; Processor Chain Failure</w:t>
            </w:r>
          </w:p>
        </w:tc>
        <w:tc>
          <w:tcPr>
            <w:tcW w:type="dxa" w:w="2045"/>
          </w:tcPr>
          <w:p>
            <w:pPr>
              <w:spacing w:after="0"/>
            </w:pPr>
            <w:r>
              <w:rPr>
                <w:rFonts w:ascii="Arial" w:hAnsi="Arial"/>
                <w:b w:val="0"/>
                <w:sz w:val="14"/>
              </w:rPr>
              <w:t>MAS Evidence Partitioning (MRO-08)</w:t>
            </w:r>
          </w:p>
        </w:tc>
        <w:tc>
          <w:tcPr>
            <w:tcW w:type="dxa" w:w="2045"/>
          </w:tcPr>
          <w:p>
            <w:pPr>
              <w:spacing w:after="0"/>
            </w:pPr>
            <w:r>
              <w:rPr>
                <w:rFonts w:ascii="Arial" w:hAnsi="Arial"/>
                <w:b w:val="0"/>
                <w:sz w:val="14"/>
              </w:rPr>
              <w:t>Data governance team; compliance team</w:t>
            </w:r>
          </w:p>
        </w:tc>
        <w:tc>
          <w:tcPr>
            <w:tcW w:type="dxa" w:w="2045"/>
          </w:tcPr>
          <w:p>
            <w:pPr>
              <w:spacing w:after="0"/>
            </w:pPr>
            <w:r>
              <w:rPr>
                <w:rFonts w:ascii="Arial" w:hAnsi="Arial"/>
                <w:b w:val="0"/>
                <w:sz w:val="14"/>
              </w:rPr>
              <w:t>Partitioned evidence chains; evidence export logs; partition policy records</w:t>
            </w:r>
          </w:p>
        </w:tc>
      </w:tr>
      <w:tr>
        <w:tc>
          <w:tcPr>
            <w:tcW w:type="dxa" w:w="2045"/>
          </w:tcPr>
          <w:p>
            <w:pPr>
              <w:spacing w:after="0"/>
            </w:pPr>
            <w:r>
              <w:rPr>
                <w:rFonts w:ascii="Arial" w:hAnsi="Arial"/>
                <w:b w:val="0"/>
                <w:sz w:val="14"/>
              </w:rPr>
              <w:t>Accepted Outcome Compliance Workflow</w:t>
            </w:r>
          </w:p>
        </w:tc>
        <w:tc>
          <w:tcPr>
            <w:tcW w:type="dxa" w:w="2045"/>
          </w:tcPr>
          <w:p>
            <w:pPr>
              <w:spacing w:after="0"/>
            </w:pPr>
            <w:r>
              <w:rPr>
                <w:rFonts w:ascii="Arial" w:hAnsi="Arial"/>
                <w:b w:val="0"/>
                <w:sz w:val="14"/>
              </w:rPr>
              <w:t>Accepted Outcome Failure; Remediation Closure Failure</w:t>
            </w:r>
          </w:p>
        </w:tc>
        <w:tc>
          <w:tcPr>
            <w:tcW w:type="dxa" w:w="2045"/>
          </w:tcPr>
          <w:p>
            <w:pPr>
              <w:spacing w:after="0"/>
            </w:pPr>
            <w:r>
              <w:rPr>
                <w:rFonts w:ascii="Arial" w:hAnsi="Arial"/>
                <w:b w:val="0"/>
                <w:sz w:val="14"/>
              </w:rPr>
              <w:t>Accepted Outcome Compliance (MRO-04); Human-Role-to-MAS Responsibility Mapping (MRO-01)</w:t>
            </w:r>
          </w:p>
        </w:tc>
        <w:tc>
          <w:tcPr>
            <w:tcW w:type="dxa" w:w="2045"/>
          </w:tcPr>
          <w:p>
            <w:pPr>
              <w:spacing w:after="0"/>
            </w:pPr>
            <w:r>
              <w:rPr>
                <w:rFonts w:ascii="Arial" w:hAnsi="Arial"/>
                <w:b w:val="0"/>
                <w:sz w:val="14"/>
              </w:rPr>
              <w:t>Business process owner; compliance team</w:t>
            </w:r>
          </w:p>
        </w:tc>
        <w:tc>
          <w:tcPr>
            <w:tcW w:type="dxa" w:w="2045"/>
          </w:tcPr>
          <w:p>
            <w:pPr>
              <w:spacing w:after="0"/>
            </w:pPr>
            <w:r>
              <w:rPr>
                <w:rFonts w:ascii="Arial" w:hAnsi="Arial"/>
                <w:b w:val="0"/>
                <w:sz w:val="14"/>
              </w:rPr>
              <w:t>Acceptance records; review records; escalation records; closure acceptance records</w:t>
            </w:r>
          </w:p>
        </w:tc>
      </w:tr>
      <w:tr>
        <w:tc>
          <w:tcPr>
            <w:tcW w:type="dxa" w:w="2045"/>
          </w:tcPr>
          <w:p>
            <w:pPr>
              <w:spacing w:after="0"/>
            </w:pPr>
            <w:r>
              <w:rPr>
                <w:rFonts w:ascii="Arial" w:hAnsi="Arial"/>
                <w:b w:val="0"/>
                <w:sz w:val="14"/>
              </w:rPr>
              <w:t>Cross-Project Reuse Compliance Workflow</w:t>
            </w:r>
          </w:p>
        </w:tc>
        <w:tc>
          <w:tcPr>
            <w:tcW w:type="dxa" w:w="2045"/>
          </w:tcPr>
          <w:p>
            <w:pPr>
              <w:spacing w:after="0"/>
            </w:pPr>
            <w:r>
              <w:rPr>
                <w:rFonts w:ascii="Arial" w:hAnsi="Arial"/>
                <w:b w:val="0"/>
                <w:sz w:val="14"/>
              </w:rPr>
              <w:t>Cross-Project Reuse Failure</w:t>
            </w:r>
          </w:p>
        </w:tc>
        <w:tc>
          <w:tcPr>
            <w:tcW w:type="dxa" w:w="2045"/>
          </w:tcPr>
          <w:p>
            <w:pPr>
              <w:spacing w:after="0"/>
            </w:pPr>
            <w:r>
              <w:rPr>
                <w:rFonts w:ascii="Arial" w:hAnsi="Arial"/>
                <w:b w:val="0"/>
                <w:sz w:val="14"/>
              </w:rPr>
              <w:t>Cross-Project Reuse Compliance (MRO-09); Privacy/GDPR Lifecycle Mapping (MRO-10)</w:t>
            </w:r>
          </w:p>
        </w:tc>
        <w:tc>
          <w:tcPr>
            <w:tcW w:type="dxa" w:w="2045"/>
          </w:tcPr>
          <w:p>
            <w:pPr>
              <w:spacing w:after="0"/>
            </w:pPr>
            <w:r>
              <w:rPr>
                <w:rFonts w:ascii="Arial" w:hAnsi="Arial"/>
                <w:b w:val="0"/>
                <w:sz w:val="14"/>
              </w:rPr>
              <w:t>Data governance team; privacy team</w:t>
            </w:r>
          </w:p>
        </w:tc>
        <w:tc>
          <w:tcPr>
            <w:tcW w:type="dxa" w:w="2045"/>
          </w:tcPr>
          <w:p>
            <w:pPr>
              <w:spacing w:after="0"/>
            </w:pPr>
            <w:r>
              <w:rPr>
                <w:rFonts w:ascii="Arial" w:hAnsi="Arial"/>
                <w:b w:val="0"/>
                <w:sz w:val="14"/>
              </w:rPr>
              <w:t>Reuse records; reset validation records; reauthorization records; context boundary records</w:t>
            </w:r>
          </w:p>
        </w:tc>
      </w:tr>
      <w:tr>
        <w:tc>
          <w:tcPr>
            <w:tcW w:type="dxa" w:w="2045"/>
          </w:tcPr>
          <w:p>
            <w:pPr>
              <w:spacing w:after="0"/>
            </w:pPr>
            <w:r>
              <w:rPr>
                <w:rFonts w:ascii="Arial" w:hAnsi="Arial"/>
                <w:b w:val="0"/>
                <w:sz w:val="14"/>
              </w:rPr>
              <w:t>Privacy-Preserving Validation Protocol</w:t>
            </w:r>
          </w:p>
        </w:tc>
        <w:tc>
          <w:tcPr>
            <w:tcW w:type="dxa" w:w="2045"/>
          </w:tcPr>
          <w:p>
            <w:pPr>
              <w:spacing w:after="0"/>
            </w:pPr>
            <w:r>
              <w:rPr>
                <w:rFonts w:ascii="Arial" w:hAnsi="Arial"/>
                <w:b w:val="0"/>
                <w:sz w:val="14"/>
              </w:rPr>
              <w:t>Privacy Validation Failure</w:t>
            </w:r>
          </w:p>
        </w:tc>
        <w:tc>
          <w:tcPr>
            <w:tcW w:type="dxa" w:w="2045"/>
          </w:tcPr>
          <w:p>
            <w:pPr>
              <w:spacing w:after="0"/>
            </w:pPr>
            <w:r>
              <w:rPr>
                <w:rFonts w:ascii="Arial" w:hAnsi="Arial"/>
                <w:b w:val="0"/>
                <w:sz w:val="14"/>
              </w:rPr>
              <w:t>Privacy-Preserving Third-Party Validation (MRO-11); Evidence Minimization (MRO-12)</w:t>
            </w:r>
          </w:p>
        </w:tc>
        <w:tc>
          <w:tcPr>
            <w:tcW w:type="dxa" w:w="2045"/>
          </w:tcPr>
          <w:p>
            <w:pPr>
              <w:spacing w:after="0"/>
            </w:pPr>
            <w:r>
              <w:rPr>
                <w:rFonts w:ascii="Arial" w:hAnsi="Arial"/>
                <w:b w:val="0"/>
                <w:sz w:val="14"/>
              </w:rPr>
              <w:t>Privacy team; compliance team</w:t>
            </w:r>
          </w:p>
        </w:tc>
        <w:tc>
          <w:tcPr>
            <w:tcW w:type="dxa" w:w="2045"/>
          </w:tcPr>
          <w:p>
            <w:pPr>
              <w:spacing w:after="0"/>
            </w:pPr>
            <w:r>
              <w:rPr>
                <w:rFonts w:ascii="Arial" w:hAnsi="Arial"/>
                <w:b w:val="0"/>
                <w:sz w:val="14"/>
              </w:rPr>
              <w:t>Validation protocol records; disclosure policy records; redaction records; hash manifests; verdict hashes</w:t>
            </w:r>
          </w:p>
        </w:tc>
      </w:tr>
      <w:tr>
        <w:tc>
          <w:tcPr>
            <w:tcW w:type="dxa" w:w="2045"/>
          </w:tcPr>
          <w:p>
            <w:pPr>
              <w:spacing w:after="0"/>
            </w:pPr>
            <w:r>
              <w:rPr>
                <w:rFonts w:ascii="Arial" w:hAnsi="Arial"/>
                <w:b w:val="0"/>
                <w:sz w:val="14"/>
              </w:rPr>
              <w:t>Processor/Subprocessor Chain Mapping</w:t>
            </w:r>
          </w:p>
        </w:tc>
        <w:tc>
          <w:tcPr>
            <w:tcW w:type="dxa" w:w="2045"/>
          </w:tcPr>
          <w:p>
            <w:pPr>
              <w:spacing w:after="0"/>
            </w:pPr>
            <w:r>
              <w:rPr>
                <w:rFonts w:ascii="Arial" w:hAnsi="Arial"/>
                <w:b w:val="0"/>
                <w:sz w:val="14"/>
              </w:rPr>
              <w:t>Processor Chain Failure</w:t>
            </w:r>
          </w:p>
        </w:tc>
        <w:tc>
          <w:tcPr>
            <w:tcW w:type="dxa" w:w="2045"/>
          </w:tcPr>
          <w:p>
            <w:pPr>
              <w:spacing w:after="0"/>
            </w:pPr>
            <w:r>
              <w:rPr>
                <w:rFonts w:ascii="Arial" w:hAnsi="Arial"/>
                <w:b w:val="0"/>
                <w:sz w:val="14"/>
              </w:rPr>
              <w:t>Third-Party Processor/Subprocessor Chain (MRO-14)</w:t>
            </w:r>
          </w:p>
        </w:tc>
        <w:tc>
          <w:tcPr>
            <w:tcW w:type="dxa" w:w="2045"/>
          </w:tcPr>
          <w:p>
            <w:pPr>
              <w:spacing w:after="0"/>
            </w:pPr>
            <w:r>
              <w:rPr>
                <w:rFonts w:ascii="Arial" w:hAnsi="Arial"/>
                <w:b w:val="0"/>
                <w:sz w:val="14"/>
              </w:rPr>
              <w:t>Procurement team; legal team; data governance team</w:t>
            </w:r>
          </w:p>
        </w:tc>
        <w:tc>
          <w:tcPr>
            <w:tcW w:type="dxa" w:w="2045"/>
          </w:tcPr>
          <w:p>
            <w:pPr>
              <w:spacing w:after="0"/>
            </w:pPr>
            <w:r>
              <w:rPr>
                <w:rFonts w:ascii="Arial" w:hAnsi="Arial"/>
                <w:b w:val="0"/>
                <w:sz w:val="14"/>
              </w:rPr>
              <w:t>Processor agreements; subprocessor chain records; responsibility assignment records</w:t>
            </w:r>
          </w:p>
        </w:tc>
      </w:tr>
      <w:tr>
        <w:tc>
          <w:tcPr>
            <w:tcW w:type="dxa" w:w="2045"/>
          </w:tcPr>
          <w:p>
            <w:pPr>
              <w:spacing w:after="0"/>
            </w:pPr>
            <w:r>
              <w:rPr>
                <w:rFonts w:ascii="Arial" w:hAnsi="Arial"/>
                <w:b w:val="0"/>
                <w:sz w:val="14"/>
              </w:rPr>
              <w:t>Substitution Conformance Validation</w:t>
            </w:r>
          </w:p>
        </w:tc>
        <w:tc>
          <w:tcPr>
            <w:tcW w:type="dxa" w:w="2045"/>
          </w:tcPr>
          <w:p>
            <w:pPr>
              <w:spacing w:after="0"/>
            </w:pPr>
            <w:r>
              <w:rPr>
                <w:rFonts w:ascii="Arial" w:hAnsi="Arial"/>
                <w:b w:val="0"/>
                <w:sz w:val="14"/>
              </w:rPr>
              <w:t>Vendor/Runtime Substitution Failure</w:t>
            </w:r>
          </w:p>
        </w:tc>
        <w:tc>
          <w:tcPr>
            <w:tcW w:type="dxa" w:w="2045"/>
          </w:tcPr>
          <w:p>
            <w:pPr>
              <w:spacing w:after="0"/>
            </w:pPr>
            <w:r>
              <w:rPr>
                <w:rFonts w:ascii="Arial" w:hAnsi="Arial"/>
                <w:b w:val="0"/>
                <w:sz w:val="14"/>
              </w:rPr>
              <w:t>Vendor/Model/Runtime Substitution Conformance (MRO-15)</w:t>
            </w:r>
          </w:p>
        </w:tc>
        <w:tc>
          <w:tcPr>
            <w:tcW w:type="dxa" w:w="2045"/>
          </w:tcPr>
          <w:p>
            <w:pPr>
              <w:spacing w:after="0"/>
            </w:pPr>
            <w:r>
              <w:rPr>
                <w:rFonts w:ascii="Arial" w:hAnsi="Arial"/>
                <w:b w:val="0"/>
                <w:sz w:val="14"/>
              </w:rPr>
              <w:t>Engineering team; compliance team</w:t>
            </w:r>
          </w:p>
        </w:tc>
        <w:tc>
          <w:tcPr>
            <w:tcW w:type="dxa" w:w="2045"/>
          </w:tcPr>
          <w:p>
            <w:pPr>
              <w:spacing w:after="0"/>
            </w:pPr>
            <w:r>
              <w:rPr>
                <w:rFonts w:ascii="Arial" w:hAnsi="Arial"/>
                <w:b w:val="0"/>
                <w:sz w:val="14"/>
              </w:rPr>
              <w:t>Substitution records; conformance validation records; regression testing records; evidence integrity validation records</w:t>
            </w:r>
          </w:p>
        </w:tc>
      </w:tr>
      <w:tr>
        <w:tc>
          <w:tcPr>
            <w:tcW w:type="dxa" w:w="2045"/>
          </w:tcPr>
          <w:p>
            <w:pPr>
              <w:spacing w:after="0"/>
            </w:pPr>
            <w:r>
              <w:rPr>
                <w:rFonts w:ascii="Arial" w:hAnsi="Arial"/>
                <w:b w:val="0"/>
                <w:sz w:val="14"/>
              </w:rPr>
              <w:t>Incident/Dispute/Remediation Closure Workflow</w:t>
            </w:r>
          </w:p>
        </w:tc>
        <w:tc>
          <w:tcPr>
            <w:tcW w:type="dxa" w:w="2045"/>
          </w:tcPr>
          <w:p>
            <w:pPr>
              <w:spacing w:after="0"/>
            </w:pPr>
            <w:r>
              <w:rPr>
                <w:rFonts w:ascii="Arial" w:hAnsi="Arial"/>
                <w:b w:val="0"/>
                <w:sz w:val="14"/>
              </w:rPr>
              <w:t>Remediation Closure Failure</w:t>
            </w:r>
          </w:p>
        </w:tc>
        <w:tc>
          <w:tcPr>
            <w:tcW w:type="dxa" w:w="2045"/>
          </w:tcPr>
          <w:p>
            <w:pPr>
              <w:spacing w:after="0"/>
            </w:pPr>
            <w:r>
              <w:rPr>
                <w:rFonts w:ascii="Arial" w:hAnsi="Arial"/>
                <w:b w:val="0"/>
                <w:sz w:val="14"/>
              </w:rPr>
              <w:t>Incident, Dispute, and Remediation Closure (MRO-16)</w:t>
            </w:r>
          </w:p>
        </w:tc>
        <w:tc>
          <w:tcPr>
            <w:tcW w:type="dxa" w:w="2045"/>
          </w:tcPr>
          <w:p>
            <w:pPr>
              <w:spacing w:after="0"/>
            </w:pPr>
            <w:r>
              <w:rPr>
                <w:rFonts w:ascii="Arial" w:hAnsi="Arial"/>
                <w:b w:val="0"/>
                <w:sz w:val="14"/>
              </w:rPr>
              <w:t>Incident response team; customer support team; compliance team</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r>
    </w:tbl>
    <w:p>
      <w:pPr>
        <w:spacing w:after="56"/>
      </w:pPr>
      <w:r>
        <w:t>Interpretation: Prevention and remediation patterns require specific lifecycle objects, operational owners, and evidence artifacts. These patterns are not generic risk management controls. They are lifecycle-specific governance patterns that address the gap between model-centric governance and agentic lifecycle responsibility.</w:t>
      </w:r>
    </w:p>
    <w:p>
      <w:pPr>
        <w:pStyle w:val="Heading2"/>
      </w:pPr>
      <w:r>
        <w:t>15.5 Bridge to Adoption Roadmap</w:t>
      </w:r>
    </w:p>
    <w:p>
      <w:pPr>
        <w:spacing w:after="56"/>
      </w:pPr>
      <w:r>
        <w:t>Chapter 15 has examined eight enterprise failure scenarios where lifecycle governance gaps create predictable failures. Each scenario demonstrates that model-centric governance and ordinary orchestration controls become insufficient when work is delegated across agents, tools, humans, projects, vendors, and evidence boundaries.</w:t>
      </w:r>
    </w:p>
    <w:p>
      <w:pPr>
        <w:spacing w:after="56"/>
      </w:pPr>
      <w:r>
        <w:t>The bridge from failure scenarios (Chapter 15) to adoption roadmap (Chapter 17) is the recognition that lifecycle governance is not a theoretical framework. It is a practical necessity for enterprises deploying agentic AI systems.</w:t>
      </w:r>
    </w:p>
    <w:p>
      <w:pPr>
        <w:spacing w:after="56"/>
      </w:pPr>
      <w:r>
        <w:t>Failure scenarios create enterprise consequences: accountability gaps, audit-readiness failures or audit challenges, privacy risks, liability disputes, potential regulatory non-compliance depending on deployment context, customer harm, and reputational damage. Prevention and remediation patterns require specific lifecycle objects, operational owners, and evidence artifacts.</w:t>
      </w:r>
    </w:p>
    <w:p>
      <w:pPr>
        <w:spacing w:after="56"/>
      </w:pPr>
      <w:r>
        <w:t>Chapter 17 will present an adoption roadmap for enterprises implementing AI Agent Lifecycle Governance. The roadmap will address:</w:t>
      </w:r>
    </w:p>
    <w:p>
      <w:pPr>
        <w:pStyle w:val="ListBullet"/>
        <w:spacing w:after="56"/>
      </w:pPr>
      <w:r>
        <w:t>Where to start (maturity assessment, gap analysis, pilot projects)</w:t>
      </w:r>
    </w:p>
    <w:p>
      <w:pPr>
        <w:pStyle w:val="ListBullet"/>
        <w:spacing w:after="56"/>
      </w:pPr>
      <w:r>
        <w:t>How to integrate lifecycle governance with existing enterprise controls</w:t>
      </w:r>
    </w:p>
    <w:p>
      <w:pPr>
        <w:pStyle w:val="ListBullet"/>
        <w:spacing w:after="56"/>
      </w:pPr>
      <w:r>
        <w:t>How to operationalize lifecycle responsibility objects</w:t>
      </w:r>
    </w:p>
    <w:p>
      <w:pPr>
        <w:pStyle w:val="ListBullet"/>
        <w:spacing w:after="56"/>
      </w:pPr>
      <w:r>
        <w:t>How to measure progress and demonstrate conformance</w:t>
      </w:r>
    </w:p>
    <w:p>
      <w:pPr>
        <w:pStyle w:val="ListBullet"/>
        <w:spacing w:after="56"/>
      </w:pPr>
      <w:r>
        <w:t>How to scale from pilot to production</w:t>
      </w:r>
    </w:p>
    <w:p>
      <w:pPr>
        <w:spacing w:after="56"/>
      </w:pPr>
      <w:r>
        <w:t>The goal is not to claim that lifecycle governance eliminates all risk. The goal is to provide a practical path for enterprises to address the lifecycle governance gap.</w:t>
      </w:r>
    </w:p>
    <w:p>
      <w:pPr>
        <w:pStyle w:val="Heading1"/>
      </w:pPr>
      <w:r>
        <w:t>16. Boundary to Companion Papers: Evidence, Assurance, and Insurability</w:t>
      </w:r>
    </w:p>
    <w:p>
      <w:pPr>
        <w:spacing w:after="56"/>
      </w:pPr>
      <w:r>
        <w:t>Version: v0.3.2-FRC-R3</w:t>
      </w:r>
    </w:p>
    <w:p>
      <w:pPr>
        <w:pStyle w:val="Heading2"/>
      </w:pPr>
      <w:r>
        <w:t>16.0 Why Companion Paper Boundaries Matter</w:t>
      </w:r>
    </w:p>
    <w:p>
      <w:pPr>
        <w:spacing w:after="56"/>
      </w:pPr>
      <w:r>
        <w:t>This white paper serves as the primary framework document for AI Agent Lifecycle Governance. It defines the semantic and engineering layer for agentic and multi-agent system compliance. It introduces Missing Regulatory Objects, dual-layer scoring frameworks, enterprise control crosswalks, system positioning, and adoption pathways. Because the subject intersects compliance, audit, assurance, insurance, and enterprise procurement, clear scope boundaries are necessary.</w:t>
      </w:r>
    </w:p>
    <w:p>
      <w:pPr>
        <w:spacing w:after="56"/>
      </w:pPr>
      <w:r>
        <w:t>Without companion-paper boundaries, the main white paper could become overloaded with audit methodology, insurance underwriting models, actuarial analysis, legal opinions, certification procedures, and procurement recommendations. That would dilute its core purpose and make it unreadable for the audiences who need lifecycle governance clarity.</w:t>
      </w:r>
    </w:p>
    <w:p>
      <w:pPr>
        <w:spacing w:after="56"/>
      </w:pPr>
      <w:r>
        <w:t>The purpose of this chapter is to declare which topics are covered at framework-entry level in the main white paper and which topics are reserved for specialized companion papers. This boundary is intentional. This white paper defines the primary framework layer. It does not attempt to become every downstream assurance, insurance, audit, or procurement methodology.</w:t>
      </w:r>
    </w:p>
    <w:p>
      <w:pPr>
        <w:spacing w:after="56"/>
      </w:pPr>
      <w:r>
        <w:t>Two companion papers are planned:</w:t>
      </w:r>
    </w:p>
    <w:p>
      <w:pPr>
        <w:pStyle w:val="ListNumber"/>
        <w:spacing w:after="56"/>
      </w:pPr>
      <w:r>
        <w:t>Agentic AI Evidence &amp; Assurance White Paper 2026 — planned to define audit control objectives, evidence sufficiency, test procedures, attestation readiness, and privacy-preserving validation patterns.</w:t>
      </w:r>
    </w:p>
    <w:p>
      <w:pPr>
        <w:pStyle w:val="ListNumber"/>
        <w:spacing w:after="56"/>
      </w:pPr>
      <w:r>
        <w:t>Agentic AI Insurability White Paper 2026 — planned to define risk classification, tool-action liability, loss attribution, claim replay evidence, premium differentiation logic, exclusion triggers, and underwriting implications.</w:t>
      </w:r>
    </w:p>
    <w:p>
      <w:pPr>
        <w:spacing w:after="56"/>
      </w:pPr>
      <w:r>
        <w:t>This chapter clarifies the role of each paper and prevents scope confusion. It ensures that readers understand what the main white paper does and does not claim. It establishes non-claim discipline for legal, audit, assurance, insurance, RCCS/ALCS, MPLP, Validation Lab, and system mapping boundaries.</w:t>
      </w:r>
    </w:p>
    <w:p>
      <w:pPr>
        <w:pStyle w:val="Heading2"/>
      </w:pPr>
      <w:r>
        <w:t>16.1 What the Main White Paper Covers</w:t>
      </w:r>
    </w:p>
    <w:p>
      <w:pPr>
        <w:spacing w:after="56"/>
      </w:pPr>
      <w:r>
        <w:t>The main white paper covers the following topics at framework-entry level:</w:t>
      </w:r>
    </w:p>
    <w:p>
      <w:pPr>
        <w:spacing w:after="56"/>
      </w:pPr>
      <w:r>
        <w:t>Core Framework:</w:t>
      </w:r>
    </w:p>
    <w:p>
      <w:pPr>
        <w:pStyle w:val="ListBullet"/>
        <w:spacing w:after="56"/>
      </w:pPr>
      <w:r>
        <w:t>AI Agent Lifecycle Governance definition and lifecycle chain</w:t>
      </w:r>
    </w:p>
    <w:p>
      <w:pPr>
        <w:pStyle w:val="ListBullet"/>
        <w:spacing w:after="56"/>
      </w:pPr>
      <w:r>
        <w:t>Regulatory and standards baseline analysis</w:t>
      </w:r>
    </w:p>
    <w:p>
      <w:pPr>
        <w:pStyle w:val="ListBullet"/>
        <w:spacing w:after="56"/>
      </w:pPr>
      <w:r>
        <w:t>Missing Regulatory Objects (MRO-01 through MRO-16)</w:t>
      </w:r>
    </w:p>
    <w:p>
      <w:pPr>
        <w:pStyle w:val="ListBullet"/>
        <w:spacing w:after="56"/>
      </w:pPr>
      <w:r>
        <w:t>RCCS (Regulatory Compliance Coverage Score) framework</w:t>
      </w:r>
    </w:p>
    <w:p>
      <w:pPr>
        <w:pStyle w:val="ListBullet"/>
        <w:spacing w:after="56"/>
      </w:pPr>
      <w:r>
        <w:t>ALCS (Agentic Lifecycle Conformance Score) framework</w:t>
      </w:r>
    </w:p>
    <w:p>
      <w:pPr>
        <w:pStyle w:val="ListBullet"/>
        <w:spacing w:after="56"/>
      </w:pPr>
      <w:r>
        <w:t>Composite dual-layer scoring profile</w:t>
      </w:r>
    </w:p>
    <w:p>
      <w:pPr>
        <w:pStyle w:val="ListBullet"/>
        <w:spacing w:after="56"/>
      </w:pPr>
      <w:r>
        <w:t>Enterprise control crosswalk and procurement scorecard inputs</w:t>
      </w:r>
    </w:p>
    <w:p>
      <w:pPr>
        <w:pStyle w:val="ListBullet"/>
        <w:spacing w:after="56"/>
      </w:pPr>
      <w:r>
        <w:t>System positioning and comparative field mappings</w:t>
      </w:r>
    </w:p>
    <w:p>
      <w:pPr>
        <w:pStyle w:val="ListBullet"/>
        <w:spacing w:after="56"/>
      </w:pPr>
      <w:r>
        <w:t>MPLP boundary and non-claim discipline</w:t>
      </w:r>
    </w:p>
    <w:p>
      <w:pPr>
        <w:pStyle w:val="ListBullet"/>
        <w:spacing w:after="56"/>
      </w:pPr>
      <w:r>
        <w:t>Evidence-based validation pattern at framework-entry level</w:t>
      </w:r>
    </w:p>
    <w:p>
      <w:pPr>
        <w:pStyle w:val="ListBullet"/>
        <w:spacing w:after="56"/>
      </w:pPr>
      <w:r>
        <w:t>Enterprise failure scenarios</w:t>
      </w:r>
    </w:p>
    <w:p>
      <w:pPr>
        <w:pStyle w:val="ListBullet"/>
        <w:spacing w:after="56"/>
      </w:pPr>
      <w:r>
        <w:t>Adoption roadmap</w:t>
      </w:r>
    </w:p>
    <w:p>
      <w:pPr>
        <w:spacing w:after="56"/>
      </w:pPr>
      <w:r>
        <w:t>Framework-Entry Evidence Concepts:</w:t>
      </w:r>
    </w:p>
    <w:p>
      <w:pPr>
        <w:spacing w:after="56"/>
      </w:pPr>
      <w:r>
        <w:t>The main white paper introduces evidence chain, evidence partitioning, privacy-preserving validation, and dispute-ready replay as lifecycle governance requirements. It defines what these concepts mean and why they matter for agentic systems. It does not define audit engagement procedures, control testing methodology, or assurance opinions.</w:t>
      </w:r>
    </w:p>
    <w:p>
      <w:pPr>
        <w:spacing w:after="56"/>
      </w:pPr>
      <w:r>
        <w:t>Framework-Entry Insurance Concepts:</w:t>
      </w:r>
    </w:p>
    <w:p>
      <w:pPr>
        <w:spacing w:after="56"/>
      </w:pPr>
      <w:r>
        <w:t>The main white paper introduces tool-action liability, authority boundary risk, loss attribution, and claim replay as lifecycle governance implications. It defines MRO-05 (Tool-Action Liability Boundary) and explains why agentic systems create new insurance challenges. It does not define insurance policy wording, premium pricing models, actuarial methodology, or underwriting procedures.</w:t>
      </w:r>
    </w:p>
    <w:p>
      <w:pPr>
        <w:spacing w:after="56"/>
      </w:pPr>
      <w:r>
        <w:t>Boundary:</w:t>
      </w:r>
    </w:p>
    <w:p>
      <w:pPr>
        <w:spacing w:after="56"/>
      </w:pPr>
      <w:r>
        <w:t>The main white paper does not fully define:</w:t>
      </w:r>
    </w:p>
    <w:p>
      <w:pPr>
        <w:pStyle w:val="ListBullet"/>
        <w:spacing w:after="56"/>
      </w:pPr>
      <w:r>
        <w:t>Audit engagement procedures</w:t>
      </w:r>
    </w:p>
    <w:p>
      <w:pPr>
        <w:pStyle w:val="ListBullet"/>
        <w:spacing w:after="56"/>
      </w:pPr>
      <w:r>
        <w:t>Assurance opinions or attestation reports</w:t>
      </w:r>
    </w:p>
    <w:p>
      <w:pPr>
        <w:pStyle w:val="ListBullet"/>
        <w:spacing w:after="56"/>
      </w:pPr>
      <w:r>
        <w:t>Insurance policy wording or coverage terms</w:t>
      </w:r>
    </w:p>
    <w:p>
      <w:pPr>
        <w:pStyle w:val="ListBullet"/>
        <w:spacing w:after="56"/>
      </w:pPr>
      <w:r>
        <w:t>Premium pricing models or actuarial methodology</w:t>
      </w:r>
    </w:p>
    <w:p>
      <w:pPr>
        <w:pStyle w:val="ListBullet"/>
        <w:spacing w:after="56"/>
      </w:pPr>
      <w:r>
        <w:t>Loss quantification or claim settlement procedures</w:t>
      </w:r>
    </w:p>
    <w:p>
      <w:pPr>
        <w:pStyle w:val="ListBullet"/>
        <w:spacing w:after="56"/>
      </w:pPr>
      <w:r>
        <w:t>Legal compliance opinions or jurisdictional interpretations</w:t>
      </w:r>
    </w:p>
    <w:p>
      <w:pPr>
        <w:pStyle w:val="ListBullet"/>
        <w:spacing w:after="56"/>
      </w:pPr>
      <w:r>
        <w:t>Procurement recommendations or vendor selection criteria</w:t>
      </w:r>
    </w:p>
    <w:p>
      <w:pPr>
        <w:pStyle w:val="ListBullet"/>
        <w:spacing w:after="56"/>
      </w:pPr>
      <w:r>
        <w:t>Certification procedures or conformity assessment</w:t>
      </w:r>
    </w:p>
    <w:p>
      <w:pPr>
        <w:pStyle w:val="ListBullet"/>
        <w:spacing w:after="56"/>
      </w:pPr>
      <w:r>
        <w:t>Validation Lab operational procedures or certification authority claims</w:t>
      </w:r>
    </w:p>
    <w:p>
      <w:pPr>
        <w:spacing w:after="56"/>
      </w:pPr>
      <w:r>
        <w:t>The main white paper provides the primary framework layer. Detailed assurance procedures and insurability models are reserved for companion papers. This boundary ensures that the main paper remains focused on lifecycle governance definition and does not overreach into professional judgment domains that require specialized expertise.</w:t>
      </w:r>
    </w:p>
    <w:p>
      <w:pPr>
        <w:pStyle w:val="Heading2"/>
      </w:pPr>
      <w:r>
        <w:t>16.2 Companion Paper 1 — Agentic AI Evidence &amp; Assurance White Paper 2026</w:t>
      </w:r>
    </w:p>
    <w:p>
      <w:pPr>
        <w:spacing w:after="56"/>
      </w:pPr>
      <w:r>
        <w:t>The Agentic AI Evidence &amp; Assurance White Paper 2026 is planned to define the audit, control testing, and validation methodology for agentic systems. When published, it is expected to build on the lifecycle governance framework defined in the main white paper and translate MROs, RCCS, and ALCS into audit control objectives, evidence requirements, and attestation readiness.</w:t>
      </w:r>
    </w:p>
    <w:p>
      <w:pPr>
        <w:spacing w:after="56"/>
      </w:pPr>
      <w:r>
        <w:t>Intended Scope:</w:t>
      </w:r>
    </w:p>
    <w:p>
      <w:pPr>
        <w:spacing w:after="56"/>
      </w:pPr>
      <w:r>
        <w:t>The Evidence &amp; Assurance companion paper is intended to cover:</w:t>
      </w:r>
    </w:p>
    <w:p>
      <w:pPr>
        <w:pStyle w:val="ListBullet"/>
        <w:spacing w:after="56"/>
      </w:pPr>
      <w:r>
        <w:t>Evidence artifact taxonomy: What evidence types are required for each MRO and lifecycle stage.</w:t>
      </w:r>
    </w:p>
    <w:p>
      <w:pPr>
        <w:pStyle w:val="ListBullet"/>
        <w:spacing w:after="56"/>
      </w:pPr>
      <w:r>
        <w:t>Audit control objectives: How to translate MROs into testable control objectives.</w:t>
      </w:r>
    </w:p>
    <w:p>
      <w:pPr>
        <w:pStyle w:val="ListBullet"/>
        <w:spacing w:after="56"/>
      </w:pPr>
      <w:r>
        <w:t>Control activities: What control activities satisfy each objective.</w:t>
      </w:r>
    </w:p>
    <w:p>
      <w:pPr>
        <w:pStyle w:val="ListBullet"/>
        <w:spacing w:after="56"/>
      </w:pPr>
      <w:r>
        <w:t>Test procedures: How to test design effectiveness and operating effectiveness.</w:t>
      </w:r>
    </w:p>
    <w:p>
      <w:pPr>
        <w:pStyle w:val="ListBullet"/>
        <w:spacing w:after="56"/>
      </w:pPr>
      <w:r>
        <w:t>Design effectiveness: How to evaluate whether controls are properly designed.</w:t>
      </w:r>
    </w:p>
    <w:p>
      <w:pPr>
        <w:pStyle w:val="ListBullet"/>
        <w:spacing w:after="56"/>
      </w:pPr>
      <w:r>
        <w:t>Operating effectiveness: How to evaluate whether controls are operating as intended.</w:t>
      </w:r>
    </w:p>
    <w:p>
      <w:pPr>
        <w:pStyle w:val="ListBullet"/>
        <w:spacing w:after="56"/>
      </w:pPr>
      <w:r>
        <w:t>Evidence sufficiency: How much evidence is enough for audit readiness.</w:t>
      </w:r>
    </w:p>
    <w:p>
      <w:pPr>
        <w:pStyle w:val="ListBullet"/>
        <w:spacing w:after="56"/>
      </w:pPr>
      <w:r>
        <w:t>Evidence integrity: How to ensure evidence has not been tampered with.</w:t>
      </w:r>
    </w:p>
    <w:p>
      <w:pPr>
        <w:pStyle w:val="ListBullet"/>
        <w:spacing w:after="56"/>
      </w:pPr>
      <w:r>
        <w:t>Replayability: How to replay evidence for dispute resolution or audit review.</w:t>
      </w:r>
    </w:p>
    <w:p>
      <w:pPr>
        <w:pStyle w:val="ListBullet"/>
        <w:spacing w:after="56"/>
      </w:pPr>
      <w:r>
        <w:t>Attestation readiness: What evidence is required for third-party attestation.</w:t>
      </w:r>
    </w:p>
    <w:p>
      <w:pPr>
        <w:pStyle w:val="ListBullet"/>
        <w:spacing w:after="56"/>
      </w:pPr>
      <w:r>
        <w:t>Privacy-preserving validation patterns: How to validate evidence without exposing sensitive data.</w:t>
      </w:r>
    </w:p>
    <w:p>
      <w:pPr>
        <w:pStyle w:val="ListBullet"/>
        <w:spacing w:after="56"/>
      </w:pPr>
      <w:r>
        <w:t>Validation readiness: How to prepare for third-party validation or audit engagement.</w:t>
      </w:r>
    </w:p>
    <w:p>
      <w:pPr>
        <w:pStyle w:val="ListBullet"/>
        <w:spacing w:after="56"/>
      </w:pPr>
      <w:r>
        <w:t>Assurance engagement boundaries: What assurance engagements can and cannot claim.</w:t>
      </w:r>
    </w:p>
    <w:p>
      <w:pPr>
        <w:spacing w:after="56"/>
      </w:pPr>
      <w:r>
        <w:t>Boundary:</w:t>
      </w:r>
    </w:p>
    <w:p>
      <w:pPr>
        <w:spacing w:after="56"/>
      </w:pPr>
      <w:r>
        <w:t>The Evidence &amp; Assurance companion paper is not intended to:</w:t>
      </w:r>
    </w:p>
    <w:p>
      <w:pPr>
        <w:pStyle w:val="ListBullet"/>
        <w:spacing w:after="56"/>
      </w:pPr>
      <w:r>
        <w:t>Create legal certification or regulatory approval</w:t>
      </w:r>
    </w:p>
    <w:p>
      <w:pPr>
        <w:pStyle w:val="ListBullet"/>
        <w:spacing w:after="56"/>
      </w:pPr>
      <w:r>
        <w:t>Claim that Validation Lab is a certification authority, regulator, or conformity assessment body</w:t>
      </w:r>
    </w:p>
    <w:p>
      <w:pPr>
        <w:pStyle w:val="ListBullet"/>
        <w:spacing w:after="56"/>
      </w:pPr>
      <w:r>
        <w:t>Issue audit opinions or replace professional audit judgment</w:t>
      </w:r>
    </w:p>
    <w:p>
      <w:pPr>
        <w:pStyle w:val="ListBullet"/>
        <w:spacing w:after="56"/>
      </w:pPr>
      <w:r>
        <w:t>Guarantee compliance with any specific regulation or standard</w:t>
      </w:r>
    </w:p>
    <w:p>
      <w:pPr>
        <w:pStyle w:val="ListBullet"/>
        <w:spacing w:after="56"/>
      </w:pPr>
      <w:r>
        <w:t>Replace internal audit, external audit, or regulatory examination</w:t>
      </w:r>
    </w:p>
    <w:p>
      <w:pPr>
        <w:pStyle w:val="ListBullet"/>
        <w:spacing w:after="56"/>
      </w:pPr>
      <w:r>
        <w:t>Define insurance underwriting, actuarial methodology, or premium pricing</w:t>
      </w:r>
    </w:p>
    <w:p>
      <w:pPr>
        <w:spacing w:after="56"/>
      </w:pPr>
      <w:r>
        <w:t>Validation Lab Positioning:</w:t>
      </w:r>
    </w:p>
    <w:p>
      <w:pPr>
        <w:spacing w:after="56"/>
      </w:pPr>
      <w:r>
        <w:t>Validation Lab may be referenced in the Evidence &amp; Assurance companion paper only as a non-certifying evidence adjudication example. It is not a regulator, certification authority, conformity assessment body, or legal compliance certification mechanism. It does not certify compliance. It does not issue legal opinions. It does not replace audit or regulatory judgment.</w:t>
      </w:r>
    </w:p>
    <w:p>
      <w:pPr>
        <w:spacing w:after="56"/>
      </w:pPr>
      <w:r>
        <w:t>The Evidence &amp; Assurance companion paper is expected to clarify that Validation Lab is an example of how privacy-preserving third-party validation could be structured. It is not the only method. It is not required for compliance. It is not a certification program.</w:t>
      </w:r>
    </w:p>
    <w:p>
      <w:pPr>
        <w:pStyle w:val="Heading2"/>
      </w:pPr>
      <w:r>
        <w:t>16.3 Companion Paper 2 — Agentic AI Insurability White Paper 2026</w:t>
      </w:r>
    </w:p>
    <w:p>
      <w:pPr>
        <w:spacing w:after="56"/>
      </w:pPr>
      <w:r>
        <w:t>The Agentic AI Insurability White Paper 2026 is planned to define the risk classification, loss attribution, and underwriting implications for agentic systems. When published, it is expected to build on the lifecycle governance framework defined in the main white paper and translate MROs, RCCS, and ALCS into insurability criteria, claim replay evidence, and premium differentiation logic.</w:t>
      </w:r>
    </w:p>
    <w:p>
      <w:pPr>
        <w:spacing w:after="56"/>
      </w:pPr>
      <w:r>
        <w:t>Intended Scope:</w:t>
      </w:r>
    </w:p>
    <w:p>
      <w:pPr>
        <w:spacing w:after="56"/>
      </w:pPr>
      <w:r>
        <w:t>The Insurability companion paper is intended to cover:</w:t>
      </w:r>
    </w:p>
    <w:p>
      <w:pPr>
        <w:pStyle w:val="ListBullet"/>
        <w:spacing w:after="56"/>
      </w:pPr>
      <w:r>
        <w:t>Insurability criteria: What makes an agentic system insurable or uninsurable.</w:t>
      </w:r>
    </w:p>
    <w:p>
      <w:pPr>
        <w:pStyle w:val="ListBullet"/>
        <w:spacing w:after="56"/>
      </w:pPr>
      <w:r>
        <w:t>Risk classification: How to classify agentic system risk for underwriting purposes.</w:t>
      </w:r>
    </w:p>
    <w:p>
      <w:pPr>
        <w:pStyle w:val="ListBullet"/>
        <w:spacing w:after="56"/>
      </w:pPr>
      <w:r>
        <w:t>Authority boundary risk: How delegated authority boundaries affect liability and coverage.</w:t>
      </w:r>
    </w:p>
    <w:p>
      <w:pPr>
        <w:pStyle w:val="ListBullet"/>
        <w:spacing w:after="56"/>
      </w:pPr>
      <w:r>
        <w:t>Tool-action liability: How to attribute liability for tool actions taken by agents.</w:t>
      </w:r>
    </w:p>
    <w:p>
      <w:pPr>
        <w:pStyle w:val="ListBullet"/>
        <w:spacing w:after="56"/>
      </w:pPr>
      <w:r>
        <w:t>Loss attribution: How to determine which party is responsible for a loss.</w:t>
      </w:r>
    </w:p>
    <w:p>
      <w:pPr>
        <w:pStyle w:val="ListBullet"/>
        <w:spacing w:after="56"/>
      </w:pPr>
      <w:r>
        <w:t>Loss quantification concepts: How to estimate potential losses from agentic system failures.</w:t>
      </w:r>
    </w:p>
    <w:p>
      <w:pPr>
        <w:pStyle w:val="ListBullet"/>
        <w:spacing w:after="56"/>
      </w:pPr>
      <w:r>
        <w:t>Claim replay evidence: What evidence is required to replay a claim for dispute resolution.</w:t>
      </w:r>
    </w:p>
    <w:p>
      <w:pPr>
        <w:pStyle w:val="ListBullet"/>
        <w:spacing w:after="56"/>
      </w:pPr>
      <w:r>
        <w:t>Dispute-ready evidence: How to structure evidence for insurance claim disputes.</w:t>
      </w:r>
    </w:p>
    <w:p>
      <w:pPr>
        <w:pStyle w:val="ListBullet"/>
        <w:spacing w:after="56"/>
      </w:pPr>
      <w:r>
        <w:t>Remediation closure: How to verify that incidents have been properly remediated.</w:t>
      </w:r>
    </w:p>
    <w:p>
      <w:pPr>
        <w:pStyle w:val="ListBullet"/>
        <w:spacing w:after="56"/>
      </w:pPr>
      <w:r>
        <w:t>Premium differentiation logic: How lifecycle conformance could affect premium pricing.</w:t>
      </w:r>
    </w:p>
    <w:p>
      <w:pPr>
        <w:pStyle w:val="ListBullet"/>
        <w:spacing w:after="56"/>
      </w:pPr>
      <w:r>
        <w:t>Exclusion triggers: What conditions could trigger coverage exclusions.</w:t>
      </w:r>
    </w:p>
    <w:p>
      <w:pPr>
        <w:pStyle w:val="ListBullet"/>
        <w:spacing w:after="56"/>
      </w:pPr>
      <w:r>
        <w:t>Autonomous-action exclusions: How autonomous actions affect coverage boundaries.</w:t>
      </w:r>
    </w:p>
    <w:p>
      <w:pPr>
        <w:pStyle w:val="ListBullet"/>
        <w:spacing w:after="56"/>
      </w:pPr>
      <w:r>
        <w:t>Moral hazard considerations: How to prevent moral hazard in agentic system insurance.</w:t>
      </w:r>
    </w:p>
    <w:p>
      <w:pPr>
        <w:pStyle w:val="ListBullet"/>
        <w:spacing w:after="56"/>
      </w:pPr>
      <w:r>
        <w:t>Coverage boundary analysis: Where coverage begins and ends for agentic systems.</w:t>
      </w:r>
    </w:p>
    <w:p>
      <w:pPr>
        <w:spacing w:after="56"/>
      </w:pPr>
      <w:r>
        <w:t>Boundary:</w:t>
      </w:r>
    </w:p>
    <w:p>
      <w:pPr>
        <w:spacing w:after="56"/>
      </w:pPr>
      <w:r>
        <w:t>The Insurability companion paper is not intended to:</w:t>
      </w:r>
    </w:p>
    <w:p>
      <w:pPr>
        <w:pStyle w:val="ListBullet"/>
        <w:spacing w:after="56"/>
      </w:pPr>
      <w:r>
        <w:t>Define actual insurance policy wording or coverage terms</w:t>
      </w:r>
    </w:p>
    <w:p>
      <w:pPr>
        <w:pStyle w:val="ListBullet"/>
        <w:spacing w:after="56"/>
      </w:pPr>
      <w:r>
        <w:t>Set premiums or provide actuarial pricing models</w:t>
      </w:r>
    </w:p>
    <w:p>
      <w:pPr>
        <w:pStyle w:val="ListBullet"/>
        <w:spacing w:after="56"/>
      </w:pPr>
      <w:r>
        <w:t>Replace underwriting, actuarial, legal, or claims judgment</w:t>
      </w:r>
    </w:p>
    <w:p>
      <w:pPr>
        <w:pStyle w:val="ListBullet"/>
        <w:spacing w:after="56"/>
      </w:pPr>
      <w:r>
        <w:t>Guarantee insurability or coverage for any specific system</w:t>
      </w:r>
    </w:p>
    <w:p>
      <w:pPr>
        <w:pStyle w:val="ListBullet"/>
        <w:spacing w:after="56"/>
      </w:pPr>
      <w:r>
        <w:t>Issue legal opinions on liability or regulatory compliance</w:t>
      </w:r>
    </w:p>
    <w:p>
      <w:pPr>
        <w:pStyle w:val="ListBullet"/>
        <w:spacing w:after="56"/>
      </w:pPr>
      <w:r>
        <w:t>Replace insurance broker, underwriter, or claims adjuster judgment</w:t>
      </w:r>
    </w:p>
    <w:p>
      <w:pPr>
        <w:pStyle w:val="ListBullet"/>
        <w:spacing w:after="56"/>
      </w:pPr>
      <w:r>
        <w:t>Define claim settlement procedures or dispute resolution mechanisms</w:t>
      </w:r>
    </w:p>
    <w:p>
      <w:pPr>
        <w:spacing w:after="56"/>
      </w:pPr>
      <w:r>
        <w:t>The Insurability companion paper is expected to provide a framework for analyzing insurability implications. It is not intended to replace professional insurance judgment. It is not intended to claim that RCCS or ALCS scores determine premiums. It is not intended to claim that MPLP conformance guarantees insurability. It is expected to clarify that insurability depends on underwriting judgment, actuarial analysis, legal review, and risk appetite, not only on lifecycle conformance scores.</w:t>
      </w:r>
    </w:p>
    <w:p>
      <w:pPr>
        <w:pStyle w:val="Heading2"/>
      </w:pPr>
      <w:r>
        <w:t>16.4 Companion Paper Boundary Matrix</w:t>
      </w:r>
    </w:p>
    <w:p>
      <w:pPr>
        <w:spacing w:after="56"/>
      </w:pPr>
      <w:r>
        <w:t>The following tables clarify which topics are covered in the main white paper and which are reserved for the Evidence &amp; Assurance and Insurability companion papers.</w:t>
      </w:r>
    </w:p>
    <w:p>
      <w:pPr>
        <w:pStyle w:val="Heading3"/>
      </w:pPr>
      <w:r>
        <w:t>Table T-16-01A: Main Paper vs Evidence &amp; Assurance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Evidence &amp; Assurance Paper</w:t>
            </w:r>
          </w:p>
        </w:tc>
      </w:tr>
      <w:tr>
        <w:tc>
          <w:tcPr>
            <w:tcW w:type="dxa" w:w="3408"/>
          </w:tcPr>
          <w:p>
            <w:pPr>
              <w:spacing w:after="0"/>
            </w:pPr>
            <w:r>
              <w:rPr>
                <w:rFonts w:ascii="Arial" w:hAnsi="Arial"/>
                <w:b w:val="0"/>
                <w:sz w:val="14"/>
              </w:rPr>
              <w:t>Evidence Chain</w:t>
            </w:r>
          </w:p>
        </w:tc>
        <w:tc>
          <w:tcPr>
            <w:tcW w:type="dxa" w:w="3408"/>
          </w:tcPr>
          <w:p>
            <w:pPr>
              <w:spacing w:after="0"/>
            </w:pPr>
            <w:r>
              <w:rPr>
                <w:rFonts w:ascii="Arial" w:hAnsi="Arial"/>
                <w:b w:val="0"/>
                <w:sz w:val="14"/>
              </w:rPr>
              <w:t>Defines evidence chain as lifecycle governance requirement; explains why evidence chain matters for agentic systems</w:t>
            </w:r>
          </w:p>
        </w:tc>
        <w:tc>
          <w:tcPr>
            <w:tcW w:type="dxa" w:w="3408"/>
          </w:tcPr>
          <w:p>
            <w:pPr>
              <w:spacing w:after="0"/>
            </w:pPr>
            <w:r>
              <w:rPr>
                <w:rFonts w:ascii="Arial" w:hAnsi="Arial"/>
                <w:b w:val="0"/>
                <w:sz w:val="14"/>
              </w:rPr>
              <w:t>Defines evidence sufficiency, integrity, replay procedures, and control testing methodology</w:t>
            </w:r>
          </w:p>
        </w:tc>
      </w:tr>
      <w:tr>
        <w:tc>
          <w:tcPr>
            <w:tcW w:type="dxa" w:w="3408"/>
          </w:tcPr>
          <w:p>
            <w:pPr>
              <w:spacing w:after="0"/>
            </w:pPr>
            <w:r>
              <w:rPr>
                <w:rFonts w:ascii="Arial" w:hAnsi="Arial"/>
                <w:b w:val="0"/>
                <w:sz w:val="14"/>
              </w:rPr>
              <w:t>Validation Readiness</w:t>
            </w:r>
          </w:p>
        </w:tc>
        <w:tc>
          <w:tcPr>
            <w:tcW w:type="dxa" w:w="3408"/>
          </w:tcPr>
          <w:p>
            <w:pPr>
              <w:spacing w:after="0"/>
            </w:pPr>
            <w:r>
              <w:rPr>
                <w:rFonts w:ascii="Arial" w:hAnsi="Arial"/>
                <w:b w:val="0"/>
                <w:sz w:val="14"/>
              </w:rPr>
              <w:t>Introduces privacy-preserving validation as MRO-11 concept</w:t>
            </w:r>
          </w:p>
        </w:tc>
        <w:tc>
          <w:tcPr>
            <w:tcW w:type="dxa" w:w="3408"/>
          </w:tcPr>
          <w:p>
            <w:pPr>
              <w:spacing w:after="0"/>
            </w:pPr>
            <w:r>
              <w:rPr>
                <w:rFonts w:ascii="Arial" w:hAnsi="Arial"/>
                <w:b w:val="0"/>
                <w:sz w:val="14"/>
              </w:rPr>
              <w:t>Defines validation engagement procedures, evidence requirements, and attestation readiness</w:t>
            </w:r>
          </w:p>
        </w:tc>
      </w:tr>
      <w:tr>
        <w:tc>
          <w:tcPr>
            <w:tcW w:type="dxa" w:w="3408"/>
          </w:tcPr>
          <w:p>
            <w:pPr>
              <w:spacing w:after="0"/>
            </w:pPr>
            <w:r>
              <w:rPr>
                <w:rFonts w:ascii="Arial" w:hAnsi="Arial"/>
                <w:b w:val="0"/>
                <w:sz w:val="14"/>
              </w:rPr>
              <w:t>Audit Readiness</w:t>
            </w:r>
          </w:p>
        </w:tc>
        <w:tc>
          <w:tcPr>
            <w:tcW w:type="dxa" w:w="3408"/>
          </w:tcPr>
          <w:p>
            <w:pPr>
              <w:spacing w:after="0"/>
            </w:pPr>
            <w:r>
              <w:rPr>
                <w:rFonts w:ascii="Arial" w:hAnsi="Arial"/>
                <w:b w:val="0"/>
                <w:sz w:val="14"/>
              </w:rPr>
              <w:t>Maps MROs to enterprise control questions; provides procurement scorecard inputs</w:t>
            </w:r>
          </w:p>
        </w:tc>
        <w:tc>
          <w:tcPr>
            <w:tcW w:type="dxa" w:w="3408"/>
          </w:tcPr>
          <w:p>
            <w:pPr>
              <w:spacing w:after="0"/>
            </w:pPr>
            <w:r>
              <w:rPr>
                <w:rFonts w:ascii="Arial" w:hAnsi="Arial"/>
                <w:b w:val="0"/>
                <w:sz w:val="14"/>
              </w:rPr>
              <w:t>Defines audit control objectives, test procedures, design effectiveness, and operating effectiveness testing</w:t>
            </w:r>
          </w:p>
        </w:tc>
      </w:tr>
      <w:tr>
        <w:tc>
          <w:tcPr>
            <w:tcW w:type="dxa" w:w="3408"/>
          </w:tcPr>
          <w:p>
            <w:pPr>
              <w:spacing w:after="0"/>
            </w:pPr>
            <w:r>
              <w:rPr>
                <w:rFonts w:ascii="Arial" w:hAnsi="Arial"/>
                <w:b w:val="0"/>
                <w:sz w:val="14"/>
              </w:rPr>
              <w:t>Control Objectives</w:t>
            </w:r>
          </w:p>
        </w:tc>
        <w:tc>
          <w:tcPr>
            <w:tcW w:type="dxa" w:w="3408"/>
          </w:tcPr>
          <w:p>
            <w:pPr>
              <w:spacing w:after="0"/>
            </w:pPr>
            <w:r>
              <w:rPr>
                <w:rFonts w:ascii="Arial" w:hAnsi="Arial"/>
                <w:b w:val="0"/>
                <w:sz w:val="14"/>
              </w:rPr>
              <w:t>Identifies control gaps created by agentic systems</w:t>
            </w:r>
          </w:p>
        </w:tc>
        <w:tc>
          <w:tcPr>
            <w:tcW w:type="dxa" w:w="3408"/>
          </w:tcPr>
          <w:p>
            <w:pPr>
              <w:spacing w:after="0"/>
            </w:pPr>
            <w:r>
              <w:rPr>
                <w:rFonts w:ascii="Arial" w:hAnsi="Arial"/>
                <w:b w:val="0"/>
                <w:sz w:val="14"/>
              </w:rPr>
              <w:t>Translates MROs into testable control objectives with evidence requirements</w:t>
            </w:r>
          </w:p>
        </w:tc>
      </w:tr>
      <w:tr>
        <w:tc>
          <w:tcPr>
            <w:tcW w:type="dxa" w:w="3408"/>
          </w:tcPr>
          <w:p>
            <w:pPr>
              <w:spacing w:after="0"/>
            </w:pPr>
            <w:r>
              <w:rPr>
                <w:rFonts w:ascii="Arial" w:hAnsi="Arial"/>
                <w:b w:val="0"/>
                <w:sz w:val="14"/>
              </w:rPr>
              <w:t>Control Activities</w:t>
            </w:r>
          </w:p>
        </w:tc>
        <w:tc>
          <w:tcPr>
            <w:tcW w:type="dxa" w:w="3408"/>
          </w:tcPr>
          <w:p>
            <w:pPr>
              <w:spacing w:after="0"/>
            </w:pPr>
            <w:r>
              <w:rPr>
                <w:rFonts w:ascii="Arial" w:hAnsi="Arial"/>
                <w:b w:val="0"/>
                <w:sz w:val="14"/>
              </w:rPr>
              <w:t>Describes lifecycle governance controls at framework level</w:t>
            </w:r>
          </w:p>
        </w:tc>
        <w:tc>
          <w:tcPr>
            <w:tcW w:type="dxa" w:w="3408"/>
          </w:tcPr>
          <w:p>
            <w:pPr>
              <w:spacing w:after="0"/>
            </w:pPr>
            <w:r>
              <w:rPr>
                <w:rFonts w:ascii="Arial" w:hAnsi="Arial"/>
                <w:b w:val="0"/>
                <w:sz w:val="14"/>
              </w:rPr>
              <w:t>Defines specific control activities, testing procedures, and evidence sufficiency criteria</w:t>
            </w:r>
          </w:p>
        </w:tc>
      </w:tr>
      <w:tr>
        <w:tc>
          <w:tcPr>
            <w:tcW w:type="dxa" w:w="3408"/>
          </w:tcPr>
          <w:p>
            <w:pPr>
              <w:spacing w:after="0"/>
            </w:pPr>
            <w:r>
              <w:rPr>
                <w:rFonts w:ascii="Arial" w:hAnsi="Arial"/>
                <w:b w:val="0"/>
                <w:sz w:val="14"/>
              </w:rPr>
              <w:t>Test Procedures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test controls for design and operating effectiveness</w:t>
            </w:r>
          </w:p>
        </w:tc>
      </w:tr>
      <w:tr>
        <w:tc>
          <w:tcPr>
            <w:tcW w:type="dxa" w:w="3408"/>
          </w:tcPr>
          <w:p>
            <w:pPr>
              <w:spacing w:after="0"/>
            </w:pPr>
            <w:r>
              <w:rPr>
                <w:rFonts w:ascii="Arial" w:hAnsi="Arial"/>
                <w:b w:val="0"/>
                <w:sz w:val="14"/>
              </w:rPr>
              <w:t>Design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properly designed</w:t>
            </w:r>
          </w:p>
        </w:tc>
      </w:tr>
      <w:tr>
        <w:tc>
          <w:tcPr>
            <w:tcW w:type="dxa" w:w="3408"/>
          </w:tcPr>
          <w:p>
            <w:pPr>
              <w:spacing w:after="0"/>
            </w:pPr>
            <w:r>
              <w:rPr>
                <w:rFonts w:ascii="Arial" w:hAnsi="Arial"/>
                <w:b w:val="0"/>
                <w:sz w:val="14"/>
              </w:rPr>
              <w:t>Operating Effectiveness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how to evaluate whether controls are operating as intended</w:t>
            </w:r>
          </w:p>
        </w:tc>
      </w:tr>
      <w:tr>
        <w:tc>
          <w:tcPr>
            <w:tcW w:type="dxa" w:w="3408"/>
          </w:tcPr>
          <w:p>
            <w:pPr>
              <w:spacing w:after="0"/>
            </w:pPr>
            <w:r>
              <w:rPr>
                <w:rFonts w:ascii="Arial" w:hAnsi="Arial"/>
                <w:b w:val="0"/>
                <w:sz w:val="14"/>
              </w:rPr>
              <w:t>Attestation Readiness</w:t>
            </w:r>
          </w:p>
        </w:tc>
        <w:tc>
          <w:tcPr>
            <w:tcW w:type="dxa" w:w="3408"/>
          </w:tcPr>
          <w:p>
            <w:pPr>
              <w:spacing w:after="0"/>
            </w:pPr>
            <w:r>
              <w:rPr>
                <w:rFonts w:ascii="Arial" w:hAnsi="Arial"/>
                <w:b w:val="0"/>
                <w:sz w:val="14"/>
              </w:rPr>
              <w:t>Mentions attestation as downstream implication</w:t>
            </w:r>
          </w:p>
        </w:tc>
        <w:tc>
          <w:tcPr>
            <w:tcW w:type="dxa" w:w="3408"/>
          </w:tcPr>
          <w:p>
            <w:pPr>
              <w:spacing w:after="0"/>
            </w:pPr>
            <w:r>
              <w:rPr>
                <w:rFonts w:ascii="Arial" w:hAnsi="Arial"/>
                <w:b w:val="0"/>
                <w:sz w:val="14"/>
              </w:rPr>
              <w:t>Defines what evidence is required for third-party attestation or assurance engagement</w:t>
            </w:r>
          </w:p>
        </w:tc>
      </w:tr>
      <w:tr>
        <w:tc>
          <w:tcPr>
            <w:tcW w:type="dxa" w:w="3408"/>
          </w:tcPr>
          <w:p>
            <w:pPr>
              <w:spacing w:after="0"/>
            </w:pPr>
            <w:r>
              <w:rPr>
                <w:rFonts w:ascii="Arial" w:hAnsi="Arial"/>
                <w:b w:val="0"/>
                <w:sz w:val="14"/>
              </w:rPr>
              <w:t>Privacy-Preserving Validation</w:t>
            </w:r>
          </w:p>
        </w:tc>
        <w:tc>
          <w:tcPr>
            <w:tcW w:type="dxa" w:w="3408"/>
          </w:tcPr>
          <w:p>
            <w:pPr>
              <w:spacing w:after="0"/>
            </w:pPr>
            <w:r>
              <w:rPr>
                <w:rFonts w:ascii="Arial" w:hAnsi="Arial"/>
                <w:b w:val="0"/>
                <w:sz w:val="14"/>
              </w:rPr>
              <w:t>Defines MRO-11 and MRO-12 as lifecycle requirements</w:t>
            </w:r>
          </w:p>
        </w:tc>
        <w:tc>
          <w:tcPr>
            <w:tcW w:type="dxa" w:w="3408"/>
          </w:tcPr>
          <w:p>
            <w:pPr>
              <w:spacing w:after="0"/>
            </w:pPr>
            <w:r>
              <w:rPr>
                <w:rFonts w:ascii="Arial" w:hAnsi="Arial"/>
                <w:b w:val="0"/>
                <w:sz w:val="14"/>
              </w:rPr>
              <w:t>Defines validation procedures, selective disclosure, and privacy-preserving evidence adjudication</w:t>
            </w:r>
          </w:p>
        </w:tc>
      </w:tr>
      <w:tr>
        <w:tc>
          <w:tcPr>
            <w:tcW w:type="dxa" w:w="3408"/>
          </w:tcPr>
          <w:p>
            <w:pPr>
              <w:spacing w:after="0"/>
            </w:pPr>
            <w:r>
              <w:rPr>
                <w:rFonts w:ascii="Arial" w:hAnsi="Arial"/>
                <w:b w:val="0"/>
                <w:sz w:val="14"/>
              </w:rPr>
              <w:t>Enterprise Procurement</w:t>
            </w:r>
          </w:p>
        </w:tc>
        <w:tc>
          <w:tcPr>
            <w:tcW w:type="dxa" w:w="3408"/>
          </w:tcPr>
          <w:p>
            <w:pPr>
              <w:spacing w:after="0"/>
            </w:pPr>
            <w:r>
              <w:rPr>
                <w:rFonts w:ascii="Arial" w:hAnsi="Arial"/>
                <w:b w:val="0"/>
                <w:sz w:val="14"/>
              </w:rPr>
              <w:t>Provides procurement scorecard inputs based on RCCS/ALCS</w:t>
            </w:r>
          </w:p>
        </w:tc>
        <w:tc>
          <w:tcPr>
            <w:tcW w:type="dxa" w:w="3408"/>
          </w:tcPr>
          <w:p>
            <w:pPr>
              <w:spacing w:after="0"/>
            </w:pPr>
            <w:r>
              <w:rPr>
                <w:rFonts w:ascii="Arial" w:hAnsi="Arial"/>
                <w:b w:val="0"/>
                <w:sz w:val="14"/>
              </w:rPr>
              <w:t>Not primary scope; procurement decisions remain enterprise judgment</w:t>
            </w:r>
          </w:p>
        </w:tc>
      </w:tr>
      <w:tr>
        <w:tc>
          <w:tcPr>
            <w:tcW w:type="dxa" w:w="3408"/>
          </w:tcPr>
          <w:p>
            <w:pPr>
              <w:spacing w:after="0"/>
            </w:pPr>
            <w:r>
              <w:rPr>
                <w:rFonts w:ascii="Arial" w:hAnsi="Arial"/>
                <w:b w:val="0"/>
                <w:sz w:val="14"/>
              </w:rPr>
              <w:t>Board Reporting</w:t>
            </w:r>
          </w:p>
        </w:tc>
        <w:tc>
          <w:tcPr>
            <w:tcW w:type="dxa" w:w="3408"/>
          </w:tcPr>
          <w:p>
            <w:pPr>
              <w:spacing w:after="0"/>
            </w:pPr>
            <w:r>
              <w:rPr>
                <w:rFonts w:ascii="Arial" w:hAnsi="Arial"/>
                <w:b w:val="0"/>
                <w:sz w:val="14"/>
              </w:rPr>
              <w:t>Provides board reporting elements for agentic risk</w:t>
            </w:r>
          </w:p>
        </w:tc>
        <w:tc>
          <w:tcPr>
            <w:tcW w:type="dxa" w:w="3408"/>
          </w:tcPr>
          <w:p>
            <w:pPr>
              <w:spacing w:after="0"/>
            </w:pPr>
            <w:r>
              <w:rPr>
                <w:rFonts w:ascii="Arial" w:hAnsi="Arial"/>
                <w:b w:val="0"/>
                <w:sz w:val="14"/>
              </w:rPr>
              <w:t>Not primary scope; board reporting remains enterprise governance responsibility</w:t>
            </w:r>
          </w:p>
        </w:tc>
      </w:tr>
    </w:tbl>
    <w:p>
      <w:pPr>
        <w:pStyle w:val="Heading3"/>
      </w:pPr>
      <w:r>
        <w:t>Table T-16-01B: Main Paper vs Insurability Boundary</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Topic</w:t>
            </w:r>
          </w:p>
        </w:tc>
        <w:tc>
          <w:tcPr>
            <w:tcW w:type="dxa" w:w="3408"/>
          </w:tcPr>
          <w:p>
            <w:pPr>
              <w:spacing w:after="0"/>
            </w:pPr>
            <w:r>
              <w:rPr>
                <w:rFonts w:ascii="Arial" w:hAnsi="Arial"/>
                <w:b/>
                <w:sz w:val="14"/>
              </w:rPr>
              <w:t>Covered in Main White Paper</w:t>
            </w:r>
          </w:p>
        </w:tc>
        <w:tc>
          <w:tcPr>
            <w:tcW w:type="dxa" w:w="3408"/>
          </w:tcPr>
          <w:p>
            <w:pPr>
              <w:spacing w:after="0"/>
            </w:pPr>
            <w:r>
              <w:rPr>
                <w:rFonts w:ascii="Arial" w:hAnsi="Arial"/>
                <w:b/>
                <w:sz w:val="14"/>
              </w:rPr>
              <w:t>Reserved for Insurability Paper</w:t>
            </w:r>
          </w:p>
        </w:tc>
      </w:tr>
      <w:tr>
        <w:tc>
          <w:tcPr>
            <w:tcW w:type="dxa" w:w="3408"/>
          </w:tcPr>
          <w:p>
            <w:pPr>
              <w:spacing w:after="0"/>
            </w:pPr>
            <w:r>
              <w:rPr>
                <w:rFonts w:ascii="Arial" w:hAnsi="Arial"/>
                <w:b w:val="0"/>
                <w:sz w:val="14"/>
              </w:rPr>
              <w:t>Tool-Action Liability</w:t>
            </w:r>
          </w:p>
        </w:tc>
        <w:tc>
          <w:tcPr>
            <w:tcW w:type="dxa" w:w="3408"/>
          </w:tcPr>
          <w:p>
            <w:pPr>
              <w:spacing w:after="0"/>
            </w:pPr>
            <w:r>
              <w:rPr>
                <w:rFonts w:ascii="Arial" w:hAnsi="Arial"/>
                <w:b w:val="0"/>
                <w:sz w:val="14"/>
              </w:rPr>
              <w:t>Defines MRO-05 (Tool-Action Liability Boundary) as lifecycle governance object</w:t>
            </w:r>
          </w:p>
        </w:tc>
        <w:tc>
          <w:tcPr>
            <w:tcW w:type="dxa" w:w="3408"/>
          </w:tcPr>
          <w:p>
            <w:pPr>
              <w:spacing w:after="0"/>
            </w:pPr>
            <w:r>
              <w:rPr>
                <w:rFonts w:ascii="Arial" w:hAnsi="Arial"/>
                <w:b w:val="0"/>
                <w:sz w:val="14"/>
              </w:rPr>
              <w:t>Evaluates liability boundary implications, loss attribution, and coverage analysis</w:t>
            </w:r>
          </w:p>
        </w:tc>
      </w:tr>
      <w:tr>
        <w:tc>
          <w:tcPr>
            <w:tcW w:type="dxa" w:w="3408"/>
          </w:tcPr>
          <w:p>
            <w:pPr>
              <w:spacing w:after="0"/>
            </w:pPr>
            <w:r>
              <w:rPr>
                <w:rFonts w:ascii="Arial" w:hAnsi="Arial"/>
                <w:b w:val="0"/>
                <w:sz w:val="14"/>
              </w:rPr>
              <w:t>Dispute-Ready Replay</w:t>
            </w:r>
          </w:p>
        </w:tc>
        <w:tc>
          <w:tcPr>
            <w:tcW w:type="dxa" w:w="3408"/>
          </w:tcPr>
          <w:p>
            <w:pPr>
              <w:spacing w:after="0"/>
            </w:pPr>
            <w:r>
              <w:rPr>
                <w:rFonts w:ascii="Arial" w:hAnsi="Arial"/>
                <w:b w:val="0"/>
                <w:sz w:val="14"/>
              </w:rPr>
              <w:t>Defines evidence chain and replay as lifecycle requirements</w:t>
            </w:r>
          </w:p>
        </w:tc>
        <w:tc>
          <w:tcPr>
            <w:tcW w:type="dxa" w:w="3408"/>
          </w:tcPr>
          <w:p>
            <w:pPr>
              <w:spacing w:after="0"/>
            </w:pPr>
            <w:r>
              <w:rPr>
                <w:rFonts w:ascii="Arial" w:hAnsi="Arial"/>
                <w:b w:val="0"/>
                <w:sz w:val="14"/>
              </w:rPr>
              <w:t>Defines claim replay procedures, dispute-ready evidence structure, and claim settlement implications</w:t>
            </w:r>
          </w:p>
        </w:tc>
      </w:tr>
      <w:tr>
        <w:tc>
          <w:tcPr>
            <w:tcW w:type="dxa" w:w="3408"/>
          </w:tcPr>
          <w:p>
            <w:pPr>
              <w:spacing w:after="0"/>
            </w:pPr>
            <w:r>
              <w:rPr>
                <w:rFonts w:ascii="Arial" w:hAnsi="Arial"/>
                <w:b w:val="0"/>
                <w:sz w:val="14"/>
              </w:rPr>
              <w:t>Claim Replay</w:t>
            </w:r>
          </w:p>
        </w:tc>
        <w:tc>
          <w:tcPr>
            <w:tcW w:type="dxa" w:w="3408"/>
          </w:tcPr>
          <w:p>
            <w:pPr>
              <w:spacing w:after="0"/>
            </w:pPr>
            <w:r>
              <w:rPr>
                <w:rFonts w:ascii="Arial" w:hAnsi="Arial"/>
                <w:b w:val="0"/>
                <w:sz w:val="14"/>
              </w:rPr>
              <w:t>Mentions claim replay as downstream implication of evidence chain</w:t>
            </w:r>
          </w:p>
        </w:tc>
        <w:tc>
          <w:tcPr>
            <w:tcW w:type="dxa" w:w="3408"/>
          </w:tcPr>
          <w:p>
            <w:pPr>
              <w:spacing w:after="0"/>
            </w:pPr>
            <w:r>
              <w:rPr>
                <w:rFonts w:ascii="Arial" w:hAnsi="Arial"/>
                <w:b w:val="0"/>
                <w:sz w:val="14"/>
              </w:rPr>
              <w:t>Defines claim replay methodology, evidence requirements, and dispute resolution procedures</w:t>
            </w:r>
          </w:p>
        </w:tc>
      </w:tr>
      <w:tr>
        <w:tc>
          <w:tcPr>
            <w:tcW w:type="dxa" w:w="3408"/>
          </w:tcPr>
          <w:p>
            <w:pPr>
              <w:spacing w:after="0"/>
            </w:pPr>
            <w:r>
              <w:rPr>
                <w:rFonts w:ascii="Arial" w:hAnsi="Arial"/>
                <w:b w:val="0"/>
                <w:sz w:val="14"/>
              </w:rPr>
              <w:t>Loss Attribution</w:t>
            </w:r>
          </w:p>
        </w:tc>
        <w:tc>
          <w:tcPr>
            <w:tcW w:type="dxa" w:w="3408"/>
          </w:tcPr>
          <w:p>
            <w:pPr>
              <w:spacing w:after="0"/>
            </w:pPr>
            <w:r>
              <w:rPr>
                <w:rFonts w:ascii="Arial" w:hAnsi="Arial"/>
                <w:b w:val="0"/>
                <w:sz w:val="14"/>
              </w:rPr>
              <w:t>Defines authority boundary and responsibility transfer as MROs</w:t>
            </w:r>
          </w:p>
        </w:tc>
        <w:tc>
          <w:tcPr>
            <w:tcW w:type="dxa" w:w="3408"/>
          </w:tcPr>
          <w:p>
            <w:pPr>
              <w:spacing w:after="0"/>
            </w:pPr>
            <w:r>
              <w:rPr>
                <w:rFonts w:ascii="Arial" w:hAnsi="Arial"/>
                <w:b w:val="0"/>
                <w:sz w:val="14"/>
              </w:rPr>
              <w:t>Defines loss attribution methodology, liability analysis, and coverage boundary implications</w:t>
            </w:r>
          </w:p>
        </w:tc>
      </w:tr>
      <w:tr>
        <w:tc>
          <w:tcPr>
            <w:tcW w:type="dxa" w:w="3408"/>
          </w:tcPr>
          <w:p>
            <w:pPr>
              <w:spacing w:after="0"/>
            </w:pPr>
            <w:r>
              <w:rPr>
                <w:rFonts w:ascii="Arial" w:hAnsi="Arial"/>
                <w:b w:val="0"/>
                <w:sz w:val="14"/>
              </w:rPr>
              <w:t>Risk Classification</w:t>
            </w:r>
          </w:p>
        </w:tc>
        <w:tc>
          <w:tcPr>
            <w:tcW w:type="dxa" w:w="3408"/>
          </w:tcPr>
          <w:p>
            <w:pPr>
              <w:spacing w:after="0"/>
            </w:pPr>
            <w:r>
              <w:rPr>
                <w:rFonts w:ascii="Arial" w:hAnsi="Arial"/>
                <w:b w:val="0"/>
                <w:sz w:val="14"/>
              </w:rPr>
              <w:t>Provides RCCS/ALCS scores as risk inputs; does not claim scores determine risk classification</w:t>
            </w:r>
          </w:p>
        </w:tc>
        <w:tc>
          <w:tcPr>
            <w:tcW w:type="dxa" w:w="3408"/>
          </w:tcPr>
          <w:p>
            <w:pPr>
              <w:spacing w:after="0"/>
            </w:pPr>
            <w:r>
              <w:rPr>
                <w:rFonts w:ascii="Arial" w:hAnsi="Arial"/>
                <w:b w:val="0"/>
                <w:sz w:val="14"/>
              </w:rPr>
              <w:t>Analyzes how lifecycle conformance affects risk classification for underwriting purposes</w:t>
            </w:r>
          </w:p>
        </w:tc>
      </w:tr>
      <w:tr>
        <w:tc>
          <w:tcPr>
            <w:tcW w:type="dxa" w:w="3408"/>
          </w:tcPr>
          <w:p>
            <w:pPr>
              <w:spacing w:after="0"/>
            </w:pPr>
            <w:r>
              <w:rPr>
                <w:rFonts w:ascii="Arial" w:hAnsi="Arial"/>
                <w:b w:val="0"/>
                <w:sz w:val="14"/>
              </w:rPr>
              <w:t>Premium Differentiation</w:t>
            </w:r>
          </w:p>
        </w:tc>
        <w:tc>
          <w:tcPr>
            <w:tcW w:type="dxa" w:w="3408"/>
          </w:tcPr>
          <w:p>
            <w:pPr>
              <w:spacing w:after="0"/>
            </w:pPr>
            <w:r>
              <w:rPr>
                <w:rFonts w:ascii="Arial" w:hAnsi="Arial"/>
                <w:b w:val="0"/>
                <w:sz w:val="14"/>
              </w:rPr>
              <w:t>Mentions premium differentiation as potential downstream implication</w:t>
            </w:r>
          </w:p>
        </w:tc>
        <w:tc>
          <w:tcPr>
            <w:tcW w:type="dxa" w:w="3408"/>
          </w:tcPr>
          <w:p>
            <w:pPr>
              <w:spacing w:after="0"/>
            </w:pPr>
            <w:r>
              <w:rPr>
                <w:rFonts w:ascii="Arial" w:hAnsi="Arial"/>
                <w:b w:val="0"/>
                <w:sz w:val="14"/>
              </w:rPr>
              <w:t>Analyzes premium differentiation logic without defining actual pricing or actuarial models</w:t>
            </w:r>
          </w:p>
        </w:tc>
      </w:tr>
      <w:tr>
        <w:tc>
          <w:tcPr>
            <w:tcW w:type="dxa" w:w="3408"/>
          </w:tcPr>
          <w:p>
            <w:pPr>
              <w:spacing w:after="0"/>
            </w:pPr>
            <w:r>
              <w:rPr>
                <w:rFonts w:ascii="Arial" w:hAnsi="Arial"/>
                <w:b w:val="0"/>
                <w:sz w:val="14"/>
              </w:rPr>
              <w:t>Exclusion Triggers</w:t>
            </w:r>
          </w:p>
        </w:tc>
        <w:tc>
          <w:tcPr>
            <w:tcW w:type="dxa" w:w="3408"/>
          </w:tcPr>
          <w:p>
            <w:pPr>
              <w:spacing w:after="0"/>
            </w:pPr>
            <w:r>
              <w:rPr>
                <w:rFonts w:ascii="Arial" w:hAnsi="Arial"/>
                <w:b w:val="0"/>
                <w:sz w:val="14"/>
              </w:rPr>
              <w:t>Defines authority drift and autonomous action boundaries as lifecycle risks</w:t>
            </w:r>
          </w:p>
        </w:tc>
        <w:tc>
          <w:tcPr>
            <w:tcW w:type="dxa" w:w="3408"/>
          </w:tcPr>
          <w:p>
            <w:pPr>
              <w:spacing w:after="0"/>
            </w:pPr>
            <w:r>
              <w:rPr>
                <w:rFonts w:ascii="Arial" w:hAnsi="Arial"/>
                <w:b w:val="0"/>
                <w:sz w:val="14"/>
              </w:rPr>
              <w:t>Analyzes exclusion trigger implications for coverage boundaries</w:t>
            </w:r>
          </w:p>
        </w:tc>
      </w:tr>
      <w:tr>
        <w:tc>
          <w:tcPr>
            <w:tcW w:type="dxa" w:w="3408"/>
          </w:tcPr>
          <w:p>
            <w:pPr>
              <w:spacing w:after="0"/>
            </w:pPr>
            <w:r>
              <w:rPr>
                <w:rFonts w:ascii="Arial" w:hAnsi="Arial"/>
                <w:b w:val="0"/>
                <w:sz w:val="14"/>
              </w:rPr>
              <w:t>Incident Remediation Closure</w:t>
            </w:r>
          </w:p>
        </w:tc>
        <w:tc>
          <w:tcPr>
            <w:tcW w:type="dxa" w:w="3408"/>
          </w:tcPr>
          <w:p>
            <w:pPr>
              <w:spacing w:after="0"/>
            </w:pPr>
            <w:r>
              <w:rPr>
                <w:rFonts w:ascii="Arial" w:hAnsi="Arial"/>
                <w:b w:val="0"/>
                <w:sz w:val="14"/>
              </w:rPr>
              <w:t>Defines MRO-16 (Incident, Dispute, and Remediation Closure) as lifecycle requirement</w:t>
            </w:r>
          </w:p>
        </w:tc>
        <w:tc>
          <w:tcPr>
            <w:tcW w:type="dxa" w:w="3408"/>
          </w:tcPr>
          <w:p>
            <w:pPr>
              <w:spacing w:after="0"/>
            </w:pPr>
            <w:r>
              <w:rPr>
                <w:rFonts w:ascii="Arial" w:hAnsi="Arial"/>
                <w:b w:val="0"/>
                <w:sz w:val="14"/>
              </w:rPr>
              <w:t>Defines remediation closure verification for claim settlement and coverage restoration</w:t>
            </w:r>
          </w:p>
        </w:tc>
      </w:tr>
      <w:tr>
        <w:tc>
          <w:tcPr>
            <w:tcW w:type="dxa" w:w="3408"/>
          </w:tcPr>
          <w:p>
            <w:pPr>
              <w:spacing w:after="0"/>
            </w:pPr>
            <w:r>
              <w:rPr>
                <w:rFonts w:ascii="Arial" w:hAnsi="Arial"/>
                <w:b w:val="0"/>
                <w:sz w:val="14"/>
              </w:rPr>
              <w:t>Authority Boundary Risk</w:t>
            </w:r>
          </w:p>
        </w:tc>
        <w:tc>
          <w:tcPr>
            <w:tcW w:type="dxa" w:w="3408"/>
          </w:tcPr>
          <w:p>
            <w:pPr>
              <w:spacing w:after="0"/>
            </w:pPr>
            <w:r>
              <w:rPr>
                <w:rFonts w:ascii="Arial" w:hAnsi="Arial"/>
                <w:b w:val="0"/>
                <w:sz w:val="14"/>
              </w:rPr>
              <w:t>Defines MRO-02 (Delegated Authority Boundary) and MRO-07 (Authority Drift)</w:t>
            </w:r>
          </w:p>
        </w:tc>
        <w:tc>
          <w:tcPr>
            <w:tcW w:type="dxa" w:w="3408"/>
          </w:tcPr>
          <w:p>
            <w:pPr>
              <w:spacing w:after="0"/>
            </w:pPr>
            <w:r>
              <w:rPr>
                <w:rFonts w:ascii="Arial" w:hAnsi="Arial"/>
                <w:b w:val="0"/>
                <w:sz w:val="14"/>
              </w:rPr>
              <w:t>Analyzes authority boundary risk for underwriting, coverage, and liability purposes</w:t>
            </w:r>
          </w:p>
        </w:tc>
      </w:tr>
      <w:tr>
        <w:tc>
          <w:tcPr>
            <w:tcW w:type="dxa" w:w="3408"/>
          </w:tcPr>
          <w:p>
            <w:pPr>
              <w:spacing w:after="0"/>
            </w:pPr>
            <w:r>
              <w:rPr>
                <w:rFonts w:ascii="Arial" w:hAnsi="Arial"/>
                <w:b w:val="0"/>
                <w:sz w:val="14"/>
              </w:rPr>
              <w:t>Moral Hazard</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Analyzes moral hazard considerations for agentic system insurance</w:t>
            </w:r>
          </w:p>
        </w:tc>
      </w:tr>
      <w:tr>
        <w:tc>
          <w:tcPr>
            <w:tcW w:type="dxa" w:w="3408"/>
          </w:tcPr>
          <w:p>
            <w:pPr>
              <w:spacing w:after="0"/>
            </w:pPr>
            <w:r>
              <w:rPr>
                <w:rFonts w:ascii="Arial" w:hAnsi="Arial"/>
                <w:b w:val="0"/>
                <w:sz w:val="14"/>
              </w:rPr>
              <w:t>Coverage Boundary Analysis</w:t>
            </w:r>
          </w:p>
        </w:tc>
        <w:tc>
          <w:tcPr>
            <w:tcW w:type="dxa" w:w="3408"/>
          </w:tcPr>
          <w:p>
            <w:pPr>
              <w:spacing w:after="0"/>
            </w:pPr>
            <w:r>
              <w:rPr>
                <w:rFonts w:ascii="Arial" w:hAnsi="Arial"/>
                <w:b w:val="0"/>
                <w:sz w:val="14"/>
              </w:rPr>
              <w:t>Not covered</w:t>
            </w:r>
          </w:p>
        </w:tc>
        <w:tc>
          <w:tcPr>
            <w:tcW w:type="dxa" w:w="3408"/>
          </w:tcPr>
          <w:p>
            <w:pPr>
              <w:spacing w:after="0"/>
            </w:pPr>
            <w:r>
              <w:rPr>
                <w:rFonts w:ascii="Arial" w:hAnsi="Arial"/>
                <w:b w:val="0"/>
                <w:sz w:val="14"/>
              </w:rPr>
              <w:t>Defines where coverage begins and ends for agentic systems</w:t>
            </w:r>
          </w:p>
        </w:tc>
      </w:tr>
    </w:tbl>
    <w:p>
      <w:pPr>
        <w:spacing w:after="56"/>
      </w:pPr>
      <w:r>
        <w:t>Key Distinction:</w:t>
      </w:r>
    </w:p>
    <w:p>
      <w:pPr>
        <w:spacing w:after="56"/>
      </w:pPr>
      <w:r>
        <w:t>The main white paper defines lifecycle governance objects and framework-entry concepts. The companion papers define detailed procedures, methodologies, and professional judgment frameworks. The main paper does not replace audit, assurance, insurance, actuarial, legal, or procurement judgment. It provides structured inputs that make those professional judgments more efficient, consistent, and auditable when applied to agentic systems.</w:t>
      </w:r>
    </w:p>
    <w:p>
      <w:pPr>
        <w:pStyle w:val="Heading2"/>
      </w:pPr>
      <w:r>
        <w:t>16.5 Non-Claim Discipline</w:t>
      </w:r>
    </w:p>
    <w:p>
      <w:pPr>
        <w:spacing w:after="56"/>
      </w:pPr>
      <w:r>
        <w:t>This section establishes explicit boundaries for what the main white paper does and does not claim. These boundaries apply to the entire document, including all chapters, tables, figures, and appendices.</w:t>
      </w:r>
    </w:p>
    <w:p>
      <w:pPr>
        <w:spacing w:after="56"/>
      </w:pPr>
      <w:r>
        <w:t>Explicit Statements:</w:t>
      </w:r>
    </w:p>
    <w:p>
      <w:pPr>
        <w:pStyle w:val="ListBullet"/>
        <w:spacing w:after="56"/>
      </w:pPr>
      <w:r>
        <w:t>This white paper is not legal advice. It does not provide legal opinions, jurisdictional interpretations, or compliance conclusions. Legal compliance requires professional legal judgment.</w:t>
      </w:r>
    </w:p>
    <w:p>
      <w:pPr>
        <w:pStyle w:val="ListBullet"/>
        <w:spacing w:after="56"/>
      </w:pPr>
      <w:r>
        <w:t>This white paper is not an audit opinion. It does not issue audit opinions, attestation reports, or assurance conclusions. Audit readiness requires professional audit judgment.</w:t>
      </w:r>
    </w:p>
    <w:p>
      <w:pPr>
        <w:pStyle w:val="ListBullet"/>
        <w:spacing w:after="56"/>
      </w:pPr>
      <w:r>
        <w:t>This white paper is not an assurance report. It does not provide assurance engagements, attestation services, or certification. Assurance requires professional assurance judgment.</w:t>
      </w:r>
    </w:p>
    <w:p>
      <w:pPr>
        <w:pStyle w:val="ListBullet"/>
        <w:spacing w:after="56"/>
      </w:pPr>
      <w:r>
        <w:t>This white paper is not an insurance underwriting manual. It does not define insurance policy wording, premium pricing, actuarial methodology, or claim settlement procedures. Insurability requires professional underwriting, actuarial, and claims judgment.</w:t>
      </w:r>
    </w:p>
    <w:p>
      <w:pPr>
        <w:pStyle w:val="ListBullet"/>
        <w:spacing w:after="56"/>
      </w:pPr>
      <w:r>
        <w:t>This white paper is not a certification program. It does not certify compliance, issue conformity assessments, or provide regulatory approval. Certification requires accredited conformity assessment bodies.</w:t>
      </w:r>
    </w:p>
    <w:p>
      <w:pPr>
        <w:pStyle w:val="ListBullet"/>
        <w:spacing w:after="56"/>
      </w:pPr>
      <w:r>
        <w:t>This white paper does not certify compliance. RCCS and ALCS are analytical frameworks, not legal compliance scores. High scores do not guarantee compliance. Low scores do not prove non-compliance.</w:t>
      </w:r>
    </w:p>
    <w:p>
      <w:pPr>
        <w:pStyle w:val="ListBullet"/>
        <w:spacing w:after="56"/>
      </w:pPr>
      <w:r>
        <w:t>RCCS and ALCS are analytical frameworks, not legal compliance scores. They provide structured inputs for risk assessment, procurement, audit, and insurance analysis. They do not replace professional judgment.</w:t>
      </w:r>
    </w:p>
    <w:p>
      <w:pPr>
        <w:pStyle w:val="ListBullet"/>
        <w:spacing w:after="56"/>
      </w:pPr>
      <w:r>
        <w:t>MPLP is a lifecycle protocol path, not a regulator, certification body, or exclusive compliance method. MPLP conformance does not guarantee compliance. Non-MPLP systems are not automatically non-compliant. MPLP is one example of how lifecycle governance could be structured.</w:t>
      </w:r>
    </w:p>
    <w:p>
      <w:pPr>
        <w:pStyle w:val="ListBullet"/>
        <w:spacing w:after="56"/>
      </w:pPr>
      <w:r>
        <w:t>Validation Lab is a non-certifying evidence adjudication example, not a certification authority. Validation Lab does not certify compliance. It does not issue legal opinions. It does not replace audit or regulatory judgment. It is an example of privacy-preserving third-party validation, not a required compliance mechanism.</w:t>
      </w:r>
    </w:p>
    <w:p>
      <w:pPr>
        <w:pStyle w:val="Heading3"/>
      </w:pPr>
      <w:r>
        <w:t>Table T-16-02: Claim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Claim Area</w:t>
            </w:r>
          </w:p>
        </w:tc>
        <w:tc>
          <w:tcPr>
            <w:tcW w:type="dxa" w:w="3408"/>
          </w:tcPr>
          <w:p>
            <w:pPr>
              <w:spacing w:after="0"/>
            </w:pPr>
            <w:r>
              <w:rPr>
                <w:rFonts w:ascii="Arial" w:hAnsi="Arial"/>
                <w:b/>
                <w:sz w:val="14"/>
              </w:rPr>
              <w:t>Allowed Wording</w:t>
            </w:r>
          </w:p>
        </w:tc>
        <w:tc>
          <w:tcPr>
            <w:tcW w:type="dxa" w:w="3408"/>
          </w:tcPr>
          <w:p>
            <w:pPr>
              <w:spacing w:after="0"/>
            </w:pPr>
            <w:r>
              <w:rPr>
                <w:rFonts w:ascii="Arial" w:hAnsi="Arial"/>
                <w:b/>
                <w:sz w:val="14"/>
              </w:rPr>
              <w:t>Forbidden Wording</w:t>
            </w:r>
          </w:p>
        </w:tc>
      </w:tr>
      <w:tr>
        <w:tc>
          <w:tcPr>
            <w:tcW w:type="dxa" w:w="3408"/>
          </w:tcPr>
          <w:p>
            <w:pPr>
              <w:spacing w:after="0"/>
            </w:pPr>
            <w:r>
              <w:rPr>
                <w:rFonts w:ascii="Arial" w:hAnsi="Arial"/>
                <w:b w:val="0"/>
                <w:sz w:val="14"/>
              </w:rPr>
              <w:t>Legal</w:t>
            </w:r>
          </w:p>
        </w:tc>
        <w:tc>
          <w:tcPr>
            <w:tcW w:type="dxa" w:w="3408"/>
          </w:tcPr>
          <w:p>
            <w:pPr>
              <w:spacing w:after="0"/>
            </w:pPr>
            <w:r>
              <w:rPr>
                <w:rFonts w:ascii="Arial" w:hAnsi="Arial"/>
                <w:b w:val="0"/>
                <w:sz w:val="14"/>
              </w:rPr>
              <w:t>"This framework may help inform compliance analysis" / "Legal compliance requires professional legal judgment"</w:t>
            </w:r>
          </w:p>
        </w:tc>
        <w:tc>
          <w:tcPr>
            <w:tcW w:type="dxa" w:w="3408"/>
          </w:tcPr>
          <w:p>
            <w:pPr>
              <w:spacing w:after="0"/>
            </w:pPr>
            <w:r>
              <w:rPr>
                <w:rFonts w:ascii="Arial" w:hAnsi="Arial"/>
                <w:b w:val="0"/>
                <w:sz w:val="14"/>
              </w:rPr>
              <w:t>"Regulator-approved" / "Certified compliant" / "Guarantees legal compliance" / "Official legal standard"</w:t>
            </w:r>
          </w:p>
        </w:tc>
      </w:tr>
      <w:tr>
        <w:tc>
          <w:tcPr>
            <w:tcW w:type="dxa" w:w="3408"/>
          </w:tcPr>
          <w:p>
            <w:pPr>
              <w:spacing w:after="0"/>
            </w:pPr>
            <w:r>
              <w:rPr>
                <w:rFonts w:ascii="Arial" w:hAnsi="Arial"/>
                <w:b w:val="0"/>
                <w:sz w:val="14"/>
              </w:rPr>
              <w:t>Audit / Assurance</w:t>
            </w:r>
          </w:p>
        </w:tc>
        <w:tc>
          <w:tcPr>
            <w:tcW w:type="dxa" w:w="3408"/>
          </w:tcPr>
          <w:p>
            <w:pPr>
              <w:spacing w:after="0"/>
            </w:pPr>
            <w:r>
              <w:rPr>
                <w:rFonts w:ascii="Arial" w:hAnsi="Arial"/>
                <w:b w:val="0"/>
                <w:sz w:val="14"/>
              </w:rPr>
              <w:t>"This framework provides audit readiness inputs" / "Audit opinions require professional audit judgment"</w:t>
            </w:r>
          </w:p>
        </w:tc>
        <w:tc>
          <w:tcPr>
            <w:tcW w:type="dxa" w:w="3408"/>
          </w:tcPr>
          <w:p>
            <w:pPr>
              <w:spacing w:after="0"/>
            </w:pPr>
            <w:r>
              <w:rPr>
                <w:rFonts w:ascii="Arial" w:hAnsi="Arial"/>
                <w:b w:val="0"/>
                <w:sz w:val="14"/>
              </w:rPr>
              <w:t>"Certifies audit compliance" / "Issues audit opinions" / "Replaces internal audit" / "Guaranteed audit-ready"</w:t>
            </w:r>
          </w:p>
        </w:tc>
      </w:tr>
      <w:tr>
        <w:tc>
          <w:tcPr>
            <w:tcW w:type="dxa" w:w="3408"/>
          </w:tcPr>
          <w:p>
            <w:pPr>
              <w:spacing w:after="0"/>
            </w:pPr>
            <w:r>
              <w:rPr>
                <w:rFonts w:ascii="Arial" w:hAnsi="Arial"/>
                <w:b w:val="0"/>
                <w:sz w:val="14"/>
              </w:rPr>
              <w:t>Insurance</w:t>
            </w:r>
          </w:p>
        </w:tc>
        <w:tc>
          <w:tcPr>
            <w:tcW w:type="dxa" w:w="3408"/>
          </w:tcPr>
          <w:p>
            <w:pPr>
              <w:spacing w:after="0"/>
            </w:pPr>
            <w:r>
              <w:rPr>
                <w:rFonts w:ascii="Arial" w:hAnsi="Arial"/>
                <w:b w:val="0"/>
                <w:sz w:val="14"/>
              </w:rPr>
              <w:t>"This framework may inform insurability analysis" / "Underwriting requires professional insurance judgment"</w:t>
            </w:r>
          </w:p>
        </w:tc>
        <w:tc>
          <w:tcPr>
            <w:tcW w:type="dxa" w:w="3408"/>
          </w:tcPr>
          <w:p>
            <w:pPr>
              <w:spacing w:after="0"/>
            </w:pPr>
            <w:r>
              <w:rPr>
                <w:rFonts w:ascii="Arial" w:hAnsi="Arial"/>
                <w:b w:val="0"/>
                <w:sz w:val="14"/>
              </w:rPr>
              <w:t>"Guaranteed insurable" / "Sets premiums" / "Defines policy wording" / "Replaces underwriting judgment"</w:t>
            </w:r>
          </w:p>
        </w:tc>
      </w:tr>
      <w:tr>
        <w:tc>
          <w:tcPr>
            <w:tcW w:type="dxa" w:w="3408"/>
          </w:tcPr>
          <w:p>
            <w:pPr>
              <w:spacing w:after="0"/>
            </w:pPr>
            <w:r>
              <w:rPr>
                <w:rFonts w:ascii="Arial" w:hAnsi="Arial"/>
                <w:b w:val="0"/>
                <w:sz w:val="14"/>
              </w:rPr>
              <w:t>RCCS / ALCS</w:t>
            </w:r>
          </w:p>
        </w:tc>
        <w:tc>
          <w:tcPr>
            <w:tcW w:type="dxa" w:w="3408"/>
          </w:tcPr>
          <w:p>
            <w:pPr>
              <w:spacing w:after="0"/>
            </w:pPr>
            <w:r>
              <w:rPr>
                <w:rFonts w:ascii="Arial" w:hAnsi="Arial"/>
                <w:b w:val="0"/>
                <w:sz w:val="14"/>
              </w:rPr>
              <w:t>"Analytical frameworks for risk assessment" / "Structured inputs for professional judgment"</w:t>
            </w:r>
          </w:p>
        </w:tc>
        <w:tc>
          <w:tcPr>
            <w:tcW w:type="dxa" w:w="3408"/>
          </w:tcPr>
          <w:p>
            <w:pPr>
              <w:spacing w:after="0"/>
            </w:pPr>
            <w:r>
              <w:rPr>
                <w:rFonts w:ascii="Arial" w:hAnsi="Arial"/>
                <w:b w:val="0"/>
                <w:sz w:val="14"/>
              </w:rPr>
              <w:t>"Legal compliance scores" / "Certification scores" / "Guarantees compliance" / "The only scoring method"</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"One example of lifecycle protocol implementation" / "Not required for compliance"</w:t>
            </w:r>
          </w:p>
        </w:tc>
        <w:tc>
          <w:tcPr>
            <w:tcW w:type="dxa" w:w="3408"/>
          </w:tcPr>
          <w:p>
            <w:pPr>
              <w:spacing w:after="0"/>
            </w:pPr>
            <w:r>
              <w:rPr>
                <w:rFonts w:ascii="Arial" w:hAnsi="Arial"/>
                <w:b w:val="0"/>
                <w:sz w:val="14"/>
              </w:rPr>
              <w:t>"Required for compliance" / "The only solution" / "Official standard" / "Regulator-mandated"</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"Non-certifying evidence adjudication example" / "One approach to privacy-preserving validation"</w:t>
            </w:r>
          </w:p>
        </w:tc>
        <w:tc>
          <w:tcPr>
            <w:tcW w:type="dxa" w:w="3408"/>
          </w:tcPr>
          <w:p>
            <w:pPr>
              <w:spacing w:after="0"/>
            </w:pPr>
            <w:r>
              <w:rPr>
                <w:rFonts w:ascii="Arial" w:hAnsi="Arial"/>
                <w:b w:val="0"/>
                <w:sz w:val="14"/>
              </w:rPr>
              <w:t>"Certification authority" / "Certifies compliance" / "Required for compliance" / "Regulator-approved" / "Official validator"</w:t>
            </w:r>
          </w:p>
        </w:tc>
      </w:tr>
      <w:tr>
        <w:tc>
          <w:tcPr>
            <w:tcW w:type="dxa" w:w="3408"/>
          </w:tcPr>
          <w:p>
            <w:pPr>
              <w:spacing w:after="0"/>
            </w:pPr>
            <w:r>
              <w:rPr>
                <w:rFonts w:ascii="Arial" w:hAnsi="Arial"/>
                <w:b w:val="0"/>
                <w:sz w:val="14"/>
              </w:rPr>
              <w:t>System Mapping</w:t>
            </w:r>
          </w:p>
        </w:tc>
        <w:tc>
          <w:tcPr>
            <w:tcW w:type="dxa" w:w="3408"/>
          </w:tcPr>
          <w:p>
            <w:pPr>
              <w:spacing w:after="0"/>
            </w:pPr>
            <w:r>
              <w:rPr>
                <w:rFonts w:ascii="Arial" w:hAnsi="Arial"/>
                <w:b w:val="0"/>
                <w:sz w:val="14"/>
              </w:rPr>
              <w:t>"Comparative analysis of lifecycle conformance strength" / "Not endorsements or certifications"</w:t>
            </w:r>
          </w:p>
        </w:tc>
        <w:tc>
          <w:tcPr>
            <w:tcW w:type="dxa" w:w="3408"/>
          </w:tcPr>
          <w:p>
            <w:pPr>
              <w:spacing w:after="0"/>
            </w:pPr>
            <w:r>
              <w:rPr>
                <w:rFonts w:ascii="Arial" w:hAnsi="Arial"/>
                <w:b w:val="0"/>
                <w:sz w:val="14"/>
              </w:rPr>
              <w:t>"Certified systems" / "Approved vendors" / "Guaranteed compliant" / "Official rankings"</w:t>
            </w:r>
          </w:p>
        </w:tc>
      </w:tr>
    </w:tbl>
    <w:p>
      <w:pPr>
        <w:spacing w:after="56"/>
      </w:pPr>
      <w:r>
        <w:t>Interpretation Guidance:</w:t>
      </w:r>
    </w:p>
    <w:p>
      <w:pPr>
        <w:spacing w:after="56"/>
      </w:pPr>
      <w:r>
        <w:t>When interpreting this white paper, readers should understand that:</w:t>
      </w:r>
    </w:p>
    <w:p>
      <w:pPr>
        <w:pStyle w:val="ListNumber"/>
        <w:spacing w:after="56"/>
      </w:pPr>
      <w:r>
        <w:t>Framework, not mandate: This white paper defines a governance framework. It does not mandate specific implementations, vendors, or methods.</w:t>
      </w:r>
    </w:p>
    <w:p>
      <w:pPr>
        <w:pStyle w:val="ListNumber"/>
        <w:spacing w:after="56"/>
      </w:pPr>
      <w:r>
        <w:t>Inputs, not conclusions: RCCS, ALCS, MROs, and system mappings provide structured inputs for professional judgment. They do not replace legal, audit, insurance, actuarial, or procurement judgment.</w:t>
      </w:r>
    </w:p>
    <w:p>
      <w:pPr>
        <w:pStyle w:val="ListNumber"/>
        <w:spacing w:after="56"/>
      </w:pPr>
      <w:r>
        <w:t>Examples, not requirements: MPLP and Validation Lab are examples of how lifecycle governance could be implemented. They are not required for compliance. Other approaches may be equally valid.</w:t>
      </w:r>
    </w:p>
    <w:p>
      <w:pPr>
        <w:pStyle w:val="ListNumber"/>
        <w:spacing w:after="56"/>
      </w:pPr>
      <w:r>
        <w:t>Analysis, not certification: System mappings and comparative field positioning are analytical tools. They are not endorsements, certifications, or vendor recommendations.</w:t>
      </w:r>
    </w:p>
    <w:p>
      <w:pPr>
        <w:pStyle w:val="ListNumber"/>
        <w:spacing w:after="56"/>
      </w:pPr>
      <w:r>
        <w:t>Disclosure, not guarantee: Evidence levels (L1-L5) disclose the basis for claims. L5 (author inference) does not guarantee accuracy. Professional judgment is required to evaluate all claims.</w:t>
      </w:r>
    </w:p>
    <w:p>
      <w:pPr>
        <w:pStyle w:val="Heading2"/>
      </w:pPr>
      <w:r>
        <w:t>16.6 Bridge to Adoption Roadmap</w:t>
      </w:r>
    </w:p>
    <w:p>
      <w:pPr>
        <w:spacing w:after="56"/>
      </w:pPr>
      <w:r>
        <w:t>The companion-paper boundary clarifies adoption sequencing for enterprises, auditors, insurers, and regulators evaluating agentic systems.</w:t>
      </w:r>
    </w:p>
    <w:p>
      <w:pPr>
        <w:spacing w:after="56"/>
      </w:pPr>
      <w:r>
        <w:t>Recommended Adoption Sequence:</w:t>
      </w:r>
    </w:p>
    <w:p>
      <w:pPr>
        <w:pStyle w:val="ListNumber"/>
        <w:spacing w:after="56"/>
      </w:pPr>
      <w:r>
        <w:t>Use the main white paper to understand the AI Agent Lifecycle Governance primary framework layer, Missing Regulatory Objects, RCCS/ALCS scoring, enterprise control crosswalk, and system positioning. This provides the conceptual foundation and framework-entry understanding.</w:t>
      </w:r>
    </w:p>
    <w:p>
      <w:pPr>
        <w:pStyle w:val="ListNumber"/>
        <w:spacing w:after="56"/>
      </w:pPr>
      <w:r>
        <w:t>Use the Evidence &amp; Assurance companion paper (when published) for audit readiness, control testing methodology, evidence sufficiency analysis, attestation preparation, and privacy-preserving validation procedures. This provides the assurance methodology layer.</w:t>
      </w:r>
    </w:p>
    <w:p>
      <w:pPr>
        <w:pStyle w:val="ListNumber"/>
        <w:spacing w:after="56"/>
      </w:pPr>
      <w:r>
        <w:t>Use the Insurability companion paper (when published) for risk classification, loss attribution analysis, claim replay evidence preparation, premium differentiation understanding, and coverage boundary analysis. This provides the risk transfer and insurability layer.</w:t>
      </w:r>
    </w:p>
    <w:p>
      <w:pPr>
        <w:pStyle w:val="ListNumber"/>
        <w:spacing w:after="56"/>
      </w:pPr>
      <w:r>
        <w:t>Use industry briefs (when published) for sector-specific operationalization in accounting, insurance, banking, healthcare, legal, and other regulated enterprise applications. This provides the industry-specific implementation layer.</w:t>
      </w:r>
    </w:p>
    <w:p>
      <w:pPr>
        <w:spacing w:after="56"/>
      </w:pPr>
      <w:r>
        <w:t>Why This Sequence Matters:</w:t>
      </w:r>
    </w:p>
    <w:p>
      <w:pPr>
        <w:spacing w:after="56"/>
      </w:pPr>
      <w:r>
        <w:t>The main white paper defines the primary governance framework. Without understanding MROs, RCCS, ALCS, and lifecycle conformance, the assurance and insurability methodologies would not make sense. The companion papers build on the main framework. They do not replace it.</w:t>
      </w:r>
    </w:p>
    <w:p>
      <w:pPr>
        <w:spacing w:after="56"/>
      </w:pPr>
      <w:r>
        <w:t>Enterprises that attempt to implement audit procedures or insurance analysis without understanding the lifecycle governance foundation will struggle with scope confusion, evidence gaps, and control misalignment. The adoption sequence ensures that governance, assurance, and insurability are addressed in the correct order.</w:t>
      </w:r>
    </w:p>
    <w:p>
      <w:pPr>
        <w:spacing w:after="56"/>
      </w:pPr>
      <w:r>
        <w:t>Bridge to Chapter 17:</w:t>
      </w:r>
    </w:p>
    <w:p>
      <w:pPr>
        <w:spacing w:after="56"/>
      </w:pPr>
      <w:r>
        <w:t>Chapter 17 defines the adoption roadmap in detail, including enterprise adoption pathways, regulatory engagement strategies, industry brief development, and global rollout sequencing. The companion-paper boundary established in this chapter ensures that the adoption roadmap can clearly distinguish between framework adoption, assurance methodology adoption, and insurability analysis adoption.</w:t>
      </w:r>
    </w:p>
    <w:p>
      <w:pPr>
        <w:spacing w:after="56"/>
      </w:pPr>
      <w:r>
        <w:t>The boundary also ensures that adoption recommendations do not overreach into legal, audit, insurance, or procurement conclusions. Chapter 17 provides adoption guidance, not adoption mandates. It clarifies that adoption pathways depend on enterprise context, regulatory jurisdiction, industry sector, and risk appetite, not only on lifecycle conformance scores.</w:t>
      </w:r>
    </w:p>
    <w:p>
      <w:pPr>
        <w:spacing w:after="56"/>
      </w:pPr>
      <w:r>
        <w:t>Figure F-10 - Companion Paper Boundary Map</w:t>
      </w:r>
    </w:p>
    <w:p>
      <w:pPr>
        <w:spacing w:after="56"/>
      </w:pPr>
      <w:r>
        <w:t>Main White Paper -&gt; Evidence &amp; Assurance Companion -&gt; Insurability Companion -&gt; Later Industry Briefs</w:t>
      </w:r>
    </w:p>
    <w:p>
      <w:pPr>
        <w:spacing w:after="56"/>
      </w:pPr>
      <w:r>
        <w:t>Figure F-10 shows the publication boundary between the main framework document, planned companion papers, and later industry briefs. The figure is a scope map, not a publication guarantee, certification pathway, or claim that companion papers are already complete.</w:t>
      </w:r>
    </w:p>
    <w:p>
      <w:pPr>
        <w:pStyle w:val="Heading1"/>
      </w:pPr>
      <w:r>
        <w:t>17. Adoption Roadmap for AI Agent Lifecycle Governance</w:t>
      </w:r>
    </w:p>
    <w:p>
      <w:pPr>
        <w:spacing w:after="56"/>
      </w:pPr>
      <w:r>
        <w:t>Version: v0.3.2-FRC-R3</w:t>
      </w:r>
    </w:p>
    <w:p>
      <w:pPr>
        <w:pStyle w:val="Heading2"/>
      </w:pPr>
      <w:r>
        <w:t>17.0 Why Adoption Roadmap Matters</w:t>
      </w:r>
    </w:p>
    <w:p>
      <w:pPr>
        <w:spacing w:after="56"/>
      </w:pPr>
      <w:r>
        <w:t>AI Agent Lifecycle Governance is not a theoretical framework. It is a practical necessity for enterprises deploying agentic AI systems. The previous chapters have defined the missing layer (Chapter 2), identified the sixteen Missing Regulatory Objects (Chapter 6), introduced RCCS and ALCS as analytical frameworks (Chapters 7-8), mapped existing systems (Chapters 11-12), examined evidence-based validation patterns (Chapter 14), and demonstrated enterprise failure scenarios (Chapter 15).</w:t>
      </w:r>
    </w:p>
    <w:p>
      <w:pPr>
        <w:spacing w:after="56"/>
      </w:pPr>
      <w:r>
        <w:t>This chapter translates the framework into an enterprise adoption roadmap. The roadmap is designed for enterprises that recognize the lifecycle governance gap and want to operationalize lifecycle responsibility objects before scaling autonomous or multi-agent workflows.</w:t>
      </w:r>
    </w:p>
    <w:p>
      <w:pPr>
        <w:spacing w:after="56"/>
      </w:pPr>
      <w:r>
        <w:t>The roadmap is not a procurement guide, certification checklist, or legal compliance procedure. It is a staged adoption path that helps enterprises:</w:t>
      </w:r>
    </w:p>
    <w:p>
      <w:pPr>
        <w:pStyle w:val="ListBullet"/>
        <w:spacing w:after="56"/>
      </w:pPr>
      <w:r>
        <w:t>Inventory agentic behavior and identify lifecycle governance gaps</w:t>
      </w:r>
    </w:p>
    <w:p>
      <w:pPr>
        <w:pStyle w:val="ListBullet"/>
        <w:spacing w:after="56"/>
      </w:pPr>
      <w:r>
        <w:t>Define delegated authority boundaries and human-role-to-MAS responsibility mappings</w:t>
      </w:r>
    </w:p>
    <w:p>
      <w:pPr>
        <w:pStyle w:val="ListBullet"/>
        <w:spacing w:after="56"/>
      </w:pPr>
      <w:r>
        <w:t>Convert orchestration logs into partitioned evidence chains</w:t>
      </w:r>
    </w:p>
    <w:p>
      <w:pPr>
        <w:pStyle w:val="ListBullet"/>
        <w:spacing w:after="56"/>
      </w:pPr>
      <w:r>
        <w:t>Map privacy and data subject rights across lifecycle surfaces</w:t>
      </w:r>
    </w:p>
    <w:p>
      <w:pPr>
        <w:pStyle w:val="ListBullet"/>
        <w:spacing w:after="56"/>
      </w:pPr>
      <w:r>
        <w:t>Prepare for evidence-based validation and qualified review</w:t>
      </w:r>
    </w:p>
    <w:p>
      <w:pPr>
        <w:pStyle w:val="ListBullet"/>
        <w:spacing w:after="56"/>
      </w:pPr>
      <w:r>
        <w:t>Operationalize incident, dispute, and remediation closure workflows</w:t>
      </w:r>
    </w:p>
    <w:p>
      <w:pPr>
        <w:pStyle w:val="ListBullet"/>
        <w:spacing w:after="56"/>
      </w:pPr>
      <w:r>
        <w:t>Scale lifecycle governance through integration with existing enterprise controls</w:t>
      </w:r>
    </w:p>
    <w:p>
      <w:pPr>
        <w:spacing w:after="56"/>
      </w:pPr>
      <w:r>
        <w:t>The goal is not to claim that lifecycle governance eliminates all risk. The goal is to provide a practical path for enterprises to address the lifecycle governance gap identified in this white paper.</w:t>
      </w:r>
    </w:p>
    <w:p>
      <w:pPr>
        <w:spacing w:after="56"/>
      </w:pPr>
      <w:r>
        <w:t>Figure F-11 - Stage 0-to-7 Adoption Roadmap</w:t>
      </w:r>
    </w:p>
    <w:p>
      <w:pPr>
        <w:spacing w:after="56"/>
      </w:pPr>
      <w:r>
        <w:t>Stage 0 Inventory -&gt; Stage 1 Authority -&gt; Stage 2 Responsibility -&gt; Stage 3 Evidence -&gt; Stage 4 Privacy -&gt; Stage 5 Validation -&gt; Stage 6 Remediation -&gt; Stage 7 Scale</w:t>
      </w:r>
    </w:p>
    <w:p>
      <w:pPr>
        <w:spacing w:after="56"/>
      </w:pPr>
      <w:r>
        <w:t>Figure F-11 summarizes a staged adoption path for lifecycle governance. It is an implementation planning aid, not a procurement mandate, certification checklist, legal compliance procedure, or deployment-readiness guarantee.</w:t>
      </w:r>
    </w:p>
    <w:p>
      <w:pPr>
        <w:pStyle w:val="Heading2"/>
      </w:pPr>
      <w:r>
        <w:t>17.1 Maturity Assessment and Gap Analysis</w:t>
      </w:r>
    </w:p>
    <w:p>
      <w:pPr>
        <w:spacing w:after="56"/>
      </w:pPr>
      <w:r>
        <w:t>Enterprises should begin adoption with a maturity assessment to understand their current lifecycle governance capability and identify gaps. The following table defines five maturity levels.</w:t>
      </w:r>
    </w:p>
    <w:p>
      <w:pPr>
        <w:keepNext/>
      </w:pPr>
      <w:r>
        <w:rPr>
          <w:b/>
          <w:sz w:val="16"/>
        </w:rPr>
        <w:t>Table T-17-01: Adoption Maturity Levels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Enterprise State</w:t>
            </w:r>
          </w:p>
        </w:tc>
        <w:tc>
          <w:tcPr>
            <w:tcW w:type="dxa" w:w="2045"/>
          </w:tcPr>
          <w:p>
            <w:pPr>
              <w:spacing w:after="0"/>
            </w:pPr>
            <w:r>
              <w:rPr>
                <w:rFonts w:ascii="Arial" w:hAnsi="Arial"/>
                <w:b/>
                <w:sz w:val="14"/>
              </w:rPr>
              <w:t>Lifecycle Governance Capability</w:t>
            </w:r>
          </w:p>
        </w:tc>
        <w:tc>
          <w:tcPr>
            <w:tcW w:type="dxa" w:w="2045"/>
          </w:tcPr>
          <w:p>
            <w:pPr>
              <w:spacing w:after="0"/>
            </w:pPr>
            <w:r>
              <w:rPr>
                <w:rFonts w:ascii="Arial" w:hAnsi="Arial"/>
                <w:b/>
                <w:sz w:val="14"/>
              </w:rPr>
              <w:t>Typical Gap</w:t>
            </w:r>
          </w:p>
        </w:tc>
        <w:tc>
          <w:tcPr>
            <w:tcW w:type="dxa" w:w="2045"/>
          </w:tcPr>
          <w:p>
            <w:pPr>
              <w:spacing w:after="0"/>
            </w:pPr>
            <w:r>
              <w:rPr>
                <w:rFonts w:ascii="Arial" w:hAnsi="Arial"/>
                <w:b/>
                <w:sz w:val="14"/>
              </w:rPr>
              <w:t>Recommended Next Step</w:t>
            </w:r>
          </w:p>
        </w:tc>
      </w:tr>
      <w:tr>
        <w:tc>
          <w:tcPr>
            <w:tcW w:type="dxa" w:w="2045"/>
          </w:tcPr>
          <w:p>
            <w:pPr>
              <w:spacing w:after="0"/>
            </w:pPr>
            <w:r>
              <w:rPr>
                <w:rFonts w:ascii="Arial" w:hAnsi="Arial"/>
                <w:b w:val="0"/>
                <w:sz w:val="14"/>
              </w:rPr>
              <w:t>Level 0: Unaware</w:t>
            </w:r>
          </w:p>
        </w:tc>
        <w:tc>
          <w:tcPr>
            <w:tcW w:type="dxa" w:w="2045"/>
          </w:tcPr>
          <w:p>
            <w:pPr>
              <w:spacing w:after="0"/>
            </w:pPr>
            <w:r>
              <w:rPr>
                <w:rFonts w:ascii="Arial" w:hAnsi="Arial"/>
                <w:b w:val="0"/>
                <w:sz w:val="14"/>
              </w:rPr>
              <w:t>Agentic AI systems deployed; no lifecycle governance awareness; model governance assumed sufficient</w:t>
            </w:r>
          </w:p>
        </w:tc>
        <w:tc>
          <w:tcPr>
            <w:tcW w:type="dxa" w:w="2045"/>
          </w:tcPr>
          <w:p>
            <w:pPr>
              <w:spacing w:after="0"/>
            </w:pPr>
            <w:r>
              <w:rPr>
                <w:rFonts w:ascii="Arial" w:hAnsi="Arial"/>
                <w:b w:val="0"/>
                <w:sz w:val="14"/>
              </w:rPr>
              <w:t>No lifecycle responsibility objects; no authority boundaries; no accepted outcome compliance; no evidence partitioning</w:t>
            </w:r>
          </w:p>
        </w:tc>
        <w:tc>
          <w:tcPr>
            <w:tcW w:type="dxa" w:w="2045"/>
          </w:tcPr>
          <w:p>
            <w:pPr>
              <w:spacing w:after="0"/>
            </w:pPr>
            <w:r>
              <w:rPr>
                <w:rFonts w:ascii="Arial" w:hAnsi="Arial"/>
                <w:b w:val="0"/>
                <w:sz w:val="14"/>
              </w:rPr>
              <w:t>Execution logs exist but cannot reconstruct authority, plan, confirmation, tool action, and accepted outcome; no responsible human role for agent outcomes; no evidence-based validation capability</w:t>
            </w:r>
          </w:p>
        </w:tc>
        <w:tc>
          <w:tcPr>
            <w:tcW w:type="dxa" w:w="2045"/>
          </w:tcPr>
          <w:p>
            <w:pPr>
              <w:spacing w:after="0"/>
            </w:pPr>
            <w:r>
              <w:rPr>
                <w:rFonts w:ascii="Arial" w:hAnsi="Arial"/>
                <w:b w:val="0"/>
                <w:sz w:val="14"/>
              </w:rPr>
              <w:t>Inventory agentic behavior; identify where agents make decisions, use tools, or hand off work; assess whether model governance covers lifecycle responsibility</w:t>
            </w:r>
          </w:p>
        </w:tc>
      </w:tr>
      <w:tr>
        <w:tc>
          <w:tcPr>
            <w:tcW w:type="dxa" w:w="2045"/>
          </w:tcPr>
          <w:p>
            <w:pPr>
              <w:spacing w:after="0"/>
            </w:pPr>
            <w:r>
              <w:rPr>
                <w:rFonts w:ascii="Arial" w:hAnsi="Arial"/>
                <w:b w:val="0"/>
                <w:sz w:val="14"/>
              </w:rPr>
              <w:t>Level 1: Aware</w:t>
            </w:r>
          </w:p>
        </w:tc>
        <w:tc>
          <w:tcPr>
            <w:tcW w:type="dxa" w:w="2045"/>
          </w:tcPr>
          <w:p>
            <w:pPr>
              <w:spacing w:after="0"/>
            </w:pPr>
            <w:r>
              <w:rPr>
                <w:rFonts w:ascii="Arial" w:hAnsi="Arial"/>
                <w:b w:val="0"/>
                <w:sz w:val="14"/>
              </w:rPr>
              <w:t>Lifecycle governance gap recognized; pilot projects identified; governance team assigned</w:t>
            </w:r>
          </w:p>
        </w:tc>
        <w:tc>
          <w:tcPr>
            <w:tcW w:type="dxa" w:w="2045"/>
          </w:tcPr>
          <w:p>
            <w:pPr>
              <w:spacing w:after="0"/>
            </w:pPr>
            <w:r>
              <w:rPr>
                <w:rFonts w:ascii="Arial" w:hAnsi="Arial"/>
                <w:b w:val="0"/>
                <w:sz w:val="14"/>
              </w:rPr>
              <w:t>Basic lifecycle inventory; some authority boundaries documented; human oversight exists but not mapped to MAS responsibilities</w:t>
            </w:r>
          </w:p>
        </w:tc>
        <w:tc>
          <w:tcPr>
            <w:tcW w:type="dxa" w:w="2045"/>
          </w:tcPr>
          <w:p>
            <w:pPr>
              <w:spacing w:after="0"/>
            </w:pPr>
            <w:r>
              <w:rPr>
                <w:rFonts w:ascii="Arial" w:hAnsi="Arial"/>
                <w:b w:val="0"/>
                <w:sz w:val="14"/>
              </w:rPr>
              <w:t>Authority boundaries are implicit or undocumented; human oversight is ad-hoc; evidence chains are incomplete; no privacy-preserving validation capability</w:t>
            </w:r>
          </w:p>
        </w:tc>
        <w:tc>
          <w:tcPr>
            <w:tcW w:type="dxa" w:w="2045"/>
          </w:tcPr>
          <w:p>
            <w:pPr>
              <w:spacing w:after="0"/>
            </w:pPr>
            <w:r>
              <w:rPr>
                <w:rFonts w:ascii="Arial" w:hAnsi="Arial"/>
                <w:b w:val="0"/>
                <w:sz w:val="14"/>
              </w:rPr>
              <w:t>Define delegated authority boundaries for pilot projects; map human roles to MAS responsibilities; document accepted outcome compliance workflow</w:t>
            </w:r>
          </w:p>
        </w:tc>
      </w:tr>
      <w:tr>
        <w:tc>
          <w:tcPr>
            <w:tcW w:type="dxa" w:w="2045"/>
          </w:tcPr>
          <w:p>
            <w:pPr>
              <w:spacing w:after="0"/>
            </w:pPr>
            <w:r>
              <w:rPr>
                <w:rFonts w:ascii="Arial" w:hAnsi="Arial"/>
                <w:b w:val="0"/>
                <w:sz w:val="14"/>
              </w:rPr>
              <w:t>Level 2: Pilot</w:t>
            </w:r>
          </w:p>
        </w:tc>
        <w:tc>
          <w:tcPr>
            <w:tcW w:type="dxa" w:w="2045"/>
          </w:tcPr>
          <w:p>
            <w:pPr>
              <w:spacing w:after="0"/>
            </w:pPr>
            <w:r>
              <w:rPr>
                <w:rFonts w:ascii="Arial" w:hAnsi="Arial"/>
                <w:b w:val="0"/>
                <w:sz w:val="14"/>
              </w:rPr>
              <w:t>Pilot projects operationalize lifecycle responsibility objects; evidence chains exist for pilot scope; authority boundaries enforced</w:t>
            </w:r>
          </w:p>
        </w:tc>
        <w:tc>
          <w:tcPr>
            <w:tcW w:type="dxa" w:w="2045"/>
          </w:tcPr>
          <w:p>
            <w:pPr>
              <w:spacing w:after="0"/>
            </w:pPr>
            <w:r>
              <w:rPr>
                <w:rFonts w:ascii="Arial" w:hAnsi="Arial"/>
                <w:b w:val="0"/>
                <w:sz w:val="14"/>
              </w:rPr>
              <w:t>Delegated authority boundaries defined; human-role-to-MAS responsibility mapping exists; accepted outcome compliance workflow operational; evidence partitioning implemented for pilot scope</w:t>
            </w:r>
          </w:p>
        </w:tc>
        <w:tc>
          <w:tcPr>
            <w:tcW w:type="dxa" w:w="2045"/>
          </w:tcPr>
          <w:p>
            <w:pPr>
              <w:spacing w:after="0"/>
            </w:pPr>
            <w:r>
              <w:rPr>
                <w:rFonts w:ascii="Arial" w:hAnsi="Arial"/>
                <w:b w:val="0"/>
                <w:sz w:val="14"/>
              </w:rPr>
              <w:t>Pilot scope is limited; lifecycle governance not integrated with existing enterprise controls; no cross-project reuse compliance; no vendor/runtime substitution conformance</w:t>
            </w:r>
          </w:p>
        </w:tc>
        <w:tc>
          <w:tcPr>
            <w:tcW w:type="dxa" w:w="2045"/>
          </w:tcPr>
          <w:p>
            <w:pPr>
              <w:spacing w:after="0"/>
            </w:pPr>
            <w:r>
              <w:rPr>
                <w:rFonts w:ascii="Arial" w:hAnsi="Arial"/>
                <w:b w:val="0"/>
                <w:sz w:val="14"/>
              </w:rPr>
              <w:t>Integrate lifecycle governance with existing enterprise controls (audit, privacy, security, procurement); extend evidence partitioning beyond pilot scope; implement cross-project reuse compliance</w:t>
            </w:r>
          </w:p>
        </w:tc>
      </w:tr>
      <w:tr>
        <w:tc>
          <w:tcPr>
            <w:tcW w:type="dxa" w:w="2045"/>
          </w:tcPr>
          <w:p>
            <w:pPr>
              <w:spacing w:after="0"/>
            </w:pPr>
            <w:r>
              <w:rPr>
                <w:rFonts w:ascii="Arial" w:hAnsi="Arial"/>
                <w:b w:val="0"/>
                <w:sz w:val="14"/>
              </w:rPr>
              <w:t>Level 3: Integrated</w:t>
            </w:r>
          </w:p>
        </w:tc>
        <w:tc>
          <w:tcPr>
            <w:tcW w:type="dxa" w:w="2045"/>
          </w:tcPr>
          <w:p>
            <w:pPr>
              <w:spacing w:after="0"/>
            </w:pPr>
            <w:r>
              <w:rPr>
                <w:rFonts w:ascii="Arial" w:hAnsi="Arial"/>
                <w:b w:val="0"/>
                <w:sz w:val="14"/>
              </w:rPr>
              <w:t>Lifecycle governance integrated with existing enterprise controls; evidence-based validation capability operational; privacy-preserving validation protocol implemented</w:t>
            </w:r>
          </w:p>
        </w:tc>
        <w:tc>
          <w:tcPr>
            <w:tcW w:type="dxa" w:w="2045"/>
          </w:tcPr>
          <w:p>
            <w:pPr>
              <w:spacing w:after="0"/>
            </w:pPr>
            <w:r>
              <w:rPr>
                <w:rFonts w:ascii="Arial" w:hAnsi="Arial"/>
                <w:b w:val="0"/>
                <w:sz w:val="14"/>
              </w:rPr>
              <w:t>Evidence partitioning operational; privacy-preserving validation protocol implemented; cross-project reuse compliance enforced; vendor/runtime substitution conformance validated</w:t>
            </w:r>
          </w:p>
        </w:tc>
        <w:tc>
          <w:tcPr>
            <w:tcW w:type="dxa" w:w="2045"/>
          </w:tcPr>
          <w:p>
            <w:pPr>
              <w:spacing w:after="0"/>
            </w:pPr>
            <w:r>
              <w:rPr>
                <w:rFonts w:ascii="Arial" w:hAnsi="Arial"/>
                <w:b w:val="0"/>
                <w:sz w:val="14"/>
              </w:rPr>
              <w:t>Lifecycle governance not yet scaled to all agentic workflows; incident/dispute/remediation closure workflow exists but not fully operationalized; continuous improvement not yet systematic</w:t>
            </w:r>
          </w:p>
        </w:tc>
        <w:tc>
          <w:tcPr>
            <w:tcW w:type="dxa" w:w="2045"/>
          </w:tcPr>
          <w:p>
            <w:pPr>
              <w:spacing w:after="0"/>
            </w:pPr>
            <w:r>
              <w:rPr>
                <w:rFonts w:ascii="Arial" w:hAnsi="Arial"/>
                <w:b w:val="0"/>
                <w:sz w:val="14"/>
              </w:rPr>
              <w:t>Scale lifecycle governance to all agentic workflows; operationalize incident/dispute/remediation closure workflow; implement continuous improvement and monitoring</w:t>
            </w:r>
          </w:p>
        </w:tc>
      </w:tr>
      <w:tr>
        <w:tc>
          <w:tcPr>
            <w:tcW w:type="dxa" w:w="2045"/>
          </w:tcPr>
          <w:p>
            <w:pPr>
              <w:spacing w:after="0"/>
            </w:pPr>
            <w:r>
              <w:rPr>
                <w:rFonts w:ascii="Arial" w:hAnsi="Arial"/>
                <w:b w:val="0"/>
                <w:sz w:val="14"/>
              </w:rPr>
              <w:t>Level 4: Scaled</w:t>
            </w:r>
          </w:p>
        </w:tc>
        <w:tc>
          <w:tcPr>
            <w:tcW w:type="dxa" w:w="2045"/>
          </w:tcPr>
          <w:p>
            <w:pPr>
              <w:spacing w:after="0"/>
            </w:pPr>
            <w:r>
              <w:rPr>
                <w:rFonts w:ascii="Arial" w:hAnsi="Arial"/>
                <w:b w:val="0"/>
                <w:sz w:val="14"/>
              </w:rPr>
              <w:t>Lifecycle governance scaled to all agentic workflows; continuous improvement operational; evidence-based validation integrated with audit readiness</w:t>
            </w:r>
          </w:p>
        </w:tc>
        <w:tc>
          <w:tcPr>
            <w:tcW w:type="dxa" w:w="2045"/>
          </w:tcPr>
          <w:p>
            <w:pPr>
              <w:spacing w:after="0"/>
            </w:pPr>
            <w:r>
              <w:rPr>
                <w:rFonts w:ascii="Arial" w:hAnsi="Arial"/>
                <w:b w:val="0"/>
                <w:sz w:val="14"/>
              </w:rPr>
              <w:t>All lifecycle responsibility objects operational; evidence-based validation integrated with audit readiness; incident/dispute/remediation closure workflow fully operationalized; continuous improvement and monitoring systematic</w:t>
            </w:r>
          </w:p>
        </w:tc>
        <w:tc>
          <w:tcPr>
            <w:tcW w:type="dxa" w:w="2045"/>
          </w:tcPr>
          <w:p>
            <w:pPr>
              <w:spacing w:after="0"/>
            </w:pPr>
            <w:r>
              <w:rPr>
                <w:rFonts w:ascii="Arial" w:hAnsi="Arial"/>
                <w:b w:val="0"/>
                <w:sz w:val="14"/>
              </w:rPr>
              <w:t>Lifecycle governance is operational but may require refinement as agentic systems evolve; new MROs may emerge as agentic AI capabilities expand</w:t>
            </w:r>
          </w:p>
        </w:tc>
        <w:tc>
          <w:tcPr>
            <w:tcW w:type="dxa" w:w="2045"/>
          </w:tcPr>
          <w:p>
            <w:pPr>
              <w:spacing w:after="0"/>
            </w:pPr>
            <w:r>
              <w:rPr>
                <w:rFonts w:ascii="Arial" w:hAnsi="Arial"/>
                <w:b w:val="0"/>
                <w:sz w:val="14"/>
              </w:rPr>
              <w:t>Maintain lifecycle governance through continuous improvement; monitor for new lifecycle governance gaps; where appropriate, contribute learnings to standards, industry, or regulatory dialogue</w:t>
            </w:r>
          </w:p>
        </w:tc>
      </w:tr>
    </w:tbl>
    <w:p>
      <w:pPr>
        <w:spacing w:after="56"/>
      </w:pPr>
      <w:r>
        <w:t>Interpretation: Maturity assessment helps enterprises understand where they are and what gaps exist. Most enterprises deploying agentic AI systems are at Level 0 or Level 1. The roadmap provides a staged path from Level 0 to Level 4.</w:t>
      </w:r>
    </w:p>
    <w:p>
      <w:pPr>
        <w:pStyle w:val="Heading2"/>
      </w:pPr>
      <w:r>
        <w:t>17.2 Pilot Project Selection</w:t>
      </w:r>
    </w:p>
    <w:p>
      <w:pPr>
        <w:spacing w:after="56"/>
      </w:pPr>
      <w:r>
        <w:t>Enterprises should select pilot projects carefully to maximize learning and minimize risk. The following table defines pilot selection criteria.</w:t>
      </w:r>
    </w:p>
    <w:p>
      <w:pPr>
        <w:keepNext/>
      </w:pPr>
      <w:r>
        <w:rPr>
          <w:b/>
          <w:sz w:val="16"/>
        </w:rPr>
        <w:t>Table T-17-02: Pilot Project Selection Criteria</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Criterion</w:t>
            </w:r>
          </w:p>
        </w:tc>
        <w:tc>
          <w:tcPr>
            <w:tcW w:type="dxa" w:w="2556"/>
          </w:tcPr>
          <w:p>
            <w:pPr>
              <w:spacing w:after="0"/>
            </w:pPr>
            <w:r>
              <w:rPr>
                <w:rFonts w:ascii="Arial" w:hAnsi="Arial"/>
                <w:b/>
                <w:sz w:val="14"/>
              </w:rPr>
              <w:t>Why It Matters</w:t>
            </w:r>
          </w:p>
        </w:tc>
        <w:tc>
          <w:tcPr>
            <w:tcW w:type="dxa" w:w="2556"/>
          </w:tcPr>
          <w:p>
            <w:pPr>
              <w:spacing w:after="0"/>
            </w:pPr>
            <w:r>
              <w:rPr>
                <w:rFonts w:ascii="Arial" w:hAnsi="Arial"/>
                <w:b/>
                <w:sz w:val="14"/>
              </w:rPr>
              <w:t>Good Pilot Signal</w:t>
            </w:r>
          </w:p>
        </w:tc>
        <w:tc>
          <w:tcPr>
            <w:tcW w:type="dxa" w:w="2556"/>
          </w:tcPr>
          <w:p>
            <w:pPr>
              <w:spacing w:after="0"/>
            </w:pPr>
            <w:r>
              <w:rPr>
                <w:rFonts w:ascii="Arial" w:hAnsi="Arial"/>
                <w:b/>
                <w:sz w:val="14"/>
              </w:rPr>
              <w:t>Avoid If</w:t>
            </w:r>
          </w:p>
        </w:tc>
      </w:tr>
      <w:tr>
        <w:tc>
          <w:tcPr>
            <w:tcW w:type="dxa" w:w="2556"/>
          </w:tcPr>
          <w:p>
            <w:pPr>
              <w:spacing w:after="0"/>
            </w:pPr>
            <w:r>
              <w:rPr>
                <w:rFonts w:ascii="Arial" w:hAnsi="Arial"/>
                <w:b w:val="0"/>
                <w:sz w:val="14"/>
              </w:rPr>
              <w:t>Bounded scope</w:t>
            </w:r>
          </w:p>
        </w:tc>
        <w:tc>
          <w:tcPr>
            <w:tcW w:type="dxa" w:w="2556"/>
          </w:tcPr>
          <w:p>
            <w:pPr>
              <w:spacing w:after="0"/>
            </w:pPr>
            <w:r>
              <w:rPr>
                <w:rFonts w:ascii="Arial" w:hAnsi="Arial"/>
                <w:b w:val="0"/>
                <w:sz w:val="14"/>
              </w:rPr>
              <w:t>Pilot should be large enough to demonstrate lifecycle governance value but small enough to manage risk</w:t>
            </w:r>
          </w:p>
        </w:tc>
        <w:tc>
          <w:tcPr>
            <w:tcW w:type="dxa" w:w="2556"/>
          </w:tcPr>
          <w:p>
            <w:pPr>
              <w:spacing w:after="0"/>
            </w:pPr>
            <w:r>
              <w:rPr>
                <w:rFonts w:ascii="Arial" w:hAnsi="Arial"/>
                <w:b w:val="0"/>
                <w:sz w:val="14"/>
              </w:rPr>
              <w:t>Single business process; single regulated context; single customer segment; clear authority boundaries</w:t>
            </w:r>
          </w:p>
        </w:tc>
        <w:tc>
          <w:tcPr>
            <w:tcW w:type="dxa" w:w="2556"/>
          </w:tcPr>
          <w:p>
            <w:pPr>
              <w:spacing w:after="0"/>
            </w:pPr>
            <w:r>
              <w:rPr>
                <w:rFonts w:ascii="Arial" w:hAnsi="Arial"/>
                <w:b w:val="0"/>
                <w:sz w:val="14"/>
              </w:rPr>
              <w:t>Unbounded scope; cross-jurisdictional; mission-critical; customer-facing without rollback capability</w:t>
            </w:r>
          </w:p>
        </w:tc>
      </w:tr>
      <w:tr>
        <w:tc>
          <w:tcPr>
            <w:tcW w:type="dxa" w:w="2556"/>
          </w:tcPr>
          <w:p>
            <w:pPr>
              <w:spacing w:after="0"/>
            </w:pPr>
            <w:r>
              <w:rPr>
                <w:rFonts w:ascii="Arial" w:hAnsi="Arial"/>
                <w:b w:val="0"/>
                <w:sz w:val="14"/>
              </w:rPr>
              <w:t>Measurable outcomes</w:t>
            </w:r>
          </w:p>
        </w:tc>
        <w:tc>
          <w:tcPr>
            <w:tcW w:type="dxa" w:w="2556"/>
          </w:tcPr>
          <w:p>
            <w:pPr>
              <w:spacing w:after="0"/>
            </w:pPr>
            <w:r>
              <w:rPr>
                <w:rFonts w:ascii="Arial" w:hAnsi="Arial"/>
                <w:b w:val="0"/>
                <w:sz w:val="14"/>
              </w:rPr>
              <w:t>Pilot should produce measurable evidence of lifecycle governance effectiveness</w:t>
            </w:r>
          </w:p>
        </w:tc>
        <w:tc>
          <w:tcPr>
            <w:tcW w:type="dxa" w:w="2556"/>
          </w:tcPr>
          <w:p>
            <w:pPr>
              <w:spacing w:after="0"/>
            </w:pPr>
            <w:r>
              <w:rPr>
                <w:rFonts w:ascii="Arial" w:hAnsi="Arial"/>
                <w:b w:val="0"/>
                <w:sz w:val="14"/>
              </w:rPr>
              <w:t>Clear success criteria; measurable evidence artifacts; audit readiness improvement; dispute resolution improvement</w:t>
            </w:r>
          </w:p>
        </w:tc>
        <w:tc>
          <w:tcPr>
            <w:tcW w:type="dxa" w:w="2556"/>
          </w:tcPr>
          <w:p>
            <w:pPr>
              <w:spacing w:after="0"/>
            </w:pPr>
            <w:r>
              <w:rPr>
                <w:rFonts w:ascii="Arial" w:hAnsi="Arial"/>
                <w:b w:val="0"/>
                <w:sz w:val="14"/>
              </w:rPr>
              <w:t>Vague success criteria; no measurable evidence artifacts; no audit readiness baseline</w:t>
            </w:r>
          </w:p>
        </w:tc>
      </w:tr>
      <w:tr>
        <w:tc>
          <w:tcPr>
            <w:tcW w:type="dxa" w:w="2556"/>
          </w:tcPr>
          <w:p>
            <w:pPr>
              <w:spacing w:after="0"/>
            </w:pPr>
            <w:r>
              <w:rPr>
                <w:rFonts w:ascii="Arial" w:hAnsi="Arial"/>
                <w:b w:val="0"/>
                <w:sz w:val="14"/>
              </w:rPr>
              <w:t>Regulatory relevance</w:t>
            </w:r>
          </w:p>
        </w:tc>
        <w:tc>
          <w:tcPr>
            <w:tcW w:type="dxa" w:w="2556"/>
          </w:tcPr>
          <w:p>
            <w:pPr>
              <w:spacing w:after="0"/>
            </w:pPr>
            <w:r>
              <w:rPr>
                <w:rFonts w:ascii="Arial" w:hAnsi="Arial"/>
                <w:b w:val="0"/>
                <w:sz w:val="14"/>
              </w:rPr>
              <w:t>Pilot should address a regulated context where lifecycle governance gaps create compliance risk</w:t>
            </w:r>
          </w:p>
        </w:tc>
        <w:tc>
          <w:tcPr>
            <w:tcW w:type="dxa" w:w="2556"/>
          </w:tcPr>
          <w:p>
            <w:pPr>
              <w:spacing w:after="0"/>
            </w:pPr>
            <w:r>
              <w:rPr>
                <w:rFonts w:ascii="Arial" w:hAnsi="Arial"/>
                <w:b w:val="0"/>
                <w:sz w:val="14"/>
              </w:rPr>
              <w:t>GDPR, HIPAA, SOX, EU AI Act, or other regulated context; audit readiness required; evidence retention required</w:t>
            </w:r>
          </w:p>
        </w:tc>
        <w:tc>
          <w:tcPr>
            <w:tcW w:type="dxa" w:w="2556"/>
          </w:tcPr>
          <w:p>
            <w:pPr>
              <w:spacing w:after="0"/>
            </w:pPr>
            <w:r>
              <w:rPr>
                <w:rFonts w:ascii="Arial" w:hAnsi="Arial"/>
                <w:b w:val="0"/>
                <w:sz w:val="14"/>
              </w:rPr>
              <w:t>Non-regulated context; no audit readiness requirement; no evidence retention requirement</w:t>
            </w:r>
          </w:p>
        </w:tc>
      </w:tr>
      <w:tr>
        <w:tc>
          <w:tcPr>
            <w:tcW w:type="dxa" w:w="2556"/>
          </w:tcPr>
          <w:p>
            <w:pPr>
              <w:spacing w:after="0"/>
            </w:pPr>
            <w:r>
              <w:rPr>
                <w:rFonts w:ascii="Arial" w:hAnsi="Arial"/>
                <w:b w:val="0"/>
                <w:sz w:val="14"/>
              </w:rPr>
              <w:t>Executive sponsorship</w:t>
            </w:r>
          </w:p>
        </w:tc>
        <w:tc>
          <w:tcPr>
            <w:tcW w:type="dxa" w:w="2556"/>
          </w:tcPr>
          <w:p>
            <w:pPr>
              <w:spacing w:after="0"/>
            </w:pPr>
            <w:r>
              <w:rPr>
                <w:rFonts w:ascii="Arial" w:hAnsi="Arial"/>
                <w:b w:val="0"/>
                <w:sz w:val="14"/>
              </w:rPr>
              <w:t>Pilot should have executive sponsorship to ensure organizational commitment</w:t>
            </w:r>
          </w:p>
        </w:tc>
        <w:tc>
          <w:tcPr>
            <w:tcW w:type="dxa" w:w="2556"/>
          </w:tcPr>
          <w:p>
            <w:pPr>
              <w:spacing w:after="0"/>
            </w:pPr>
            <w:r>
              <w:rPr>
                <w:rFonts w:ascii="Arial" w:hAnsi="Arial"/>
                <w:b w:val="0"/>
                <w:sz w:val="14"/>
              </w:rPr>
              <w:t>Executive sponsor assigned; governance team assigned; budget allocated; success criteria agreed</w:t>
            </w:r>
          </w:p>
        </w:tc>
        <w:tc>
          <w:tcPr>
            <w:tcW w:type="dxa" w:w="2556"/>
          </w:tcPr>
          <w:p>
            <w:pPr>
              <w:spacing w:after="0"/>
            </w:pPr>
            <w:r>
              <w:rPr>
                <w:rFonts w:ascii="Arial" w:hAnsi="Arial"/>
                <w:b w:val="0"/>
                <w:sz w:val="14"/>
              </w:rPr>
              <w:t>No executive sponsor; no governance team; no budget; no success criteria</w:t>
            </w:r>
          </w:p>
        </w:tc>
      </w:tr>
      <w:tr>
        <w:tc>
          <w:tcPr>
            <w:tcW w:type="dxa" w:w="2556"/>
          </w:tcPr>
          <w:p>
            <w:pPr>
              <w:spacing w:after="0"/>
            </w:pPr>
            <w:r>
              <w:rPr>
                <w:rFonts w:ascii="Arial" w:hAnsi="Arial"/>
                <w:b w:val="0"/>
                <w:sz w:val="14"/>
              </w:rPr>
              <w:t>Failure scenario relevance</w:t>
            </w:r>
          </w:p>
        </w:tc>
        <w:tc>
          <w:tcPr>
            <w:tcW w:type="dxa" w:w="2556"/>
          </w:tcPr>
          <w:p>
            <w:pPr>
              <w:spacing w:after="0"/>
            </w:pPr>
            <w:r>
              <w:rPr>
                <w:rFonts w:ascii="Arial" w:hAnsi="Arial"/>
                <w:b w:val="0"/>
                <w:sz w:val="14"/>
              </w:rPr>
              <w:t>Pilot should address one or more enterprise failure scenarios from Chapter 15</w:t>
            </w:r>
          </w:p>
        </w:tc>
        <w:tc>
          <w:tcPr>
            <w:tcW w:type="dxa" w:w="2556"/>
          </w:tcPr>
          <w:p>
            <w:pPr>
              <w:spacing w:after="0"/>
            </w:pPr>
            <w:r>
              <w:rPr>
                <w:rFonts w:ascii="Arial" w:hAnsi="Arial"/>
                <w:b w:val="0"/>
                <w:sz w:val="14"/>
              </w:rPr>
              <w:t>Pilot addresses authority boundary failure, evidence chain failure, accepted outcome failure, or other Chapter 15 scenario</w:t>
            </w:r>
          </w:p>
        </w:tc>
        <w:tc>
          <w:tcPr>
            <w:tcW w:type="dxa" w:w="2556"/>
          </w:tcPr>
          <w:p>
            <w:pPr>
              <w:spacing w:after="0"/>
            </w:pPr>
            <w:r>
              <w:rPr>
                <w:rFonts w:ascii="Arial" w:hAnsi="Arial"/>
                <w:b w:val="0"/>
                <w:sz w:val="14"/>
              </w:rPr>
              <w:t>Pilot does not address any Chapter 15 scenario; no clear failure mode to prevent</w:t>
            </w:r>
          </w:p>
        </w:tc>
      </w:tr>
      <w:tr>
        <w:tc>
          <w:tcPr>
            <w:tcW w:type="dxa" w:w="2556"/>
          </w:tcPr>
          <w:p>
            <w:pPr>
              <w:spacing w:after="0"/>
            </w:pPr>
            <w:r>
              <w:rPr>
                <w:rFonts w:ascii="Arial" w:hAnsi="Arial"/>
                <w:b w:val="0"/>
                <w:sz w:val="14"/>
              </w:rPr>
              <w:t>Integration opportunity</w:t>
            </w:r>
          </w:p>
        </w:tc>
        <w:tc>
          <w:tcPr>
            <w:tcW w:type="dxa" w:w="2556"/>
          </w:tcPr>
          <w:p>
            <w:pPr>
              <w:spacing w:after="0"/>
            </w:pPr>
            <w:r>
              <w:rPr>
                <w:rFonts w:ascii="Arial" w:hAnsi="Arial"/>
                <w:b w:val="0"/>
                <w:sz w:val="14"/>
              </w:rPr>
              <w:t>Pilot should integrate with existing enterprise controls to demonstrate scalability</w:t>
            </w:r>
          </w:p>
        </w:tc>
        <w:tc>
          <w:tcPr>
            <w:tcW w:type="dxa" w:w="2556"/>
          </w:tcPr>
          <w:p>
            <w:pPr>
              <w:spacing w:after="0"/>
            </w:pPr>
            <w:r>
              <w:rPr>
                <w:rFonts w:ascii="Arial" w:hAnsi="Arial"/>
                <w:b w:val="0"/>
                <w:sz w:val="14"/>
              </w:rPr>
              <w:t>Pilot integrates with existing audit, privacy, security, or procurement controls; evidence artifacts align with existing control frameworks</w:t>
            </w:r>
          </w:p>
        </w:tc>
        <w:tc>
          <w:tcPr>
            <w:tcW w:type="dxa" w:w="2556"/>
          </w:tcPr>
          <w:p>
            <w:pPr>
              <w:spacing w:after="0"/>
            </w:pPr>
            <w:r>
              <w:rPr>
                <w:rFonts w:ascii="Arial" w:hAnsi="Arial"/>
                <w:b w:val="0"/>
                <w:sz w:val="14"/>
              </w:rPr>
              <w:t>Pilot is isolated from existing enterprise controls; no integration opportunity; evidence artifacts do not align with existing control frameworks</w:t>
            </w:r>
          </w:p>
        </w:tc>
      </w:tr>
      <w:tr>
        <w:tc>
          <w:tcPr>
            <w:tcW w:type="dxa" w:w="2556"/>
          </w:tcPr>
          <w:p>
            <w:pPr>
              <w:spacing w:after="0"/>
            </w:pPr>
            <w:r>
              <w:rPr>
                <w:rFonts w:ascii="Arial" w:hAnsi="Arial"/>
                <w:b w:val="0"/>
                <w:sz w:val="14"/>
              </w:rPr>
              <w:t>Rollback capability</w:t>
            </w:r>
          </w:p>
        </w:tc>
        <w:tc>
          <w:tcPr>
            <w:tcW w:type="dxa" w:w="2556"/>
          </w:tcPr>
          <w:p>
            <w:pPr>
              <w:spacing w:after="0"/>
            </w:pPr>
            <w:r>
              <w:rPr>
                <w:rFonts w:ascii="Arial" w:hAnsi="Arial"/>
                <w:b w:val="0"/>
                <w:sz w:val="14"/>
              </w:rPr>
              <w:t>Pilot should have rollback capability to manage risk</w:t>
            </w:r>
          </w:p>
        </w:tc>
        <w:tc>
          <w:tcPr>
            <w:tcW w:type="dxa" w:w="2556"/>
          </w:tcPr>
          <w:p>
            <w:pPr>
              <w:spacing w:after="0"/>
            </w:pPr>
            <w:r>
              <w:rPr>
                <w:rFonts w:ascii="Arial" w:hAnsi="Arial"/>
                <w:b w:val="0"/>
                <w:sz w:val="14"/>
              </w:rPr>
              <w:t>Pilot can be rolled back without customer impact; pilot can be paused without operational disruption</w:t>
            </w:r>
          </w:p>
        </w:tc>
        <w:tc>
          <w:tcPr>
            <w:tcW w:type="dxa" w:w="2556"/>
          </w:tcPr>
          <w:p>
            <w:pPr>
              <w:spacing w:after="0"/>
            </w:pPr>
            <w:r>
              <w:rPr>
                <w:rFonts w:ascii="Arial" w:hAnsi="Arial"/>
                <w:b w:val="0"/>
                <w:sz w:val="14"/>
              </w:rPr>
              <w:t>Pilot cannot be rolled back; pilot is mission-critical; pilot has irreversible customer impact</w:t>
            </w:r>
          </w:p>
        </w:tc>
      </w:tr>
    </w:tbl>
    <w:p>
      <w:pPr>
        <w:spacing w:after="56"/>
      </w:pPr>
      <w:r>
        <w:t>Interpretation: Pilot selection criteria help enterprises choose projects that maximize learning and minimize risk. Good pilots are bounded, measurable, regulated, sponsored, relevant to failure scenarios, integrated with existing controls, and rollback-capable.</w:t>
      </w:r>
    </w:p>
    <w:p>
      <w:pPr>
        <w:pStyle w:val="Heading2"/>
      </w:pPr>
      <w:r>
        <w:t>17.3 Integration with Existing Enterprise Controls</w:t>
      </w:r>
    </w:p>
    <w:p>
      <w:pPr>
        <w:spacing w:after="56"/>
      </w:pPr>
      <w:r>
        <w:t>Lifecycle governance should integrate with existing enterprise controls, not replace them. The following table maps existing enterprise controls to lifecycle governance extensions.</w:t>
      </w:r>
    </w:p>
    <w:p>
      <w:pPr>
        <w:keepNext/>
      </w:pPr>
      <w:r>
        <w:rPr>
          <w:b/>
          <w:sz w:val="16"/>
        </w:rPr>
        <w:t>Table T-17-03: Existing Enterprise Control Integration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Existing Control</w:t>
            </w:r>
          </w:p>
        </w:tc>
        <w:tc>
          <w:tcPr>
            <w:tcW w:type="dxa" w:w="2556"/>
          </w:tcPr>
          <w:p>
            <w:pPr>
              <w:spacing w:after="0"/>
            </w:pPr>
            <w:r>
              <w:rPr>
                <w:rFonts w:ascii="Arial" w:hAnsi="Arial"/>
                <w:b/>
                <w:sz w:val="14"/>
              </w:rPr>
              <w:t>Lifecycle Governance Extension</w:t>
            </w:r>
          </w:p>
        </w:tc>
        <w:tc>
          <w:tcPr>
            <w:tcW w:type="dxa" w:w="2556"/>
          </w:tcPr>
          <w:p>
            <w:pPr>
              <w:spacing w:after="0"/>
            </w:pPr>
            <w:r>
              <w:rPr>
                <w:rFonts w:ascii="Arial" w:hAnsi="Arial"/>
                <w:b/>
                <w:sz w:val="14"/>
              </w:rPr>
              <w:t>Relevant Object</w:t>
            </w:r>
          </w:p>
        </w:tc>
        <w:tc>
          <w:tcPr>
            <w:tcW w:type="dxa" w:w="2556"/>
          </w:tcPr>
          <w:p>
            <w:pPr>
              <w:spacing w:after="0"/>
            </w:pPr>
            <w:r>
              <w:rPr>
                <w:rFonts w:ascii="Arial" w:hAnsi="Arial"/>
                <w:b/>
                <w:sz w:val="14"/>
              </w:rPr>
              <w:t>Evidence Artifact</w:t>
            </w:r>
          </w:p>
        </w:tc>
      </w:tr>
      <w:tr>
        <w:tc>
          <w:tcPr>
            <w:tcW w:type="dxa" w:w="2556"/>
          </w:tcPr>
          <w:p>
            <w:pPr>
              <w:spacing w:after="0"/>
            </w:pPr>
            <w:r>
              <w:rPr>
                <w:rFonts w:ascii="Arial" w:hAnsi="Arial"/>
                <w:b w:val="0"/>
                <w:sz w:val="14"/>
              </w:rPr>
              <w:t>Internal Audit</w:t>
            </w:r>
          </w:p>
        </w:tc>
        <w:tc>
          <w:tcPr>
            <w:tcW w:type="dxa" w:w="2556"/>
          </w:tcPr>
          <w:p>
            <w:pPr>
              <w:spacing w:after="0"/>
            </w:pPr>
            <w:r>
              <w:rPr>
                <w:rFonts w:ascii="Arial" w:hAnsi="Arial"/>
                <w:b w:val="0"/>
                <w:sz w:val="14"/>
              </w:rPr>
              <w:t>Extend audit scope to include lifecycle responsibility objects; add evidence partitioning and selective disclosure capability</w:t>
            </w:r>
          </w:p>
        </w:tc>
        <w:tc>
          <w:tcPr>
            <w:tcW w:type="dxa" w:w="2556"/>
          </w:tcPr>
          <w:p>
            <w:pPr>
              <w:spacing w:after="0"/>
            </w:pPr>
            <w:r>
              <w:rPr>
                <w:rFonts w:ascii="Arial" w:hAnsi="Arial"/>
                <w:b w:val="0"/>
                <w:sz w:val="14"/>
              </w:rPr>
              <w:t>MRO-08: MAS Evidence Partitioning; MRO-11: Privacy-Preserving Third-Party Validation; MRO-12: Evidence Minimization and Selective Disclosure</w:t>
            </w:r>
          </w:p>
        </w:tc>
        <w:tc>
          <w:tcPr>
            <w:tcW w:type="dxa" w:w="2556"/>
          </w:tcPr>
          <w:p>
            <w:pPr>
              <w:spacing w:after="0"/>
            </w:pPr>
            <w:r>
              <w:rPr>
                <w:rFonts w:ascii="Arial" w:hAnsi="Arial"/>
                <w:b w:val="0"/>
                <w:sz w:val="14"/>
              </w:rPr>
              <w:t>Partitioned evidence chains; evidence export logs; selective disclosure records; audit trail for lifecycle responsibility objects</w:t>
            </w:r>
          </w:p>
        </w:tc>
      </w:tr>
      <w:tr>
        <w:tc>
          <w:tcPr>
            <w:tcW w:type="dxa" w:w="2556"/>
          </w:tcPr>
          <w:p>
            <w:pPr>
              <w:spacing w:after="0"/>
            </w:pPr>
            <w:r>
              <w:rPr>
                <w:rFonts w:ascii="Arial" w:hAnsi="Arial"/>
                <w:b w:val="0"/>
                <w:sz w:val="14"/>
              </w:rPr>
              <w:t>Privacy / Data Governance</w:t>
            </w:r>
          </w:p>
        </w:tc>
        <w:tc>
          <w:tcPr>
            <w:tcW w:type="dxa" w:w="2556"/>
          </w:tcPr>
          <w:p>
            <w:pPr>
              <w:spacing w:after="0"/>
            </w:pPr>
            <w:r>
              <w:rPr>
                <w:rFonts w:ascii="Arial" w:hAnsi="Arial"/>
                <w:b w:val="0"/>
                <w:sz w:val="14"/>
              </w:rPr>
              <w:t>Extend privacy controls to include agentic lifecycle surfaces; map data subject rights to evidence retention; implement privacy-preserving validation</w:t>
            </w:r>
          </w:p>
        </w:tc>
        <w:tc>
          <w:tcPr>
            <w:tcW w:type="dxa" w:w="2556"/>
          </w:tcPr>
          <w:p>
            <w:pPr>
              <w:spacing w:after="0"/>
            </w:pPr>
            <w:r>
              <w:rPr>
                <w:rFonts w:ascii="Arial" w:hAnsi="Arial"/>
                <w:b w:val="0"/>
                <w:sz w:val="14"/>
              </w:rPr>
              <w:t>MRO-10: Privacy/GDPR Lifecycle Mapping; MRO-11: Privacy-Preserving Third-Party Validation; MRO-13: Data Subject Rights vs Evidence Retention</w:t>
            </w:r>
          </w:p>
        </w:tc>
        <w:tc>
          <w:tcPr>
            <w:tcW w:type="dxa" w:w="2556"/>
          </w:tcPr>
          <w:p>
            <w:pPr>
              <w:spacing w:after="0"/>
            </w:pPr>
            <w:r>
              <w:rPr>
                <w:rFonts w:ascii="Arial" w:hAnsi="Arial"/>
                <w:b w:val="0"/>
                <w:sz w:val="14"/>
              </w:rPr>
              <w:t>Data flow records; retention policy records; data subject rights workflow records; privacy-preserving validation protocol records</w:t>
            </w:r>
          </w:p>
        </w:tc>
      </w:tr>
      <w:tr>
        <w:tc>
          <w:tcPr>
            <w:tcW w:type="dxa" w:w="2556"/>
          </w:tcPr>
          <w:p>
            <w:pPr>
              <w:spacing w:after="0"/>
            </w:pPr>
            <w:r>
              <w:rPr>
                <w:rFonts w:ascii="Arial" w:hAnsi="Arial"/>
                <w:b w:val="0"/>
                <w:sz w:val="14"/>
              </w:rPr>
              <w:t>Security / Access Management</w:t>
            </w:r>
          </w:p>
        </w:tc>
        <w:tc>
          <w:tcPr>
            <w:tcW w:type="dxa" w:w="2556"/>
          </w:tcPr>
          <w:p>
            <w:pPr>
              <w:spacing w:after="0"/>
            </w:pPr>
            <w:r>
              <w:rPr>
                <w:rFonts w:ascii="Arial" w:hAnsi="Arial"/>
                <w:b w:val="0"/>
                <w:sz w:val="14"/>
              </w:rPr>
              <w:t>Extend access controls to include delegated authority boundaries; implement authority drift detection; add tool-action authorization</w:t>
            </w:r>
          </w:p>
        </w:tc>
        <w:tc>
          <w:tcPr>
            <w:tcW w:type="dxa" w:w="2556"/>
          </w:tcPr>
          <w:p>
            <w:pPr>
              <w:spacing w:after="0"/>
            </w:pPr>
            <w:r>
              <w:rPr>
                <w:rFonts w:ascii="Arial" w:hAnsi="Arial"/>
                <w:b w:val="0"/>
                <w:sz w:val="14"/>
              </w:rPr>
              <w:t>MRO-02: Delegated Authority Boundary; MRO-05: Tool-Action Liability Boundary; MRO-07: Authority Drift</w:t>
            </w:r>
          </w:p>
        </w:tc>
        <w:tc>
          <w:tcPr>
            <w:tcW w:type="dxa" w:w="2556"/>
          </w:tcPr>
          <w:p>
            <w:pPr>
              <w:spacing w:after="0"/>
            </w:pPr>
            <w:r>
              <w:rPr>
                <w:rFonts w:ascii="Arial" w:hAnsi="Arial"/>
                <w:b w:val="0"/>
                <w:sz w:val="14"/>
              </w:rPr>
              <w:t>Authority grant records; tool-action authorization records; boundary violation alerts; drift detection logs</w:t>
            </w:r>
          </w:p>
        </w:tc>
      </w:tr>
      <w:tr>
        <w:tc>
          <w:tcPr>
            <w:tcW w:type="dxa" w:w="2556"/>
          </w:tcPr>
          <w:p>
            <w:pPr>
              <w:spacing w:after="0"/>
            </w:pPr>
            <w:r>
              <w:rPr>
                <w:rFonts w:ascii="Arial" w:hAnsi="Arial"/>
                <w:b w:val="0"/>
                <w:sz w:val="14"/>
              </w:rPr>
              <w:t>Procurement / Vendor Management</w:t>
            </w:r>
          </w:p>
        </w:tc>
        <w:tc>
          <w:tcPr>
            <w:tcW w:type="dxa" w:w="2556"/>
          </w:tcPr>
          <w:p>
            <w:pPr>
              <w:spacing w:after="0"/>
            </w:pPr>
            <w:r>
              <w:rPr>
                <w:rFonts w:ascii="Arial" w:hAnsi="Arial"/>
                <w:b w:val="0"/>
                <w:sz w:val="14"/>
              </w:rPr>
              <w:t>Extend vendor management to include processor/subprocessor chain mapping; add vendor/runtime substitution conformance validation</w:t>
            </w:r>
          </w:p>
        </w:tc>
        <w:tc>
          <w:tcPr>
            <w:tcW w:type="dxa" w:w="2556"/>
          </w:tcPr>
          <w:p>
            <w:pPr>
              <w:spacing w:after="0"/>
            </w:pPr>
            <w:r>
              <w:rPr>
                <w:rFonts w:ascii="Arial" w:hAnsi="Arial"/>
                <w:b w:val="0"/>
                <w:sz w:val="14"/>
              </w:rPr>
              <w:t>MRO-14: Third-Party Processor/Subprocessor Chain; MRO-15: Vendor/Model/Runtime Substitution Conformance</w:t>
            </w:r>
          </w:p>
        </w:tc>
        <w:tc>
          <w:tcPr>
            <w:tcW w:type="dxa" w:w="2556"/>
          </w:tcPr>
          <w:p>
            <w:pPr>
              <w:spacing w:after="0"/>
            </w:pPr>
            <w:r>
              <w:rPr>
                <w:rFonts w:ascii="Arial" w:hAnsi="Arial"/>
                <w:b w:val="0"/>
                <w:sz w:val="14"/>
              </w:rPr>
              <w:t>Processor agreements; subprocessor chain records; substitution records; conformance validation records</w:t>
            </w:r>
          </w:p>
        </w:tc>
      </w:tr>
      <w:tr>
        <w:tc>
          <w:tcPr>
            <w:tcW w:type="dxa" w:w="2556"/>
          </w:tcPr>
          <w:p>
            <w:pPr>
              <w:spacing w:after="0"/>
            </w:pPr>
            <w:r>
              <w:rPr>
                <w:rFonts w:ascii="Arial" w:hAnsi="Arial"/>
                <w:b w:val="0"/>
                <w:sz w:val="14"/>
              </w:rPr>
              <w:t>Incident Response</w:t>
            </w:r>
          </w:p>
        </w:tc>
        <w:tc>
          <w:tcPr>
            <w:tcW w:type="dxa" w:w="2556"/>
          </w:tcPr>
          <w:p>
            <w:pPr>
              <w:spacing w:after="0"/>
            </w:pPr>
            <w:r>
              <w:rPr>
                <w:rFonts w:ascii="Arial" w:hAnsi="Arial"/>
                <w:b w:val="0"/>
                <w:sz w:val="14"/>
              </w:rPr>
              <w:t>Extend incident response to include lifecycle-specific incident types; add incident/dispute/remediation closure workflow</w:t>
            </w:r>
          </w:p>
        </w:tc>
        <w:tc>
          <w:tcPr>
            <w:tcW w:type="dxa" w:w="2556"/>
          </w:tcPr>
          <w:p>
            <w:pPr>
              <w:spacing w:after="0"/>
            </w:pPr>
            <w:r>
              <w:rPr>
                <w:rFonts w:ascii="Arial" w:hAnsi="Arial"/>
                <w:b w:val="0"/>
                <w:sz w:val="14"/>
              </w:rPr>
              <w:t>MRO-16: Incident, Dispute, and Remediation Closure</w:t>
            </w:r>
          </w:p>
        </w:tc>
        <w:tc>
          <w:tcPr>
            <w:tcW w:type="dxa" w:w="2556"/>
          </w:tcPr>
          <w:p>
            <w:pPr>
              <w:spacing w:after="0"/>
            </w:pPr>
            <w:r>
              <w:rPr>
                <w:rFonts w:ascii="Arial" w:hAnsi="Arial"/>
                <w:b w:val="0"/>
                <w:sz w:val="14"/>
              </w:rPr>
              <w:t>Incident records; affected outcome records; remediation records; closure acceptance records; customer impact assessment records</w:t>
            </w:r>
          </w:p>
        </w:tc>
      </w:tr>
      <w:tr>
        <w:tc>
          <w:tcPr>
            <w:tcW w:type="dxa" w:w="2556"/>
          </w:tcPr>
          <w:p>
            <w:pPr>
              <w:spacing w:after="0"/>
            </w:pPr>
            <w:r>
              <w:rPr>
                <w:rFonts w:ascii="Arial" w:hAnsi="Arial"/>
                <w:b w:val="0"/>
                <w:sz w:val="14"/>
              </w:rPr>
              <w:t>Compliance / Regulatory Reporting</w:t>
            </w:r>
          </w:p>
        </w:tc>
        <w:tc>
          <w:tcPr>
            <w:tcW w:type="dxa" w:w="2556"/>
          </w:tcPr>
          <w:p>
            <w:pPr>
              <w:spacing w:after="0"/>
            </w:pPr>
            <w:r>
              <w:rPr>
                <w:rFonts w:ascii="Arial" w:hAnsi="Arial"/>
                <w:b w:val="0"/>
                <w:sz w:val="14"/>
              </w:rPr>
              <w:t>Extend compliance reporting to include lifecycle responsibility objects; add RCCS/ALCS as analytical tools (not legal scores)</w:t>
            </w:r>
          </w:p>
        </w:tc>
        <w:tc>
          <w:tcPr>
            <w:tcW w:type="dxa" w:w="2556"/>
          </w:tcPr>
          <w:p>
            <w:pPr>
              <w:spacing w:after="0"/>
            </w:pPr>
            <w:r>
              <w:rPr>
                <w:rFonts w:ascii="Arial" w:hAnsi="Arial"/>
                <w:b w:val="0"/>
                <w:sz w:val="14"/>
              </w:rPr>
              <w:t>MRO-01: Human Role to MAS Responsibility Mapping; MRO-04: Accepted Outcome Compliance</w:t>
            </w:r>
          </w:p>
        </w:tc>
        <w:tc>
          <w:tcPr>
            <w:tcW w:type="dxa" w:w="2556"/>
          </w:tcPr>
          <w:p>
            <w:pPr>
              <w:spacing w:after="0"/>
            </w:pPr>
            <w:r>
              <w:rPr>
                <w:rFonts w:ascii="Arial" w:hAnsi="Arial"/>
                <w:b w:val="0"/>
                <w:sz w:val="14"/>
              </w:rPr>
              <w:t>Role assignment records; acceptance records; review records; escalation records; RCCS/ALCS analytical reports (not legal compliance scores)</w:t>
            </w:r>
          </w:p>
        </w:tc>
      </w:tr>
      <w:tr>
        <w:tc>
          <w:tcPr>
            <w:tcW w:type="dxa" w:w="2556"/>
          </w:tcPr>
          <w:p>
            <w:pPr>
              <w:spacing w:after="0"/>
            </w:pPr>
            <w:r>
              <w:rPr>
                <w:rFonts w:ascii="Arial" w:hAnsi="Arial"/>
                <w:b w:val="0"/>
                <w:sz w:val="14"/>
              </w:rPr>
              <w:t>Model Risk Management</w:t>
            </w:r>
          </w:p>
        </w:tc>
        <w:tc>
          <w:tcPr>
            <w:tcW w:type="dxa" w:w="2556"/>
          </w:tcPr>
          <w:p>
            <w:pPr>
              <w:spacing w:after="0"/>
            </w:pPr>
            <w:r>
              <w:rPr>
                <w:rFonts w:ascii="Arial" w:hAnsi="Arial"/>
                <w:b w:val="0"/>
                <w:sz w:val="14"/>
              </w:rPr>
              <w:t>Extend model risk management to include lifecycle risk; add authority-transition influence monitoring; add model substitution conformance</w:t>
            </w:r>
          </w:p>
        </w:tc>
        <w:tc>
          <w:tcPr>
            <w:tcW w:type="dxa" w:w="2556"/>
          </w:tcPr>
          <w:p>
            <w:pPr>
              <w:spacing w:after="0"/>
            </w:pPr>
            <w:r>
              <w:rPr>
                <w:rFonts w:ascii="Arial" w:hAnsi="Arial"/>
                <w:b w:val="0"/>
                <w:sz w:val="14"/>
              </w:rPr>
              <w:t>MRO-07: Authority Drift; MRO-15: Vendor/Model/Runtime Substitution Conformance</w:t>
            </w:r>
          </w:p>
        </w:tc>
        <w:tc>
          <w:tcPr>
            <w:tcW w:type="dxa" w:w="2556"/>
          </w:tcPr>
          <w:p>
            <w:pPr>
              <w:spacing w:after="0"/>
            </w:pPr>
            <w:r>
              <w:rPr>
                <w:rFonts w:ascii="Arial" w:hAnsi="Arial"/>
                <w:b w:val="0"/>
                <w:sz w:val="14"/>
              </w:rPr>
              <w:t>Model inventory; model version records; authority baseline records; drift detection logs; substitution conformance validation records</w:t>
            </w:r>
          </w:p>
        </w:tc>
      </w:tr>
      <w:tr>
        <w:tc>
          <w:tcPr>
            <w:tcW w:type="dxa" w:w="2556"/>
          </w:tcPr>
          <w:p>
            <w:pPr>
              <w:spacing w:after="0"/>
            </w:pPr>
            <w:r>
              <w:rPr>
                <w:rFonts w:ascii="Arial" w:hAnsi="Arial"/>
                <w:b w:val="0"/>
                <w:sz w:val="14"/>
              </w:rPr>
              <w:t>Business Continuity / Rollback</w:t>
            </w:r>
          </w:p>
        </w:tc>
        <w:tc>
          <w:tcPr>
            <w:tcW w:type="dxa" w:w="2556"/>
          </w:tcPr>
          <w:p>
            <w:pPr>
              <w:spacing w:after="0"/>
            </w:pPr>
            <w:r>
              <w:rPr>
                <w:rFonts w:ascii="Arial" w:hAnsi="Arial"/>
                <w:b w:val="0"/>
                <w:sz w:val="14"/>
              </w:rPr>
              <w:t>Extend business continuity to include agentic workflow rollback; add cross-project reuse compliance; add context boundary validation</w:t>
            </w:r>
          </w:p>
        </w:tc>
        <w:tc>
          <w:tcPr>
            <w:tcW w:type="dxa" w:w="2556"/>
          </w:tcPr>
          <w:p>
            <w:pPr>
              <w:spacing w:after="0"/>
            </w:pPr>
            <w:r>
              <w:rPr>
                <w:rFonts w:ascii="Arial" w:hAnsi="Arial"/>
                <w:b w:val="0"/>
                <w:sz w:val="14"/>
              </w:rPr>
              <w:t>MRO-09: Cross-Project Reuse Compliance</w:t>
            </w:r>
          </w:p>
        </w:tc>
        <w:tc>
          <w:tcPr>
            <w:tcW w:type="dxa" w:w="2556"/>
          </w:tcPr>
          <w:p>
            <w:pPr>
              <w:spacing w:after="0"/>
            </w:pPr>
            <w:r>
              <w:rPr>
                <w:rFonts w:ascii="Arial" w:hAnsi="Arial"/>
                <w:b w:val="0"/>
                <w:sz w:val="14"/>
              </w:rPr>
              <w:t>Reuse records; reset validation records; reauthorization records; context boundary records; rollback capability validation records</w:t>
            </w:r>
          </w:p>
        </w:tc>
      </w:tr>
    </w:tbl>
    <w:p>
      <w:pPr>
        <w:spacing w:after="56"/>
      </w:pPr>
      <w:r>
        <w:t>Interpretation: Lifecycle governance extends existing enterprise controls rather than replacing them. Integration ensures that lifecycle responsibility objects align with existing control frameworks and evidence artifacts.</w:t>
      </w:r>
    </w:p>
    <w:p>
      <w:pPr>
        <w:pStyle w:val="Heading2"/>
      </w:pPr>
      <w:r>
        <w:t>17.4 Operationalizing Lifecycle Responsibility Objects</w:t>
      </w:r>
    </w:p>
    <w:p>
      <w:pPr>
        <w:spacing w:after="56"/>
      </w:pPr>
      <w:r>
        <w:t>Enterprises should operationalize lifecycle responsibility objects in stages. The following table defines a Stage 0-to-7 roadmap.</w:t>
      </w:r>
    </w:p>
    <w:p>
      <w:pPr>
        <w:keepNext/>
      </w:pPr>
      <w:r>
        <w:rPr>
          <w:b/>
          <w:sz w:val="16"/>
        </w:rPr>
        <w:t>Table T-17-04: Adoption Roadmap by Stage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Stage</w:t>
            </w:r>
          </w:p>
        </w:tc>
        <w:tc>
          <w:tcPr>
            <w:tcW w:type="dxa" w:w="2045"/>
          </w:tcPr>
          <w:p>
            <w:pPr>
              <w:spacing w:after="0"/>
            </w:pPr>
            <w:r>
              <w:rPr>
                <w:rFonts w:ascii="Arial" w:hAnsi="Arial"/>
                <w:b/>
                <w:sz w:val="14"/>
              </w:rPr>
              <w:t>Goal</w:t>
            </w:r>
          </w:p>
        </w:tc>
        <w:tc>
          <w:tcPr>
            <w:tcW w:type="dxa" w:w="2045"/>
          </w:tcPr>
          <w:p>
            <w:pPr>
              <w:spacing w:after="0"/>
            </w:pPr>
            <w:r>
              <w:rPr>
                <w:rFonts w:ascii="Arial" w:hAnsi="Arial"/>
                <w:b/>
                <w:sz w:val="14"/>
              </w:rPr>
              <w:t>Key Actions</w:t>
            </w:r>
          </w:p>
        </w:tc>
        <w:tc>
          <w:tcPr>
            <w:tcW w:type="dxa" w:w="2045"/>
          </w:tcPr>
          <w:p>
            <w:pPr>
              <w:spacing w:after="0"/>
            </w:pPr>
            <w:r>
              <w:rPr>
                <w:rFonts w:ascii="Arial" w:hAnsi="Arial"/>
                <w:b/>
                <w:sz w:val="14"/>
              </w:rPr>
              <w:t>Output</w:t>
            </w:r>
          </w:p>
        </w:tc>
        <w:tc>
          <w:tcPr>
            <w:tcW w:type="dxa" w:w="2045"/>
          </w:tcPr>
          <w:p>
            <w:pPr>
              <w:spacing w:after="0"/>
            </w:pPr>
            <w:r>
              <w:rPr>
                <w:rFonts w:ascii="Arial" w:hAnsi="Arial"/>
                <w:b/>
                <w:sz w:val="14"/>
              </w:rPr>
              <w:t>Success Indicator</w:t>
            </w:r>
          </w:p>
        </w:tc>
      </w:tr>
      <w:tr>
        <w:tc>
          <w:tcPr>
            <w:tcW w:type="dxa" w:w="2045"/>
          </w:tcPr>
          <w:p>
            <w:pPr>
              <w:spacing w:after="0"/>
            </w:pPr>
            <w:r>
              <w:rPr>
                <w:rFonts w:ascii="Arial" w:hAnsi="Arial"/>
                <w:b w:val="0"/>
                <w:sz w:val="14"/>
              </w:rPr>
              <w:t>Stage 0: Inventory</w:t>
            </w:r>
          </w:p>
        </w:tc>
        <w:tc>
          <w:tcPr>
            <w:tcW w:type="dxa" w:w="2045"/>
          </w:tcPr>
          <w:p>
            <w:pPr>
              <w:spacing w:after="0"/>
            </w:pPr>
            <w:r>
              <w:rPr>
                <w:rFonts w:ascii="Arial" w:hAnsi="Arial"/>
                <w:b w:val="0"/>
                <w:sz w:val="14"/>
              </w:rPr>
              <w:t>Inventory agentic behavior and identify lifecycle governance gaps</w:t>
            </w:r>
          </w:p>
        </w:tc>
        <w:tc>
          <w:tcPr>
            <w:tcW w:type="dxa" w:w="2045"/>
          </w:tcPr>
          <w:p>
            <w:pPr>
              <w:spacing w:after="0"/>
            </w:pPr>
            <w:r>
              <w:rPr>
                <w:rFonts w:ascii="Arial" w:hAnsi="Arial"/>
                <w:b w:val="0"/>
                <w:sz w:val="14"/>
              </w:rPr>
              <w:t>Identify where agents make decisions, use tools, or hand off work; assess whether model governance covers lifecycle responsibility; identify failure scenarios from Chapter 15 that apply</w:t>
            </w:r>
          </w:p>
        </w:tc>
        <w:tc>
          <w:tcPr>
            <w:tcW w:type="dxa" w:w="2045"/>
          </w:tcPr>
          <w:p>
            <w:pPr>
              <w:spacing w:after="0"/>
            </w:pPr>
            <w:r>
              <w:rPr>
                <w:rFonts w:ascii="Arial" w:hAnsi="Arial"/>
                <w:b w:val="0"/>
                <w:sz w:val="14"/>
              </w:rPr>
              <w:t>Agentic behavior inventory; lifecycle governance gap analysis; failure scenario risk assessment</w:t>
            </w:r>
          </w:p>
        </w:tc>
        <w:tc>
          <w:tcPr>
            <w:tcW w:type="dxa" w:w="2045"/>
          </w:tcPr>
          <w:p>
            <w:pPr>
              <w:spacing w:after="0"/>
            </w:pPr>
            <w:r>
              <w:rPr>
                <w:rFonts w:ascii="Arial" w:hAnsi="Arial"/>
                <w:b w:val="0"/>
                <w:sz w:val="14"/>
              </w:rPr>
              <w:t>Executive awareness of lifecycle governance gap; pilot project candidates identified</w:t>
            </w:r>
          </w:p>
        </w:tc>
      </w:tr>
      <w:tr>
        <w:tc>
          <w:tcPr>
            <w:tcW w:type="dxa" w:w="2045"/>
          </w:tcPr>
          <w:p>
            <w:pPr>
              <w:spacing w:after="0"/>
            </w:pPr>
            <w:r>
              <w:rPr>
                <w:rFonts w:ascii="Arial" w:hAnsi="Arial"/>
                <w:b w:val="0"/>
                <w:sz w:val="14"/>
              </w:rPr>
              <w:t>Stage 1: Authority</w:t>
            </w:r>
          </w:p>
        </w:tc>
        <w:tc>
          <w:tcPr>
            <w:tcW w:type="dxa" w:w="2045"/>
          </w:tcPr>
          <w:p>
            <w:pPr>
              <w:spacing w:after="0"/>
            </w:pPr>
            <w:r>
              <w:rPr>
                <w:rFonts w:ascii="Arial" w:hAnsi="Arial"/>
                <w:b w:val="0"/>
                <w:sz w:val="14"/>
              </w:rPr>
              <w:t>Define delegated authority boundaries and implement authority drift detection</w:t>
            </w:r>
          </w:p>
        </w:tc>
        <w:tc>
          <w:tcPr>
            <w:tcW w:type="dxa" w:w="2045"/>
          </w:tcPr>
          <w:p>
            <w:pPr>
              <w:spacing w:after="0"/>
            </w:pPr>
            <w:r>
              <w:rPr>
                <w:rFonts w:ascii="Arial" w:hAnsi="Arial"/>
                <w:b w:val="0"/>
                <w:sz w:val="14"/>
              </w:rPr>
              <w:t>Define authority grant records; implement tool-action authorization; add boundary violation alerts; implement drift detection monitoring</w:t>
            </w:r>
          </w:p>
        </w:tc>
        <w:tc>
          <w:tcPr>
            <w:tcW w:type="dxa" w:w="2045"/>
          </w:tcPr>
          <w:p>
            <w:pPr>
              <w:spacing w:after="0"/>
            </w:pPr>
            <w:r>
              <w:rPr>
                <w:rFonts w:ascii="Arial" w:hAnsi="Arial"/>
                <w:b w:val="0"/>
                <w:sz w:val="14"/>
              </w:rPr>
              <w:t>Delegated authority boundary records; tool-action authorization records; boundary violation alerts; drift detection logs</w:t>
            </w:r>
          </w:p>
        </w:tc>
        <w:tc>
          <w:tcPr>
            <w:tcW w:type="dxa" w:w="2045"/>
          </w:tcPr>
          <w:p>
            <w:pPr>
              <w:spacing w:after="0"/>
            </w:pPr>
            <w:r>
              <w:rPr>
                <w:rFonts w:ascii="Arial" w:hAnsi="Arial"/>
                <w:b w:val="0"/>
                <w:sz w:val="14"/>
              </w:rPr>
              <w:t>Authority boundaries are explicit and enforced; authority drift is detected and escalated</w:t>
            </w:r>
          </w:p>
        </w:tc>
      </w:tr>
      <w:tr>
        <w:tc>
          <w:tcPr>
            <w:tcW w:type="dxa" w:w="2045"/>
          </w:tcPr>
          <w:p>
            <w:pPr>
              <w:spacing w:after="0"/>
            </w:pPr>
            <w:r>
              <w:rPr>
                <w:rFonts w:ascii="Arial" w:hAnsi="Arial"/>
                <w:b w:val="0"/>
                <w:sz w:val="14"/>
              </w:rPr>
              <w:t>Stage 2: Responsibility</w:t>
            </w:r>
          </w:p>
        </w:tc>
        <w:tc>
          <w:tcPr>
            <w:tcW w:type="dxa" w:w="2045"/>
          </w:tcPr>
          <w:p>
            <w:pPr>
              <w:spacing w:after="0"/>
            </w:pPr>
            <w:r>
              <w:rPr>
                <w:rFonts w:ascii="Arial" w:hAnsi="Arial"/>
                <w:b w:val="0"/>
                <w:sz w:val="14"/>
              </w:rPr>
              <w:t>Map human roles to MAS responsibilities and implement accepted outcome compliance</w:t>
            </w:r>
          </w:p>
        </w:tc>
        <w:tc>
          <w:tcPr>
            <w:tcW w:type="dxa" w:w="2045"/>
          </w:tcPr>
          <w:p>
            <w:pPr>
              <w:spacing w:after="0"/>
            </w:pPr>
            <w:r>
              <w:rPr>
                <w:rFonts w:ascii="Arial" w:hAnsi="Arial"/>
                <w:b w:val="0"/>
                <w:sz w:val="14"/>
              </w:rPr>
              <w:t>Define role assignment records; implement acceptance records; add review and escalation workflow; implement closure acceptance workflow</w:t>
            </w:r>
          </w:p>
        </w:tc>
        <w:tc>
          <w:tcPr>
            <w:tcW w:type="dxa" w:w="2045"/>
          </w:tcPr>
          <w:p>
            <w:pPr>
              <w:spacing w:after="0"/>
            </w:pPr>
            <w:r>
              <w:rPr>
                <w:rFonts w:ascii="Arial" w:hAnsi="Arial"/>
                <w:b w:val="0"/>
                <w:sz w:val="14"/>
              </w:rPr>
              <w:t>Human-role-to-MAS responsibility mapping; acceptance records; review records; escalation records; closure acceptance records</w:t>
            </w:r>
          </w:p>
        </w:tc>
        <w:tc>
          <w:tcPr>
            <w:tcW w:type="dxa" w:w="2045"/>
          </w:tcPr>
          <w:p>
            <w:pPr>
              <w:spacing w:after="0"/>
            </w:pPr>
            <w:r>
              <w:rPr>
                <w:rFonts w:ascii="Arial" w:hAnsi="Arial"/>
                <w:b w:val="0"/>
                <w:sz w:val="14"/>
              </w:rPr>
              <w:t>Accountable human role exists for every agent outcome; accepted outcome compliance workflow operational</w:t>
            </w:r>
          </w:p>
        </w:tc>
      </w:tr>
      <w:tr>
        <w:tc>
          <w:tcPr>
            <w:tcW w:type="dxa" w:w="2045"/>
          </w:tcPr>
          <w:p>
            <w:pPr>
              <w:spacing w:after="0"/>
            </w:pPr>
            <w:r>
              <w:rPr>
                <w:rFonts w:ascii="Arial" w:hAnsi="Arial"/>
                <w:b w:val="0"/>
                <w:sz w:val="14"/>
              </w:rPr>
              <w:t>Stage 3: Evidence</w:t>
            </w:r>
          </w:p>
        </w:tc>
        <w:tc>
          <w:tcPr>
            <w:tcW w:type="dxa" w:w="2045"/>
          </w:tcPr>
          <w:p>
            <w:pPr>
              <w:spacing w:after="0"/>
            </w:pPr>
            <w:r>
              <w:rPr>
                <w:rFonts w:ascii="Arial" w:hAnsi="Arial"/>
                <w:b w:val="0"/>
                <w:sz w:val="14"/>
              </w:rPr>
              <w:t>Convert orchestration logs into partitioned evidence chains</w:t>
            </w:r>
          </w:p>
        </w:tc>
        <w:tc>
          <w:tcPr>
            <w:tcW w:type="dxa" w:w="2045"/>
          </w:tcPr>
          <w:p>
            <w:pPr>
              <w:spacing w:after="0"/>
            </w:pPr>
            <w:r>
              <w:rPr>
                <w:rFonts w:ascii="Arial" w:hAnsi="Arial"/>
                <w:b w:val="0"/>
                <w:sz w:val="14"/>
              </w:rPr>
              <w:t>Implement MAS evidence partitioning; add evidence export capability with selective disclosure; implement evidence chain integrity validation</w:t>
            </w:r>
          </w:p>
        </w:tc>
        <w:tc>
          <w:tcPr>
            <w:tcW w:type="dxa" w:w="2045"/>
          </w:tcPr>
          <w:p>
            <w:pPr>
              <w:spacing w:after="0"/>
            </w:pPr>
            <w:r>
              <w:rPr>
                <w:rFonts w:ascii="Arial" w:hAnsi="Arial"/>
                <w:b w:val="0"/>
                <w:sz w:val="14"/>
              </w:rPr>
              <w:t>Partitioned evidence chains; evidence export logs; partition policy records; selective disclosure records; evidence integrity validation records</w:t>
            </w:r>
          </w:p>
        </w:tc>
        <w:tc>
          <w:tcPr>
            <w:tcW w:type="dxa" w:w="2045"/>
          </w:tcPr>
          <w:p>
            <w:pPr>
              <w:spacing w:after="0"/>
            </w:pPr>
            <w:r>
              <w:rPr>
                <w:rFonts w:ascii="Arial" w:hAnsi="Arial"/>
                <w:b w:val="0"/>
                <w:sz w:val="14"/>
              </w:rPr>
              <w:t>Evidence chains can reconstruct authority, plan, confirmation, tool action, and accepted outcome; evidence can be selectively disclosed to auditors</w:t>
            </w:r>
          </w:p>
        </w:tc>
      </w:tr>
      <w:tr>
        <w:tc>
          <w:tcPr>
            <w:tcW w:type="dxa" w:w="2045"/>
          </w:tcPr>
          <w:p>
            <w:pPr>
              <w:spacing w:after="0"/>
            </w:pPr>
            <w:r>
              <w:rPr>
                <w:rFonts w:ascii="Arial" w:hAnsi="Arial"/>
                <w:b w:val="0"/>
                <w:sz w:val="14"/>
              </w:rPr>
              <w:t>Stage 4: Privacy</w:t>
            </w:r>
          </w:p>
        </w:tc>
        <w:tc>
          <w:tcPr>
            <w:tcW w:type="dxa" w:w="2045"/>
          </w:tcPr>
          <w:p>
            <w:pPr>
              <w:spacing w:after="0"/>
            </w:pPr>
            <w:r>
              <w:rPr>
                <w:rFonts w:ascii="Arial" w:hAnsi="Arial"/>
                <w:b w:val="0"/>
                <w:sz w:val="14"/>
              </w:rPr>
              <w:t>Map privacy and data subject rights across lifecycle surfaces</w:t>
            </w:r>
          </w:p>
        </w:tc>
        <w:tc>
          <w:tcPr>
            <w:tcW w:type="dxa" w:w="2045"/>
          </w:tcPr>
          <w:p>
            <w:pPr>
              <w:spacing w:after="0"/>
            </w:pPr>
            <w:r>
              <w:rPr>
                <w:rFonts w:ascii="Arial" w:hAnsi="Arial"/>
                <w:b w:val="0"/>
                <w:sz w:val="14"/>
              </w:rPr>
              <w:t>Implement privacy/GDPR lifecycle mapping; add data subject rights workflow; implement evidence minimization and selective disclosure policy</w:t>
            </w:r>
          </w:p>
        </w:tc>
        <w:tc>
          <w:tcPr>
            <w:tcW w:type="dxa" w:w="2045"/>
          </w:tcPr>
          <w:p>
            <w:pPr>
              <w:spacing w:after="0"/>
            </w:pPr>
            <w:r>
              <w:rPr>
                <w:rFonts w:ascii="Arial" w:hAnsi="Arial"/>
                <w:b w:val="0"/>
                <w:sz w:val="14"/>
              </w:rPr>
              <w:t>Data flow records; retention policy records; data subject rights workflow records; evidence minimization records; selective disclosure policy records</w:t>
            </w:r>
          </w:p>
        </w:tc>
        <w:tc>
          <w:tcPr>
            <w:tcW w:type="dxa" w:w="2045"/>
          </w:tcPr>
          <w:p>
            <w:pPr>
              <w:spacing w:after="0"/>
            </w:pPr>
            <w:r>
              <w:rPr>
                <w:rFonts w:ascii="Arial" w:hAnsi="Arial"/>
                <w:b w:val="0"/>
                <w:sz w:val="14"/>
              </w:rPr>
              <w:t>Privacy is mapped across lifecycle surfaces; data subject rights can be exercised without destroying evidence; evidence minimization policy operational</w:t>
            </w:r>
          </w:p>
        </w:tc>
      </w:tr>
      <w:tr>
        <w:tc>
          <w:tcPr>
            <w:tcW w:type="dxa" w:w="2045"/>
          </w:tcPr>
          <w:p>
            <w:pPr>
              <w:spacing w:after="0"/>
            </w:pPr>
            <w:r>
              <w:rPr>
                <w:rFonts w:ascii="Arial" w:hAnsi="Arial"/>
                <w:b w:val="0"/>
                <w:sz w:val="14"/>
              </w:rPr>
              <w:t>Stage 5: Validation</w:t>
            </w:r>
          </w:p>
        </w:tc>
        <w:tc>
          <w:tcPr>
            <w:tcW w:type="dxa" w:w="2045"/>
          </w:tcPr>
          <w:p>
            <w:pPr>
              <w:spacing w:after="0"/>
            </w:pPr>
            <w:r>
              <w:rPr>
                <w:rFonts w:ascii="Arial" w:hAnsi="Arial"/>
                <w:b w:val="0"/>
                <w:sz w:val="14"/>
              </w:rPr>
              <w:t>Prepare for evidence-based validation and qualified review</w:t>
            </w:r>
          </w:p>
        </w:tc>
        <w:tc>
          <w:tcPr>
            <w:tcW w:type="dxa" w:w="2045"/>
          </w:tcPr>
          <w:p>
            <w:pPr>
              <w:spacing w:after="0"/>
            </w:pPr>
            <w:r>
              <w:rPr>
                <w:rFonts w:ascii="Arial" w:hAnsi="Arial"/>
                <w:b w:val="0"/>
                <w:sz w:val="14"/>
              </w:rPr>
              <w:t>Implement privacy-preserving validation protocol (e.g., evidence-based validation pattern from Chapter 14); add disclosure profile and redaction profile; implement hash manifests and verdict hashes; plan qualified review, which may include internal governance review, audit review, validation provider review, or other context-appropriate reviewers</w:t>
            </w:r>
          </w:p>
        </w:tc>
        <w:tc>
          <w:tcPr>
            <w:tcW w:type="dxa" w:w="2045"/>
          </w:tcPr>
          <w:p>
            <w:pPr>
              <w:spacing w:after="0"/>
            </w:pPr>
            <w:r>
              <w:rPr>
                <w:rFonts w:ascii="Arial" w:hAnsi="Arial"/>
                <w:b w:val="0"/>
                <w:sz w:val="14"/>
              </w:rPr>
              <w:t>Validation protocol records; disclosure profile records; redaction profile records; hash manifests; verdict hashes</w:t>
            </w:r>
          </w:p>
        </w:tc>
        <w:tc>
          <w:tcPr>
            <w:tcW w:type="dxa" w:w="2045"/>
          </w:tcPr>
          <w:p>
            <w:pPr>
              <w:spacing w:after="0"/>
            </w:pPr>
            <w:r>
              <w:rPr>
                <w:rFonts w:ascii="Arial" w:hAnsi="Arial"/>
                <w:b w:val="0"/>
                <w:sz w:val="14"/>
              </w:rPr>
              <w:t>Evidence can be reviewed by qualified reviewers without exposing sensitive data; validation results are privacy-preserving and tamper-evident</w:t>
            </w:r>
          </w:p>
        </w:tc>
      </w:tr>
      <w:tr>
        <w:tc>
          <w:tcPr>
            <w:tcW w:type="dxa" w:w="2045"/>
          </w:tcPr>
          <w:p>
            <w:pPr>
              <w:spacing w:after="0"/>
            </w:pPr>
            <w:r>
              <w:rPr>
                <w:rFonts w:ascii="Arial" w:hAnsi="Arial"/>
                <w:b w:val="0"/>
                <w:sz w:val="14"/>
              </w:rPr>
              <w:t>Stage 6: Remediation</w:t>
            </w:r>
          </w:p>
        </w:tc>
        <w:tc>
          <w:tcPr>
            <w:tcW w:type="dxa" w:w="2045"/>
          </w:tcPr>
          <w:p>
            <w:pPr>
              <w:spacing w:after="0"/>
            </w:pPr>
            <w:r>
              <w:rPr>
                <w:rFonts w:ascii="Arial" w:hAnsi="Arial"/>
                <w:b w:val="0"/>
                <w:sz w:val="14"/>
              </w:rPr>
              <w:t>Operationalize incident, dispute, and remediation closure workflows</w:t>
            </w:r>
          </w:p>
        </w:tc>
        <w:tc>
          <w:tcPr>
            <w:tcW w:type="dxa" w:w="2045"/>
          </w:tcPr>
          <w:p>
            <w:pPr>
              <w:spacing w:after="0"/>
            </w:pPr>
            <w:r>
              <w:rPr>
                <w:rFonts w:ascii="Arial" w:hAnsi="Arial"/>
                <w:b w:val="0"/>
                <w:sz w:val="14"/>
              </w:rPr>
              <w:t>Implement incident records; add affected outcome list generation; implement remediation records; add closure acceptance workflow; implement customer impact assessment</w:t>
            </w:r>
          </w:p>
        </w:tc>
        <w:tc>
          <w:tcPr>
            <w:tcW w:type="dxa" w:w="2045"/>
          </w:tcPr>
          <w:p>
            <w:pPr>
              <w:spacing w:after="0"/>
            </w:pPr>
            <w:r>
              <w:rPr>
                <w:rFonts w:ascii="Arial" w:hAnsi="Arial"/>
                <w:b w:val="0"/>
                <w:sz w:val="14"/>
              </w:rPr>
              <w:t>Incident records; affected outcome records; remediation records; closure acceptance records; customer impact assessment records</w:t>
            </w:r>
          </w:p>
        </w:tc>
        <w:tc>
          <w:tcPr>
            <w:tcW w:type="dxa" w:w="2045"/>
          </w:tcPr>
          <w:p>
            <w:pPr>
              <w:spacing w:after="0"/>
            </w:pPr>
            <w:r>
              <w:rPr>
                <w:rFonts w:ascii="Arial" w:hAnsi="Arial"/>
                <w:b w:val="0"/>
                <w:sz w:val="14"/>
              </w:rPr>
              <w:t>Incidents are tracked with responsible owners; affected outcomes are identified; remediation is documented; closure is accepted by responsible owner</w:t>
            </w:r>
          </w:p>
        </w:tc>
      </w:tr>
      <w:tr>
        <w:tc>
          <w:tcPr>
            <w:tcW w:type="dxa" w:w="2045"/>
          </w:tcPr>
          <w:p>
            <w:pPr>
              <w:spacing w:after="0"/>
            </w:pPr>
            <w:r>
              <w:rPr>
                <w:rFonts w:ascii="Arial" w:hAnsi="Arial"/>
                <w:b w:val="0"/>
                <w:sz w:val="14"/>
              </w:rPr>
              <w:t>Stage 7: Scale</w:t>
            </w:r>
          </w:p>
        </w:tc>
        <w:tc>
          <w:tcPr>
            <w:tcW w:type="dxa" w:w="2045"/>
          </w:tcPr>
          <w:p>
            <w:pPr>
              <w:spacing w:after="0"/>
            </w:pPr>
            <w:r>
              <w:rPr>
                <w:rFonts w:ascii="Arial" w:hAnsi="Arial"/>
                <w:b w:val="0"/>
                <w:sz w:val="14"/>
              </w:rPr>
              <w:t>Scale lifecycle governance through integration and continuous improvement</w:t>
            </w:r>
          </w:p>
        </w:tc>
        <w:tc>
          <w:tcPr>
            <w:tcW w:type="dxa" w:w="2045"/>
          </w:tcPr>
          <w:p>
            <w:pPr>
              <w:spacing w:after="0"/>
            </w:pPr>
            <w:r>
              <w:rPr>
                <w:rFonts w:ascii="Arial" w:hAnsi="Arial"/>
                <w:b w:val="0"/>
                <w:sz w:val="14"/>
              </w:rPr>
              <w:t>Integrate lifecycle governance with existing enterprise controls (Table T-17-03); extend to all agentic workflows; implement continuous improvement and monitoring; where appropriate, contribute learnings to standards, industry, or regulatory dialogue</w:t>
            </w:r>
          </w:p>
        </w:tc>
        <w:tc>
          <w:tcPr>
            <w:tcW w:type="dxa" w:w="2045"/>
          </w:tcPr>
          <w:p>
            <w:pPr>
              <w:spacing w:after="0"/>
            </w:pPr>
            <w:r>
              <w:rPr>
                <w:rFonts w:ascii="Arial" w:hAnsi="Arial"/>
                <w:b w:val="0"/>
                <w:sz w:val="14"/>
              </w:rPr>
              <w:t>Lifecycle governance integrated with audit, privacy, security, procurement, incident response, compliance, model risk, and business continuity; continuous improvement operational</w:t>
            </w:r>
          </w:p>
        </w:tc>
        <w:tc>
          <w:tcPr>
            <w:tcW w:type="dxa" w:w="2045"/>
          </w:tcPr>
          <w:p>
            <w:pPr>
              <w:spacing w:after="0"/>
            </w:pPr>
            <w:r>
              <w:rPr>
                <w:rFonts w:ascii="Arial" w:hAnsi="Arial"/>
                <w:b w:val="0"/>
                <w:sz w:val="14"/>
              </w:rPr>
              <w:t>Lifecycle governance is operational for all agentic workflows; continuous improvement and monitoring systematic; enterprise may contribute learnings to standards, industry, or regulatory dialogue where appropriate</w:t>
            </w:r>
          </w:p>
        </w:tc>
      </w:tr>
    </w:tbl>
    <w:p>
      <w:pPr>
        <w:spacing w:after="56"/>
      </w:pPr>
      <w:r>
        <w:t>Interpretation: The Stage 0-to-7 roadmap provides a practical path from lifecycle governance awareness to scaled operational capability. Each stage builds on the previous stage and produces measurable outputs and success indicators.</w:t>
      </w:r>
    </w:p>
    <w:p>
      <w:pPr>
        <w:pStyle w:val="Heading2"/>
      </w:pPr>
      <w:r>
        <w:t>17.5 Measuring Progress and Demonstrating Conformance</w:t>
      </w:r>
    </w:p>
    <w:p>
      <w:pPr>
        <w:spacing w:after="56"/>
      </w:pPr>
      <w:r>
        <w:t>Enterprises should measure progress using lifecycle responsibility objects as evidence artifacts, not using RCCS/ALCS as legal compliance scores. The following table clarifies how RCCS and ALCS should be used in adoption.</w:t>
      </w:r>
    </w:p>
    <w:p>
      <w:pPr>
        <w:keepNext/>
      </w:pPr>
      <w:r>
        <w:rPr>
          <w:b/>
          <w:sz w:val="16"/>
        </w:rPr>
        <w:t>Table T-17-05: RCCS/ALCS Use in Adoption</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Use Case</w:t>
            </w:r>
          </w:p>
        </w:tc>
        <w:tc>
          <w:tcPr>
            <w:tcW w:type="dxa" w:w="2556"/>
          </w:tcPr>
          <w:p>
            <w:pPr>
              <w:spacing w:after="0"/>
            </w:pPr>
            <w:r>
              <w:rPr>
                <w:rFonts w:ascii="Arial" w:hAnsi="Arial"/>
                <w:b/>
                <w:sz w:val="14"/>
              </w:rPr>
              <w:t>RCCS Role</w:t>
            </w:r>
          </w:p>
        </w:tc>
        <w:tc>
          <w:tcPr>
            <w:tcW w:type="dxa" w:w="2556"/>
          </w:tcPr>
          <w:p>
            <w:pPr>
              <w:spacing w:after="0"/>
            </w:pPr>
            <w:r>
              <w:rPr>
                <w:rFonts w:ascii="Arial" w:hAnsi="Arial"/>
                <w:b/>
                <w:sz w:val="14"/>
              </w:rPr>
              <w:t>ALCS Role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Gap analysis</w:t>
            </w:r>
          </w:p>
        </w:tc>
        <w:tc>
          <w:tcPr>
            <w:tcW w:type="dxa" w:w="2556"/>
          </w:tcPr>
          <w:p>
            <w:pPr>
              <w:spacing w:after="0"/>
            </w:pPr>
            <w:r>
              <w:rPr>
                <w:rFonts w:ascii="Arial" w:hAnsi="Arial"/>
                <w:b w:val="0"/>
                <w:sz w:val="14"/>
              </w:rPr>
              <w:t>RCCS dimensions identify regulatory compliance coverage gaps (e.g., RCCS-04 Record-Keeping, RCCS-06 Human Oversight)</w:t>
            </w:r>
          </w:p>
        </w:tc>
        <w:tc>
          <w:tcPr>
            <w:tcW w:type="dxa" w:w="2556"/>
          </w:tcPr>
          <w:p>
            <w:pPr>
              <w:spacing w:after="0"/>
            </w:pPr>
            <w:r>
              <w:rPr>
                <w:rFonts w:ascii="Arial" w:hAnsi="Arial"/>
                <w:b w:val="0"/>
                <w:sz w:val="14"/>
              </w:rPr>
              <w:t>ALCS dimensions identify lifecycle responsibility object gaps (e.g., ALCS-02 Delegated Authority Boundary, ALCS-04 Accepted Outcome Compliance, ALCS-06 Responsibility Transfer Across Agents)</w:t>
            </w:r>
          </w:p>
        </w:tc>
        <w:tc>
          <w:tcPr>
            <w:tcW w:type="dxa" w:w="2556"/>
          </w:tcPr>
          <w:p>
            <w:pPr>
              <w:spacing w:after="0"/>
            </w:pPr>
            <w:r>
              <w:rPr>
                <w:rFonts w:ascii="Arial" w:hAnsi="Arial"/>
                <w:b w:val="0"/>
                <w:sz w:val="14"/>
              </w:rPr>
              <w:t>RCCS/ALCS are analytical tools, not legal compliance scores; gaps identified by RCCS/ALCS require organizational interpretation and legal review</w:t>
            </w:r>
          </w:p>
        </w:tc>
      </w:tr>
      <w:tr>
        <w:tc>
          <w:tcPr>
            <w:tcW w:type="dxa" w:w="2556"/>
          </w:tcPr>
          <w:p>
            <w:pPr>
              <w:spacing w:after="0"/>
            </w:pPr>
            <w:r>
              <w:rPr>
                <w:rFonts w:ascii="Arial" w:hAnsi="Arial"/>
                <w:b w:val="0"/>
                <w:sz w:val="14"/>
              </w:rPr>
              <w:t>Pilot project baseline</w:t>
            </w:r>
          </w:p>
        </w:tc>
        <w:tc>
          <w:tcPr>
            <w:tcW w:type="dxa" w:w="2556"/>
          </w:tcPr>
          <w:p>
            <w:pPr>
              <w:spacing w:after="0"/>
            </w:pPr>
            <w:r>
              <w:rPr>
                <w:rFonts w:ascii="Arial" w:hAnsi="Arial"/>
                <w:b w:val="0"/>
                <w:sz w:val="14"/>
              </w:rPr>
              <w:t>RCCS baseline measures regulatory compliance coverage before pilot; RCCS post-pilot measures improvement</w:t>
            </w:r>
          </w:p>
        </w:tc>
        <w:tc>
          <w:tcPr>
            <w:tcW w:type="dxa" w:w="2556"/>
          </w:tcPr>
          <w:p>
            <w:pPr>
              <w:spacing w:after="0"/>
            </w:pPr>
            <w:r>
              <w:rPr>
                <w:rFonts w:ascii="Arial" w:hAnsi="Arial"/>
                <w:b w:val="0"/>
                <w:sz w:val="14"/>
              </w:rPr>
              <w:t>ALCS baseline measures lifecycle responsibility object maturity before pilot; ALCS post-pilot measures improvement</w:t>
            </w:r>
          </w:p>
        </w:tc>
        <w:tc>
          <w:tcPr>
            <w:tcW w:type="dxa" w:w="2556"/>
          </w:tcPr>
          <w:p>
            <w:pPr>
              <w:spacing w:after="0"/>
            </w:pPr>
            <w:r>
              <w:rPr>
                <w:rFonts w:ascii="Arial" w:hAnsi="Arial"/>
                <w:b w:val="0"/>
                <w:sz w:val="14"/>
              </w:rPr>
              <w:t>RCCS/ALCS baselines are internal analytical tools; they do not prove legal compliance or regulatory approval</w:t>
            </w:r>
          </w:p>
        </w:tc>
      </w:tr>
      <w:tr>
        <w:tc>
          <w:tcPr>
            <w:tcW w:type="dxa" w:w="2556"/>
          </w:tcPr>
          <w:p>
            <w:pPr>
              <w:spacing w:after="0"/>
            </w:pPr>
            <w:r>
              <w:rPr>
                <w:rFonts w:ascii="Arial" w:hAnsi="Arial"/>
                <w:b w:val="0"/>
                <w:sz w:val="14"/>
              </w:rPr>
              <w:t>System evaluation</w:t>
            </w:r>
          </w:p>
        </w:tc>
        <w:tc>
          <w:tcPr>
            <w:tcW w:type="dxa" w:w="2556"/>
          </w:tcPr>
          <w:p>
            <w:pPr>
              <w:spacing w:after="0"/>
            </w:pPr>
            <w:r>
              <w:rPr>
                <w:rFonts w:ascii="Arial" w:hAnsi="Arial"/>
                <w:b w:val="0"/>
                <w:sz w:val="14"/>
              </w:rPr>
              <w:t>RCCS posture helps evaluate whether a system provides regulatory compliance coverage primitives</w:t>
            </w:r>
          </w:p>
        </w:tc>
        <w:tc>
          <w:tcPr>
            <w:tcW w:type="dxa" w:w="2556"/>
          </w:tcPr>
          <w:p>
            <w:pPr>
              <w:spacing w:after="0"/>
            </w:pPr>
            <w:r>
              <w:rPr>
                <w:rFonts w:ascii="Arial" w:hAnsi="Arial"/>
                <w:b w:val="0"/>
                <w:sz w:val="14"/>
              </w:rPr>
              <w:t>ALCS posture helps evaluate whether a system provides lifecycle responsibility object primitives</w:t>
            </w:r>
          </w:p>
        </w:tc>
        <w:tc>
          <w:tcPr>
            <w:tcW w:type="dxa" w:w="2556"/>
          </w:tcPr>
          <w:p>
            <w:pPr>
              <w:spacing w:after="0"/>
            </w:pPr>
            <w:r>
              <w:rPr>
                <w:rFonts w:ascii="Arial" w:hAnsi="Arial"/>
                <w:b w:val="0"/>
                <w:sz w:val="14"/>
              </w:rPr>
              <w:t>RCCS/ALCS postures are analytical tools for system posture review (Chapter 11-12); they are not product rankings, certifications, or procurement recommendations</w:t>
            </w:r>
          </w:p>
        </w:tc>
      </w:tr>
      <w:tr>
        <w:tc>
          <w:tcPr>
            <w:tcW w:type="dxa" w:w="2556"/>
          </w:tcPr>
          <w:p>
            <w:pPr>
              <w:spacing w:after="0"/>
            </w:pPr>
            <w:r>
              <w:rPr>
                <w:rFonts w:ascii="Arial" w:hAnsi="Arial"/>
                <w:b w:val="0"/>
                <w:sz w:val="14"/>
              </w:rPr>
              <w:t>Audit readiness</w:t>
            </w:r>
          </w:p>
        </w:tc>
        <w:tc>
          <w:tcPr>
            <w:tcW w:type="dxa" w:w="2556"/>
          </w:tcPr>
          <w:p>
            <w:pPr>
              <w:spacing w:after="0"/>
            </w:pPr>
            <w:r>
              <w:rPr>
                <w:rFonts w:ascii="Arial" w:hAnsi="Arial"/>
                <w:b w:val="0"/>
                <w:sz w:val="14"/>
              </w:rPr>
              <w:t>RCCS dimensions map to audit control objectives (e.g., RCCS-04 Record-Keeping -&gt; audit trail requirements)</w:t>
            </w:r>
          </w:p>
        </w:tc>
        <w:tc>
          <w:tcPr>
            <w:tcW w:type="dxa" w:w="2556"/>
          </w:tcPr>
          <w:p>
            <w:pPr>
              <w:spacing w:after="0"/>
            </w:pPr>
            <w:r>
              <w:rPr>
                <w:rFonts w:ascii="Arial" w:hAnsi="Arial"/>
                <w:b w:val="0"/>
                <w:sz w:val="14"/>
              </w:rPr>
              <w:t>ALCS dimensions map to lifecycle responsibility objects that auditors may request (e.g., ALCS-08 MAS Evidence Partitioning -&gt; evidence reconstruction)</w:t>
            </w:r>
          </w:p>
        </w:tc>
        <w:tc>
          <w:tcPr>
            <w:tcW w:type="dxa" w:w="2556"/>
          </w:tcPr>
          <w:p>
            <w:pPr>
              <w:spacing w:after="0"/>
            </w:pPr>
            <w:r>
              <w:rPr>
                <w:rFonts w:ascii="Arial" w:hAnsi="Arial"/>
                <w:b w:val="0"/>
                <w:sz w:val="14"/>
              </w:rPr>
              <w:t>RCCS/ALCS help prepare for audit but do not replace audit opinions, assurance reports, or legal compliance determinations</w:t>
            </w:r>
          </w:p>
        </w:tc>
      </w:tr>
      <w:tr>
        <w:tc>
          <w:tcPr>
            <w:tcW w:type="dxa" w:w="2556"/>
          </w:tcPr>
          <w:p>
            <w:pPr>
              <w:spacing w:after="0"/>
            </w:pPr>
            <w:r>
              <w:rPr>
                <w:rFonts w:ascii="Arial" w:hAnsi="Arial"/>
                <w:b w:val="0"/>
                <w:sz w:val="14"/>
              </w:rPr>
              <w:t>Evidence-based validation</w:t>
            </w:r>
          </w:p>
        </w:tc>
        <w:tc>
          <w:tcPr>
            <w:tcW w:type="dxa" w:w="2556"/>
          </w:tcPr>
          <w:p>
            <w:pPr>
              <w:spacing w:after="0"/>
            </w:pPr>
            <w:r>
              <w:rPr>
                <w:rFonts w:ascii="Arial" w:hAnsi="Arial"/>
                <w:b w:val="0"/>
                <w:sz w:val="14"/>
              </w:rPr>
              <w:t>RCCS dimensions help identify what regulatory compliance evidence should be validated</w:t>
            </w:r>
          </w:p>
        </w:tc>
        <w:tc>
          <w:tcPr>
            <w:tcW w:type="dxa" w:w="2556"/>
          </w:tcPr>
          <w:p>
            <w:pPr>
              <w:spacing w:after="0"/>
            </w:pPr>
            <w:r>
              <w:rPr>
                <w:rFonts w:ascii="Arial" w:hAnsi="Arial"/>
                <w:b w:val="0"/>
                <w:sz w:val="14"/>
              </w:rPr>
              <w:t>ALCS dimensions help identify what lifecycle responsibility objects should be validated</w:t>
            </w:r>
          </w:p>
        </w:tc>
        <w:tc>
          <w:tcPr>
            <w:tcW w:type="dxa" w:w="2556"/>
          </w:tcPr>
          <w:p>
            <w:pPr>
              <w:spacing w:after="0"/>
            </w:pPr>
            <w:r>
              <w:rPr>
                <w:rFonts w:ascii="Arial" w:hAnsi="Arial"/>
                <w:b w:val="0"/>
                <w:sz w:val="14"/>
              </w:rPr>
              <w:t>RCCS/ALCS help scope validation but do not replace validation protocols, validation providers, or validation results</w:t>
            </w:r>
          </w:p>
        </w:tc>
      </w:tr>
      <w:tr>
        <w:tc>
          <w:tcPr>
            <w:tcW w:type="dxa" w:w="2556"/>
          </w:tcPr>
          <w:p>
            <w:pPr>
              <w:spacing w:after="0"/>
            </w:pPr>
            <w:r>
              <w:rPr>
                <w:rFonts w:ascii="Arial" w:hAnsi="Arial"/>
                <w:b w:val="0"/>
                <w:sz w:val="14"/>
              </w:rPr>
              <w:t>Continuous improvement</w:t>
            </w:r>
          </w:p>
        </w:tc>
        <w:tc>
          <w:tcPr>
            <w:tcW w:type="dxa" w:w="2556"/>
          </w:tcPr>
          <w:p>
            <w:pPr>
              <w:spacing w:after="0"/>
            </w:pPr>
            <w:r>
              <w:rPr>
                <w:rFonts w:ascii="Arial" w:hAnsi="Arial"/>
                <w:b w:val="0"/>
                <w:sz w:val="14"/>
              </w:rPr>
              <w:t>RCCS dimensions help monitor regulatory compliance coverage over time</w:t>
            </w:r>
          </w:p>
        </w:tc>
        <w:tc>
          <w:tcPr>
            <w:tcW w:type="dxa" w:w="2556"/>
          </w:tcPr>
          <w:p>
            <w:pPr>
              <w:spacing w:after="0"/>
            </w:pPr>
            <w:r>
              <w:rPr>
                <w:rFonts w:ascii="Arial" w:hAnsi="Arial"/>
                <w:b w:val="0"/>
                <w:sz w:val="14"/>
              </w:rPr>
              <w:t>ALCS dimensions help monitor lifecycle responsibility object maturity over time</w:t>
            </w:r>
          </w:p>
        </w:tc>
        <w:tc>
          <w:tcPr>
            <w:tcW w:type="dxa" w:w="2556"/>
          </w:tcPr>
          <w:p>
            <w:pPr>
              <w:spacing w:after="0"/>
            </w:pPr>
            <w:r>
              <w:rPr>
                <w:rFonts w:ascii="Arial" w:hAnsi="Arial"/>
                <w:b w:val="0"/>
                <w:sz w:val="14"/>
              </w:rPr>
              <w:t>RCCS/ALCS are monitoring tools, not legal compliance scores; continuous improvement requires organizational governance, not just scoring</w:t>
            </w:r>
          </w:p>
        </w:tc>
      </w:tr>
    </w:tbl>
    <w:p>
      <w:pPr>
        <w:spacing w:after="56"/>
      </w:pPr>
      <w:r>
        <w:t>Interpretation: RCCS and ALCS are analytical tools that help enterprises measure progress and identify gaps. They are not legal compliance scores, certifications, or regulatory approvals. Enterprises should use RCCS/ALCS to inform organizational governance decisions, not to replace legal review or regulatory interpretation.</w:t>
      </w:r>
    </w:p>
    <w:p>
      <w:pPr>
        <w:pStyle w:val="Heading2"/>
      </w:pPr>
      <w:r>
        <w:t>17.6 Scaling from Pilot to Production</w:t>
      </w:r>
    </w:p>
    <w:p>
      <w:pPr>
        <w:spacing w:after="56"/>
      </w:pPr>
      <w:r>
        <w:t>Scaling from pilot to production requires organizational commitment, integration with existing enterprise controls, and continuous improvement. Enterprises should:</w:t>
      </w:r>
    </w:p>
    <w:p>
      <w:pPr>
        <w:pStyle w:val="ListNumber"/>
        <w:spacing w:after="56"/>
      </w:pPr>
      <w:r>
        <w:t>Extend pilot learnings to additional workflows: Use pilot project learnings to extend lifecycle governance to additional agentic workflows. Prioritize workflows that address Chapter 15 failure scenarios or that operate in regulated contexts.</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Operationalize all lifecycle responsibility objects: Use Table T-17-04 to operationalize all lifecycle responsibility objects across all agentic workflows. Ensure that authority boundaries, responsibility mappings, evidence chains, privacy mappings, validation protocols, and remediation workflows are operational.</w:t>
      </w:r>
    </w:p>
    <w:p>
      <w:pPr>
        <w:pStyle w:val="ListNumber"/>
        <w:spacing w:after="56"/>
      </w:pPr>
      <w:r>
        <w:t>Implement continuous improvement: Monitor lifecycle governance effectiveness using lifecycle responsibility objects as evidence artifacts. Use RCCS/ALCS as analytical tools to identify gaps and measure progress. Implement continuous improvement workflows to address gaps and refine lifecycle governance as agentic systems evolve.</w:t>
      </w:r>
    </w:p>
    <w:p>
      <w:pPr>
        <w:pStyle w:val="ListNumber"/>
        <w:spacing w:after="56"/>
      </w:pPr>
      <w:r>
        <w:t>Prepare for evidence-based validation: Implement privacy-preserving validation protocols (e.g., evidence-based validation pattern from Chapter 14) to prepare for qualified review, which may include internal governance review, audit review, validation provider review, or other context-appropriate reviewers. Ensure that evidence can be reviewed without exposing sensitive data.</w:t>
      </w:r>
    </w:p>
    <w:p>
      <w:pPr>
        <w:pStyle w:val="ListNumber"/>
        <w:spacing w:after="56"/>
      </w:pPr>
      <w:r>
        <w:t>Use Chapter 15 scenarios as test cases: Use Chapter 15 enterprise failure scenarios as test cases for lifecycle governance design. Ensure that lifecycle governance prevents or mitigates the eight failure scenarios: authority boundary failure, evidence chain failure, accepted outcome failure, cross-project reuse failure, privacy validation failure, processor chain failure, vendor/runtime substitution failure, and remediation closure failure.</w:t>
      </w:r>
    </w:p>
    <w:p>
      <w:pPr>
        <w:pStyle w:val="ListNumber"/>
        <w:spacing w:after="56"/>
      </w:pPr>
      <w:r>
        <w:t>Contribute learnings where appropriate: As lifecycle governance matures, where appropriate, contribute learnings to standards, industry, or regulatory dialogue. Enterprises may share learnings with industry peers, participate in standards development, or engage with regulators where doing so fits their role, jurisdiction, and risk posture.</w:t>
      </w:r>
    </w:p>
    <w:p>
      <w:pPr>
        <w:spacing w:after="56"/>
      </w:pPr>
      <w:r>
        <w:t>Scaling is not a one-time event. It is a continuous process that requires organizational commitment, integration with existing controls, and continuous improvement.</w:t>
      </w:r>
    </w:p>
    <w:p>
      <w:pPr>
        <w:pStyle w:val="Heading2"/>
      </w:pPr>
      <w:r>
        <w:t>17.7 Bridge to Conclusion</w:t>
      </w:r>
    </w:p>
    <w:p>
      <w:pPr>
        <w:spacing w:after="56"/>
      </w:pPr>
      <w:r>
        <w:t>Chapter 17 has presented an adoption roadmap for enterprises implementing AI Agent Lifecycle Governance. The roadmap provides a staged path from lifecycle governance awareness (Stage 0) to scaled operational capability (Stage 7). The roadmap integrates lifecycle governance with existing enterprise controls and uses RCCS/ALCS as analytical tools, not legal compliance scores.</w:t>
      </w:r>
    </w:p>
    <w:p>
      <w:pPr>
        <w:spacing w:after="56"/>
      </w:pPr>
      <w:r>
        <w:t>The bridge from adoption roadmap (Chapter 17) to conclusion (Chapter 18) is the recognition that AI Agent Lifecycle Governance is not a theoretical framework. It is a practical necessity for enterprises deploying agentic AI systems.</w:t>
      </w:r>
    </w:p>
    <w:p>
      <w:pPr>
        <w:spacing w:after="56"/>
      </w:pPr>
      <w:r>
        <w:t>The white paper has defined the missing layer (Chapter 2), identified the sixteen Missing Regulatory Objects (Chapter 6), introduced RCCS and ALCS as analytical frameworks (Chapters 7-8), mapped existing systems (Chapters 11-12), examined evidence-based validation patterns (Chapter 14), demonstrated enterprise failure scenarios (Chapter 15), and presented an adoption roadmap (Chapter 17).</w:t>
      </w:r>
    </w:p>
    <w:p>
      <w:pPr>
        <w:spacing w:after="56"/>
      </w:pPr>
      <w:r>
        <w:t>Chapter 18 will conclude the white paper with a restatement of the core thesis, a summary of contributions, a statement of boundaries, and a call to action.</w:t>
      </w:r>
    </w:p>
    <w:p>
      <w:pPr>
        <w:pStyle w:val="Heading1"/>
      </w:pPr>
      <w:r>
        <w:t>18. Conclusion</w:t>
      </w:r>
    </w:p>
    <w:p>
      <w:pPr>
        <w:spacing w:after="56"/>
      </w:pPr>
      <w:r>
        <w:t>Version: v0.3.2-FRC-R3</w:t>
      </w:r>
    </w:p>
    <w:p>
      <w:pPr>
        <w:pStyle w:val="Heading2"/>
      </w:pPr>
      <w:r>
        <w:t>18.0 Core Thesis Restatement</w:t>
      </w:r>
    </w:p>
    <w:p>
      <w:pPr>
        <w:spacing w:after="56"/>
      </w:pPr>
      <w:r>
        <w:t>AI Agent / MAS compliance is not only model compliance. It is lifecycle responsibility compliance.</w:t>
      </w:r>
    </w:p>
    <w:p>
      <w:pPr>
        <w:spacing w:after="56"/>
      </w:pPr>
      <w:r>
        <w:t>This white paper has argued that a missing layer exists between model governance and enterprise trust. Model-centric governance addresses model accuracy, fairness, safety, and explainability. Enterprise trust requires audit readiness, regulatory compliance coverage, privacy protection, accountability, and dispute resolution. The missing layer is AI Agent Lifecycle Governance.</w:t>
      </w:r>
    </w:p>
    <w:p>
      <w:pPr>
        <w:spacing w:after="56"/>
      </w:pPr>
      <w:r>
        <w:t>AI Agent Lifecycle Governance addresses the lifecycle responsibility objects that emerge when AI systems move from inference to action, from single-model execution to multi-agent collaboration, from human-supervised workflows to autonomous delegation. These lifecycle responsibility objects include:</w:t>
      </w:r>
    </w:p>
    <w:p>
      <w:pPr>
        <w:pStyle w:val="ListBullet"/>
        <w:spacing w:after="56"/>
      </w:pPr>
      <w:r>
        <w:t>Human-role-to-MAS responsibility mapping</w:t>
      </w:r>
    </w:p>
    <w:p>
      <w:pPr>
        <w:pStyle w:val="ListBullet"/>
        <w:spacing w:after="56"/>
      </w:pPr>
      <w:r>
        <w:t>Delegated authority boundaries</w:t>
      </w:r>
    </w:p>
    <w:p>
      <w:pPr>
        <w:pStyle w:val="ListBullet"/>
        <w:spacing w:after="56"/>
      </w:pPr>
      <w:r>
        <w:t>Accepted outcome compliance</w:t>
      </w:r>
    </w:p>
    <w:p>
      <w:pPr>
        <w:pStyle w:val="ListBullet"/>
        <w:spacing w:after="56"/>
      </w:pPr>
      <w:r>
        <w:t>Tool-action liability boundaries</w:t>
      </w:r>
    </w:p>
    <w:p>
      <w:pPr>
        <w:pStyle w:val="ListBullet"/>
        <w:spacing w:after="56"/>
      </w:pPr>
      <w:r>
        <w:t>Responsibility transfer across agents</w:t>
      </w:r>
    </w:p>
    <w:p>
      <w:pPr>
        <w:pStyle w:val="ListBullet"/>
        <w:spacing w:after="56"/>
      </w:pPr>
      <w:r>
        <w:t>Authority drift detection</w:t>
      </w:r>
    </w:p>
    <w:p>
      <w:pPr>
        <w:pStyle w:val="ListBullet"/>
        <w:spacing w:after="56"/>
      </w:pPr>
      <w:r>
        <w:t>MAS evidence partitioning</w:t>
      </w:r>
    </w:p>
    <w:p>
      <w:pPr>
        <w:pStyle w:val="ListBullet"/>
        <w:spacing w:after="56"/>
      </w:pPr>
      <w:r>
        <w:t>Cross-project reuse compliance</w:t>
      </w:r>
    </w:p>
    <w:p>
      <w:pPr>
        <w:pStyle w:val="ListBullet"/>
        <w:spacing w:after="56"/>
      </w:pPr>
      <w:r>
        <w:t>Privacy/GDPR lifecycle mapping</w:t>
      </w:r>
    </w:p>
    <w:p>
      <w:pPr>
        <w:pStyle w:val="ListBullet"/>
        <w:spacing w:after="56"/>
      </w:pPr>
      <w:r>
        <w:t>Privacy-preserving third-party validation</w:t>
      </w:r>
    </w:p>
    <w:p>
      <w:pPr>
        <w:pStyle w:val="ListBullet"/>
        <w:spacing w:after="56"/>
      </w:pPr>
      <w:r>
        <w:t>Evidence minimization and selective disclosure</w:t>
      </w:r>
    </w:p>
    <w:p>
      <w:pPr>
        <w:pStyle w:val="ListBullet"/>
        <w:spacing w:after="56"/>
      </w:pPr>
      <w:r>
        <w:t>Data subject rights vs evidence retention reconciliation</w:t>
      </w:r>
    </w:p>
    <w:p>
      <w:pPr>
        <w:pStyle w:val="ListBullet"/>
        <w:spacing w:after="56"/>
      </w:pPr>
      <w:r>
        <w:t>Third-party processor/subprocessor chain mapping</w:t>
      </w:r>
    </w:p>
    <w:p>
      <w:pPr>
        <w:pStyle w:val="ListBullet"/>
        <w:spacing w:after="56"/>
      </w:pPr>
      <w:r>
        <w:t>Vendor/model/runtime substitution conformance</w:t>
      </w:r>
    </w:p>
    <w:p>
      <w:pPr>
        <w:pStyle w:val="ListBullet"/>
        <w:spacing w:after="56"/>
      </w:pPr>
      <w:r>
        <w:t>Incident, dispute, and remediation closure</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The transition from model governance to agentic lifecycle conformance is not a theoretical exercise. It is a practical necessity for enterprises deploying agentic AI systems in regulated contexts.</w:t>
      </w:r>
    </w:p>
    <w:p>
      <w:pPr>
        <w:pStyle w:val="Heading2"/>
      </w:pPr>
      <w:r>
        <w:t>18.1 What This White Paper Provides</w:t>
      </w:r>
    </w:p>
    <w:p>
      <w:pPr>
        <w:spacing w:after="56"/>
      </w:pPr>
      <w:r>
        <w:t>This white paper provides a framework for AI Agent Lifecycle Governance. The framework consists of eight core contributions.</w:t>
      </w:r>
    </w:p>
    <w:p>
      <w:pPr>
        <w:keepNext/>
      </w:pPr>
      <w:r>
        <w:rPr>
          <w:b/>
          <w:sz w:val="16"/>
        </w:rPr>
        <w:t>Table T-18-01: White Paper Contribution Summary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Contribution</w:t>
            </w:r>
          </w:p>
        </w:tc>
        <w:tc>
          <w:tcPr>
            <w:tcW w:type="dxa" w:w="2556"/>
          </w:tcPr>
          <w:p>
            <w:pPr>
              <w:spacing w:after="0"/>
            </w:pPr>
            <w:r>
              <w:rPr>
                <w:rFonts w:ascii="Arial" w:hAnsi="Arial"/>
                <w:b/>
                <w:sz w:val="14"/>
              </w:rPr>
              <w:t>Purpose</w:t>
            </w:r>
          </w:p>
        </w:tc>
        <w:tc>
          <w:tcPr>
            <w:tcW w:type="dxa" w:w="2556"/>
          </w:tcPr>
          <w:p>
            <w:pPr>
              <w:spacing w:after="0"/>
            </w:pPr>
            <w:r>
              <w:rPr>
                <w:rFonts w:ascii="Arial" w:hAnsi="Arial"/>
                <w:b/>
                <w:sz w:val="14"/>
              </w:rPr>
              <w:t>Practical Use</w:t>
            </w:r>
          </w:p>
        </w:tc>
        <w:tc>
          <w:tcPr>
            <w:tcW w:type="dxa" w:w="2556"/>
          </w:tcPr>
          <w:p>
            <w:pPr>
              <w:spacing w:after="0"/>
            </w:pPr>
            <w:r>
              <w:rPr>
                <w:rFonts w:ascii="Arial" w:hAnsi="Arial"/>
                <w:b/>
                <w:sz w:val="14"/>
              </w:rPr>
              <w:t>Boundary</w:t>
            </w:r>
          </w:p>
        </w:tc>
      </w:tr>
      <w:tr>
        <w:tc>
          <w:tcPr>
            <w:tcW w:type="dxa" w:w="2556"/>
          </w:tcPr>
          <w:p>
            <w:pPr>
              <w:spacing w:after="0"/>
            </w:pPr>
            <w:r>
              <w:rPr>
                <w:rFonts w:ascii="Arial" w:hAnsi="Arial"/>
                <w:b w:val="0"/>
                <w:sz w:val="14"/>
              </w:rPr>
              <w:t>AI Agent Lifecycle Governance (Chapter 2)</w:t>
            </w:r>
          </w:p>
        </w:tc>
        <w:tc>
          <w:tcPr>
            <w:tcW w:type="dxa" w:w="2556"/>
          </w:tcPr>
          <w:p>
            <w:pPr>
              <w:spacing w:after="0"/>
            </w:pPr>
            <w:r>
              <w:rPr>
                <w:rFonts w:ascii="Arial" w:hAnsi="Arial"/>
                <w:b w:val="0"/>
                <w:sz w:val="14"/>
              </w:rPr>
              <w:t>Define the missing layer between model governance and enterprise trust</w:t>
            </w:r>
          </w:p>
        </w:tc>
        <w:tc>
          <w:tcPr>
            <w:tcW w:type="dxa" w:w="2556"/>
          </w:tcPr>
          <w:p>
            <w:pPr>
              <w:spacing w:after="0"/>
            </w:pPr>
            <w:r>
              <w:rPr>
                <w:rFonts w:ascii="Arial" w:hAnsi="Arial"/>
                <w:b w:val="0"/>
                <w:sz w:val="14"/>
              </w:rPr>
              <w:t>Enterprises can use this framework to identify lifecycle governance gaps and design lifecycle responsibility objects</w:t>
            </w:r>
          </w:p>
        </w:tc>
        <w:tc>
          <w:tcPr>
            <w:tcW w:type="dxa" w:w="2556"/>
          </w:tcPr>
          <w:p>
            <w:pPr>
              <w:spacing w:after="0"/>
            </w:pPr>
            <w:r>
              <w:rPr>
                <w:rFonts w:ascii="Arial" w:hAnsi="Arial"/>
                <w:b w:val="0"/>
                <w:sz w:val="14"/>
              </w:rPr>
              <w:t>This is a governance framework, not a legal compliance procedure, certification program, or regulatory approval process</w:t>
            </w:r>
          </w:p>
        </w:tc>
      </w:tr>
      <w:tr>
        <w:tc>
          <w:tcPr>
            <w:tcW w:type="dxa" w:w="2556"/>
          </w:tcPr>
          <w:p>
            <w:pPr>
              <w:spacing w:after="0"/>
            </w:pPr>
            <w:r>
              <w:rPr>
                <w:rFonts w:ascii="Arial" w:hAnsi="Arial"/>
                <w:b w:val="0"/>
                <w:sz w:val="14"/>
              </w:rPr>
              <w:t>Sixteen Missing Regulatory Objects (Chapter 6)</w:t>
            </w:r>
          </w:p>
        </w:tc>
        <w:tc>
          <w:tcPr>
            <w:tcW w:type="dxa" w:w="2556"/>
          </w:tcPr>
          <w:p>
            <w:pPr>
              <w:spacing w:after="0"/>
            </w:pPr>
            <w:r>
              <w:rPr>
                <w:rFonts w:ascii="Arial" w:hAnsi="Arial"/>
                <w:b w:val="0"/>
                <w:sz w:val="14"/>
              </w:rPr>
              <w:t>Identify the lifecycle responsibility objects that model-centric governance does not address</w:t>
            </w:r>
          </w:p>
        </w:tc>
        <w:tc>
          <w:tcPr>
            <w:tcW w:type="dxa" w:w="2556"/>
          </w:tcPr>
          <w:p>
            <w:pPr>
              <w:spacing w:after="0"/>
            </w:pPr>
            <w:r>
              <w:rPr>
                <w:rFonts w:ascii="Arial" w:hAnsi="Arial"/>
                <w:b w:val="0"/>
                <w:sz w:val="14"/>
              </w:rPr>
              <w:t>Enterprises can use the sixteen MROs as a checklist for lifecycle governance design; auditors can use MROs to scope lifecycle governance reviews</w:t>
            </w:r>
          </w:p>
        </w:tc>
        <w:tc>
          <w:tcPr>
            <w:tcW w:type="dxa" w:w="2556"/>
          </w:tcPr>
          <w:p>
            <w:pPr>
              <w:spacing w:after="0"/>
            </w:pPr>
            <w:r>
              <w:rPr>
                <w:rFonts w:ascii="Arial" w:hAnsi="Arial"/>
                <w:b w:val="0"/>
                <w:sz w:val="14"/>
              </w:rPr>
              <w:t>MROs are governance objects, not legal requirements; MRO presence does not prove legal compliance; MRO absence does not prove non-compliance</w:t>
            </w:r>
          </w:p>
        </w:tc>
      </w:tr>
      <w:tr>
        <w:tc>
          <w:tcPr>
            <w:tcW w:type="dxa" w:w="2556"/>
          </w:tcPr>
          <w:p>
            <w:pPr>
              <w:spacing w:after="0"/>
            </w:pPr>
            <w:r>
              <w:rPr>
                <w:rFonts w:ascii="Arial" w:hAnsi="Arial"/>
                <w:b w:val="0"/>
                <w:sz w:val="14"/>
              </w:rPr>
              <w:t>RCCS — Regulatory Compliance Coverage Score (Chapter 7)</w:t>
            </w:r>
          </w:p>
        </w:tc>
        <w:tc>
          <w:tcPr>
            <w:tcW w:type="dxa" w:w="2556"/>
          </w:tcPr>
          <w:p>
            <w:pPr>
              <w:spacing w:after="0"/>
            </w:pPr>
            <w:r>
              <w:rPr>
                <w:rFonts w:ascii="Arial" w:hAnsi="Arial"/>
                <w:b w:val="0"/>
                <w:sz w:val="14"/>
              </w:rPr>
              <w:t>Measure regulatory compliance coverage across ten dimensions</w:t>
            </w:r>
          </w:p>
        </w:tc>
        <w:tc>
          <w:tcPr>
            <w:tcW w:type="dxa" w:w="2556"/>
          </w:tcPr>
          <w:p>
            <w:pPr>
              <w:spacing w:after="0"/>
            </w:pPr>
            <w:r>
              <w:rPr>
                <w:rFonts w:ascii="Arial" w:hAnsi="Arial"/>
                <w:b w:val="0"/>
                <w:sz w:val="14"/>
              </w:rPr>
              <w:t>Enterprises can use RCCS to identify regulatory compliance coverage gaps; system evaluators can use RCCS to structure analytical posture review</w:t>
            </w:r>
          </w:p>
        </w:tc>
        <w:tc>
          <w:tcPr>
            <w:tcW w:type="dxa" w:w="2556"/>
          </w:tcPr>
          <w:p>
            <w:pPr>
              <w:spacing w:after="0"/>
            </w:pPr>
            <w:r>
              <w:rPr>
                <w:rFonts w:ascii="Arial" w:hAnsi="Arial"/>
                <w:b w:val="0"/>
                <w:sz w:val="14"/>
              </w:rPr>
              <w:t>RCCS is an analytical tool, not a legal compliance score; high RCCS does not prove legal compliance; low RCCS does not prove non-compliance</w:t>
            </w:r>
          </w:p>
        </w:tc>
      </w:tr>
      <w:tr>
        <w:tc>
          <w:tcPr>
            <w:tcW w:type="dxa" w:w="2556"/>
          </w:tcPr>
          <w:p>
            <w:pPr>
              <w:spacing w:after="0"/>
            </w:pPr>
            <w:r>
              <w:rPr>
                <w:rFonts w:ascii="Arial" w:hAnsi="Arial"/>
                <w:b w:val="0"/>
                <w:sz w:val="14"/>
              </w:rPr>
              <w:t>ALCS — Agentic Lifecycle Conformance Score (Chapter 8)</w:t>
            </w:r>
          </w:p>
        </w:tc>
        <w:tc>
          <w:tcPr>
            <w:tcW w:type="dxa" w:w="2556"/>
          </w:tcPr>
          <w:p>
            <w:pPr>
              <w:spacing w:after="0"/>
            </w:pPr>
            <w:r>
              <w:rPr>
                <w:rFonts w:ascii="Arial" w:hAnsi="Arial"/>
                <w:b w:val="0"/>
                <w:sz w:val="14"/>
              </w:rPr>
              <w:t>Measure lifecycle responsibility object maturity across fifteen dimensions</w:t>
            </w:r>
          </w:p>
        </w:tc>
        <w:tc>
          <w:tcPr>
            <w:tcW w:type="dxa" w:w="2556"/>
          </w:tcPr>
          <w:p>
            <w:pPr>
              <w:spacing w:after="0"/>
            </w:pPr>
            <w:r>
              <w:rPr>
                <w:rFonts w:ascii="Arial" w:hAnsi="Arial"/>
                <w:b w:val="0"/>
                <w:sz w:val="14"/>
              </w:rPr>
              <w:t>Enterprises can use ALCS to identify lifecycle responsibility object gaps; system evaluators can use ALCS to structure lifecycle conformance posture review</w:t>
            </w:r>
          </w:p>
        </w:tc>
        <w:tc>
          <w:tcPr>
            <w:tcW w:type="dxa" w:w="2556"/>
          </w:tcPr>
          <w:p>
            <w:pPr>
              <w:spacing w:after="0"/>
            </w:pPr>
            <w:r>
              <w:rPr>
                <w:rFonts w:ascii="Arial" w:hAnsi="Arial"/>
                <w:b w:val="0"/>
                <w:sz w:val="14"/>
              </w:rPr>
              <w:t>ALCS is an analytical tool, not a legal compliance score; high ALCS does not prove legal compliance; low ALCS does not prove non-compliance</w:t>
            </w:r>
          </w:p>
        </w:tc>
      </w:tr>
      <w:tr>
        <w:tc>
          <w:tcPr>
            <w:tcW w:type="dxa" w:w="2556"/>
          </w:tcPr>
          <w:p>
            <w:pPr>
              <w:spacing w:after="0"/>
            </w:pPr>
            <w:r>
              <w:rPr>
                <w:rFonts w:ascii="Arial" w:hAnsi="Arial"/>
                <w:b w:val="0"/>
                <w:sz w:val="14"/>
              </w:rPr>
              <w:t>System-Category Mapping (Chapters 11-12)</w:t>
            </w:r>
          </w:p>
        </w:tc>
        <w:tc>
          <w:tcPr>
            <w:tcW w:type="dxa" w:w="2556"/>
          </w:tcPr>
          <w:p>
            <w:pPr>
              <w:spacing w:after="0"/>
            </w:pPr>
            <w:r>
              <w:rPr>
                <w:rFonts w:ascii="Arial" w:hAnsi="Arial"/>
                <w:b w:val="0"/>
                <w:sz w:val="14"/>
              </w:rPr>
              <w:t>Map eight systems across four categories by RCCS/ALCS posture and lifecycle gaps</w:t>
            </w:r>
          </w:p>
        </w:tc>
        <w:tc>
          <w:tcPr>
            <w:tcW w:type="dxa" w:w="2556"/>
          </w:tcPr>
          <w:p>
            <w:pPr>
              <w:spacing w:after="0"/>
            </w:pPr>
            <w:r>
              <w:rPr>
                <w:rFonts w:ascii="Arial" w:hAnsi="Arial"/>
                <w:b w:val="0"/>
                <w:sz w:val="14"/>
              </w:rPr>
              <w:t>System mappings organize qualitative, source-qualified posture differences across system categories; system designers can use mappings to identify lifecycle governance design patterns</w:t>
            </w:r>
          </w:p>
        </w:tc>
        <w:tc>
          <w:tcPr>
            <w:tcW w:type="dxa" w:w="2556"/>
          </w:tcPr>
          <w:p>
            <w:pPr>
              <w:spacing w:after="0"/>
            </w:pPr>
            <w:r>
              <w:rPr>
                <w:rFonts w:ascii="Arial" w:hAnsi="Arial"/>
                <w:b w:val="0"/>
                <w:sz w:val="14"/>
              </w:rPr>
              <w:t>System mappings are analytical tools, not product rankings, certifications, procurement recommendations, or vendor endorsements</w:t>
            </w:r>
          </w:p>
        </w:tc>
      </w:tr>
      <w:tr>
        <w:tc>
          <w:tcPr>
            <w:tcW w:type="dxa" w:w="2556"/>
          </w:tcPr>
          <w:p>
            <w:pPr>
              <w:spacing w:after="0"/>
            </w:pPr>
            <w:r>
              <w:rPr>
                <w:rFonts w:ascii="Arial" w:hAnsi="Arial"/>
                <w:b w:val="0"/>
                <w:sz w:val="14"/>
              </w:rPr>
              <w:t>Evidence-Based Validation Pattern (Chapter 14)</w:t>
            </w:r>
          </w:p>
        </w:tc>
        <w:tc>
          <w:tcPr>
            <w:tcW w:type="dxa" w:w="2556"/>
          </w:tcPr>
          <w:p>
            <w:pPr>
              <w:spacing w:after="0"/>
            </w:pPr>
            <w:r>
              <w:rPr>
                <w:rFonts w:ascii="Arial" w:hAnsi="Arial"/>
                <w:b w:val="0"/>
                <w:sz w:val="14"/>
              </w:rPr>
              <w:t>Define a reusable methodology for privacy-preserving qualified review of lifecycle responsibility objects</w:t>
            </w:r>
          </w:p>
        </w:tc>
        <w:tc>
          <w:tcPr>
            <w:tcW w:type="dxa" w:w="2556"/>
          </w:tcPr>
          <w:p>
            <w:pPr>
              <w:spacing w:after="0"/>
            </w:pPr>
            <w:r>
              <w:rPr>
                <w:rFonts w:ascii="Arial" w:hAnsi="Arial"/>
                <w:b w:val="0"/>
                <w:sz w:val="14"/>
              </w:rPr>
              <w:t>Enterprises can use the evidence-based validation pattern to prepare for qualified review without exposing sensitive data; validation providers can use the pattern to design privacy-preserving validation protocols</w:t>
            </w:r>
          </w:p>
        </w:tc>
        <w:tc>
          <w:tcPr>
            <w:tcW w:type="dxa" w:w="2556"/>
          </w:tcPr>
          <w:p>
            <w:pPr>
              <w:spacing w:after="0"/>
            </w:pPr>
            <w:r>
              <w:rPr>
                <w:rFonts w:ascii="Arial" w:hAnsi="Arial"/>
                <w:b w:val="0"/>
                <w:sz w:val="14"/>
              </w:rPr>
              <w:t>The pattern is a methodology, not a certification program; validation results do not prove legal compliance; Validation Lab is one non-certifying example, not the only validation path</w:t>
            </w:r>
          </w:p>
        </w:tc>
      </w:tr>
      <w:tr>
        <w:tc>
          <w:tcPr>
            <w:tcW w:type="dxa" w:w="2556"/>
          </w:tcPr>
          <w:p>
            <w:pPr>
              <w:spacing w:after="0"/>
            </w:pPr>
            <w:r>
              <w:rPr>
                <w:rFonts w:ascii="Arial" w:hAnsi="Arial"/>
                <w:b w:val="0"/>
                <w:sz w:val="14"/>
              </w:rPr>
              <w:t>Enterprise Failure Scenarios (Chapter 15)</w:t>
            </w:r>
          </w:p>
        </w:tc>
        <w:tc>
          <w:tcPr>
            <w:tcW w:type="dxa" w:w="2556"/>
          </w:tcPr>
          <w:p>
            <w:pPr>
              <w:spacing w:after="0"/>
            </w:pPr>
            <w:r>
              <w:rPr>
                <w:rFonts w:ascii="Arial" w:hAnsi="Arial"/>
                <w:b w:val="0"/>
                <w:sz w:val="14"/>
              </w:rPr>
              <w:t>Use illustrative, hypothetical scenarios to show where lifecycle governance gaps may create predictable enterprise failure patterns</w:t>
            </w:r>
          </w:p>
        </w:tc>
        <w:tc>
          <w:tcPr>
            <w:tcW w:type="dxa" w:w="2556"/>
          </w:tcPr>
          <w:p>
            <w:pPr>
              <w:spacing w:after="0"/>
            </w:pPr>
            <w:r>
              <w:rPr>
                <w:rFonts w:ascii="Arial" w:hAnsi="Arial"/>
                <w:b w:val="0"/>
                <w:sz w:val="14"/>
              </w:rPr>
              <w:t>Enterprises can use failure scenarios as test cases for lifecycle governance design; risk managers can use scenarios to assess lifecycle governance risk</w:t>
            </w:r>
          </w:p>
        </w:tc>
        <w:tc>
          <w:tcPr>
            <w:tcW w:type="dxa" w:w="2556"/>
          </w:tcPr>
          <w:p>
            <w:pPr>
              <w:spacing w:after="0"/>
            </w:pPr>
            <w:r>
              <w:rPr>
                <w:rFonts w:ascii="Arial" w:hAnsi="Arial"/>
                <w:b w:val="0"/>
                <w:sz w:val="14"/>
              </w:rPr>
              <w:t>Scenarios are illustrative and hypothetical, not claims that agentic AI is uniquely unsafe or that any specific vendor, platform, or organization failed; scenarios show where model-centric governance becomes insufficient, not that lifecycle governance eliminates all risk</w:t>
            </w:r>
          </w:p>
        </w:tc>
      </w:tr>
      <w:tr>
        <w:tc>
          <w:tcPr>
            <w:tcW w:type="dxa" w:w="2556"/>
          </w:tcPr>
          <w:p>
            <w:pPr>
              <w:spacing w:after="0"/>
            </w:pPr>
            <w:r>
              <w:rPr>
                <w:rFonts w:ascii="Arial" w:hAnsi="Arial"/>
                <w:b w:val="0"/>
                <w:sz w:val="14"/>
              </w:rPr>
              <w:t>Adoption Roadmap (Chapter 17)</w:t>
            </w:r>
          </w:p>
        </w:tc>
        <w:tc>
          <w:tcPr>
            <w:tcW w:type="dxa" w:w="2556"/>
          </w:tcPr>
          <w:p>
            <w:pPr>
              <w:spacing w:after="0"/>
            </w:pPr>
            <w:r>
              <w:rPr>
                <w:rFonts w:ascii="Arial" w:hAnsi="Arial"/>
                <w:b w:val="0"/>
                <w:sz w:val="14"/>
              </w:rPr>
              <w:t>Provide a staged path from lifecycle governance awareness to scaled operational capability</w:t>
            </w:r>
          </w:p>
        </w:tc>
        <w:tc>
          <w:tcPr>
            <w:tcW w:type="dxa" w:w="2556"/>
          </w:tcPr>
          <w:p>
            <w:pPr>
              <w:spacing w:after="0"/>
            </w:pPr>
            <w:r>
              <w:rPr>
                <w:rFonts w:ascii="Arial" w:hAnsi="Arial"/>
                <w:b w:val="0"/>
                <w:sz w:val="14"/>
              </w:rPr>
              <w:t>Enterprises can use the adoption roadmap to operationalize lifecycle responsibility objects; governance teams can use the roadmap to integrate lifecycle governance with existing enterprise controls</w:t>
            </w:r>
          </w:p>
        </w:tc>
        <w:tc>
          <w:tcPr>
            <w:tcW w:type="dxa" w:w="2556"/>
          </w:tcPr>
          <w:p>
            <w:pPr>
              <w:spacing w:after="0"/>
            </w:pPr>
            <w:r>
              <w:rPr>
                <w:rFonts w:ascii="Arial" w:hAnsi="Arial"/>
                <w:b w:val="0"/>
                <w:sz w:val="14"/>
              </w:rPr>
              <w:t>The roadmap is a practical guide, not a certification checklist, legal compliance procedure, or regulatory approval process</w:t>
            </w:r>
          </w:p>
        </w:tc>
      </w:tr>
    </w:tbl>
    <w:p>
      <w:pPr>
        <w:spacing w:after="56"/>
      </w:pPr>
      <w:r>
        <w:t>Interpretation: These eight contributions provide a framework for AI Agent Lifecycle Governance. The framework is designed to help enterprises identify lifecycle governance gaps, operationalize lifecycle responsibility objects, and integrate lifecycle governance with existing enterprise controls.</w:t>
      </w:r>
    </w:p>
    <w:p>
      <w:pPr>
        <w:pStyle w:val="Heading2"/>
      </w:pPr>
      <w:r>
        <w:t>18.2 What This White Paper Does Not Provide</w:t>
      </w:r>
    </w:p>
    <w:p>
      <w:pPr>
        <w:spacing w:after="56"/>
      </w:pPr>
      <w:r>
        <w:t>This white paper is a governance framework, not a legal compliance procedure, certification program, or regulatory approval process. The following table clarifies what this paper says and what it does not say.</w:t>
      </w:r>
    </w:p>
    <w:p>
      <w:pPr>
        <w:keepNext/>
      </w:pPr>
      <w:r>
        <w:rPr>
          <w:b/>
          <w:sz w:val="16"/>
        </w:rPr>
        <w:t>Table T-18-02: Non-Claims and Boundaries</w:t>
      </w:r>
    </w:p>
    <w:tbl>
      <w:tblPr>
        <w:tblStyle w:val="TableGrid"/>
        <w:tblW w:type="auto" w:w="0"/>
        <w:tblLayout w:type="autofit"/>
        <w:tblLook w:firstColumn="1" w:firstRow="1" w:lastColumn="0" w:lastRow="0" w:noHBand="0" w:noVBand="1" w:val="04A0"/>
      </w:tblPr>
      <w:tblGrid>
        <w:gridCol w:w="3408"/>
        <w:gridCol w:w="3408"/>
        <w:gridCol w:w="3408"/>
      </w:tblGrid>
      <w:tr>
        <w:tc>
          <w:tcPr>
            <w:tcW w:type="dxa" w:w="3408"/>
          </w:tcPr>
          <w:p>
            <w:pPr>
              <w:spacing w:after="0"/>
            </w:pPr>
            <w:r>
              <w:rPr>
                <w:rFonts w:ascii="Arial" w:hAnsi="Arial"/>
                <w:b/>
                <w:sz w:val="14"/>
              </w:rPr>
              <w:t>Area</w:t>
            </w:r>
          </w:p>
        </w:tc>
        <w:tc>
          <w:tcPr>
            <w:tcW w:type="dxa" w:w="3408"/>
          </w:tcPr>
          <w:p>
            <w:pPr>
              <w:spacing w:after="0"/>
            </w:pPr>
            <w:r>
              <w:rPr>
                <w:rFonts w:ascii="Arial" w:hAnsi="Arial"/>
                <w:b/>
                <w:sz w:val="14"/>
              </w:rPr>
              <w:t>This Paper Says</w:t>
            </w:r>
          </w:p>
        </w:tc>
        <w:tc>
          <w:tcPr>
            <w:tcW w:type="dxa" w:w="3408"/>
          </w:tcPr>
          <w:p>
            <w:pPr>
              <w:spacing w:after="0"/>
            </w:pPr>
            <w:r>
              <w:rPr>
                <w:rFonts w:ascii="Arial" w:hAnsi="Arial"/>
                <w:b/>
                <w:sz w:val="14"/>
              </w:rPr>
              <w:t>This Paper Does Not Say</w:t>
            </w:r>
          </w:p>
        </w:tc>
      </w:tr>
      <w:tr>
        <w:tc>
          <w:tcPr>
            <w:tcW w:type="dxa" w:w="3408"/>
          </w:tcPr>
          <w:p>
            <w:pPr>
              <w:spacing w:after="0"/>
            </w:pPr>
            <w:r>
              <w:rPr>
                <w:rFonts w:ascii="Arial" w:hAnsi="Arial"/>
                <w:b w:val="0"/>
                <w:sz w:val="14"/>
              </w:rPr>
              <w:t>Legal Compliance</w:t>
            </w:r>
          </w:p>
        </w:tc>
        <w:tc>
          <w:tcPr>
            <w:tcW w:type="dxa" w:w="3408"/>
          </w:tcPr>
          <w:p>
            <w:pPr>
              <w:spacing w:after="0"/>
            </w:pPr>
            <w:r>
              <w:rPr>
                <w:rFonts w:ascii="Arial" w:hAnsi="Arial"/>
                <w:b w:val="0"/>
                <w:sz w:val="14"/>
              </w:rPr>
              <w:t>Lifecycle governance addresses lifecycle responsibility objects that support regulatory compliance coverage; RCCS/ALCS measure compliance coverage gaps</w:t>
            </w:r>
          </w:p>
        </w:tc>
        <w:tc>
          <w:tcPr>
            <w:tcW w:type="dxa" w:w="3408"/>
          </w:tcPr>
          <w:p>
            <w:pPr>
              <w:spacing w:after="0"/>
            </w:pPr>
            <w:r>
              <w:rPr>
                <w:rFonts w:ascii="Arial" w:hAnsi="Arial"/>
                <w:b w:val="0"/>
                <w:sz w:val="14"/>
              </w:rPr>
              <w:t>This paper proves legal compliance; high RCCS/ALCS scores guarantee legal compliance; this paper provides legal advice; this paper interprets specific regulations for specific jurisdictions</w:t>
            </w:r>
          </w:p>
        </w:tc>
      </w:tr>
      <w:tr>
        <w:tc>
          <w:tcPr>
            <w:tcW w:type="dxa" w:w="3408"/>
          </w:tcPr>
          <w:p>
            <w:pPr>
              <w:spacing w:after="0"/>
            </w:pPr>
            <w:r>
              <w:rPr>
                <w:rFonts w:ascii="Arial" w:hAnsi="Arial"/>
                <w:b w:val="0"/>
                <w:sz w:val="14"/>
              </w:rPr>
              <w:t>Certification</w:t>
            </w:r>
          </w:p>
        </w:tc>
        <w:tc>
          <w:tcPr>
            <w:tcW w:type="dxa" w:w="3408"/>
          </w:tcPr>
          <w:p>
            <w:pPr>
              <w:spacing w:after="0"/>
            </w:pPr>
            <w:r>
              <w:rPr>
                <w:rFonts w:ascii="Arial" w:hAnsi="Arial"/>
                <w:b w:val="0"/>
                <w:sz w:val="14"/>
              </w:rPr>
              <w:t>Lifecycle governance can be evaluated using RCCS/ALCS as analytical tools; evidence-based validation can support qualified review</w:t>
            </w:r>
          </w:p>
        </w:tc>
        <w:tc>
          <w:tcPr>
            <w:tcW w:type="dxa" w:w="3408"/>
          </w:tcPr>
          <w:p>
            <w:pPr>
              <w:spacing w:after="0"/>
            </w:pPr>
            <w:r>
              <w:rPr>
                <w:rFonts w:ascii="Arial" w:hAnsi="Arial"/>
                <w:b w:val="0"/>
                <w:sz w:val="14"/>
              </w:rPr>
              <w:t>This paper is a certification program; RCCS/ALCS certify compliance; Validation Lab is a certification authority; this paper certifies systems or organizations</w:t>
            </w:r>
          </w:p>
        </w:tc>
      </w:tr>
      <w:tr>
        <w:tc>
          <w:tcPr>
            <w:tcW w:type="dxa" w:w="3408"/>
          </w:tcPr>
          <w:p>
            <w:pPr>
              <w:spacing w:after="0"/>
            </w:pPr>
            <w:r>
              <w:rPr>
                <w:rFonts w:ascii="Arial" w:hAnsi="Arial"/>
                <w:b w:val="0"/>
                <w:sz w:val="14"/>
              </w:rPr>
              <w:t>Regulatory Approval</w:t>
            </w:r>
          </w:p>
        </w:tc>
        <w:tc>
          <w:tcPr>
            <w:tcW w:type="dxa" w:w="3408"/>
          </w:tcPr>
          <w:p>
            <w:pPr>
              <w:spacing w:after="0"/>
            </w:pPr>
            <w:r>
              <w:rPr>
                <w:rFonts w:ascii="Arial" w:hAnsi="Arial"/>
                <w:b w:val="0"/>
                <w:sz w:val="14"/>
              </w:rPr>
              <w:t>Lifecycle governance aligns with regulatory requirements for human oversight, accountability, transparency, record-keeping, and contestability</w:t>
            </w:r>
          </w:p>
        </w:tc>
        <w:tc>
          <w:tcPr>
            <w:tcW w:type="dxa" w:w="3408"/>
          </w:tcPr>
          <w:p>
            <w:pPr>
              <w:spacing w:after="0"/>
            </w:pPr>
            <w:r>
              <w:rPr>
                <w:rFonts w:ascii="Arial" w:hAnsi="Arial"/>
                <w:b w:val="0"/>
                <w:sz w:val="14"/>
              </w:rPr>
              <w:t>This paper is regulator-approved; this paper is the official compliance standard; regulators endorse RCCS/ALCS; regulators require MPLP or Validation Lab</w:t>
            </w:r>
          </w:p>
        </w:tc>
      </w:tr>
      <w:tr>
        <w:tc>
          <w:tcPr>
            <w:tcW w:type="dxa" w:w="3408"/>
          </w:tcPr>
          <w:p>
            <w:pPr>
              <w:spacing w:after="0"/>
            </w:pPr>
            <w:r>
              <w:rPr>
                <w:rFonts w:ascii="Arial" w:hAnsi="Arial"/>
                <w:b w:val="0"/>
                <w:sz w:val="14"/>
              </w:rPr>
              <w:t>System Ranking</w:t>
            </w:r>
          </w:p>
        </w:tc>
        <w:tc>
          <w:tcPr>
            <w:tcW w:type="dxa" w:w="3408"/>
          </w:tcPr>
          <w:p>
            <w:pPr>
              <w:spacing w:after="0"/>
            </w:pPr>
            <w:r>
              <w:rPr>
                <w:rFonts w:ascii="Arial" w:hAnsi="Arial"/>
                <w:b w:val="0"/>
                <w:sz w:val="14"/>
              </w:rPr>
              <w:t>System mappings organize qualitative, source-qualified posture differences across system categories using responsibility semantics</w:t>
            </w:r>
          </w:p>
        </w:tc>
        <w:tc>
          <w:tcPr>
            <w:tcW w:type="dxa" w:w="3408"/>
          </w:tcPr>
          <w:p>
            <w:pPr>
              <w:spacing w:after="0"/>
            </w:pPr>
            <w:r>
              <w:rPr>
                <w:rFonts w:ascii="Arial" w:hAnsi="Arial"/>
                <w:b w:val="0"/>
                <w:sz w:val="14"/>
              </w:rPr>
              <w:t>System mappings rank products by quality; system mappings recommend specific vendors; system mappings certify systems; other systems are non-compliant</w:t>
            </w:r>
          </w:p>
        </w:tc>
      </w:tr>
      <w:tr>
        <w:tc>
          <w:tcPr>
            <w:tcW w:type="dxa" w:w="3408"/>
          </w:tcPr>
          <w:p>
            <w:pPr>
              <w:spacing w:after="0"/>
            </w:pPr>
            <w:r>
              <w:rPr>
                <w:rFonts w:ascii="Arial" w:hAnsi="Arial"/>
                <w:b w:val="0"/>
                <w:sz w:val="14"/>
              </w:rPr>
              <w:t>MPLP</w:t>
            </w:r>
          </w:p>
        </w:tc>
        <w:tc>
          <w:tcPr>
            <w:tcW w:type="dxa" w:w="3408"/>
          </w:tcPr>
          <w:p>
            <w:pPr>
              <w:spacing w:after="0"/>
            </w:pPr>
            <w:r>
              <w:rPr>
                <w:rFonts w:ascii="Arial" w:hAnsi="Arial"/>
                <w:b w:val="0"/>
                <w:sz w:val="14"/>
              </w:rPr>
              <w:t>MPLP is one lifecycle protocol path that maps strongly to ALCS dimensions; MPLP provides protocol-level semantics for lifecycle responsibility objects</w:t>
            </w:r>
          </w:p>
        </w:tc>
        <w:tc>
          <w:tcPr>
            <w:tcW w:type="dxa" w:w="3408"/>
          </w:tcPr>
          <w:p>
            <w:pPr>
              <w:spacing w:after="0"/>
            </w:pPr>
            <w:r>
              <w:rPr>
                <w:rFonts w:ascii="Arial" w:hAnsi="Arial"/>
                <w:b w:val="0"/>
                <w:sz w:val="14"/>
              </w:rPr>
              <w:t>MPLP is required for compliance; MPLP is the only correct path; MPLP certifies compliance; MPLP is regulator-approved; MPLP proves legal compliance</w:t>
            </w:r>
          </w:p>
        </w:tc>
      </w:tr>
      <w:tr>
        <w:tc>
          <w:tcPr>
            <w:tcW w:type="dxa" w:w="3408"/>
          </w:tcPr>
          <w:p>
            <w:pPr>
              <w:spacing w:after="0"/>
            </w:pPr>
            <w:r>
              <w:rPr>
                <w:rFonts w:ascii="Arial" w:hAnsi="Arial"/>
                <w:b w:val="0"/>
                <w:sz w:val="14"/>
              </w:rPr>
              <w:t>Validation Lab</w:t>
            </w:r>
          </w:p>
        </w:tc>
        <w:tc>
          <w:tcPr>
            <w:tcW w:type="dxa" w:w="3408"/>
          </w:tcPr>
          <w:p>
            <w:pPr>
              <w:spacing w:after="0"/>
            </w:pPr>
            <w:r>
              <w:rPr>
                <w:rFonts w:ascii="Arial" w:hAnsi="Arial"/>
                <w:b w:val="0"/>
                <w:sz w:val="14"/>
              </w:rPr>
              <w:t>Validation Lab is one non-certifying evidence adjudication example that demonstrates the evidence-based validation pattern</w:t>
            </w:r>
          </w:p>
        </w:tc>
        <w:tc>
          <w:tcPr>
            <w:tcW w:type="dxa" w:w="3408"/>
          </w:tcPr>
          <w:p>
            <w:pPr>
              <w:spacing w:after="0"/>
            </w:pPr>
            <w:r>
              <w:rPr>
                <w:rFonts w:ascii="Arial" w:hAnsi="Arial"/>
                <w:b w:val="0"/>
                <w:sz w:val="14"/>
              </w:rPr>
              <w:t>Validation Lab is a certification authority; Validation Lab certifies compliance; Validation Lab proves legal compliance; Validation Lab is the only validation path; Validation Lab is regulator-approved</w:t>
            </w:r>
          </w:p>
        </w:tc>
      </w:tr>
      <w:tr>
        <w:tc>
          <w:tcPr>
            <w:tcW w:type="dxa" w:w="3408"/>
          </w:tcPr>
          <w:p>
            <w:pPr>
              <w:spacing w:after="0"/>
            </w:pPr>
            <w:r>
              <w:rPr>
                <w:rFonts w:ascii="Arial" w:hAnsi="Arial"/>
                <w:b w:val="0"/>
                <w:sz w:val="14"/>
              </w:rPr>
              <w:t>Risk Elimination</w:t>
            </w:r>
          </w:p>
        </w:tc>
        <w:tc>
          <w:tcPr>
            <w:tcW w:type="dxa" w:w="3408"/>
          </w:tcPr>
          <w:p>
            <w:pPr>
              <w:spacing w:after="0"/>
            </w:pPr>
            <w:r>
              <w:rPr>
                <w:rFonts w:ascii="Arial" w:hAnsi="Arial"/>
                <w:b w:val="0"/>
                <w:sz w:val="14"/>
              </w:rPr>
              <w:t>Lifecycle governance addresses lifecycle governance gaps that may create predictable enterprise failure patterns; lifecycle governance supports risk management</w:t>
            </w:r>
          </w:p>
        </w:tc>
        <w:tc>
          <w:tcPr>
            <w:tcW w:type="dxa" w:w="3408"/>
          </w:tcPr>
          <w:p>
            <w:pPr>
              <w:spacing w:after="0"/>
            </w:pPr>
            <w:r>
              <w:rPr>
                <w:rFonts w:ascii="Arial" w:hAnsi="Arial"/>
                <w:b w:val="0"/>
                <w:sz w:val="14"/>
              </w:rPr>
              <w:t>Lifecycle governance eliminates all risk; agentic AI is uniquely unsafe; lifecycle governance guarantees operational effectiveness; lifecycle governance prevents all failures</w:t>
            </w:r>
          </w:p>
        </w:tc>
      </w:tr>
      <w:tr>
        <w:tc>
          <w:tcPr>
            <w:tcW w:type="dxa" w:w="3408"/>
          </w:tcPr>
          <w:p>
            <w:pPr>
              <w:spacing w:after="0"/>
            </w:pPr>
            <w:r>
              <w:rPr>
                <w:rFonts w:ascii="Arial" w:hAnsi="Arial"/>
                <w:b w:val="0"/>
                <w:sz w:val="14"/>
              </w:rPr>
              <w:t>Completeness</w:t>
            </w:r>
          </w:p>
        </w:tc>
        <w:tc>
          <w:tcPr>
            <w:tcW w:type="dxa" w:w="3408"/>
          </w:tcPr>
          <w:p>
            <w:pPr>
              <w:spacing w:after="0"/>
            </w:pPr>
            <w:r>
              <w:rPr>
                <w:rFonts w:ascii="Arial" w:hAnsi="Arial"/>
                <w:b w:val="0"/>
                <w:sz w:val="14"/>
              </w:rPr>
              <w:t>This paper defines sixteen Missing Regulatory Objects and provides a framework for lifecycle governance</w:t>
            </w:r>
          </w:p>
        </w:tc>
        <w:tc>
          <w:tcPr>
            <w:tcW w:type="dxa" w:w="3408"/>
          </w:tcPr>
          <w:p>
            <w:pPr>
              <w:spacing w:after="0"/>
            </w:pPr>
            <w:r>
              <w:rPr>
                <w:rFonts w:ascii="Arial" w:hAnsi="Arial"/>
                <w:b w:val="0"/>
                <w:sz w:val="14"/>
              </w:rPr>
              <w:t>This paper is complete; no additional lifecycle responsibility objects will emerge; this paper addresses all regulatory requirements; this paper replaces legal review</w:t>
            </w:r>
          </w:p>
        </w:tc>
      </w:tr>
    </w:tbl>
    <w:p>
      <w:pPr>
        <w:spacing w:after="56"/>
      </w:pPr>
      <w:r>
        <w:t>Interpretation: This white paper provides a governance framework, not legal advice, certification, regulatory approval, product ranking, or risk elimination. Enterprises must interpret the framework within their legal, regulatory, and operational context.</w:t>
      </w:r>
    </w:p>
    <w:p>
      <w:pPr>
        <w:pStyle w:val="Heading2"/>
      </w:pPr>
      <w:r>
        <w:t>18.3 Call to Action</w:t>
      </w:r>
    </w:p>
    <w:p>
      <w:pPr>
        <w:spacing w:after="56"/>
      </w:pPr>
      <w:r>
        <w:t>Enterprises deploying agentic AI systems should begin mapping lifecycle responsibility objects before scaling autonomous or multi-agent workflows. The adoption roadmap (Chapter 17) provides a staged path from lifecycle governance awareness to scaled operational capability.</w:t>
      </w:r>
    </w:p>
    <w:p>
      <w:pPr>
        <w:spacing w:after="56"/>
      </w:pPr>
      <w:r>
        <w:t>Recommended first steps:</w:t>
      </w:r>
    </w:p>
    <w:p>
      <w:pPr>
        <w:pStyle w:val="ListNumber"/>
        <w:spacing w:after="56"/>
      </w:pPr>
      <w:r>
        <w:t>Inventory agentic behavior: Identify where agents make decisions, use tools, or hand off work. Assess whether model governance covers lifecycle responsibility.</w:t>
      </w:r>
    </w:p>
    <w:p>
      <w:pPr>
        <w:pStyle w:val="ListNumber"/>
        <w:spacing w:after="56"/>
      </w:pPr>
      <w:r>
        <w:t>Assess lifecycle governance gaps: Use the sixteen Missing Regulatory Objects (Chapter 6) as a checklist. Use RCCS/ALCS (Chapters 7-8) as analytical tools to identify gaps.</w:t>
      </w:r>
    </w:p>
    <w:p>
      <w:pPr>
        <w:pStyle w:val="ListNumber"/>
        <w:spacing w:after="56"/>
      </w:pPr>
      <w:r>
        <w:t>Select a pilot project: Use pilot selection criteria (Table T-17-02) to choose a bounded, measurable, regulated, sponsored, and rollback-capable pilot project.</w:t>
      </w:r>
    </w:p>
    <w:p>
      <w:pPr>
        <w:pStyle w:val="ListNumber"/>
        <w:spacing w:after="56"/>
      </w:pPr>
      <w:r>
        <w:t>Define authority boundaries: Start with delegated authority boundaries (MRO-02). Define authority grant records, implement tool-action authorization, and add boundary violation alerts.</w:t>
      </w:r>
    </w:p>
    <w:p>
      <w:pPr>
        <w:pStyle w:val="ListNumber"/>
        <w:spacing w:after="56"/>
      </w:pPr>
      <w:r>
        <w:t>Map human roles to MAS responsibilities: Implement human-role-to-MAS responsibility mapping (MRO-01). Define role assignment records, implement acceptance records, and add review and escalation workflows.</w:t>
      </w:r>
    </w:p>
    <w:p>
      <w:pPr>
        <w:pStyle w:val="ListNumber"/>
        <w:spacing w:after="56"/>
      </w:pPr>
      <w:r>
        <w:t>Convert logs into evidence chains: Implement MAS evidence partitioning (MRO-08). Add evidence export capability with selective disclosure. Implement evidence chain integrity validation.</w:t>
      </w:r>
    </w:p>
    <w:p>
      <w:pPr>
        <w:pStyle w:val="ListNumber"/>
        <w:spacing w:after="56"/>
      </w:pPr>
      <w:r>
        <w:t>Integrate with existing enterprise controls: Use Table T-17-03 to integrate lifecycle governance with existing audit, privacy, security, procurement, incident response, compliance, model risk, and business continuity controls.</w:t>
      </w:r>
    </w:p>
    <w:p>
      <w:pPr>
        <w:pStyle w:val="ListNumber"/>
        <w:spacing w:after="56"/>
      </w:pPr>
      <w:r>
        <w:t>Use Chapter 15 scenarios as test cases: Use the eight enterprise failure scenarios as test cases for lifecycle governance design. Ensure that lifecycle governance prevents or mitigates authority boundary failure, evidence chain failure, accepted outcome failure, cross-project reuse failure, privacy validation failure, processor chain failure, vendor/runtime substitution failure, and remediation closure failure.</w:t>
      </w:r>
    </w:p>
    <w:p>
      <w:pPr>
        <w:spacing w:after="56"/>
      </w:pPr>
      <w:r>
        <w:t>Lifecycle governance is not a one-time project. It is a continuous process that requires organizational commitment, integration with existing controls, and continuous improvement.</w:t>
      </w:r>
    </w:p>
    <w:p>
      <w:pPr>
        <w:pStyle w:val="Heading2"/>
      </w:pPr>
      <w:r>
        <w:t>18.4 Closing Statement</w:t>
      </w:r>
    </w:p>
    <w:p>
      <w:pPr>
        <w:spacing w:after="56"/>
      </w:pPr>
      <w:r>
        <w:t>AI Agent Lifecycle Governance is the missing layer between model governance and enterprise trust. Model-centric governance addresses model behavior. Lifecycle governance addresses responsibility for outcomes.</w:t>
      </w:r>
    </w:p>
    <w:p>
      <w:pPr>
        <w:spacing w:after="56"/>
      </w:pPr>
      <w:r>
        <w:t>The sixteen Missing Regulatory Objects define the lifecycle responsibility objects that emerge when AI systems move from inference to action, from single-model execution to multi-agent collaboration, from human-supervised workflows to autonomous delegation. RCCS and ALCS provide analytical tools to measure regulatory compliance coverage and lifecycle responsibility object maturity. System mappings organize qualitative, source-qualified posture differences across system categories. Evidence-based validation patterns support privacy-preserving qualified review. Enterprise failure scenarios illustrate where lifecycle governance gaps may create predictable failure patterns. The adoption roadmap provides a staged path from awareness to scaled operational capability.</w:t>
      </w:r>
    </w:p>
    <w:p>
      <w:pPr>
        <w:spacing w:after="56"/>
      </w:pPr>
      <w:r>
        <w:t>Execution is not delivery, and execution is not compliance. Orchestration logs record execution. Evidence chains record lifecycle responsibility. Model governance addresses model behavior. Lifecycle governance addresses responsibility for outcomes.</w:t>
      </w:r>
    </w:p>
    <w:p>
      <w:pPr>
        <w:spacing w:after="56"/>
      </w:pPr>
      <w:r>
        <w:t>Enterprises deploying agentic AI systems in regulated contexts should begin mapping lifecycle responsibility objects before scaling autonomous or multi-agent workflows. The transition from model governance to agentic lifecycle conformance is not a theoretical exercise. It is a practical necessity.</w:t>
      </w:r>
    </w:p>
    <w:p>
      <w:pPr>
        <w:spacing w:after="56"/>
      </w:pPr>
      <w:r>
        <w:t>AI Agent / MAS compliance is not only model compliance. It is lifecycle responsibility compliance.</w:t>
      </w:r>
    </w:p>
    <w:p>
      <w:pPr>
        <w:pStyle w:val="Heading1"/>
      </w:pPr>
      <w:r>
        <w:t>Appendix A — Machine-Readable Object Templates</w:t>
      </w:r>
    </w:p>
    <w:p>
      <w:pPr>
        <w:spacing w:after="56"/>
      </w:pPr>
      <w:r>
        <w:t>Version: v0.3.2-FRC-R3</w:t>
      </w:r>
    </w:p>
    <w:p>
      <w:pPr>
        <w:pStyle w:val="Heading2"/>
      </w:pPr>
      <w:r>
        <w:t>A.0 Template Boundary</w:t>
      </w:r>
    </w:p>
    <w:p>
      <w:pPr>
        <w:spacing w:after="56"/>
      </w:pPr>
      <w:r>
        <w:t>This appendix provides illustrative machine-readable templates for the sixteen Missing Regulatory Objects defined in Chapter 6. These templates are reference structures, not formal schemas, legal requirements, or certification requirements.</w:t>
      </w:r>
    </w:p>
    <w:p>
      <w:pPr>
        <w:spacing w:after="56"/>
      </w:pPr>
      <w:r>
        <w:t>Boundary statement:</w:t>
      </w:r>
    </w:p>
    <w:p>
      <w:pPr>
        <w:pStyle w:val="ListBullet"/>
        <w:spacing w:after="56"/>
      </w:pPr>
      <w:r>
        <w:t>These templates are illustrative only. They demonstrate how lifecycle responsibility objects might be represented in machine-readable form. They are not formal MPLP schemas, not legal requirements, and not certification requirements.</w:t>
      </w:r>
    </w:p>
    <w:p>
      <w:pPr>
        <w:pStyle w:val="ListBullet"/>
        <w:spacing w:after="56"/>
      </w:pPr>
      <w:r>
        <w:t>These templates are not prescriptive. Organizations may use different field names, data types, or structures. The templates show one possible approach to representing lifecycle responsibility objects.</w:t>
      </w:r>
    </w:p>
    <w:p>
      <w:pPr>
        <w:pStyle w:val="ListBullet"/>
        <w:spacing w:after="56"/>
      </w:pPr>
      <w:r>
        <w:t>These templates do not prove compliance. The presence of these fields in a system does not prove legal compliance, regulatory approval, or certification. Organizations must interpret lifecycle responsibility objects within their legal, regulatory, and operational context.</w:t>
      </w:r>
    </w:p>
    <w:p>
      <w:pPr>
        <w:pStyle w:val="ListBullet"/>
        <w:spacing w:after="56"/>
      </w:pPr>
      <w:r>
        <w:t>These templates are not MPLP-specific. While MPLP (Multi-Agent Lifecycle Protocol) is one protocol path that can express lifecycle responsibility objects, these templates are protocol-agnostic. Other protocols, platforms, or custom implementations may use different representations.</w:t>
      </w:r>
    </w:p>
    <w:p>
      <w:pPr>
        <w:pStyle w:val="Heading2"/>
      </w:pPr>
      <w:r>
        <w:t>A.1 Shared Field Conventions</w:t>
      </w:r>
    </w:p>
    <w:p>
      <w:pPr>
        <w:spacing w:after="56"/>
      </w:pPr>
      <w:r>
        <w:t>All sixteen MRO templates share a common set of fields to support lifecycle traceability, evidence partitioning, and cross-object relationships.</w:t>
      </w:r>
    </w:p>
    <w:p>
      <w:pPr>
        <w:spacing w:after="56"/>
      </w:pPr>
      <w:r>
        <w:t>Shared fields:</w:t>
      </w:r>
    </w:p>
    <w:p>
      <w:pPr>
        <w:spacing w:after="56"/>
      </w:pPr>
      <w:r>
        <w:t>object_id: unique identifier for this object instance</w:t>
        <w:br/>
        <w:t>object_type: MRO type (e.g., "MRO-01", "MRO-02")</w:t>
        <w:br/>
        <w:t>lifecycle_id: identifier linking this object to a specific lifecycle instance</w:t>
        <w:br/>
        <w:t>project_id: identifier for the project or regulated context</w:t>
        <w:br/>
        <w:t>object_version: version number for this object instance</w:t>
        <w:br/>
        <w:t>related_human_role_id: identifier for the human role associated with this object</w:t>
        <w:br/>
        <w:t>related_agent_role_id: identifier for the agent role associated with this object</w:t>
        <w:br/>
        <w:t>authority_scope: scope of authority for this object (e.g., "draft", "send", "commit")</w:t>
        <w:br/>
        <w:t>risk_class: risk classification for this object (e.g., "low", "medium", "high")</w:t>
        <w:br/>
        <w:t>evidence_pointer: pointer to evidence artifacts supporting this object</w:t>
        <w:br/>
        <w:t>privacy_treatment: privacy treatment for this object (e.g., "redact_pii", "selective_disclosure")</w:t>
        <w:br/>
        <w:t>status: current status (e.g., "active", "closed", "disputed")</w:t>
        <w:br/>
        <w:t>created_at: timestamp when this object was created</w:t>
        <w:br/>
        <w:t>updated_at: timestamp when this object was last updated</w:t>
        <w:br/>
        <w:t>closure_reason: reason for closure (if status is "closed")</w:t>
      </w:r>
    </w:p>
    <w:p>
      <w:pPr>
        <w:spacing w:after="56"/>
      </w:pPr>
      <w:r>
        <w:t>Object-specific fields: Each MRO template includes 3-6 object-specific fields relevant to that MRO's purpose.</w:t>
      </w:r>
    </w:p>
    <w:p>
      <w:pPr>
        <w:spacing w:after="56"/>
      </w:pPr>
      <w:r>
        <w:t>All example values are non-normative placeholders and do not establish legal compliance, liability allocation, certification, or completed validation.</w:t>
      </w:r>
    </w:p>
    <w:p>
      <w:pPr>
        <w:spacing w:after="56"/>
      </w:pPr>
      <w:r>
        <w:t>For readability, the examples below present object-specific fields under a comment block. Implementations may alternatively nest them under object_specific_fields.</w:t>
      </w:r>
    </w:p>
    <w:p>
      <w:pPr>
        <w:pStyle w:val="Heading2"/>
      </w:pPr>
      <w:r>
        <w:t>A.2 MRO Template Index</w:t>
      </w:r>
    </w:p>
    <w:p>
      <w:pPr>
        <w:spacing w:after="56"/>
      </w:pPr>
      <w:r>
        <w:t>The following table indexes the sixteen MRO templates and their object-specific fields.</w:t>
      </w:r>
    </w:p>
    <w:p>
      <w:pPr>
        <w:keepNext/>
      </w:pPr>
      <w:r>
        <w:rPr>
          <w:b/>
          <w:sz w:val="16"/>
        </w:rPr>
        <w:t>Table T-A-01: Appendix A Template Index</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MRO ID</w:t>
            </w:r>
          </w:p>
        </w:tc>
        <w:tc>
          <w:tcPr>
            <w:tcW w:type="dxa" w:w="2045"/>
          </w:tcPr>
          <w:p>
            <w:pPr>
              <w:spacing w:after="0"/>
            </w:pPr>
            <w:r>
              <w:rPr>
                <w:rFonts w:ascii="Arial" w:hAnsi="Arial"/>
                <w:b/>
                <w:sz w:val="14"/>
              </w:rPr>
              <w:t>Object Name</w:t>
            </w:r>
          </w:p>
        </w:tc>
        <w:tc>
          <w:tcPr>
            <w:tcW w:type="dxa" w:w="2045"/>
          </w:tcPr>
          <w:p>
            <w:pPr>
              <w:spacing w:after="0"/>
            </w:pPr>
            <w:r>
              <w:rPr>
                <w:rFonts w:ascii="Arial" w:hAnsi="Arial"/>
                <w:b/>
                <w:sz w:val="14"/>
              </w:rPr>
              <w:t>Template Purpose</w:t>
            </w:r>
          </w:p>
        </w:tc>
        <w:tc>
          <w:tcPr>
            <w:tcW w:type="dxa" w:w="2045"/>
          </w:tcPr>
          <w:p>
            <w:pPr>
              <w:spacing w:after="0"/>
            </w:pPr>
            <w:r>
              <w:rPr>
                <w:rFonts w:ascii="Arial" w:hAnsi="Arial"/>
                <w:b/>
                <w:sz w:val="14"/>
              </w:rPr>
              <w:t>Object-Specific Fields</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MRO-01</w:t>
            </w:r>
          </w:p>
        </w:tc>
        <w:tc>
          <w:tcPr>
            <w:tcW w:type="dxa" w:w="2045"/>
          </w:tcPr>
          <w:p>
            <w:pPr>
              <w:spacing w:after="0"/>
            </w:pPr>
            <w:r>
              <w:rPr>
                <w:rFonts w:ascii="Arial" w:hAnsi="Arial"/>
                <w:b w:val="0"/>
                <w:sz w:val="14"/>
              </w:rPr>
              <w:t>Human Role to MAS Responsibility Mapping</w:t>
            </w:r>
          </w:p>
        </w:tc>
        <w:tc>
          <w:tcPr>
            <w:tcW w:type="dxa" w:w="2045"/>
          </w:tcPr>
          <w:p>
            <w:pPr>
              <w:spacing w:after="0"/>
            </w:pPr>
            <w:r>
              <w:rPr>
                <w:rFonts w:ascii="Arial" w:hAnsi="Arial"/>
                <w:b w:val="0"/>
                <w:sz w:val="14"/>
              </w:rPr>
              <w:t>Map human roles to MAS responsibilities with explicit acceptance records</w:t>
            </w:r>
          </w:p>
        </w:tc>
        <w:tc>
          <w:tcPr>
            <w:tcW w:type="dxa" w:w="2045"/>
          </w:tcPr>
          <w:p>
            <w:pPr>
              <w:spacing w:after="0"/>
            </w:pPr>
            <w:r>
              <w:rPr>
                <w:rFonts w:ascii="Arial" w:hAnsi="Arial"/>
                <w:b w:val="0"/>
                <w:sz w:val="14"/>
              </w:rPr>
              <w:t>human_role_name, mas_responsibility_scope, acceptance_required, escalation_policy, review_frequency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MRO-02</w:t>
            </w:r>
          </w:p>
        </w:tc>
        <w:tc>
          <w:tcPr>
            <w:tcW w:type="dxa" w:w="2045"/>
          </w:tcPr>
          <w:p>
            <w:pPr>
              <w:spacing w:after="0"/>
            </w:pPr>
            <w:r>
              <w:rPr>
                <w:rFonts w:ascii="Arial" w:hAnsi="Arial"/>
                <w:b w:val="0"/>
                <w:sz w:val="14"/>
              </w:rPr>
              <w:t>Delegated Authority Boundary</w:t>
            </w:r>
          </w:p>
        </w:tc>
        <w:tc>
          <w:tcPr>
            <w:tcW w:type="dxa" w:w="2045"/>
          </w:tcPr>
          <w:p>
            <w:pPr>
              <w:spacing w:after="0"/>
            </w:pPr>
            <w:r>
              <w:rPr>
                <w:rFonts w:ascii="Arial" w:hAnsi="Arial"/>
                <w:b w:val="0"/>
                <w:sz w:val="14"/>
              </w:rPr>
              <w:t>Define explicit authority boundaries for agent actions</w:t>
            </w:r>
          </w:p>
        </w:tc>
        <w:tc>
          <w:tcPr>
            <w:tcW w:type="dxa" w:w="2045"/>
          </w:tcPr>
          <w:p>
            <w:pPr>
              <w:spacing w:after="0"/>
            </w:pPr>
            <w:r>
              <w:rPr>
                <w:rFonts w:ascii="Arial" w:hAnsi="Arial"/>
                <w:b w:val="0"/>
                <w:sz w:val="14"/>
              </w:rPr>
              <w:t>authority_grant_type, tool_action_permissions, boundary_violation_policy, reauthorization_trigger, drift_detection_enabled</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MRO-03</w:t>
            </w:r>
          </w:p>
        </w:tc>
        <w:tc>
          <w:tcPr>
            <w:tcW w:type="dxa" w:w="2045"/>
          </w:tcPr>
          <w:p>
            <w:pPr>
              <w:spacing w:after="0"/>
            </w:pPr>
            <w:r>
              <w:rPr>
                <w:rFonts w:ascii="Arial" w:hAnsi="Arial"/>
                <w:b w:val="0"/>
                <w:sz w:val="14"/>
              </w:rPr>
              <w:t>Agent Role is not Human Role</w:t>
            </w:r>
          </w:p>
        </w:tc>
        <w:tc>
          <w:tcPr>
            <w:tcW w:type="dxa" w:w="2045"/>
          </w:tcPr>
          <w:p>
            <w:pPr>
              <w:spacing w:after="0"/>
            </w:pPr>
            <w:r>
              <w:rPr>
                <w:rFonts w:ascii="Arial" w:hAnsi="Arial"/>
                <w:b w:val="0"/>
                <w:sz w:val="14"/>
              </w:rPr>
              <w:t>Distinguish agent responsibility surfaces from human roles</w:t>
            </w:r>
          </w:p>
        </w:tc>
        <w:tc>
          <w:tcPr>
            <w:tcW w:type="dxa" w:w="2045"/>
          </w:tcPr>
          <w:p>
            <w:pPr>
              <w:spacing w:after="0"/>
            </w:pPr>
            <w:r>
              <w:rPr>
                <w:rFonts w:ascii="Arial" w:hAnsi="Arial"/>
                <w:b w:val="0"/>
                <w:sz w:val="14"/>
              </w:rPr>
              <w:t>agent_role_name, agent_responsibility_surface, human_role_distinction, accountability_mapping, role_confusion_risk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MRO-04</w:t>
            </w:r>
          </w:p>
        </w:tc>
        <w:tc>
          <w:tcPr>
            <w:tcW w:type="dxa" w:w="2045"/>
          </w:tcPr>
          <w:p>
            <w:pPr>
              <w:spacing w:after="0"/>
            </w:pPr>
            <w:r>
              <w:rPr>
                <w:rFonts w:ascii="Arial" w:hAnsi="Arial"/>
                <w:b w:val="0"/>
                <w:sz w:val="14"/>
              </w:rPr>
              <w:t>Accepted Outcome Compliance</w:t>
            </w:r>
          </w:p>
        </w:tc>
        <w:tc>
          <w:tcPr>
            <w:tcW w:type="dxa" w:w="2045"/>
          </w:tcPr>
          <w:p>
            <w:pPr>
              <w:spacing w:after="0"/>
            </w:pPr>
            <w:r>
              <w:rPr>
                <w:rFonts w:ascii="Arial" w:hAnsi="Arial"/>
                <w:b w:val="0"/>
                <w:sz w:val="14"/>
              </w:rPr>
              <w:t>Record explicit acceptance of agent outcomes by accountable human roles</w:t>
            </w:r>
          </w:p>
        </w:tc>
        <w:tc>
          <w:tcPr>
            <w:tcW w:type="dxa" w:w="2045"/>
          </w:tcPr>
          <w:p>
            <w:pPr>
              <w:spacing w:after="0"/>
            </w:pPr>
            <w:r>
              <w:rPr>
                <w:rFonts w:ascii="Arial" w:hAnsi="Arial"/>
                <w:b w:val="0"/>
                <w:sz w:val="14"/>
              </w:rPr>
              <w:t>outcome_description, acceptance_status, accepted_by_role, acceptance_timestamp, rejection_reason, escalation_path</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MRO-05</w:t>
            </w:r>
          </w:p>
        </w:tc>
        <w:tc>
          <w:tcPr>
            <w:tcW w:type="dxa" w:w="2045"/>
          </w:tcPr>
          <w:p>
            <w:pPr>
              <w:spacing w:after="0"/>
            </w:pPr>
            <w:r>
              <w:rPr>
                <w:rFonts w:ascii="Arial" w:hAnsi="Arial"/>
                <w:b w:val="0"/>
                <w:sz w:val="14"/>
              </w:rPr>
              <w:t>Tool-Action Liability Boundary</w:t>
            </w:r>
          </w:p>
        </w:tc>
        <w:tc>
          <w:tcPr>
            <w:tcW w:type="dxa" w:w="2045"/>
          </w:tcPr>
          <w:p>
            <w:pPr>
              <w:spacing w:after="0"/>
            </w:pPr>
            <w:r>
              <w:rPr>
                <w:rFonts w:ascii="Arial" w:hAnsi="Arial"/>
                <w:b w:val="0"/>
                <w:sz w:val="14"/>
              </w:rPr>
              <w:t>Record tool actions and liability boundaries</w:t>
            </w:r>
          </w:p>
        </w:tc>
        <w:tc>
          <w:tcPr>
            <w:tcW w:type="dxa" w:w="2045"/>
          </w:tcPr>
          <w:p>
            <w:pPr>
              <w:spacing w:after="0"/>
            </w:pPr>
            <w:r>
              <w:rPr>
                <w:rFonts w:ascii="Arial" w:hAnsi="Arial"/>
                <w:b w:val="0"/>
                <w:sz w:val="14"/>
              </w:rPr>
              <w:t>tool_name, action_type, liability_assignment, tool_provider_agreement, authorization_record, action_reversibility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MRO-06</w:t>
            </w:r>
          </w:p>
        </w:tc>
        <w:tc>
          <w:tcPr>
            <w:tcW w:type="dxa" w:w="2045"/>
          </w:tcPr>
          <w:p>
            <w:pPr>
              <w:spacing w:after="0"/>
            </w:pPr>
            <w:r>
              <w:rPr>
                <w:rFonts w:ascii="Arial" w:hAnsi="Arial"/>
                <w:b w:val="0"/>
                <w:sz w:val="14"/>
              </w:rPr>
              <w:t>Responsibility Transfer Across Agents</w:t>
            </w:r>
          </w:p>
        </w:tc>
        <w:tc>
          <w:tcPr>
            <w:tcW w:type="dxa" w:w="2045"/>
          </w:tcPr>
          <w:p>
            <w:pPr>
              <w:spacing w:after="0"/>
            </w:pPr>
            <w:r>
              <w:rPr>
                <w:rFonts w:ascii="Arial" w:hAnsi="Arial"/>
                <w:b w:val="0"/>
                <w:sz w:val="14"/>
              </w:rPr>
              <w:t>Record responsibility transfer and constraint inheritance across agent handoffs</w:t>
            </w:r>
          </w:p>
        </w:tc>
        <w:tc>
          <w:tcPr>
            <w:tcW w:type="dxa" w:w="2045"/>
          </w:tcPr>
          <w:p>
            <w:pPr>
              <w:spacing w:after="0"/>
            </w:pPr>
            <w:r>
              <w:rPr>
                <w:rFonts w:ascii="Arial" w:hAnsi="Arial"/>
                <w:b w:val="0"/>
                <w:sz w:val="14"/>
              </w:rPr>
              <w:t>source_agent_id, target_agent_id, transfer_timestamp, constraint_inheritance, handoff_validation, responsibility_acceptance</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MRO-07</w:t>
            </w:r>
          </w:p>
        </w:tc>
        <w:tc>
          <w:tcPr>
            <w:tcW w:type="dxa" w:w="2045"/>
          </w:tcPr>
          <w:p>
            <w:pPr>
              <w:spacing w:after="0"/>
            </w:pPr>
            <w:r>
              <w:rPr>
                <w:rFonts w:ascii="Arial" w:hAnsi="Arial"/>
                <w:b w:val="0"/>
                <w:sz w:val="14"/>
              </w:rPr>
              <w:t>Authority Drift</w:t>
            </w:r>
          </w:p>
        </w:tc>
        <w:tc>
          <w:tcPr>
            <w:tcW w:type="dxa" w:w="2045"/>
          </w:tcPr>
          <w:p>
            <w:pPr>
              <w:spacing w:after="0"/>
            </w:pPr>
            <w:r>
              <w:rPr>
                <w:rFonts w:ascii="Arial" w:hAnsi="Arial"/>
                <w:b w:val="0"/>
                <w:sz w:val="14"/>
              </w:rPr>
              <w:t>Detect and record authority drift over time</w:t>
            </w:r>
          </w:p>
        </w:tc>
        <w:tc>
          <w:tcPr>
            <w:tcW w:type="dxa" w:w="2045"/>
          </w:tcPr>
          <w:p>
            <w:pPr>
              <w:spacing w:after="0"/>
            </w:pPr>
            <w:r>
              <w:rPr>
                <w:rFonts w:ascii="Arial" w:hAnsi="Arial"/>
                <w:b w:val="0"/>
                <w:sz w:val="14"/>
              </w:rPr>
              <w:t>authority_baseline, current_authority_scope, drift_detected, drift_magnitude, reauthorization_required, drift_alert_policy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MRO-08</w:t>
            </w:r>
          </w:p>
        </w:tc>
        <w:tc>
          <w:tcPr>
            <w:tcW w:type="dxa" w:w="2045"/>
          </w:tcPr>
          <w:p>
            <w:pPr>
              <w:spacing w:after="0"/>
            </w:pPr>
            <w:r>
              <w:rPr>
                <w:rFonts w:ascii="Arial" w:hAnsi="Arial"/>
                <w:b w:val="0"/>
                <w:sz w:val="14"/>
              </w:rPr>
              <w:t>MAS Evidence Partitioning</w:t>
            </w:r>
          </w:p>
        </w:tc>
        <w:tc>
          <w:tcPr>
            <w:tcW w:type="dxa" w:w="2045"/>
          </w:tcPr>
          <w:p>
            <w:pPr>
              <w:spacing w:after="0"/>
            </w:pPr>
            <w:r>
              <w:rPr>
                <w:rFonts w:ascii="Arial" w:hAnsi="Arial"/>
                <w:b w:val="0"/>
                <w:sz w:val="14"/>
              </w:rPr>
              <w:t>Partition evidence by project, customer, jurisdiction, or data subject</w:t>
            </w:r>
          </w:p>
        </w:tc>
        <w:tc>
          <w:tcPr>
            <w:tcW w:type="dxa" w:w="2045"/>
          </w:tcPr>
          <w:p>
            <w:pPr>
              <w:spacing w:after="0"/>
            </w:pPr>
            <w:r>
              <w:rPr>
                <w:rFonts w:ascii="Arial" w:hAnsi="Arial"/>
                <w:b w:val="0"/>
                <w:sz w:val="14"/>
              </w:rPr>
              <w:t>partition_key, partition_type, evidence_export_policy, selective_disclosure_enabled, partition_boundary, cross_partition_access_policy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MRO-09</w:t>
            </w:r>
          </w:p>
        </w:tc>
        <w:tc>
          <w:tcPr>
            <w:tcW w:type="dxa" w:w="2045"/>
          </w:tcPr>
          <w:p>
            <w:pPr>
              <w:spacing w:after="0"/>
            </w:pPr>
            <w:r>
              <w:rPr>
                <w:rFonts w:ascii="Arial" w:hAnsi="Arial"/>
                <w:b w:val="0"/>
                <w:sz w:val="14"/>
              </w:rPr>
              <w:t>Cross-Project Reuse Compliance</w:t>
            </w:r>
          </w:p>
        </w:tc>
        <w:tc>
          <w:tcPr>
            <w:tcW w:type="dxa" w:w="2045"/>
          </w:tcPr>
          <w:p>
            <w:pPr>
              <w:spacing w:after="0"/>
            </w:pPr>
            <w:r>
              <w:rPr>
                <w:rFonts w:ascii="Arial" w:hAnsi="Arial"/>
                <w:b w:val="0"/>
                <w:sz w:val="14"/>
              </w:rPr>
              <w:t>Validate reuse compliance across regulated contexts</w:t>
            </w:r>
          </w:p>
        </w:tc>
        <w:tc>
          <w:tcPr>
            <w:tcW w:type="dxa" w:w="2045"/>
          </w:tcPr>
          <w:p>
            <w:pPr>
              <w:spacing w:after="0"/>
            </w:pPr>
            <w:r>
              <w:rPr>
                <w:rFonts w:ascii="Arial" w:hAnsi="Arial"/>
                <w:b w:val="0"/>
                <w:sz w:val="14"/>
              </w:rPr>
              <w:t>source_project_id, target_project_id, reuse_type, reset_validation, reauthorization_required, context_boundary_check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MRO-10</w:t>
            </w:r>
          </w:p>
        </w:tc>
        <w:tc>
          <w:tcPr>
            <w:tcW w:type="dxa" w:w="2045"/>
          </w:tcPr>
          <w:p>
            <w:pPr>
              <w:spacing w:after="0"/>
            </w:pPr>
            <w:r>
              <w:rPr>
                <w:rFonts w:ascii="Arial" w:hAnsi="Arial"/>
                <w:b w:val="0"/>
                <w:sz w:val="14"/>
              </w:rPr>
              <w:t>Privacy / GDPR Lifecycle Mapping</w:t>
            </w:r>
          </w:p>
        </w:tc>
        <w:tc>
          <w:tcPr>
            <w:tcW w:type="dxa" w:w="2045"/>
          </w:tcPr>
          <w:p>
            <w:pPr>
              <w:spacing w:after="0"/>
            </w:pPr>
            <w:r>
              <w:rPr>
                <w:rFonts w:ascii="Arial" w:hAnsi="Arial"/>
                <w:b w:val="0"/>
                <w:sz w:val="14"/>
              </w:rPr>
              <w:t>Map data flow, retention, and subject rights across agent lifecycle</w:t>
            </w:r>
          </w:p>
        </w:tc>
        <w:tc>
          <w:tcPr>
            <w:tcW w:type="dxa" w:w="2045"/>
          </w:tcPr>
          <w:p>
            <w:pPr>
              <w:spacing w:after="0"/>
            </w:pPr>
            <w:r>
              <w:rPr>
                <w:rFonts w:ascii="Arial" w:hAnsi="Arial"/>
                <w:b w:val="0"/>
                <w:sz w:val="14"/>
              </w:rPr>
              <w:t>data_flow_record, retention_policy, data_subject_rights_workflow, privacy_impact_assessment, gdpr_article_mapping, data_minimization_policy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MRO-11</w:t>
            </w:r>
          </w:p>
        </w:tc>
        <w:tc>
          <w:tcPr>
            <w:tcW w:type="dxa" w:w="2045"/>
          </w:tcPr>
          <w:p>
            <w:pPr>
              <w:spacing w:after="0"/>
            </w:pPr>
            <w:r>
              <w:rPr>
                <w:rFonts w:ascii="Arial" w:hAnsi="Arial"/>
                <w:b w:val="0"/>
                <w:sz w:val="14"/>
              </w:rPr>
              <w:t>Privacy-Preserving Third-Party Validation</w:t>
            </w:r>
          </w:p>
        </w:tc>
        <w:tc>
          <w:tcPr>
            <w:tcW w:type="dxa" w:w="2045"/>
          </w:tcPr>
          <w:p>
            <w:pPr>
              <w:spacing w:after="0"/>
            </w:pPr>
            <w:r>
              <w:rPr>
                <w:rFonts w:ascii="Arial" w:hAnsi="Arial"/>
                <w:b w:val="0"/>
                <w:sz w:val="14"/>
              </w:rPr>
              <w:t>Support privacy-preserving validation without exposing sensitive data</w:t>
            </w:r>
          </w:p>
        </w:tc>
        <w:tc>
          <w:tcPr>
            <w:tcW w:type="dxa" w:w="2045"/>
          </w:tcPr>
          <w:p>
            <w:pPr>
              <w:spacing w:after="0"/>
            </w:pPr>
            <w:r>
              <w:rPr>
                <w:rFonts w:ascii="Arial" w:hAnsi="Arial"/>
                <w:b w:val="0"/>
                <w:sz w:val="14"/>
              </w:rPr>
              <w:t>validation_protocol, disclosure_profile, redaction_profile, hash_manifest, verdict_hash, validation_provider_agreement</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MRO-12</w:t>
            </w:r>
          </w:p>
        </w:tc>
        <w:tc>
          <w:tcPr>
            <w:tcW w:type="dxa" w:w="2045"/>
          </w:tcPr>
          <w:p>
            <w:pPr>
              <w:spacing w:after="0"/>
            </w:pPr>
            <w:r>
              <w:rPr>
                <w:rFonts w:ascii="Arial" w:hAnsi="Arial"/>
                <w:b w:val="0"/>
                <w:sz w:val="14"/>
              </w:rPr>
              <w:t>Evidence Minimization and Selective Disclosure</w:t>
            </w:r>
          </w:p>
        </w:tc>
        <w:tc>
          <w:tcPr>
            <w:tcW w:type="dxa" w:w="2045"/>
          </w:tcPr>
          <w:p>
            <w:pPr>
              <w:spacing w:after="0"/>
            </w:pPr>
            <w:r>
              <w:rPr>
                <w:rFonts w:ascii="Arial" w:hAnsi="Arial"/>
                <w:b w:val="0"/>
                <w:sz w:val="14"/>
              </w:rPr>
              <w:t>Implement evidence minimization and selective disclosure policies</w:t>
            </w:r>
          </w:p>
        </w:tc>
        <w:tc>
          <w:tcPr>
            <w:tcW w:type="dxa" w:w="2045"/>
          </w:tcPr>
          <w:p>
            <w:pPr>
              <w:spacing w:after="0"/>
            </w:pPr>
            <w:r>
              <w:rPr>
                <w:rFonts w:ascii="Arial" w:hAnsi="Arial"/>
                <w:b w:val="0"/>
                <w:sz w:val="14"/>
              </w:rPr>
              <w:t>retention_policy, disclosure_policy, minimization_rules, selective_disclosure_log, evidence_expiry, disclosure_justification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MRO-13</w:t>
            </w:r>
          </w:p>
        </w:tc>
        <w:tc>
          <w:tcPr>
            <w:tcW w:type="dxa" w:w="2045"/>
          </w:tcPr>
          <w:p>
            <w:pPr>
              <w:spacing w:after="0"/>
            </w:pPr>
            <w:r>
              <w:rPr>
                <w:rFonts w:ascii="Arial" w:hAnsi="Arial"/>
                <w:b w:val="0"/>
                <w:sz w:val="14"/>
              </w:rPr>
              <w:t>Data Subject Rights vs Evidence Retention</w:t>
            </w:r>
          </w:p>
        </w:tc>
        <w:tc>
          <w:tcPr>
            <w:tcW w:type="dxa" w:w="2045"/>
          </w:tcPr>
          <w:p>
            <w:pPr>
              <w:spacing w:after="0"/>
            </w:pPr>
            <w:r>
              <w:rPr>
                <w:rFonts w:ascii="Arial" w:hAnsi="Arial"/>
                <w:b w:val="0"/>
                <w:sz w:val="14"/>
              </w:rPr>
              <w:t>Reconcile data subject rights with evidence retention requirements</w:t>
            </w:r>
          </w:p>
        </w:tc>
        <w:tc>
          <w:tcPr>
            <w:tcW w:type="dxa" w:w="2045"/>
          </w:tcPr>
          <w:p>
            <w:pPr>
              <w:spacing w:after="0"/>
            </w:pPr>
            <w:r>
              <w:rPr>
                <w:rFonts w:ascii="Arial" w:hAnsi="Arial"/>
                <w:b w:val="0"/>
                <w:sz w:val="14"/>
              </w:rPr>
              <w:t>data_subject_request_type, evidence_retention_requirement, reconciliation_policy, legal_hold_status, erasure_exception, retention_justification</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MRO-14</w:t>
            </w:r>
          </w:p>
        </w:tc>
        <w:tc>
          <w:tcPr>
            <w:tcW w:type="dxa" w:w="2045"/>
          </w:tcPr>
          <w:p>
            <w:pPr>
              <w:spacing w:after="0"/>
            </w:pPr>
            <w:r>
              <w:rPr>
                <w:rFonts w:ascii="Arial" w:hAnsi="Arial"/>
                <w:b w:val="0"/>
                <w:sz w:val="14"/>
              </w:rPr>
              <w:t>Third-Party Processor / Subprocessor Chain</w:t>
            </w:r>
          </w:p>
        </w:tc>
        <w:tc>
          <w:tcPr>
            <w:tcW w:type="dxa" w:w="2045"/>
          </w:tcPr>
          <w:p>
            <w:pPr>
              <w:spacing w:after="0"/>
            </w:pPr>
            <w:r>
              <w:rPr>
                <w:rFonts w:ascii="Arial" w:hAnsi="Arial"/>
                <w:b w:val="0"/>
                <w:sz w:val="14"/>
              </w:rPr>
              <w:t>Map processor and subprocessor chain with responsibility assignment</w:t>
            </w:r>
          </w:p>
        </w:tc>
        <w:tc>
          <w:tcPr>
            <w:tcW w:type="dxa" w:w="2045"/>
          </w:tcPr>
          <w:p>
            <w:pPr>
              <w:spacing w:after="0"/>
            </w:pPr>
            <w:r>
              <w:rPr>
                <w:rFonts w:ascii="Arial" w:hAnsi="Arial"/>
                <w:b w:val="0"/>
                <w:sz w:val="14"/>
              </w:rPr>
              <w:t>processor_name, processor_role, subprocessor_chain, data_processing_agreement, responsibility_assignment, processor_liability</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MRO-15</w:t>
            </w:r>
          </w:p>
        </w:tc>
        <w:tc>
          <w:tcPr>
            <w:tcW w:type="dxa" w:w="2045"/>
          </w:tcPr>
          <w:p>
            <w:pPr>
              <w:spacing w:after="0"/>
            </w:pPr>
            <w:r>
              <w:rPr>
                <w:rFonts w:ascii="Arial" w:hAnsi="Arial"/>
                <w:b w:val="0"/>
                <w:sz w:val="14"/>
              </w:rPr>
              <w:t>Vendor / Model / Runtime Substitution Conformance</w:t>
            </w:r>
          </w:p>
        </w:tc>
        <w:tc>
          <w:tcPr>
            <w:tcW w:type="dxa" w:w="2045"/>
          </w:tcPr>
          <w:p>
            <w:pPr>
              <w:spacing w:after="0"/>
            </w:pPr>
            <w:r>
              <w:rPr>
                <w:rFonts w:ascii="Arial" w:hAnsi="Arial"/>
                <w:b w:val="0"/>
                <w:sz w:val="14"/>
              </w:rPr>
              <w:t>Validate conformance after vendor, model, or runtime substitution</w:t>
            </w:r>
          </w:p>
        </w:tc>
        <w:tc>
          <w:tcPr>
            <w:tcW w:type="dxa" w:w="2045"/>
          </w:tcPr>
          <w:p>
            <w:pPr>
              <w:spacing w:after="0"/>
            </w:pPr>
            <w:r>
              <w:rPr>
                <w:rFonts w:ascii="Arial" w:hAnsi="Arial"/>
                <w:b w:val="0"/>
                <w:sz w:val="14"/>
              </w:rPr>
              <w:t>substitution_type, previous_vendor, new_vendor, conformance_validation, regression_testing, evidence_integrity_check</w:t>
            </w:r>
          </w:p>
        </w:tc>
        <w:tc>
          <w:tcPr>
            <w:tcW w:type="dxa" w:w="2045"/>
          </w:tcPr>
          <w:p>
            <w:pPr>
              <w:spacing w:after="0"/>
            </w:pPr>
            <w:r>
              <w:rPr>
                <w:rFonts w:ascii="Arial" w:hAnsi="Arial"/>
                <w:b w:val="0"/>
                <w:sz w:val="14"/>
              </w:rPr>
              <w:t>Illustrative only; not legal requirement; not certification requirement</w:t>
            </w:r>
          </w:p>
        </w:tc>
      </w:tr>
      <w:tr>
        <w:tc>
          <w:tcPr>
            <w:tcW w:type="dxa" w:w="2045"/>
          </w:tcPr>
          <w:p>
            <w:pPr>
              <w:spacing w:after="0"/>
            </w:pPr>
            <w:r>
              <w:rPr>
                <w:rFonts w:ascii="Arial" w:hAnsi="Arial"/>
                <w:b w:val="0"/>
                <w:sz w:val="14"/>
              </w:rPr>
              <w:t>MRO-16</w:t>
            </w:r>
          </w:p>
        </w:tc>
        <w:tc>
          <w:tcPr>
            <w:tcW w:type="dxa" w:w="2045"/>
          </w:tcPr>
          <w:p>
            <w:pPr>
              <w:spacing w:after="0"/>
            </w:pPr>
            <w:r>
              <w:rPr>
                <w:rFonts w:ascii="Arial" w:hAnsi="Arial"/>
                <w:b w:val="0"/>
                <w:sz w:val="14"/>
              </w:rPr>
              <w:t>Incident, Dispute, and Remediation Closure</w:t>
            </w:r>
          </w:p>
        </w:tc>
        <w:tc>
          <w:tcPr>
            <w:tcW w:type="dxa" w:w="2045"/>
          </w:tcPr>
          <w:p>
            <w:pPr>
              <w:spacing w:after="0"/>
            </w:pPr>
            <w:r>
              <w:rPr>
                <w:rFonts w:ascii="Arial" w:hAnsi="Arial"/>
                <w:b w:val="0"/>
                <w:sz w:val="14"/>
              </w:rPr>
              <w:t>Record incident, dispute, and remediation closure with responsible owner</w:t>
            </w:r>
          </w:p>
        </w:tc>
        <w:tc>
          <w:tcPr>
            <w:tcW w:type="dxa" w:w="2045"/>
          </w:tcPr>
          <w:p>
            <w:pPr>
              <w:spacing w:after="0"/>
            </w:pPr>
            <w:r>
              <w:rPr>
                <w:rFonts w:ascii="Arial" w:hAnsi="Arial"/>
                <w:b w:val="0"/>
                <w:sz w:val="14"/>
              </w:rPr>
              <w:t>incident_type, affected_outcomes, remediation_action, closure_status, responsible_owner, customer_impact_assessment</w:t>
            </w:r>
          </w:p>
        </w:tc>
        <w:tc>
          <w:tcPr>
            <w:tcW w:type="dxa" w:w="2045"/>
          </w:tcPr>
          <w:p>
            <w:pPr>
              <w:spacing w:after="0"/>
            </w:pPr>
            <w:r>
              <w:rPr>
                <w:rFonts w:ascii="Arial" w:hAnsi="Arial"/>
                <w:b w:val="0"/>
                <w:sz w:val="14"/>
              </w:rPr>
              <w:t>Illustrative only; not legal requirement; not certification requirement</w:t>
            </w:r>
          </w:p>
        </w:tc>
      </w:tr>
    </w:tbl>
    <w:p>
      <w:pPr>
        <w:pStyle w:val="Heading2"/>
      </w:pPr>
      <w:r>
        <w:t>A.3 MRO Templates</w:t>
      </w:r>
    </w:p>
    <w:p>
      <w:pPr>
        <w:pStyle w:val="Heading3"/>
      </w:pPr>
      <w:r>
        <w:t>MRO-01: Human Role to MAS Responsibility Mapping</w:t>
      </w:r>
    </w:p>
    <w:p>
      <w:pPr>
        <w:spacing w:after="56"/>
      </w:pPr>
      <w:r>
        <w:t># MRO-01: Human Role to MAS Responsibility Mapping</w:t>
        <w:br/>
        <w:t>object_id: "mro01-uuid-example"</w:t>
        <w:br/>
        <w:t>object_type: "MRO-01"</w:t>
        <w:br/>
        <w:t>lifecycle_id: "lifecycle-uuid"</w:t>
        <w:br/>
        <w:t>project_id: "project-uuid"</w:t>
        <w:br/>
        <w:t>object_version: 1</w:t>
        <w:br/>
        <w:t>related_human_role_id: "human-role-uuid"</w:t>
        <w:br/>
        <w:t>related_agent_role_id: "agent-role-uuid"</w:t>
        <w:br/>
        <w:t>authority_scope: "review_and_accept"</w:t>
        <w:br/>
        <w:t>risk_class: "medium"</w:t>
        <w:br/>
        <w:t>evidence_pointer: "evidence-chain-uuid"</w:t>
        <w:br/>
        <w:t>privacy_treatment: "no_pii"</w:t>
        <w:br/>
        <w:t>status: "active"</w:t>
        <w:br/>
        <w:t>created_at: "2026-05-10T10:00:00Z"</w:t>
        <w:br/>
        <w:t>updated_at: "2026-05-10T10:00:00Z"</w:t>
        <w:br/>
        <w:t>closure_reason: null</w:t>
        <w:br/>
        <w:br/>
        <w:t># Object-specific fields</w:t>
        <w:br/>
        <w:t>human_role_name: "Customer Support Manager"</w:t>
        <w:br/>
        <w:t>mas_responsibility_scope: "Review and accept agent-drafted customer responses"</w:t>
        <w:br/>
        <w:t>acceptance_required: true</w:t>
        <w:br/>
        <w:t>escalation_policy: "Escalate to Senior Manager if customer dispute"</w:t>
        <w:br/>
        <w:t>review_frequency: "daily"</w:t>
      </w:r>
    </w:p>
    <w:p>
      <w:pPr>
        <w:pStyle w:val="Heading3"/>
      </w:pPr>
      <w:r>
        <w:t>MRO-02: Delegated Authority Boundary</w:t>
      </w:r>
    </w:p>
    <w:p>
      <w:pPr>
        <w:spacing w:after="56"/>
      </w:pPr>
      <w:r>
        <w:t># MRO-02: Delegated Authority Boundary</w:t>
        <w:br/>
        <w:t>object_id: "mro02-uuid-example"</w:t>
        <w:br/>
        <w:t>object_type: "MRO-02"</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"active"</w:t>
        <w:br/>
        <w:t>created_at: "2026-05-10T10:00:00Z"</w:t>
        <w:br/>
        <w:t>updated_at: "2026-05-10T10:00:00Z"</w:t>
        <w:br/>
        <w:t>closure_reason: null</w:t>
        <w:br/>
        <w:br/>
        <w:t># Object-specific fields</w:t>
        <w:br/>
        <w:t>authority_grant_type: "explicit_grant"</w:t>
        <w:br/>
        <w:t>tool_action_permissions: ["read_crm", "draft_email"]</w:t>
        <w:br/>
        <w:t>boundary_violation_policy: "alert_and_block"</w:t>
        <w:br/>
        <w:t>reauthorization_trigger: "model_version_change"</w:t>
        <w:br/>
        <w:t>drift_detection_enabled: true</w:t>
      </w:r>
    </w:p>
    <w:p>
      <w:pPr>
        <w:pStyle w:val="Heading3"/>
      </w:pPr>
      <w:r>
        <w:t>MRO-03: Agent Role is not Human Role</w:t>
      </w:r>
    </w:p>
    <w:p>
      <w:pPr>
        <w:spacing w:after="56"/>
      </w:pPr>
      <w:r>
        <w:t># MRO-03: Agent Role is not Human Role</w:t>
        <w:br/>
        <w:t>object_id: "mro03-uuid-example"</w:t>
        <w:br/>
        <w:t>object_type: "MRO-03"</w:t>
        <w:br/>
        <w:t>lifecycle_id: "lifecycle-uuid"</w:t>
        <w:br/>
        <w:t>project_id: "project-uuid"</w:t>
        <w:br/>
        <w:t>object_version: 1</w:t>
        <w:br/>
        <w:t>related_human_role_id: "human-role-uuid"</w:t>
        <w:br/>
        <w:t>related_agent_role_id: "agent-role-uuid"</w:t>
        <w:br/>
        <w:t>authority_scope: "agent_responsibility_surface"</w:t>
        <w:br/>
        <w:t>risk_class: "medium"</w:t>
        <w:br/>
        <w:t>evidence_pointer: "evidence-chain-uuid"</w:t>
        <w:br/>
        <w:t>privacy_treatment: "no_pii"</w:t>
        <w:br/>
        <w:t>status: "active"</w:t>
        <w:br/>
        <w:t>created_at: "2026-05-10T10:00:00Z"</w:t>
        <w:br/>
        <w:t>updated_at: "2026-05-10T10:00:00Z"</w:t>
        <w:br/>
        <w:t>closure_reason: null</w:t>
        <w:br/>
        <w:br/>
        <w:t># Object-specific fields</w:t>
        <w:br/>
        <w:t>agent_role_name: "Customer Support Agent"</w:t>
        <w:br/>
        <w:t>agent_responsibility_surface: "Draft responses; recommend actions; escalate disputes"</w:t>
        <w:br/>
        <w:t>human_role_distinction: "Human role: Review, accept, and send responses; resolve disputes"</w:t>
        <w:br/>
        <w:t>accountability_mapping: "Agent recommends; human accepts; human accountable"</w:t>
        <w:br/>
        <w:t>role_confusion_risk: "low"</w:t>
      </w:r>
    </w:p>
    <w:p>
      <w:pPr>
        <w:pStyle w:val="Heading3"/>
      </w:pPr>
      <w:r>
        <w:t>MRO-04: Accepted Outcome Compliance</w:t>
      </w:r>
    </w:p>
    <w:p>
      <w:pPr>
        <w:spacing w:after="56"/>
      </w:pPr>
      <w:r>
        <w:t># MRO-04: Accepted Outcome Compliance</w:t>
        <w:br/>
        <w:t>object_id: "mro04-uuid-example"</w:t>
        <w:br/>
        <w:t>object_type: "MRO-04"</w:t>
        <w:br/>
        <w:t>lifecycle_id: "lifecycle-uuid"</w:t>
        <w:br/>
        <w:t>project_id: "project-uuid"</w:t>
        <w:br/>
        <w:t>object_version: 1</w:t>
        <w:br/>
        <w:t>related_human_role_id: "human-role-uuid"</w:t>
        <w:br/>
        <w:t>related_agent_role_id: "agent-role-uuid"</w:t>
        <w:br/>
        <w:t>authority_scope: "outcome_acceptance"</w:t>
        <w:br/>
        <w:t>risk_class: "high"</w:t>
        <w:br/>
        <w:t>evidence_pointer: "evidence-chain-uuid"</w:t>
        <w:br/>
        <w:t>privacy_treatment: "redact_pii"</w:t>
        <w:br/>
        <w:t>status: "accepted"</w:t>
        <w:br/>
        <w:t>created_at: "2026-05-10T10:00:00Z"</w:t>
        <w:br/>
        <w:t>updated_at: "2026-05-10T10:15:00Z"</w:t>
        <w:br/>
        <w:t>closure_reason: null</w:t>
        <w:br/>
        <w:br/>
        <w:t># Object-specific fields</w:t>
        <w:br/>
        <w:t>outcome_description: "Customer refund request approved"</w:t>
        <w:br/>
        <w:t>acceptance_status: "accepted"</w:t>
        <w:br/>
        <w:t>accepted_by_role: "Customer Support Manager"</w:t>
        <w:br/>
        <w:t>acceptance_timestamp: "2026-05-10T10:15:00Z"</w:t>
        <w:br/>
        <w:t>rejection_reason: null</w:t>
        <w:br/>
        <w:t>escalation_path: "Senior Manager if customer disputes"</w:t>
      </w:r>
    </w:p>
    <w:p>
      <w:pPr>
        <w:pStyle w:val="Heading3"/>
      </w:pPr>
      <w:r>
        <w:t>MRO-05: Tool-Action Liability Boundary</w:t>
      </w:r>
    </w:p>
    <w:p>
      <w:pPr>
        <w:spacing w:after="56"/>
      </w:pPr>
      <w:r>
        <w:t># MRO-05: Tool-Action Liability Boundary</w:t>
        <w:br/>
        <w:t>object_id: "mro05-uuid-example"</w:t>
        <w:br/>
        <w:t>object_type: "MRO-05"</w:t>
        <w:br/>
        <w:t>lifecycle_id: "lifecycle-uuid"</w:t>
        <w:br/>
        <w:t>project_id: "project-uuid"</w:t>
        <w:br/>
        <w:t>object_version: 1</w:t>
        <w:br/>
        <w:t>related_human_role_id: "human-role-uuid"</w:t>
        <w:br/>
        <w:t>related_agent_role_id: "agent-role-uuid"</w:t>
        <w:br/>
        <w:t>authority_scope: "tool_action"</w:t>
        <w:br/>
        <w:t>risk_class: "high"</w:t>
        <w:br/>
        <w:t>evidence_pointer: "evidence-chain-uuid"</w:t>
        <w:br/>
        <w:t>privacy_treatment: "redact_pii"</w:t>
        <w:br/>
        <w:t>status: "active"</w:t>
        <w:br/>
        <w:t>created_at: "2026-05-10T10:00:00Z"</w:t>
        <w:br/>
        <w:t>updated_at: "2026-05-10T10:00:00Z"</w:t>
        <w:br/>
        <w:t>closure_reason: null</w:t>
        <w:br/>
        <w:br/>
        <w:t># Object-specific fields</w:t>
        <w:br/>
        <w:t>tool_name: "CRM API"</w:t>
        <w:br/>
        <w:t>action_type: "update_customer_record"</w:t>
        <w:br/>
        <w:t>liability_assignment: "responsibility_boundary_recorded"</w:t>
        <w:br/>
        <w:t>tool_provider_agreement: "agreement-uuid"</w:t>
        <w:br/>
        <w:t>authorization_record: "authorization-uuid"</w:t>
        <w:br/>
        <w:t>action_reversibility: "reversible_with_audit_trail"</w:t>
      </w:r>
    </w:p>
    <w:p>
      <w:pPr>
        <w:pStyle w:val="Heading3"/>
      </w:pPr>
      <w:r>
        <w:t>MRO-06: Responsibility Transfer Across Agents</w:t>
      </w:r>
    </w:p>
    <w:p>
      <w:pPr>
        <w:spacing w:after="56"/>
      </w:pPr>
      <w:r>
        <w:t># MRO-06: Responsibility Transfer Across Agents</w:t>
        <w:br/>
        <w:t>object_id: "mro06-uuid-example"</w:t>
        <w:br/>
        <w:t>object_type: "MRO-06"</w:t>
        <w:br/>
        <w:t>lifecycle_id: "lifecycle-uuid"</w:t>
        <w:br/>
        <w:t>project_id: "project-uuid"</w:t>
        <w:br/>
        <w:t>object_version: 1</w:t>
        <w:br/>
        <w:t>related_human_role_id: "human-role-uuid"</w:t>
        <w:br/>
        <w:t>related_agent_role_id: "agent-role-uuid"</w:t>
        <w:br/>
        <w:t>authority_scope: "handoff"</w:t>
        <w:br/>
        <w:t>risk_class: "medium"</w:t>
        <w:br/>
        <w:t>evidence_pointer: "evidence-chain-uuid"</w:t>
        <w:br/>
        <w:t>privacy_treatment: "no_pii"</w:t>
        <w:br/>
        <w:t>status: "active"</w:t>
        <w:br/>
        <w:t>created_at: "2026-05-10T10:00:00Z"</w:t>
        <w:br/>
        <w:t>updated_at: "2026-05-10T10:00:00Z"</w:t>
        <w:br/>
        <w:t>closure_reason: null</w:t>
        <w:br/>
        <w:br/>
        <w:t># Object-specific fields</w:t>
        <w:br/>
        <w:t>source_agent_id: "agent-1-uuid"</w:t>
        <w:br/>
        <w:t>target_agent_id: "agent-2-uuid"</w:t>
        <w:br/>
        <w:t>transfer_timestamp: "2026-05-10T10:00:00Z"</w:t>
        <w:br/>
        <w:t>constraint_inheritance: ["no_refund_over_1000", "require_manager_approval"]</w:t>
        <w:br/>
        <w:t>handoff_validation: "handoff_check_recorded"</w:t>
        <w:br/>
        <w:t>responsibility_acceptance: "accepted_by_agent_2"</w:t>
      </w:r>
    </w:p>
    <w:p>
      <w:pPr>
        <w:pStyle w:val="Heading3"/>
      </w:pPr>
      <w:r>
        <w:t>MRO-07: Authority Drift</w:t>
      </w:r>
    </w:p>
    <w:p>
      <w:pPr>
        <w:spacing w:after="56"/>
      </w:pPr>
      <w:r>
        <w:t># MRO-07: Authority Drift</w:t>
        <w:br/>
        <w:t>object_id: "mro07-uuid-example"</w:t>
        <w:br/>
        <w:t>object_type: "MRO-07"</w:t>
        <w:br/>
        <w:t>lifecycle_id: "lifecycle-uuid"</w:t>
        <w:br/>
        <w:t>project_id: "project-uuid"</w:t>
        <w:br/>
        <w:t>object_version: 1</w:t>
        <w:br/>
        <w:t>related_human_role_id: "human-role-uuid"</w:t>
        <w:br/>
        <w:t>related_agent_role_id: "agent-role-uuid"</w:t>
        <w:br/>
        <w:t>authority_scope: "draft_only"</w:t>
        <w:br/>
        <w:t>risk_class: "high"</w:t>
        <w:br/>
        <w:t>evidence_pointer: "evidence-chain-uuid"</w:t>
        <w:br/>
        <w:t>privacy_treatment: "no_pii"</w:t>
        <w:br/>
        <w:t>status: "drift_detected"</w:t>
        <w:br/>
        <w:t>created_at: "2026-05-10T10:00:00Z"</w:t>
        <w:br/>
        <w:t>updated_at: "2026-05-10T11:00:00Z"</w:t>
        <w:br/>
        <w:t>closure_reason: null</w:t>
        <w:br/>
        <w:br/>
        <w:t># Object-specific fields</w:t>
        <w:br/>
        <w:t>authority_baseline: "draft_only"</w:t>
        <w:br/>
        <w:t>current_authority_scope: "draft_and_send"</w:t>
        <w:br/>
        <w:t>drift_detected: true</w:t>
        <w:br/>
        <w:t>drift_magnitude: "high"</w:t>
        <w:br/>
        <w:t>reauthorization_required: true</w:t>
        <w:br/>
        <w:t>drift_alert_policy: "alert_governance_team"</w:t>
      </w:r>
    </w:p>
    <w:p>
      <w:pPr>
        <w:pStyle w:val="Heading3"/>
      </w:pPr>
      <w:r>
        <w:t>MRO-08: MAS Evidence Partitioning</w:t>
      </w:r>
    </w:p>
    <w:p>
      <w:pPr>
        <w:spacing w:after="56"/>
      </w:pPr>
      <w:r>
        <w:t># MRO-08: MAS Evidence Partitioning</w:t>
        <w:br/>
        <w:t>object_id: "mro08-uuid-example"</w:t>
        <w:br/>
        <w:t>object_type: "MRO-08"</w:t>
        <w:br/>
        <w:t>lifecycle_id: "lifecycle-uuid"</w:t>
        <w:br/>
        <w:t>project_id: "project-uuid"</w:t>
        <w:br/>
        <w:t>object_version: 1</w:t>
        <w:br/>
        <w:t>related_human_role_id: "human-role-uuid"</w:t>
        <w:br/>
        <w:t>related_agent_role_id: "agent-role-uuid"</w:t>
        <w:br/>
        <w:t>authority_scope: "evidence_partition"</w:t>
        <w:br/>
        <w:t>risk_class: "medium"</w:t>
        <w:br/>
        <w:t>evidence_pointer: "evidence-chain-uuid"</w:t>
        <w:br/>
        <w:t>privacy_treatment: "selective_disclosure"</w:t>
        <w:br/>
        <w:t>status: "active"</w:t>
        <w:br/>
        <w:t>created_at: "2026-05-10T10:00:00Z"</w:t>
        <w:br/>
        <w:t>updated_at: "2026-05-10T10:00:00Z"</w:t>
        <w:br/>
        <w:t>closure_reason: null</w:t>
        <w:br/>
        <w:br/>
        <w:t># Object-specific fields</w:t>
        <w:br/>
        <w:t>partition_key: "customer-uuid"</w:t>
        <w:br/>
        <w:t>partition_type: "customer"</w:t>
        <w:br/>
        <w:t>evidence_export_policy: "selective_disclosure_only"</w:t>
        <w:br/>
        <w:t>selective_disclosure_enabled: true</w:t>
        <w:br/>
        <w:t>partition_boundary: "customer_data_only"</w:t>
        <w:br/>
        <w:t>cross_partition_access_policy: "deny"</w:t>
      </w:r>
    </w:p>
    <w:p>
      <w:pPr>
        <w:pStyle w:val="Heading3"/>
      </w:pPr>
      <w:r>
        <w:t>MRO-09: Cross-Project Reuse Compliance</w:t>
      </w:r>
    </w:p>
    <w:p>
      <w:pPr>
        <w:spacing w:after="56"/>
      </w:pPr>
      <w:r>
        <w:t># MRO-09: Cross-Project Reuse Compliance</w:t>
        <w:br/>
        <w:t>object_id: "mro09-uuid-example"</w:t>
        <w:br/>
        <w:t>object_type: "MRO-09"</w:t>
        <w:br/>
        <w:t>lifecycle_id: "lifecycle-uuid"</w:t>
        <w:br/>
        <w:t>project_id: "project-uuid"</w:t>
        <w:br/>
        <w:t>object_version: 1</w:t>
        <w:br/>
        <w:t>related_human_role_id: "human-role-uuid"</w:t>
        <w:br/>
        <w:t>related_agent_role_id: "agent-role-uuid"</w:t>
        <w:br/>
        <w:t>authority_scope: "reuse_validation"</w:t>
        <w:br/>
        <w:t>risk_class: "high"</w:t>
        <w:br/>
        <w:t>evidence_pointer: "evidence-chain-uuid"</w:t>
        <w:br/>
        <w:t>privacy_treatment: "context_reset"</w:t>
        <w:br/>
        <w:t>status: "reuse_review_recorded"</w:t>
        <w:br/>
        <w:t>created_at: "2026-05-10T10:00:00Z"</w:t>
        <w:br/>
        <w:t>updated_at: "2026-05-10T10:00:00Z"</w:t>
        <w:br/>
        <w:t>closure_reason: null</w:t>
        <w:br/>
        <w:br/>
        <w:t># Object-specific fields</w:t>
        <w:br/>
        <w:t>source_project_id: "project-1-uuid"</w:t>
        <w:br/>
        <w:t>target_project_id: "project-2-uuid"</w:t>
        <w:br/>
        <w:t>reuse_type: "prompt_template"</w:t>
        <w:br/>
        <w:t>reset_validation: "reset_check_recorded"</w:t>
        <w:br/>
        <w:t>reauthorization_required: true</w:t>
        <w:br/>
        <w:t>context_boundary_check: "context_boundary_check_recorded"</w:t>
      </w:r>
    </w:p>
    <w:p>
      <w:pPr>
        <w:pStyle w:val="Heading3"/>
      </w:pPr>
      <w:r>
        <w:t>MRO-10: Privacy / GDPR Lifecycle Mapping</w:t>
      </w:r>
    </w:p>
    <w:p>
      <w:pPr>
        <w:spacing w:after="56"/>
      </w:pPr>
      <w:r>
        <w:t># MRO-10: Privacy / GDPR Lifecycle Mapping</w:t>
        <w:br/>
        <w:t>object_id: "mro10-uuid-example"</w:t>
        <w:br/>
        <w:t>object_type: "MRO-10"</w:t>
        <w:br/>
        <w:t>lifecycle_id: "lifecycle-uuid"</w:t>
        <w:br/>
        <w:t>project_id: "project-uuid"</w:t>
        <w:br/>
        <w:t>object_version: 1</w:t>
        <w:br/>
        <w:t>related_human_role_id: "human-role-uuid"</w:t>
        <w:br/>
        <w:t>related_agent_role_id: "agent-role-uuid"</w:t>
        <w:br/>
        <w:t>authority_scope: "privacy_mapping"</w:t>
        <w:br/>
        <w:t>risk_class: "high"</w:t>
        <w:br/>
        <w:t>evidence_pointer: "evidence-chain-uuid"</w:t>
        <w:br/>
        <w:t>privacy_treatment: "gdpr_lifecycle_mapping_required"</w:t>
        <w:br/>
        <w:t>status: "active"</w:t>
        <w:br/>
        <w:t>created_at: "2026-05-10T10:00:00Z"</w:t>
        <w:br/>
        <w:t>updated_at: "2026-05-10T10:00:00Z"</w:t>
        <w:br/>
        <w:t>closure_reason: null</w:t>
        <w:br/>
        <w:br/>
        <w:t># Object-specific fields</w:t>
        <w:br/>
        <w:t>data_flow_record: "data-flow-uuid"</w:t>
        <w:br/>
        <w:t>retention_policy: "30_days"</w:t>
        <w:br/>
        <w:t>data_subject_rights_workflow: "rights_workflow_mapping_required"</w:t>
        <w:br/>
        <w:t>privacy_impact_assessment: "pia-uuid"</w:t>
        <w:br/>
        <w:t>gdpr_article_mapping: ["Article 6 mapping required", "Article 17 mapping required"]</w:t>
        <w:br/>
        <w:t>data_minimization_policy: "collect_only_necessary"</w:t>
      </w:r>
    </w:p>
    <w:p>
      <w:pPr>
        <w:pStyle w:val="Heading3"/>
      </w:pPr>
      <w:r>
        <w:t>MRO-11: Privacy-Preserving Third-Party Validation</w:t>
      </w:r>
    </w:p>
    <w:p>
      <w:pPr>
        <w:spacing w:after="56"/>
      </w:pPr>
      <w:r>
        <w:t># MRO-11: Privacy-Preserving Third-Party Validation</w:t>
        <w:br/>
        <w:t>object_id: "mro11-uuid-example"</w:t>
        <w:br/>
        <w:t>object_type: "MRO-11"</w:t>
        <w:br/>
        <w:t>lifecycle_id: "lifecycle-uuid"</w:t>
        <w:br/>
        <w:t>project_id: "project-uuid"</w:t>
        <w:br/>
        <w:t>object_version: 1</w:t>
        <w:br/>
        <w:t>related_human_role_id: "human-role-uuid"</w:t>
        <w:br/>
        <w:t>related_agent_role_id: "agent-role-uuid"</w:t>
        <w:br/>
        <w:t>authority_scope: "validation"</w:t>
        <w:br/>
        <w:t>risk_class: "medium"</w:t>
        <w:br/>
        <w:t>evidence_pointer: "evidence-chain-uuid"</w:t>
        <w:br/>
        <w:t>privacy_treatment: "hash_based_validation"</w:t>
        <w:br/>
        <w:t>status: "validation_recorded"</w:t>
        <w:br/>
        <w:t>created_at: "2026-05-10T10:00:00Z"</w:t>
        <w:br/>
        <w:t>updated_at: "2026-05-10T10:30:00Z"</w:t>
        <w:br/>
        <w:t>closure_reason: null</w:t>
        <w:br/>
        <w:br/>
        <w:t># Object-specific fields</w:t>
        <w:br/>
        <w:t>validation_protocol: "evidence_based_validation_pattern"</w:t>
        <w:br/>
        <w:t>disclosure_profile: "minimal_disclosure"</w:t>
        <w:br/>
        <w:t>redaction_profile: "redact_all_pii"</w:t>
        <w:br/>
        <w:t>hash_manifest: "hash-manifest-uuid"</w:t>
        <w:br/>
        <w:t>verdict_hash: "sha256-verdict-hash"</w:t>
        <w:br/>
        <w:t>validation_provider_agreement: "agreement-uuid"</w:t>
      </w:r>
    </w:p>
    <w:p>
      <w:pPr>
        <w:pStyle w:val="Heading3"/>
      </w:pPr>
      <w:r>
        <w:t>MRO-12: Evidence Minimization and Selective Disclosure</w:t>
      </w:r>
    </w:p>
    <w:p>
      <w:pPr>
        <w:spacing w:after="56"/>
      </w:pPr>
      <w:r>
        <w:t># MRO-12: Evidence Minimization and Selective Disclosure</w:t>
        <w:br/>
        <w:t>object_id: "mro12-uuid-example"</w:t>
        <w:br/>
        <w:t>object_type: "MRO-12"</w:t>
        <w:br/>
        <w:t>lifecycle_id: "lifecycle-uuid"</w:t>
        <w:br/>
        <w:t>project_id: "project-uuid"</w:t>
        <w:br/>
        <w:t>object_version: 1</w:t>
        <w:br/>
        <w:t>related_human_role_id: "human-role-uuid"</w:t>
        <w:br/>
        <w:t>related_agent_role_id: "agent-role-uuid"</w:t>
        <w:br/>
        <w:t>authority_scope: "evidence_minimization"</w:t>
        <w:br/>
        <w:t>risk_class: "medium"</w:t>
        <w:br/>
        <w:t>evidence_pointer: "evidence-chain-uuid"</w:t>
        <w:br/>
        <w:t>privacy_treatment: "minimized"</w:t>
        <w:br/>
        <w:t>status: "active"</w:t>
        <w:br/>
        <w:t>created_at: "2026-05-10T10:00:00Z"</w:t>
        <w:br/>
        <w:t>updated_at: "2026-05-10T10:00:00Z"</w:t>
        <w:br/>
        <w:t>closure_reason: null</w:t>
        <w:br/>
        <w:br/>
        <w:t># Object-specific fields</w:t>
        <w:br/>
        <w:t>retention_policy: "30_days"</w:t>
        <w:br/>
        <w:t>disclosure_policy: "selective_disclosure_only"</w:t>
        <w:br/>
        <w:t>minimization_rules: ["remove_pii", "aggregate_metrics"]</w:t>
        <w:br/>
        <w:t>selective_disclosure_log: "disclosure-log-uuid"</w:t>
        <w:br/>
        <w:t>evidence_expiry: "2026-06-10T10:00:00Z"</w:t>
        <w:br/>
        <w:t>disclosure_justification: "audit_request"</w:t>
      </w:r>
    </w:p>
    <w:p>
      <w:pPr>
        <w:pStyle w:val="Heading3"/>
      </w:pPr>
      <w:r>
        <w:t>MRO-13: Data Subject Rights vs Evidence Retention</w:t>
      </w:r>
    </w:p>
    <w:p>
      <w:pPr>
        <w:spacing w:after="56"/>
      </w:pPr>
      <w:r>
        <w:t># MRO-13: Data Subject Rights vs Evidence Retention</w:t>
        <w:br/>
        <w:t>object_id: "mro13-uuid-example"</w:t>
        <w:br/>
        <w:t>object_type: "MRO-13"</w:t>
        <w:br/>
        <w:t>lifecycle_id: "lifecycle-uuid"</w:t>
        <w:br/>
        <w:t>project_id: "project-uuid"</w:t>
        <w:br/>
        <w:t>object_version: 1</w:t>
        <w:br/>
        <w:t>related_human_role_id: "human-role-uuid"</w:t>
        <w:br/>
        <w:t>related_agent_role_id: "agent-role-uuid"</w:t>
        <w:br/>
        <w:t>authority_scope: "data_subject_rights"</w:t>
        <w:br/>
        <w:t>risk_class: "high"</w:t>
        <w:br/>
        <w:t>evidence_pointer: "evidence-chain-uuid"</w:t>
        <w:br/>
        <w:t>privacy_treatment: "erasure_exception"</w:t>
        <w:br/>
        <w:t>status: "reconciled"</w:t>
        <w:br/>
        <w:t>created_at: "2026-05-10T10:00:00Z"</w:t>
        <w:br/>
        <w:t>updated_at: "2026-05-10T10:00:00Z"</w:t>
        <w:br/>
        <w:t>closure_reason: null</w:t>
        <w:br/>
        <w:br/>
        <w:t># Object-specific fields</w:t>
        <w:br/>
        <w:t>data_subject_request_type: "erasure"</w:t>
        <w:br/>
        <w:t>evidence_retention_requirement: "legal_hold"</w:t>
        <w:br/>
        <w:t>reconciliation_policy: "pseudonymize_instead_of_erase"</w:t>
        <w:br/>
        <w:t>legal_hold_status: "active"</w:t>
        <w:br/>
        <w:t>erasure_exception: "legal_obligation"</w:t>
        <w:br/>
        <w:t>retention_justification: "ongoing_dispute"</w:t>
      </w:r>
    </w:p>
    <w:p>
      <w:pPr>
        <w:pStyle w:val="Heading3"/>
      </w:pPr>
      <w:r>
        <w:t>MRO-14: Third-Party Processor / Subprocessor Chain</w:t>
      </w:r>
    </w:p>
    <w:p>
      <w:pPr>
        <w:spacing w:after="56"/>
      </w:pPr>
      <w:r>
        <w:t># MRO-14: Third-Party Processor / Subprocessor Chain</w:t>
        <w:br/>
        <w:t>object_id: "mro14-uuid-example"</w:t>
        <w:br/>
        <w:t>object_type: "MRO-14"</w:t>
        <w:br/>
        <w:t>lifecycle_id: "lifecycle-uuid"</w:t>
        <w:br/>
        <w:t>project_id: "project-uuid"</w:t>
        <w:br/>
        <w:t>object_version: 1</w:t>
        <w:br/>
        <w:t>related_human_role_id: "human-role-uuid"</w:t>
        <w:br/>
        <w:t>related_agent_role_id: "agent-role-uuid"</w:t>
        <w:br/>
        <w:t>authority_scope: "processor_chain"</w:t>
        <w:br/>
        <w:t>risk_class: "high"</w:t>
        <w:br/>
        <w:t>evidence_pointer: "evidence-chain-uuid"</w:t>
        <w:br/>
        <w:t>privacy_treatment: "processor_agreement"</w:t>
        <w:br/>
        <w:t>status: "active"</w:t>
        <w:br/>
        <w:t>created_at: "2026-05-10T10:00:00Z"</w:t>
        <w:br/>
        <w:t>updated_at: "2026-05-10T10:00:00Z"</w:t>
        <w:br/>
        <w:t>closure_reason: null</w:t>
        <w:br/>
        <w:br/>
        <w:t># Object-specific fields</w:t>
        <w:br/>
        <w:t>processor_name: "Cloud AI Provider"</w:t>
        <w:br/>
        <w:t>processor_role: "model_inference"</w:t>
        <w:br/>
        <w:t>subprocessor_chain: ["Vector DB Provider", "Monitoring Platform"]</w:t>
        <w:br/>
        <w:t>data_processing_agreement: "dpa-uuid"</w:t>
        <w:br/>
        <w:t>responsibility_assignment: "processor_responsibility_reference"</w:t>
        <w:br/>
        <w:t>processor_liability: "gdpr_article_28_mapping_required"</w:t>
      </w:r>
    </w:p>
    <w:p>
      <w:pPr>
        <w:pStyle w:val="Heading3"/>
      </w:pPr>
      <w:r>
        <w:t>MRO-15: Vendor / Model / Runtime Substitution Conformance</w:t>
      </w:r>
    </w:p>
    <w:p>
      <w:pPr>
        <w:spacing w:after="56"/>
      </w:pPr>
      <w:r>
        <w:t># MRO-15: Vendor / Model / Runtime Substitution Conformance</w:t>
        <w:br/>
        <w:t>object_id: "mro15-uuid-example"</w:t>
        <w:br/>
        <w:t>object_type: "MRO-15"</w:t>
        <w:br/>
        <w:t>lifecycle_id: "lifecycle-uuid"</w:t>
        <w:br/>
        <w:t>project_id: "project-uuid"</w:t>
        <w:br/>
        <w:t>object_version: 1</w:t>
        <w:br/>
        <w:t>related_human_role_id: "human-role-uuid"</w:t>
        <w:br/>
        <w:t>related_agent_role_id: "agent-role-uuid"</w:t>
        <w:br/>
        <w:t>authority_scope: "substitution_validation"</w:t>
        <w:br/>
        <w:t>risk_class: "high"</w:t>
        <w:br/>
        <w:t>evidence_pointer: "evidence-chain-uuid"</w:t>
        <w:br/>
        <w:t>privacy_treatment: "no_pii"</w:t>
        <w:br/>
        <w:t>status: "conformance_check_recorded"</w:t>
        <w:br/>
        <w:t>created_at: "2026-05-10T10:00:00Z"</w:t>
        <w:br/>
        <w:t>updated_at: "2026-05-10T10:00:00Z"</w:t>
        <w:br/>
        <w:t>closure_reason: null</w:t>
        <w:br/>
        <w:br/>
        <w:t># Object-specific fields</w:t>
        <w:br/>
        <w:t>substitution_type: "model_provider"</w:t>
        <w:br/>
        <w:t>previous_vendor: "Vendor A"</w:t>
        <w:br/>
        <w:t>new_vendor: "Vendor B"</w:t>
        <w:br/>
        <w:t>conformance_validation: "conformance_check_recorded"</w:t>
        <w:br/>
        <w:t>regression_testing: "regression_check_recorded"</w:t>
        <w:br/>
        <w:t>evidence_integrity_check: "evidence_integrity_check_recorded"</w:t>
      </w:r>
    </w:p>
    <w:p>
      <w:pPr>
        <w:pStyle w:val="Heading3"/>
      </w:pPr>
      <w:r>
        <w:t>MRO-16: Incident, Dispute, and Remediation Closure</w:t>
      </w:r>
    </w:p>
    <w:p>
      <w:pPr>
        <w:spacing w:after="56"/>
      </w:pPr>
      <w:r>
        <w:t># MRO-16: Incident, Dispute, and Remediation Closure</w:t>
        <w:br/>
        <w:t>object_id: "mro16-uuid-example"</w:t>
        <w:br/>
        <w:t>object_type: "MRO-16"</w:t>
        <w:br/>
        <w:t>lifecycle_id: "lifecycle-uuid"</w:t>
        <w:br/>
        <w:t>project_id: "project-uuid"</w:t>
        <w:br/>
        <w:t>object_version: 1</w:t>
        <w:br/>
        <w:t>related_human_role_id: "human-role-uuid"</w:t>
        <w:br/>
        <w:t>related_agent_role_id: "agent-role-uuid"</w:t>
        <w:br/>
        <w:t>authority_scope: "incident_closure"</w:t>
        <w:br/>
        <w:t>risk_class: "high"</w:t>
        <w:br/>
        <w:t>evidence_pointer: "evidence-chain-uuid"</w:t>
        <w:br/>
        <w:t>privacy_treatment: "redact_pii"</w:t>
        <w:br/>
        <w:t>status: "closed"</w:t>
        <w:br/>
        <w:t>created_at: "2026-05-10T10:00:00Z"</w:t>
        <w:br/>
        <w:t>updated_at: "2026-05-10T12:00:00Z"</w:t>
        <w:br/>
        <w:t>closure_reason: "remediation_complete"</w:t>
        <w:br/>
        <w:br/>
        <w:t># Object-specific fields</w:t>
        <w:br/>
        <w:t>incident_type: "prompt_bug"</w:t>
        <w:br/>
        <w:t>affected_outcomes: ["outcome-1-uuid", "outcome-2-uuid"]</w:t>
        <w:br/>
        <w:t>remediation_action: "prompt_fixed_and_redeployed"</w:t>
        <w:br/>
        <w:t>closure_status: "closed"</w:t>
        <w:br/>
        <w:t>responsible_owner: "Engineering Manager"</w:t>
        <w:br/>
        <w:t>customer_impact_assessment: "low_impact_2_customers_notified"</w:t>
      </w:r>
    </w:p>
    <w:p>
      <w:pPr>
        <w:pStyle w:val="Heading1"/>
      </w:pPr>
      <w:r>
        <w:t>Appendix B — Scorecard Template</w:t>
      </w:r>
    </w:p>
    <w:p>
      <w:pPr>
        <w:spacing w:after="56"/>
      </w:pPr>
      <w:r>
        <w:t>Version: v0.3.2-FRC-R3</w:t>
      </w:r>
    </w:p>
    <w:p>
      <w:pPr>
        <w:pStyle w:val="Heading2"/>
      </w:pPr>
      <w:r>
        <w:t>B.0 Scorecard Boundary</w:t>
      </w:r>
    </w:p>
    <w:p>
      <w:pPr>
        <w:spacing w:after="56"/>
      </w:pPr>
      <w:r>
        <w:t>This appendix provides reusable RCCS/ALCS scorecard templates for system evaluation and gap analysis. These templates are analytical tools, not legal compliance scores, certifications, or regulatory approvals.</w:t>
      </w:r>
    </w:p>
    <w:p>
      <w:pPr>
        <w:spacing w:after="56"/>
      </w:pPr>
      <w:r>
        <w:t>Boundary statement:</w:t>
      </w:r>
    </w:p>
    <w:p>
      <w:pPr>
        <w:pStyle w:val="ListBullet"/>
        <w:spacing w:after="56"/>
      </w:pPr>
      <w:r>
        <w:t>Scorecards are analytical tools only. RCCS and ALCS scores measure regulatory compliance coverage and lifecycle responsibility object maturity. They do not prove legal compliance, regulatory approval, or certification.</w:t>
      </w:r>
    </w:p>
    <w:p>
      <w:pPr>
        <w:pStyle w:val="ListBullet"/>
        <w:spacing w:after="56"/>
      </w:pPr>
      <w:r>
        <w:t>High scores do not guarantee compliance. A high RCCS or ALCS score indicates that a system provides primitives for regulatory compliance coverage or lifecycle responsibility objects. It does not prove that the system is legally compliant, operationally effective, or enterprise-ready.</w:t>
      </w:r>
    </w:p>
    <w:p>
      <w:pPr>
        <w:pStyle w:val="ListBullet"/>
        <w:spacing w:after="56"/>
      </w:pPr>
      <w:r>
        <w:t>Low scores do not prove non-compliance. A low RCCS or ALCS score indicates gaps in regulatory compliance coverage or lifecycle responsibility object maturity. It does not prove that the system is non-compliant, unsafe, or unsuitable for deployment.</w:t>
      </w:r>
    </w:p>
    <w:p>
      <w:pPr>
        <w:pStyle w:val="ListBullet"/>
        <w:spacing w:after="56"/>
      </w:pPr>
      <w:r>
        <w:t>Scores are context-independent. RCCS and ALCS scores measure system capability, not organizational practice. Organizations must interpret scores within their legal, regulatory, and operational context.</w:t>
      </w:r>
    </w:p>
    <w:p>
      <w:pPr>
        <w:pStyle w:val="ListBullet"/>
        <w:spacing w:after="56"/>
      </w:pPr>
      <w:r>
        <w:t>Scores require evidence. All scores must be supported by evidence. The evidence level (L1-L5) affects the score multiplier. Scores without evidence are not valid.</w:t>
      </w:r>
    </w:p>
    <w:p>
      <w:pPr>
        <w:pStyle w:val="ListBullet"/>
        <w:spacing w:after="56"/>
      </w:pPr>
      <w:r>
        <w:t>Scores are not product rankings. Scorecards compare systems by responsibility semantics, not product quality, market leadership, or procurement suitability.</w:t>
      </w:r>
    </w:p>
    <w:p>
      <w:pPr>
        <w:pStyle w:val="Heading2"/>
      </w:pPr>
      <w:r>
        <w:t>B.1 Dimension-Level Scoring Template</w:t>
      </w:r>
    </w:p>
    <w:p>
      <w:pPr>
        <w:spacing w:after="56"/>
      </w:pPr>
      <w:r>
        <w:t>The following template supports dimension-level scoring for RCCS and ALCS dimensions.</w:t>
      </w:r>
    </w:p>
    <w:p>
      <w:pPr>
        <w:keepNext/>
      </w:pPr>
      <w:r>
        <w:rPr>
          <w:b/>
          <w:sz w:val="16"/>
        </w:rPr>
        <w:t>Table T-B-01: RCCS/ALCS Dimension Scorecard Template</w:t>
      </w:r>
    </w:p>
    <w:tbl>
      <w:tblPr>
        <w:tblStyle w:val="TableGrid"/>
        <w:tblW w:type="auto" w:w="0"/>
        <w:tblLayout w:type="autofit"/>
        <w:tblLook w:firstColumn="1" w:firstRow="1" w:lastColumn="0" w:lastRow="0" w:noHBand="0" w:noVBand="1" w:val="04A0"/>
      </w:tblPr>
      <w:tblGrid>
        <w:gridCol w:w="1278"/>
        <w:gridCol w:w="1278"/>
        <w:gridCol w:w="1278"/>
        <w:gridCol w:w="1278"/>
        <w:gridCol w:w="1278"/>
        <w:gridCol w:w="1278"/>
        <w:gridCol w:w="1278"/>
        <w:gridCol w:w="1278"/>
      </w:tblGrid>
      <w:tr>
        <w:tc>
          <w:tcPr>
            <w:tcW w:type="dxa" w:w="1278"/>
          </w:tcPr>
          <w:p>
            <w:pPr>
              <w:spacing w:after="0"/>
            </w:pPr>
            <w:r>
              <w:rPr>
                <w:rFonts w:ascii="Arial" w:hAnsi="Arial"/>
                <w:b/>
                <w:sz w:val="12"/>
              </w:rPr>
              <w:t>System</w:t>
            </w:r>
          </w:p>
        </w:tc>
        <w:tc>
          <w:tcPr>
            <w:tcW w:type="dxa" w:w="1278"/>
          </w:tcPr>
          <w:p>
            <w:pPr>
              <w:spacing w:after="0"/>
            </w:pPr>
            <w:r>
              <w:rPr>
                <w:rFonts w:ascii="Arial" w:hAnsi="Arial"/>
                <w:b/>
                <w:sz w:val="12"/>
              </w:rPr>
              <w:t>Dimension</w:t>
            </w:r>
          </w:p>
        </w:tc>
        <w:tc>
          <w:tcPr>
            <w:tcW w:type="dxa" w:w="1278"/>
          </w:tcPr>
          <w:p>
            <w:pPr>
              <w:spacing w:after="0"/>
            </w:pPr>
            <w:r>
              <w:rPr>
                <w:rFonts w:ascii="Arial" w:hAnsi="Arial"/>
                <w:b/>
                <w:sz w:val="12"/>
              </w:rPr>
              <w:t>Raw Score 0-5</w:t>
            </w:r>
          </w:p>
        </w:tc>
        <w:tc>
          <w:tcPr>
            <w:tcW w:type="dxa" w:w="1278"/>
          </w:tcPr>
          <w:p>
            <w:pPr>
              <w:spacing w:after="0"/>
            </w:pPr>
            <w:r>
              <w:rPr>
                <w:rFonts w:ascii="Arial" w:hAnsi="Arial"/>
                <w:b/>
                <w:sz w:val="12"/>
              </w:rPr>
              <w:t>Evidence Level</w:t>
            </w:r>
          </w:p>
        </w:tc>
        <w:tc>
          <w:tcPr>
            <w:tcW w:type="dxa" w:w="1278"/>
          </w:tcPr>
          <w:p>
            <w:pPr>
              <w:spacing w:after="0"/>
            </w:pPr>
            <w:r>
              <w:rPr>
                <w:rFonts w:ascii="Arial" w:hAnsi="Arial"/>
                <w:b/>
                <w:sz w:val="12"/>
              </w:rPr>
              <w:t>Multiplier</w:t>
            </w:r>
          </w:p>
        </w:tc>
        <w:tc>
          <w:tcPr>
            <w:tcW w:type="dxa" w:w="1278"/>
          </w:tcPr>
          <w:p>
            <w:pPr>
              <w:spacing w:after="0"/>
            </w:pPr>
            <w:r>
              <w:rPr>
                <w:rFonts w:ascii="Arial" w:hAnsi="Arial"/>
                <w:b/>
                <w:sz w:val="12"/>
              </w:rPr>
              <w:t>Adjusted Score</w:t>
            </w:r>
          </w:p>
        </w:tc>
        <w:tc>
          <w:tcPr>
            <w:tcW w:type="dxa" w:w="1278"/>
          </w:tcPr>
          <w:p>
            <w:pPr>
              <w:spacing w:after="0"/>
            </w:pPr>
            <w:r>
              <w:rPr>
                <w:rFonts w:ascii="Arial" w:hAnsi="Arial"/>
                <w:b/>
                <w:sz w:val="12"/>
              </w:rPr>
              <w:t>Justification</w:t>
            </w:r>
          </w:p>
        </w:tc>
        <w:tc>
          <w:tcPr>
            <w:tcW w:type="dxa" w:w="1278"/>
          </w:tcPr>
          <w:p>
            <w:pPr>
              <w:spacing w:after="0"/>
            </w:pPr>
            <w:r>
              <w:rPr>
                <w:rFonts w:ascii="Arial" w:hAnsi="Arial"/>
                <w:b/>
                <w:sz w:val="12"/>
              </w:rPr>
              <w:t>Boundary Note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4</w:t>
            </w:r>
          </w:p>
        </w:tc>
        <w:tc>
          <w:tcPr>
            <w:tcW w:type="dxa" w:w="1278"/>
          </w:tcPr>
          <w:p>
            <w:pPr>
              <w:spacing w:after="0"/>
            </w:pPr>
            <w:r>
              <w:rPr>
                <w:rFonts w:ascii="Arial" w:hAnsi="Arial"/>
                <w:b w:val="0"/>
                <w:sz w:val="12"/>
              </w:rPr>
              <w:t>L2: Product Docs</w:t>
            </w:r>
          </w:p>
        </w:tc>
        <w:tc>
          <w:tcPr>
            <w:tcW w:type="dxa" w:w="1278"/>
          </w:tcPr>
          <w:p>
            <w:pPr>
              <w:spacing w:after="0"/>
            </w:pPr>
            <w:r>
              <w:rPr>
                <w:rFonts w:ascii="Arial" w:hAnsi="Arial"/>
                <w:b w:val="0"/>
                <w:sz w:val="12"/>
              </w:rPr>
              <w:t>0.85</w:t>
            </w:r>
          </w:p>
        </w:tc>
        <w:tc>
          <w:tcPr>
            <w:tcW w:type="dxa" w:w="1278"/>
          </w:tcPr>
          <w:p>
            <w:pPr>
              <w:spacing w:after="0"/>
            </w:pPr>
            <w:r>
              <w:rPr>
                <w:rFonts w:ascii="Arial" w:hAnsi="Arial"/>
                <w:b w:val="0"/>
                <w:sz w:val="12"/>
              </w:rPr>
              <w:t>68.0</w:t>
            </w:r>
          </w:p>
        </w:tc>
        <w:tc>
          <w:tcPr>
            <w:tcW w:type="dxa" w:w="1278"/>
          </w:tcPr>
          <w:p>
            <w:pPr>
              <w:spacing w:after="0"/>
            </w:pPr>
            <w:r>
              <w:rPr>
                <w:rFonts w:ascii="Arial" w:hAnsi="Arial"/>
                <w:b w:val="0"/>
                <w:sz w:val="12"/>
              </w:rPr>
              <w:t>System provides audit trail API and log export capability documented in official product docs</w:t>
            </w:r>
          </w:p>
        </w:tc>
        <w:tc>
          <w:tcPr>
            <w:tcW w:type="dxa" w:w="1278"/>
          </w:tcPr>
          <w:p>
            <w:pPr>
              <w:spacing w:after="0"/>
            </w:pPr>
            <w:r>
              <w:rPr>
                <w:rFonts w:ascii="Arial" w:hAnsi="Arial"/>
                <w:b w:val="0"/>
                <w:sz w:val="12"/>
              </w:rPr>
              <w:t>Score measures capability, not organizational practice; does not prove legal compliance</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ALCS-02: Delegated Authority Boundary</w:t>
            </w:r>
          </w:p>
        </w:tc>
        <w:tc>
          <w:tcPr>
            <w:tcW w:type="dxa" w:w="1278"/>
          </w:tcPr>
          <w:p>
            <w:pPr>
              <w:spacing w:after="0"/>
            </w:pPr>
            <w:r>
              <w:rPr>
                <w:rFonts w:ascii="Arial" w:hAnsi="Arial"/>
                <w:b w:val="0"/>
                <w:sz w:val="12"/>
              </w:rPr>
              <w:t>3</w:t>
            </w:r>
          </w:p>
        </w:tc>
        <w:tc>
          <w:tcPr>
            <w:tcW w:type="dxa" w:w="1278"/>
          </w:tcPr>
          <w:p>
            <w:pPr>
              <w:spacing w:after="0"/>
            </w:pPr>
            <w:r>
              <w:rPr>
                <w:rFonts w:ascii="Arial" w:hAnsi="Arial"/>
                <w:b w:val="0"/>
                <w:sz w:val="12"/>
              </w:rPr>
              <w:t>L3: Audit Report</w:t>
            </w:r>
          </w:p>
        </w:tc>
        <w:tc>
          <w:tcPr>
            <w:tcW w:type="dxa" w:w="1278"/>
          </w:tcPr>
          <w:p>
            <w:pPr>
              <w:spacing w:after="0"/>
            </w:pPr>
            <w:r>
              <w:rPr>
                <w:rFonts w:ascii="Arial" w:hAnsi="Arial"/>
                <w:b w:val="0"/>
                <w:sz w:val="12"/>
              </w:rPr>
              <w:t>0.75</w:t>
            </w:r>
          </w:p>
        </w:tc>
        <w:tc>
          <w:tcPr>
            <w:tcW w:type="dxa" w:w="1278"/>
          </w:tcPr>
          <w:p>
            <w:pPr>
              <w:spacing w:after="0"/>
            </w:pPr>
            <w:r>
              <w:rPr>
                <w:rFonts w:ascii="Arial" w:hAnsi="Arial"/>
                <w:b w:val="0"/>
                <w:sz w:val="12"/>
              </w:rPr>
              <w:t>45.0</w:t>
            </w:r>
          </w:p>
        </w:tc>
        <w:tc>
          <w:tcPr>
            <w:tcW w:type="dxa" w:w="1278"/>
          </w:tcPr>
          <w:p>
            <w:pPr>
              <w:spacing w:after="0"/>
            </w:pPr>
            <w:r>
              <w:rPr>
                <w:rFonts w:ascii="Arial" w:hAnsi="Arial"/>
                <w:b w:val="0"/>
                <w:sz w:val="12"/>
              </w:rPr>
              <w:t>System supports authority grant records and boundary violation alerts per third-party audit report</w:t>
            </w:r>
          </w:p>
        </w:tc>
        <w:tc>
          <w:tcPr>
            <w:tcW w:type="dxa" w:w="1278"/>
          </w:tcPr>
          <w:p>
            <w:pPr>
              <w:spacing w:after="0"/>
            </w:pPr>
            <w:r>
              <w:rPr>
                <w:rFonts w:ascii="Arial" w:hAnsi="Arial"/>
                <w:b w:val="0"/>
                <w:sz w:val="12"/>
              </w:rPr>
              <w:t>Score measures capability, not operational enforcement; does not prove regulatory approval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RCCS-06: Human Oversight</w:t>
            </w:r>
          </w:p>
        </w:tc>
        <w:tc>
          <w:tcPr>
            <w:tcW w:type="dxa" w:w="1278"/>
          </w:tcPr>
          <w:p>
            <w:pPr>
              <w:spacing w:after="0"/>
            </w:pPr>
            <w:r>
              <w:rPr>
                <w:rFonts w:ascii="Arial" w:hAnsi="Arial"/>
                <w:b w:val="0"/>
                <w:sz w:val="12"/>
              </w:rPr>
              <w:t>2</w:t>
            </w:r>
          </w:p>
        </w:tc>
        <w:tc>
          <w:tcPr>
            <w:tcW w:type="dxa" w:w="1278"/>
          </w:tcPr>
          <w:p>
            <w:pPr>
              <w:spacing w:after="0"/>
            </w:pPr>
            <w:r>
              <w:rPr>
                <w:rFonts w:ascii="Arial" w:hAnsi="Arial"/>
                <w:b w:val="0"/>
                <w:sz w:val="12"/>
              </w:rPr>
              <w:t>L4: Vendor Claim</w:t>
            </w:r>
          </w:p>
        </w:tc>
        <w:tc>
          <w:tcPr>
            <w:tcW w:type="dxa" w:w="1278"/>
          </w:tcPr>
          <w:p>
            <w:pPr>
              <w:spacing w:after="0"/>
            </w:pPr>
            <w:r>
              <w:rPr>
                <w:rFonts w:ascii="Arial" w:hAnsi="Arial"/>
                <w:b w:val="0"/>
                <w:sz w:val="12"/>
              </w:rPr>
              <w:t>0.55</w:t>
            </w:r>
          </w:p>
        </w:tc>
        <w:tc>
          <w:tcPr>
            <w:tcW w:type="dxa" w:w="1278"/>
          </w:tcPr>
          <w:p>
            <w:pPr>
              <w:spacing w:after="0"/>
            </w:pPr>
            <w:r>
              <w:rPr>
                <w:rFonts w:ascii="Arial" w:hAnsi="Arial"/>
                <w:b w:val="0"/>
                <w:sz w:val="12"/>
              </w:rPr>
              <w:t>22.0</w:t>
            </w:r>
          </w:p>
        </w:tc>
        <w:tc>
          <w:tcPr>
            <w:tcW w:type="dxa" w:w="1278"/>
          </w:tcPr>
          <w:p>
            <w:pPr>
              <w:spacing w:after="0"/>
            </w:pPr>
            <w:r>
              <w:rPr>
                <w:rFonts w:ascii="Arial" w:hAnsi="Arial"/>
                <w:b w:val="0"/>
                <w:sz w:val="12"/>
              </w:rPr>
              <w:t>Vendor claims human-in-the-loop capability but no public documentation or audit evidence</w:t>
            </w:r>
          </w:p>
        </w:tc>
        <w:tc>
          <w:tcPr>
            <w:tcW w:type="dxa" w:w="1278"/>
          </w:tcPr>
          <w:p>
            <w:pPr>
              <w:spacing w:after="0"/>
            </w:pPr>
            <w:r>
              <w:rPr>
                <w:rFonts w:ascii="Arial" w:hAnsi="Arial"/>
                <w:b w:val="0"/>
                <w:sz w:val="12"/>
              </w:rPr>
              <w:t>Score reflects vendor claim only; requires validation; does not prove human oversight is operational</w:t>
            </w:r>
          </w:p>
        </w:tc>
      </w:tr>
      <w:tr>
        <w:tc>
          <w:tcPr>
            <w:tcW w:type="dxa" w:w="1278"/>
          </w:tcPr>
          <w:p>
            <w:pPr>
              <w:spacing w:after="0"/>
            </w:pPr>
            <w:r>
              <w:rPr>
                <w:rFonts w:ascii="Arial" w:hAnsi="Arial"/>
                <w:b w:val="0"/>
                <w:sz w:val="12"/>
              </w:rPr>
              <w:t>Example System</w:t>
            </w:r>
          </w:p>
        </w:tc>
        <w:tc>
          <w:tcPr>
            <w:tcW w:type="dxa" w:w="1278"/>
          </w:tcPr>
          <w:p>
            <w:pPr>
              <w:spacing w:after="0"/>
            </w:pPr>
            <w:r>
              <w:rPr>
                <w:rFonts w:ascii="Arial" w:hAnsi="Arial"/>
                <w:b w:val="0"/>
                <w:sz w:val="12"/>
              </w:rPr>
              <w:t>RCCS-04: Record-Keeping</w:t>
            </w:r>
          </w:p>
        </w:tc>
        <w:tc>
          <w:tcPr>
            <w:tcW w:type="dxa" w:w="1278"/>
          </w:tcPr>
          <w:p>
            <w:pPr>
              <w:spacing w:after="0"/>
            </w:pPr>
            <w:r>
              <w:rPr>
                <w:rFonts w:ascii="Arial" w:hAnsi="Arial"/>
                <w:b w:val="0"/>
                <w:sz w:val="12"/>
              </w:rPr>
              <w:t>5</w:t>
            </w:r>
          </w:p>
        </w:tc>
        <w:tc>
          <w:tcPr>
            <w:tcW w:type="dxa" w:w="1278"/>
          </w:tcPr>
          <w:p>
            <w:pPr>
              <w:spacing w:after="0"/>
            </w:pPr>
            <w:r>
              <w:rPr>
                <w:rFonts w:ascii="Arial" w:hAnsi="Arial"/>
                <w:b w:val="0"/>
                <w:sz w:val="12"/>
              </w:rPr>
              <w:t>L1: EU AI Act Article 12</w:t>
            </w:r>
          </w:p>
        </w:tc>
        <w:tc>
          <w:tcPr>
            <w:tcW w:type="dxa" w:w="1278"/>
          </w:tcPr>
          <w:p>
            <w:pPr>
              <w:spacing w:after="0"/>
            </w:pPr>
            <w:r>
              <w:rPr>
                <w:rFonts w:ascii="Arial" w:hAnsi="Arial"/>
                <w:b w:val="0"/>
                <w:sz w:val="12"/>
              </w:rPr>
              <w:t>1.00</w:t>
            </w:r>
          </w:p>
        </w:tc>
        <w:tc>
          <w:tcPr>
            <w:tcW w:type="dxa" w:w="1278"/>
          </w:tcPr>
          <w:p>
            <w:pPr>
              <w:spacing w:after="0"/>
            </w:pPr>
            <w:r>
              <w:rPr>
                <w:rFonts w:ascii="Arial" w:hAnsi="Arial"/>
                <w:b w:val="0"/>
                <w:sz w:val="12"/>
              </w:rPr>
              <w:t>100.0</w:t>
            </w:r>
          </w:p>
        </w:tc>
        <w:tc>
          <w:tcPr>
            <w:tcW w:type="dxa" w:w="1278"/>
          </w:tcPr>
          <w:p>
            <w:pPr>
              <w:spacing w:after="0"/>
            </w:pPr>
            <w:r>
              <w:rPr>
                <w:rFonts w:ascii="Arial" w:hAnsi="Arial"/>
                <w:b w:val="0"/>
                <w:sz w:val="12"/>
              </w:rPr>
              <w:t>EU AI Act Article 12 establishes record-keeping baseline; mapping system capability to Article 12 requirements is analytical interpretation</w:t>
            </w:r>
          </w:p>
        </w:tc>
        <w:tc>
          <w:tcPr>
            <w:tcW w:type="dxa" w:w="1278"/>
          </w:tcPr>
          <w:p>
            <w:pPr>
              <w:spacing w:after="0"/>
            </w:pPr>
            <w:r>
              <w:rPr>
                <w:rFonts w:ascii="Arial" w:hAnsi="Arial"/>
                <w:b w:val="0"/>
                <w:sz w:val="12"/>
              </w:rPr>
              <w:t>Score reflects regulatory baseline; mapping to system capability is analytical; does not prove legal compliance</w:t>
            </w:r>
          </w:p>
        </w:tc>
      </w:tr>
    </w:tbl>
    <w:p>
      <w:pPr>
        <w:spacing w:after="56"/>
      </w:pPr>
      <w:r>
        <w:t>Scoring rubric:</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Evidence level multipliers: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pStyle w:val="Heading2"/>
      </w:pPr>
      <w:r>
        <w:t>B.2 Evidence-Level Adjustment Template</w:t>
      </w:r>
    </w:p>
    <w:p>
      <w:pPr>
        <w:spacing w:after="56"/>
      </w:pPr>
      <w:r>
        <w:t>The following template supports evidence-level adjustment for dimension scores.</w:t>
      </w:r>
    </w:p>
    <w:p>
      <w:pPr>
        <w:spacing w:after="56"/>
      </w:pPr>
      <w:r>
        <w:t>Evidence-level adjustment policy:</w:t>
      </w:r>
    </w:p>
    <w:p>
      <w:pPr>
        <w:pStyle w:val="ListNumber"/>
        <w:spacing w:after="56"/>
      </w:pPr>
      <w:r>
        <w:t>Start with raw score (0-5) based on system capability assessment</w:t>
      </w:r>
    </w:p>
    <w:p>
      <w:pPr>
        <w:pStyle w:val="ListNumber"/>
        <w:spacing w:after="56"/>
      </w:pPr>
      <w:r>
        <w:t>Identify evidence level (L1-L5) based on source type</w:t>
      </w:r>
    </w:p>
    <w:p>
      <w:pPr>
        <w:pStyle w:val="ListNumber"/>
        <w:spacing w:after="56"/>
      </w:pPr>
      <w:r>
        <w:t>Apply multiplier to calculate adjusted score using normalized formula: (Raw Score / 5) × 100 × Evidence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Example:</w:t>
      </w:r>
    </w:p>
    <w:p>
      <w:pPr>
        <w:spacing w:after="56"/>
      </w:pPr>
      <w:r>
        <w:t>dimension: RCCS-04 Record-Keeping</w:t>
        <w:br/>
        <w:t>raw_score: 4</w:t>
        <w:br/>
        <w:t>evidence_level: L2</w:t>
        <w:br/>
        <w:t>multiplier: 0.85</w:t>
        <w:br/>
        <w:t>adjusted_score: 68.0  # (4/5) × 100 × 0.85</w:t>
        <w:br/>
        <w:t>justification: "System provides audit trail API and log export capability documented in official product docs"</w:t>
        <w:br/>
        <w:t>boundary_note: "Score measures capability, not organizational practice; does not prove legal compliance"</w:t>
      </w:r>
    </w:p>
    <w:p>
      <w:pPr>
        <w:pStyle w:val="Heading2"/>
      </w:pPr>
      <w:r>
        <w:t>B.3 Composite Score Template</w:t>
      </w:r>
    </w:p>
    <w:p>
      <w:pPr>
        <w:spacing w:after="56"/>
      </w:pPr>
      <w:r>
        <w:t>The following template supports composite score calculation combining RCCS and ALCS.</w:t>
      </w:r>
    </w:p>
    <w:p>
      <w:pPr>
        <w:keepNext/>
      </w:pPr>
      <w:r>
        <w:rPr>
          <w:b/>
          <w:sz w:val="16"/>
        </w:rPr>
        <w:t>Table T-B-02: Composite Analytical Score Worksheet</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System</w:t>
            </w:r>
          </w:p>
        </w:tc>
        <w:tc>
          <w:tcPr>
            <w:tcW w:type="dxa" w:w="1461"/>
          </w:tcPr>
          <w:p>
            <w:pPr>
              <w:spacing w:after="0"/>
            </w:pPr>
            <w:r>
              <w:rPr>
                <w:rFonts w:ascii="Arial" w:hAnsi="Arial"/>
                <w:b/>
                <w:sz w:val="12"/>
              </w:rPr>
              <w:t>RCCS Adjusted Score 0-100</w:t>
            </w:r>
          </w:p>
        </w:tc>
        <w:tc>
          <w:tcPr>
            <w:tcW w:type="dxa" w:w="1461"/>
          </w:tcPr>
          <w:p>
            <w:pPr>
              <w:spacing w:after="0"/>
            </w:pPr>
            <w:r>
              <w:rPr>
                <w:rFonts w:ascii="Arial" w:hAnsi="Arial"/>
                <w:b/>
                <w:sz w:val="12"/>
              </w:rPr>
              <w:t>ALCS Adjusted Score 0-100</w:t>
            </w:r>
          </w:p>
        </w:tc>
        <w:tc>
          <w:tcPr>
            <w:tcW w:type="dxa" w:w="1461"/>
          </w:tcPr>
          <w:p>
            <w:pPr>
              <w:spacing w:after="0"/>
            </w:pPr>
            <w:r>
              <w:rPr>
                <w:rFonts w:ascii="Arial" w:hAnsi="Arial"/>
                <w:b/>
                <w:sz w:val="12"/>
              </w:rPr>
              <w:t>RCCS Weight</w:t>
            </w:r>
          </w:p>
        </w:tc>
        <w:tc>
          <w:tcPr>
            <w:tcW w:type="dxa" w:w="1461"/>
          </w:tcPr>
          <w:p>
            <w:pPr>
              <w:spacing w:after="0"/>
            </w:pPr>
            <w:r>
              <w:rPr>
                <w:rFonts w:ascii="Arial" w:hAnsi="Arial"/>
                <w:b/>
                <w:sz w:val="12"/>
              </w:rPr>
              <w:t>ALCS Weight</w:t>
            </w:r>
          </w:p>
        </w:tc>
        <w:tc>
          <w:tcPr>
            <w:tcW w:type="dxa" w:w="1461"/>
          </w:tcPr>
          <w:p>
            <w:pPr>
              <w:spacing w:after="0"/>
            </w:pPr>
            <w:r>
              <w:rPr>
                <w:rFonts w:ascii="Arial" w:hAnsi="Arial"/>
                <w:b/>
                <w:sz w:val="12"/>
              </w:rPr>
              <w:t>Composite Analytical Score 0-100</w:t>
            </w:r>
          </w:p>
        </w:tc>
        <w:tc>
          <w:tcPr>
            <w:tcW w:type="dxa" w:w="1461"/>
          </w:tcPr>
          <w:p>
            <w:pPr>
              <w:spacing w:after="0"/>
            </w:pPr>
            <w:r>
              <w:rPr>
                <w:rFonts w:ascii="Arial" w:hAnsi="Arial"/>
                <w:b/>
                <w:sz w:val="12"/>
              </w:rPr>
              <w:t>Interpretation Boundary</w:t>
            </w:r>
          </w:p>
        </w:tc>
      </w:tr>
      <w:tr>
        <w:tc>
          <w:tcPr>
            <w:tcW w:type="dxa" w:w="1461"/>
          </w:tcPr>
          <w:p>
            <w:pPr>
              <w:spacing w:after="0"/>
            </w:pPr>
            <w:r>
              <w:rPr>
                <w:rFonts w:ascii="Arial" w:hAnsi="Arial"/>
                <w:b w:val="0"/>
                <w:sz w:val="12"/>
              </w:rPr>
              <w:t>Example System A</w:t>
            </w:r>
          </w:p>
        </w:tc>
        <w:tc>
          <w:tcPr>
            <w:tcW w:type="dxa" w:w="1461"/>
          </w:tcPr>
          <w:p>
            <w:pPr>
              <w:spacing w:after="0"/>
            </w:pPr>
            <w:r>
              <w:rPr>
                <w:rFonts w:ascii="Arial" w:hAnsi="Arial"/>
                <w:b w:val="0"/>
                <w:sz w:val="12"/>
              </w:rPr>
              <w:t>65.0</w:t>
            </w:r>
          </w:p>
        </w:tc>
        <w:tc>
          <w:tcPr>
            <w:tcW w:type="dxa" w:w="1461"/>
          </w:tcPr>
          <w:p>
            <w:pPr>
              <w:spacing w:after="0"/>
            </w:pPr>
            <w:r>
              <w:rPr>
                <w:rFonts w:ascii="Arial" w:hAnsi="Arial"/>
                <w:b w:val="0"/>
                <w:sz w:val="12"/>
              </w:rPr>
              <w:t>55.0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59.0</w:t>
            </w:r>
          </w:p>
        </w:tc>
        <w:tc>
          <w:tcPr>
            <w:tcW w:type="dxa" w:w="1461"/>
          </w:tcPr>
          <w:p>
            <w:pPr>
              <w:spacing w:after="0"/>
            </w:pPr>
            <w:r>
              <w:rPr>
                <w:rFonts w:ascii="Arial" w:hAnsi="Arial"/>
                <w:b w:val="0"/>
                <w:sz w:val="12"/>
              </w:rPr>
              <w:t>Analytical score; not legal compliance proof or procurement ranking</w:t>
            </w:r>
          </w:p>
        </w:tc>
      </w:tr>
      <w:tr>
        <w:tc>
          <w:tcPr>
            <w:tcW w:type="dxa" w:w="1461"/>
          </w:tcPr>
          <w:p>
            <w:pPr>
              <w:spacing w:after="0"/>
            </w:pPr>
            <w:r>
              <w:rPr>
                <w:rFonts w:ascii="Arial" w:hAnsi="Arial"/>
                <w:b w:val="0"/>
                <w:sz w:val="12"/>
              </w:rPr>
              <w:t>Example System B</w:t>
            </w:r>
          </w:p>
        </w:tc>
        <w:tc>
          <w:tcPr>
            <w:tcW w:type="dxa" w:w="1461"/>
          </w:tcPr>
          <w:p>
            <w:pPr>
              <w:spacing w:after="0"/>
            </w:pPr>
            <w:r>
              <w:rPr>
                <w:rFonts w:ascii="Arial" w:hAnsi="Arial"/>
                <w:b w:val="0"/>
                <w:sz w:val="12"/>
              </w:rPr>
              <w:t>72.0</w:t>
            </w:r>
          </w:p>
        </w:tc>
        <w:tc>
          <w:tcPr>
            <w:tcW w:type="dxa" w:w="1461"/>
          </w:tcPr>
          <w:p>
            <w:pPr>
              <w:spacing w:after="0"/>
            </w:pPr>
            <w:r>
              <w:rPr>
                <w:rFonts w:ascii="Arial" w:hAnsi="Arial"/>
                <w:b w:val="0"/>
                <w:sz w:val="12"/>
              </w:rPr>
              <w:t>48.0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57.6</w:t>
            </w:r>
          </w:p>
        </w:tc>
        <w:tc>
          <w:tcPr>
            <w:tcW w:type="dxa" w:w="1461"/>
          </w:tcPr>
          <w:p>
            <w:pPr>
              <w:spacing w:after="0"/>
            </w:pPr>
            <w:r>
              <w:rPr>
                <w:rFonts w:ascii="Arial" w:hAnsi="Arial"/>
                <w:b w:val="0"/>
                <w:sz w:val="12"/>
              </w:rPr>
              <w:t>Analytical score; not legal compliance proof or deployment readiness threshold</w:t>
            </w:r>
          </w:p>
        </w:tc>
      </w:tr>
      <w:tr>
        <w:tc>
          <w:tcPr>
            <w:tcW w:type="dxa" w:w="1461"/>
          </w:tcPr>
          <w:p>
            <w:pPr>
              <w:spacing w:after="0"/>
            </w:pPr>
            <w:r>
              <w:rPr>
                <w:rFonts w:ascii="Arial" w:hAnsi="Arial"/>
                <w:b w:val="0"/>
                <w:sz w:val="12"/>
              </w:rPr>
              <w:t>Example System C</w:t>
            </w:r>
          </w:p>
        </w:tc>
        <w:tc>
          <w:tcPr>
            <w:tcW w:type="dxa" w:w="1461"/>
          </w:tcPr>
          <w:p>
            <w:pPr>
              <w:spacing w:after="0"/>
            </w:pPr>
            <w:r>
              <w:rPr>
                <w:rFonts w:ascii="Arial" w:hAnsi="Arial"/>
                <w:b w:val="0"/>
                <w:sz w:val="12"/>
              </w:rPr>
              <w:t>45.0</w:t>
            </w:r>
          </w:p>
        </w:tc>
        <w:tc>
          <w:tcPr>
            <w:tcW w:type="dxa" w:w="1461"/>
          </w:tcPr>
          <w:p>
            <w:pPr>
              <w:spacing w:after="0"/>
            </w:pPr>
            <w:r>
              <w:rPr>
                <w:rFonts w:ascii="Arial" w:hAnsi="Arial"/>
                <w:b w:val="0"/>
                <w:sz w:val="12"/>
              </w:rPr>
              <w:t>70.0</w:t>
            </w:r>
          </w:p>
        </w:tc>
        <w:tc>
          <w:tcPr>
            <w:tcW w:type="dxa" w:w="1461"/>
          </w:tcPr>
          <w:p>
            <w:pPr>
              <w:spacing w:after="0"/>
            </w:pPr>
            <w:r>
              <w:rPr>
                <w:rFonts w:ascii="Arial" w:hAnsi="Arial"/>
                <w:b w:val="0"/>
                <w:sz w:val="12"/>
              </w:rPr>
              <w:t>0.40</w:t>
            </w:r>
          </w:p>
        </w:tc>
        <w:tc>
          <w:tcPr>
            <w:tcW w:type="dxa" w:w="1461"/>
          </w:tcPr>
          <w:p>
            <w:pPr>
              <w:spacing w:after="0"/>
            </w:pPr>
            <w:r>
              <w:rPr>
                <w:rFonts w:ascii="Arial" w:hAnsi="Arial"/>
                <w:b w:val="0"/>
                <w:sz w:val="12"/>
              </w:rPr>
              <w:t>0.60</w:t>
            </w:r>
          </w:p>
        </w:tc>
        <w:tc>
          <w:tcPr>
            <w:tcW w:type="dxa" w:w="1461"/>
          </w:tcPr>
          <w:p>
            <w:pPr>
              <w:spacing w:after="0"/>
            </w:pPr>
            <w:r>
              <w:rPr>
                <w:rFonts w:ascii="Arial" w:hAnsi="Arial"/>
                <w:b w:val="0"/>
                <w:sz w:val="12"/>
              </w:rPr>
              <w:t>60.0</w:t>
            </w:r>
          </w:p>
        </w:tc>
        <w:tc>
          <w:tcPr>
            <w:tcW w:type="dxa" w:w="1461"/>
          </w:tcPr>
          <w:p>
            <w:pPr>
              <w:spacing w:after="0"/>
            </w:pPr>
            <w:r>
              <w:rPr>
                <w:rFonts w:ascii="Arial" w:hAnsi="Arial"/>
                <w:b w:val="0"/>
                <w:sz w:val="12"/>
              </w:rPr>
              <w:t>Analytical score; not vendor ranking or certification signal</w:t>
            </w:r>
          </w:p>
        </w:tc>
      </w:tr>
    </w:tbl>
    <w:p>
      <w:pPr>
        <w:spacing w:after="56"/>
      </w:pPr>
      <w:r>
        <w:t>Composite score formula:</w:t>
      </w:r>
    </w:p>
    <w:p>
      <w:pPr>
        <w:spacing w:after="56"/>
      </w:pPr>
      <w:r>
        <w:t>Composite Score = (RCCS Adjusted Score × RCCS Weight) + (ALCS Adjusted Score × ALCS Weight)</w:t>
      </w:r>
    </w:p>
    <w:p>
      <w:pPr>
        <w:spacing w:after="56"/>
      </w:pPr>
      <w:r>
        <w:t>Default weights:</w:t>
      </w:r>
    </w:p>
    <w:p>
      <w:pPr>
        <w:pStyle w:val="ListBullet"/>
        <w:spacing w:after="56"/>
      </w:pPr>
      <w:r>
        <w:t>RCCS Weight: 0.40</w:t>
      </w:r>
    </w:p>
    <w:p>
      <w:pPr>
        <w:pStyle w:val="ListBullet"/>
        <w:spacing w:after="56"/>
      </w:pPr>
      <w:r>
        <w:t>ALCS Weight: 0.60</w:t>
      </w:r>
    </w:p>
    <w:p>
      <w:pPr>
        <w:spacing w:after="56"/>
      </w:pPr>
      <w:r>
        <w:t>Interpretation guidance:</w:t>
      </w:r>
    </w:p>
    <w:p>
      <w:pPr>
        <w:pStyle w:val="ListBullet"/>
        <w:spacing w:after="56"/>
      </w:pPr>
      <w:r>
        <w:t>Composite score 80-100: Strong regulatory compliance coverage and lifecycle responsibility object maturity; does not prove legal compliance</w:t>
      </w:r>
    </w:p>
    <w:p>
      <w:pPr>
        <w:pStyle w:val="ListBullet"/>
        <w:spacing w:after="56"/>
      </w:pPr>
      <w:r>
        <w:t>Composite score 60-79: Moderate regulatory compliance coverage and lifecycle responsibility object maturity; gaps may exist</w:t>
      </w:r>
    </w:p>
    <w:p>
      <w:pPr>
        <w:pStyle w:val="ListBullet"/>
        <w:spacing w:after="56"/>
      </w:pPr>
      <w:r>
        <w:t>Composite score 40-59: Partial regulatory compliance coverage and lifecycle responsibility object maturity; significant gaps may exist</w:t>
      </w:r>
    </w:p>
    <w:p>
      <w:pPr>
        <w:pStyle w:val="ListBullet"/>
        <w:spacing w:after="56"/>
      </w:pPr>
      <w:r>
        <w:t>Composite score 20-39: Weak regulatory compliance coverage and lifecycle responsibility object maturity; major gaps may exist</w:t>
      </w:r>
    </w:p>
    <w:p>
      <w:pPr>
        <w:pStyle w:val="ListBullet"/>
        <w:spacing w:after="56"/>
      </w:pPr>
      <w:r>
        <w:t>Composite score 0-19: Minimal regulatory compliance coverage and lifecycle responsibility object maturity; fundamental gaps may exist</w:t>
      </w:r>
    </w:p>
    <w:p>
      <w:pPr>
        <w:spacing w:after="56"/>
      </w:pPr>
      <w:r>
        <w:t>These bands are analytical interpretation bands only. They are not legal compliance thresholds, deployment readiness thresholds, procurement thresholds, or certification cutoffs.</w:t>
      </w:r>
    </w:p>
    <w:p>
      <w:pPr>
        <w:pStyle w:val="Heading2"/>
      </w:pPr>
      <w:r>
        <w:t>B.4 Score Delta Record Template</w:t>
      </w:r>
    </w:p>
    <w:p>
      <w:pPr>
        <w:spacing w:after="56"/>
      </w:pPr>
      <w:r>
        <w:t>The following template supports tracking score changes over time.</w:t>
      </w:r>
    </w:p>
    <w:p>
      <w:pPr>
        <w:keepNext/>
      </w:pPr>
      <w:r>
        <w:rPr>
          <w:b/>
          <w:sz w:val="16"/>
        </w:rPr>
        <w:t>Table T-B-03: Score Delta Record</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Dimension</w:t>
            </w:r>
          </w:p>
        </w:tc>
        <w:tc>
          <w:tcPr>
            <w:tcW w:type="dxa" w:w="1461"/>
          </w:tcPr>
          <w:p>
            <w:pPr>
              <w:spacing w:after="0"/>
            </w:pPr>
            <w:r>
              <w:rPr>
                <w:rFonts w:ascii="Arial" w:hAnsi="Arial"/>
                <w:b/>
                <w:sz w:val="12"/>
              </w:rPr>
              <w:t>Previous Adjusted Score 0-100</w:t>
            </w:r>
          </w:p>
        </w:tc>
        <w:tc>
          <w:tcPr>
            <w:tcW w:type="dxa" w:w="1461"/>
          </w:tcPr>
          <w:p>
            <w:pPr>
              <w:spacing w:after="0"/>
            </w:pPr>
            <w:r>
              <w:rPr>
                <w:rFonts w:ascii="Arial" w:hAnsi="Arial"/>
                <w:b/>
                <w:sz w:val="12"/>
              </w:rPr>
              <w:t>Updated Adjusted Score 0-100</w:t>
            </w:r>
          </w:p>
        </w:tc>
        <w:tc>
          <w:tcPr>
            <w:tcW w:type="dxa" w:w="1461"/>
          </w:tcPr>
          <w:p>
            <w:pPr>
              <w:spacing w:after="0"/>
            </w:pPr>
            <w:r>
              <w:rPr>
                <w:rFonts w:ascii="Arial" w:hAnsi="Arial"/>
                <w:b/>
                <w:sz w:val="12"/>
              </w:rPr>
              <w:t>Reason for Change</w:t>
            </w:r>
          </w:p>
        </w:tc>
        <w:tc>
          <w:tcPr>
            <w:tcW w:type="dxa" w:w="1461"/>
          </w:tcPr>
          <w:p>
            <w:pPr>
              <w:spacing w:after="0"/>
            </w:pPr>
            <w:r>
              <w:rPr>
                <w:rFonts w:ascii="Arial" w:hAnsi="Arial"/>
                <w:b/>
                <w:sz w:val="12"/>
              </w:rPr>
              <w:t>Evidence Change</w:t>
            </w:r>
          </w:p>
        </w:tc>
        <w:tc>
          <w:tcPr>
            <w:tcW w:type="dxa" w:w="1461"/>
          </w:tcPr>
          <w:p>
            <w:pPr>
              <w:spacing w:after="0"/>
            </w:pPr>
            <w:r>
              <w:rPr>
                <w:rFonts w:ascii="Arial" w:hAnsi="Arial"/>
                <w:b/>
                <w:sz w:val="12"/>
              </w:rPr>
              <w:t>Reviewer</w:t>
            </w:r>
          </w:p>
        </w:tc>
        <w:tc>
          <w:tcPr>
            <w:tcW w:type="dxa" w:w="1461"/>
          </w:tcPr>
          <w:p>
            <w:pPr>
              <w:spacing w:after="0"/>
            </w:pPr>
            <w:r>
              <w:rPr>
                <w:rFonts w:ascii="Arial" w:hAnsi="Arial"/>
                <w:b/>
                <w:sz w:val="12"/>
              </w:rPr>
              <w:t>Date</w:t>
            </w:r>
          </w:p>
        </w:tc>
      </w:tr>
      <w:tr>
        <w:tc>
          <w:tcPr>
            <w:tcW w:type="dxa" w:w="1461"/>
          </w:tcPr>
          <w:p>
            <w:pPr>
              <w:spacing w:after="0"/>
            </w:pPr>
            <w:r>
              <w:rPr>
                <w:rFonts w:ascii="Arial" w:hAnsi="Arial"/>
                <w:b w:val="0"/>
                <w:sz w:val="12"/>
              </w:rPr>
              <w:t>RCCS-04: Record-Keeping</w:t>
            </w:r>
          </w:p>
        </w:tc>
        <w:tc>
          <w:tcPr>
            <w:tcW w:type="dxa" w:w="1461"/>
          </w:tcPr>
          <w:p>
            <w:pPr>
              <w:spacing w:after="0"/>
            </w:pPr>
            <w:r>
              <w:rPr>
                <w:rFonts w:ascii="Arial" w:hAnsi="Arial"/>
                <w:b w:val="0"/>
                <w:sz w:val="12"/>
              </w:rPr>
              <w:t>54.4</w:t>
            </w:r>
          </w:p>
        </w:tc>
        <w:tc>
          <w:tcPr>
            <w:tcW w:type="dxa" w:w="1461"/>
          </w:tcPr>
          <w:p>
            <w:pPr>
              <w:spacing w:after="0"/>
            </w:pPr>
            <w:r>
              <w:rPr>
                <w:rFonts w:ascii="Arial" w:hAnsi="Arial"/>
                <w:b w:val="0"/>
                <w:sz w:val="12"/>
              </w:rPr>
              <w:t>68.0</w:t>
            </w:r>
          </w:p>
        </w:tc>
        <w:tc>
          <w:tcPr>
            <w:tcW w:type="dxa" w:w="1461"/>
          </w:tcPr>
          <w:p>
            <w:pPr>
              <w:spacing w:after="0"/>
            </w:pPr>
            <w:r>
              <w:rPr>
                <w:rFonts w:ascii="Arial" w:hAnsi="Arial"/>
                <w:b w:val="0"/>
                <w:sz w:val="12"/>
              </w:rPr>
              <w:t>System added evidence export API with selective disclosure capability</w:t>
            </w:r>
          </w:p>
        </w:tc>
        <w:tc>
          <w:tcPr>
            <w:tcW w:type="dxa" w:w="1461"/>
          </w:tcPr>
          <w:p>
            <w:pPr>
              <w:spacing w:after="0"/>
            </w:pPr>
            <w:r>
              <w:rPr>
                <w:rFonts w:ascii="Arial" w:hAnsi="Arial"/>
                <w:b w:val="0"/>
                <w:sz w:val="12"/>
              </w:rPr>
              <w:t>L2 product docs updated with new API documentation</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ALCS-02: Delegated Authority Boundary</w:t>
            </w:r>
          </w:p>
        </w:tc>
        <w:tc>
          <w:tcPr>
            <w:tcW w:type="dxa" w:w="1461"/>
          </w:tcPr>
          <w:p>
            <w:pPr>
              <w:spacing w:after="0"/>
            </w:pPr>
            <w:r>
              <w:rPr>
                <w:rFonts w:ascii="Arial" w:hAnsi="Arial"/>
                <w:b w:val="0"/>
                <w:sz w:val="12"/>
              </w:rPr>
              <w:t>40.5</w:t>
            </w:r>
          </w:p>
        </w:tc>
        <w:tc>
          <w:tcPr>
            <w:tcW w:type="dxa" w:w="1461"/>
          </w:tcPr>
          <w:p>
            <w:pPr>
              <w:spacing w:after="0"/>
            </w:pPr>
            <w:r>
              <w:rPr>
                <w:rFonts w:ascii="Arial" w:hAnsi="Arial"/>
                <w:b w:val="0"/>
                <w:sz w:val="12"/>
              </w:rPr>
              <w:t>52.5</w:t>
            </w:r>
          </w:p>
        </w:tc>
        <w:tc>
          <w:tcPr>
            <w:tcW w:type="dxa" w:w="1461"/>
          </w:tcPr>
          <w:p>
            <w:pPr>
              <w:spacing w:after="0"/>
            </w:pPr>
            <w:r>
              <w:rPr>
                <w:rFonts w:ascii="Arial" w:hAnsi="Arial"/>
                <w:b w:val="0"/>
                <w:sz w:val="12"/>
              </w:rPr>
              <w:t>System added authority drift detection and reauthorization workflow</w:t>
            </w:r>
          </w:p>
        </w:tc>
        <w:tc>
          <w:tcPr>
            <w:tcW w:type="dxa" w:w="1461"/>
          </w:tcPr>
          <w:p>
            <w:pPr>
              <w:spacing w:after="0"/>
            </w:pPr>
            <w:r>
              <w:rPr>
                <w:rFonts w:ascii="Arial" w:hAnsi="Arial"/>
                <w:b w:val="0"/>
                <w:sz w:val="12"/>
              </w:rPr>
              <w:t>L3 audit report recorded new capability</w:t>
            </w:r>
          </w:p>
        </w:tc>
        <w:tc>
          <w:tcPr>
            <w:tcW w:type="dxa" w:w="1461"/>
          </w:tcPr>
          <w:p>
            <w:pPr>
              <w:spacing w:after="0"/>
            </w:pPr>
            <w:r>
              <w:rPr>
                <w:rFonts w:ascii="Arial" w:hAnsi="Arial"/>
                <w:b w:val="0"/>
                <w:sz w:val="12"/>
              </w:rPr>
              <w:t>Compliance Team</w:t>
            </w:r>
          </w:p>
        </w:tc>
        <w:tc>
          <w:tcPr>
            <w:tcW w:type="dxa" w:w="1461"/>
          </w:tcPr>
          <w:p>
            <w:pPr>
              <w:spacing w:after="0"/>
            </w:pPr>
            <w:r>
              <w:rPr>
                <w:rFonts w:ascii="Arial" w:hAnsi="Arial"/>
                <w:b w:val="0"/>
                <w:sz w:val="12"/>
              </w:rPr>
              <w:t>2026-05-10</w:t>
            </w:r>
          </w:p>
        </w:tc>
      </w:tr>
      <w:tr>
        <w:tc>
          <w:tcPr>
            <w:tcW w:type="dxa" w:w="1461"/>
          </w:tcPr>
          <w:p>
            <w:pPr>
              <w:spacing w:after="0"/>
            </w:pPr>
            <w:r>
              <w:rPr>
                <w:rFonts w:ascii="Arial" w:hAnsi="Arial"/>
                <w:b w:val="0"/>
                <w:sz w:val="12"/>
              </w:rPr>
              <w:t>RCCS-06: Human Oversight</w:t>
            </w:r>
          </w:p>
        </w:tc>
        <w:tc>
          <w:tcPr>
            <w:tcW w:type="dxa" w:w="1461"/>
          </w:tcPr>
          <w:p>
            <w:pPr>
              <w:spacing w:after="0"/>
            </w:pPr>
            <w:r>
              <w:rPr>
                <w:rFonts w:ascii="Arial" w:hAnsi="Arial"/>
                <w:b w:val="0"/>
                <w:sz w:val="12"/>
              </w:rPr>
              <w:t>13.2</w:t>
            </w:r>
          </w:p>
        </w:tc>
        <w:tc>
          <w:tcPr>
            <w:tcW w:type="dxa" w:w="1461"/>
          </w:tcPr>
          <w:p>
            <w:pPr>
              <w:spacing w:after="0"/>
            </w:pPr>
            <w:r>
              <w:rPr>
                <w:rFonts w:ascii="Arial" w:hAnsi="Arial"/>
                <w:b w:val="0"/>
                <w:sz w:val="12"/>
              </w:rPr>
              <w:t>34.0</w:t>
            </w:r>
          </w:p>
        </w:tc>
        <w:tc>
          <w:tcPr>
            <w:tcW w:type="dxa" w:w="1461"/>
          </w:tcPr>
          <w:p>
            <w:pPr>
              <w:spacing w:after="0"/>
            </w:pPr>
            <w:r>
              <w:rPr>
                <w:rFonts w:ascii="Arial" w:hAnsi="Arial"/>
                <w:b w:val="0"/>
                <w:sz w:val="12"/>
              </w:rPr>
              <w:t>Vendor published official documentation for human-in-the-loop capability</w:t>
            </w:r>
          </w:p>
        </w:tc>
        <w:tc>
          <w:tcPr>
            <w:tcW w:type="dxa" w:w="1461"/>
          </w:tcPr>
          <w:p>
            <w:pPr>
              <w:spacing w:after="0"/>
            </w:pPr>
            <w:r>
              <w:rPr>
                <w:rFonts w:ascii="Arial" w:hAnsi="Arial"/>
                <w:b w:val="0"/>
                <w:sz w:val="12"/>
              </w:rPr>
              <w:t>Evidence level upgraded from L4 (vendor claim) to L2 (product docs)</w:t>
            </w:r>
          </w:p>
        </w:tc>
        <w:tc>
          <w:tcPr>
            <w:tcW w:type="dxa" w:w="1461"/>
          </w:tcPr>
          <w:p>
            <w:pPr>
              <w:spacing w:after="0"/>
            </w:pPr>
            <w:r>
              <w:rPr>
                <w:rFonts w:ascii="Arial" w:hAnsi="Arial"/>
                <w:b w:val="0"/>
                <w:sz w:val="12"/>
              </w:rPr>
              <w:t>Governance Team</w:t>
            </w:r>
          </w:p>
        </w:tc>
        <w:tc>
          <w:tcPr>
            <w:tcW w:type="dxa" w:w="1461"/>
          </w:tcPr>
          <w:p>
            <w:pPr>
              <w:spacing w:after="0"/>
            </w:pPr>
            <w:r>
              <w:rPr>
                <w:rFonts w:ascii="Arial" w:hAnsi="Arial"/>
                <w:b w:val="0"/>
                <w:sz w:val="12"/>
              </w:rPr>
              <w:t>2026-05-10</w:t>
            </w:r>
          </w:p>
        </w:tc>
      </w:tr>
    </w:tbl>
    <w:p>
      <w:pPr>
        <w:spacing w:after="56"/>
      </w:pPr>
      <w:r>
        <w:t>Score delta policy:</w:t>
      </w:r>
    </w:p>
    <w:p>
      <w:pPr>
        <w:pStyle w:val="ListBullet"/>
        <w:spacing w:after="56"/>
      </w:pPr>
      <w:r>
        <w:t>Track all score changes with reason for change, evidence change, reviewer, and date</w:t>
      </w:r>
    </w:p>
    <w:p>
      <w:pPr>
        <w:pStyle w:val="ListBullet"/>
        <w:spacing w:after="56"/>
      </w:pPr>
      <w:r>
        <w:t>Require reviewer approval for all score changes</w:t>
      </w:r>
    </w:p>
    <w:p>
      <w:pPr>
        <w:pStyle w:val="ListBullet"/>
        <w:spacing w:after="56"/>
      </w:pPr>
      <w:r>
        <w:t>Document evidence change explaining why the score changed (new capability, new evidence, evidence level upgrade, etc.)</w:t>
      </w:r>
    </w:p>
    <w:p>
      <w:pPr>
        <w:pStyle w:val="ListBullet"/>
        <w:spacing w:after="56"/>
      </w:pPr>
      <w:r>
        <w:t>Preserve score history to support audit trail and continuous improvement</w:t>
      </w:r>
    </w:p>
    <w:p>
      <w:pPr>
        <w:pStyle w:val="Heading2"/>
      </w:pPr>
      <w:r>
        <w:t>B.5 Negative Control Template</w:t>
      </w:r>
    </w:p>
    <w:p>
      <w:pPr>
        <w:spacing w:after="56"/>
      </w:pPr>
      <w:r>
        <w:t>The following template supports negative control to prevent overclaim.</w:t>
      </w:r>
    </w:p>
    <w:p>
      <w:pPr>
        <w:keepNext/>
      </w:pPr>
      <w:r>
        <w:rPr>
          <w:b/>
          <w:sz w:val="16"/>
        </w:rPr>
        <w:t>Table T-B-04: Negative Control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Claim</w:t>
            </w:r>
          </w:p>
        </w:tc>
        <w:tc>
          <w:tcPr>
            <w:tcW w:type="dxa" w:w="2045"/>
          </w:tcPr>
          <w:p>
            <w:pPr>
              <w:spacing w:after="0"/>
            </w:pPr>
            <w:r>
              <w:rPr>
                <w:rFonts w:ascii="Arial" w:hAnsi="Arial"/>
                <w:b/>
                <w:sz w:val="14"/>
              </w:rPr>
              <w:t>Adjacent Capability</w:t>
            </w:r>
          </w:p>
        </w:tc>
        <w:tc>
          <w:tcPr>
            <w:tcW w:type="dxa" w:w="2045"/>
          </w:tcPr>
          <w:p>
            <w:pPr>
              <w:spacing w:after="0"/>
            </w:pPr>
            <w:r>
              <w:rPr>
                <w:rFonts w:ascii="Arial" w:hAnsi="Arial"/>
                <w:b/>
                <w:sz w:val="14"/>
              </w:rPr>
              <w:t>Why It Does Not Count</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"System provides human oversight"</w:t>
            </w:r>
          </w:p>
        </w:tc>
        <w:tc>
          <w:tcPr>
            <w:tcW w:type="dxa" w:w="2045"/>
          </w:tcPr>
          <w:p>
            <w:pPr>
              <w:spacing w:after="0"/>
            </w:pPr>
            <w:r>
              <w:rPr>
                <w:rFonts w:ascii="Arial" w:hAnsi="Arial"/>
                <w:b w:val="0"/>
                <w:sz w:val="14"/>
              </w:rPr>
              <w:t>System has approval button in UI</w:t>
            </w:r>
          </w:p>
        </w:tc>
        <w:tc>
          <w:tcPr>
            <w:tcW w:type="dxa" w:w="2045"/>
          </w:tcPr>
          <w:p>
            <w:pPr>
              <w:spacing w:after="0"/>
            </w:pPr>
            <w:r>
              <w:rPr>
                <w:rFonts w:ascii="Arial" w:hAnsi="Arial"/>
                <w:b w:val="0"/>
                <w:sz w:val="14"/>
              </w:rPr>
              <w:t>Approval button ≠ human-role-to-MAS responsibility mapping; no role assignment records; no acceptance records; no escalation workflow</w:t>
            </w:r>
          </w:p>
        </w:tc>
        <w:tc>
          <w:tcPr>
            <w:tcW w:type="dxa" w:w="2045"/>
          </w:tcPr>
          <w:p>
            <w:pPr>
              <w:spacing w:after="0"/>
            </w:pPr>
            <w:r>
              <w:rPr>
                <w:rFonts w:ascii="Arial" w:hAnsi="Arial"/>
                <w:b w:val="0"/>
                <w:sz w:val="14"/>
              </w:rPr>
              <w:t>Human-role-to-MAS responsibility mapping (MRO-01); acceptance records (MRO-04); escalation workflow</w:t>
            </w:r>
          </w:p>
        </w:tc>
        <w:tc>
          <w:tcPr>
            <w:tcW w:type="dxa" w:w="2045"/>
          </w:tcPr>
          <w:p>
            <w:pPr>
              <w:spacing w:after="0"/>
            </w:pPr>
            <w:r>
              <w:rPr>
                <w:rFonts w:ascii="Arial" w:hAnsi="Arial"/>
                <w:b w:val="0"/>
                <w:sz w:val="14"/>
              </w:rPr>
              <w:t>Approval button is UI feature, not lifecycle governance object</w:t>
            </w:r>
          </w:p>
        </w:tc>
      </w:tr>
      <w:tr>
        <w:tc>
          <w:tcPr>
            <w:tcW w:type="dxa" w:w="2045"/>
          </w:tcPr>
          <w:p>
            <w:pPr>
              <w:spacing w:after="0"/>
            </w:pPr>
            <w:r>
              <w:rPr>
                <w:rFonts w:ascii="Arial" w:hAnsi="Arial"/>
                <w:b w:val="0"/>
                <w:sz w:val="14"/>
              </w:rPr>
              <w:t>"System provides evidence chain"</w:t>
            </w:r>
          </w:p>
        </w:tc>
        <w:tc>
          <w:tcPr>
            <w:tcW w:type="dxa" w:w="2045"/>
          </w:tcPr>
          <w:p>
            <w:pPr>
              <w:spacing w:after="0"/>
            </w:pPr>
            <w:r>
              <w:rPr>
                <w:rFonts w:ascii="Arial" w:hAnsi="Arial"/>
                <w:b w:val="0"/>
                <w:sz w:val="14"/>
              </w:rPr>
              <w:t>System has logs</w:t>
            </w:r>
          </w:p>
        </w:tc>
        <w:tc>
          <w:tcPr>
            <w:tcW w:type="dxa" w:w="2045"/>
          </w:tcPr>
          <w:p>
            <w:pPr>
              <w:spacing w:after="0"/>
            </w:pPr>
            <w:r>
              <w:rPr>
                <w:rFonts w:ascii="Arial" w:hAnsi="Arial"/>
                <w:b w:val="0"/>
                <w:sz w:val="14"/>
              </w:rPr>
              <w:t>Logs ≠ partitioned evidence chain; no evidence export capability; no selective disclosure; no evidence integrity validation</w:t>
            </w:r>
          </w:p>
        </w:tc>
        <w:tc>
          <w:tcPr>
            <w:tcW w:type="dxa" w:w="2045"/>
          </w:tcPr>
          <w:p>
            <w:pPr>
              <w:spacing w:after="0"/>
            </w:pPr>
            <w:r>
              <w:rPr>
                <w:rFonts w:ascii="Arial" w:hAnsi="Arial"/>
                <w:b w:val="0"/>
                <w:sz w:val="14"/>
              </w:rPr>
              <w:t>MAS evidence partitioning (MRO-08); evidence export capability; selective disclosure; evidence integrity validation</w:t>
            </w:r>
          </w:p>
        </w:tc>
        <w:tc>
          <w:tcPr>
            <w:tcW w:type="dxa" w:w="2045"/>
          </w:tcPr>
          <w:p>
            <w:pPr>
              <w:spacing w:after="0"/>
            </w:pPr>
            <w:r>
              <w:rPr>
                <w:rFonts w:ascii="Arial" w:hAnsi="Arial"/>
                <w:b w:val="0"/>
                <w:sz w:val="14"/>
              </w:rPr>
              <w:t>Logs are execution records, not lifecycle responsibility evidence</w:t>
            </w:r>
          </w:p>
        </w:tc>
      </w:tr>
      <w:tr>
        <w:tc>
          <w:tcPr>
            <w:tcW w:type="dxa" w:w="2045"/>
          </w:tcPr>
          <w:p>
            <w:pPr>
              <w:spacing w:after="0"/>
            </w:pPr>
            <w:r>
              <w:rPr>
                <w:rFonts w:ascii="Arial" w:hAnsi="Arial"/>
                <w:b w:val="0"/>
                <w:sz w:val="14"/>
              </w:rPr>
              <w:t>"System provides authority boundary"</w:t>
            </w:r>
          </w:p>
        </w:tc>
        <w:tc>
          <w:tcPr>
            <w:tcW w:type="dxa" w:w="2045"/>
          </w:tcPr>
          <w:p>
            <w:pPr>
              <w:spacing w:after="0"/>
            </w:pPr>
            <w:r>
              <w:rPr>
                <w:rFonts w:ascii="Arial" w:hAnsi="Arial"/>
                <w:b w:val="0"/>
                <w:sz w:val="14"/>
              </w:rPr>
              <w:t>System has access control</w:t>
            </w:r>
          </w:p>
        </w:tc>
        <w:tc>
          <w:tcPr>
            <w:tcW w:type="dxa" w:w="2045"/>
          </w:tcPr>
          <w:p>
            <w:pPr>
              <w:spacing w:after="0"/>
            </w:pPr>
            <w:r>
              <w:rPr>
                <w:rFonts w:ascii="Arial" w:hAnsi="Arial"/>
                <w:b w:val="0"/>
                <w:sz w:val="14"/>
              </w:rPr>
              <w:t>Access control ≠ delegated authority boundary; no authority grant records; no boundary violation alerts; no drift detection</w:t>
            </w:r>
          </w:p>
        </w:tc>
        <w:tc>
          <w:tcPr>
            <w:tcW w:type="dxa" w:w="2045"/>
          </w:tcPr>
          <w:p>
            <w:pPr>
              <w:spacing w:after="0"/>
            </w:pPr>
            <w:r>
              <w:rPr>
                <w:rFonts w:ascii="Arial" w:hAnsi="Arial"/>
                <w:b w:val="0"/>
                <w:sz w:val="14"/>
              </w:rPr>
              <w:t>Delegated authority boundary (MRO-02); authority grant records; boundary violation alerts; drift detection</w:t>
            </w:r>
          </w:p>
        </w:tc>
        <w:tc>
          <w:tcPr>
            <w:tcW w:type="dxa" w:w="2045"/>
          </w:tcPr>
          <w:p>
            <w:pPr>
              <w:spacing w:after="0"/>
            </w:pPr>
            <w:r>
              <w:rPr>
                <w:rFonts w:ascii="Arial" w:hAnsi="Arial"/>
                <w:b w:val="0"/>
                <w:sz w:val="14"/>
              </w:rPr>
              <w:t>Access control is security feature, not lifecycle governance object</w:t>
            </w:r>
          </w:p>
        </w:tc>
      </w:tr>
      <w:tr>
        <w:tc>
          <w:tcPr>
            <w:tcW w:type="dxa" w:w="2045"/>
          </w:tcPr>
          <w:p>
            <w:pPr>
              <w:spacing w:after="0"/>
            </w:pPr>
            <w:r>
              <w:rPr>
                <w:rFonts w:ascii="Arial" w:hAnsi="Arial"/>
                <w:b w:val="0"/>
                <w:sz w:val="14"/>
              </w:rPr>
              <w:t>"System provides accepted outcome compliance"</w:t>
            </w:r>
          </w:p>
        </w:tc>
        <w:tc>
          <w:tcPr>
            <w:tcW w:type="dxa" w:w="2045"/>
          </w:tcPr>
          <w:p>
            <w:pPr>
              <w:spacing w:after="0"/>
            </w:pPr>
            <w:r>
              <w:rPr>
                <w:rFonts w:ascii="Arial" w:hAnsi="Arial"/>
                <w:b w:val="0"/>
                <w:sz w:val="14"/>
              </w:rPr>
              <w:t>Orchestrator marks task complete</w:t>
            </w:r>
          </w:p>
        </w:tc>
        <w:tc>
          <w:tcPr>
            <w:tcW w:type="dxa" w:w="2045"/>
          </w:tcPr>
          <w:p>
            <w:pPr>
              <w:spacing w:after="0"/>
            </w:pPr>
            <w:r>
              <w:rPr>
                <w:rFonts w:ascii="Arial" w:hAnsi="Arial"/>
                <w:b w:val="0"/>
                <w:sz w:val="14"/>
              </w:rPr>
              <w:t>Task completion ≠ accepted outcome; no accountable human role; no acceptance records; no review workflow</w:t>
            </w:r>
          </w:p>
        </w:tc>
        <w:tc>
          <w:tcPr>
            <w:tcW w:type="dxa" w:w="2045"/>
          </w:tcPr>
          <w:p>
            <w:pPr>
              <w:spacing w:after="0"/>
            </w:pPr>
            <w:r>
              <w:rPr>
                <w:rFonts w:ascii="Arial" w:hAnsi="Arial"/>
                <w:b w:val="0"/>
                <w:sz w:val="14"/>
              </w:rPr>
              <w:t>Accepted outcome compliance (MRO-04); human-role-to-MAS responsibility mapping (MRO-01); acceptance records; review workflow</w:t>
            </w:r>
          </w:p>
        </w:tc>
        <w:tc>
          <w:tcPr>
            <w:tcW w:type="dxa" w:w="2045"/>
          </w:tcPr>
          <w:p>
            <w:pPr>
              <w:spacing w:after="0"/>
            </w:pPr>
            <w:r>
              <w:rPr>
                <w:rFonts w:ascii="Arial" w:hAnsi="Arial"/>
                <w:b w:val="0"/>
                <w:sz w:val="14"/>
              </w:rPr>
              <w:t>Execution completion ≠ accepted outcome</w:t>
            </w:r>
          </w:p>
        </w:tc>
      </w:tr>
      <w:tr>
        <w:tc>
          <w:tcPr>
            <w:tcW w:type="dxa" w:w="2045"/>
          </w:tcPr>
          <w:p>
            <w:pPr>
              <w:spacing w:after="0"/>
            </w:pPr>
            <w:r>
              <w:rPr>
                <w:rFonts w:ascii="Arial" w:hAnsi="Arial"/>
                <w:b w:val="0"/>
                <w:sz w:val="14"/>
              </w:rPr>
              <w:t>"System provides privacy-preserving validation"</w:t>
            </w:r>
          </w:p>
        </w:tc>
        <w:tc>
          <w:tcPr>
            <w:tcW w:type="dxa" w:w="2045"/>
          </w:tcPr>
          <w:p>
            <w:pPr>
              <w:spacing w:after="0"/>
            </w:pPr>
            <w:r>
              <w:rPr>
                <w:rFonts w:ascii="Arial" w:hAnsi="Arial"/>
                <w:b w:val="0"/>
                <w:sz w:val="14"/>
              </w:rPr>
              <w:t>System has data export</w:t>
            </w:r>
          </w:p>
        </w:tc>
        <w:tc>
          <w:tcPr>
            <w:tcW w:type="dxa" w:w="2045"/>
          </w:tcPr>
          <w:p>
            <w:pPr>
              <w:spacing w:after="0"/>
            </w:pPr>
            <w:r>
              <w:rPr>
                <w:rFonts w:ascii="Arial" w:hAnsi="Arial"/>
                <w:b w:val="0"/>
                <w:sz w:val="14"/>
              </w:rPr>
              <w:t>Data export ≠ privacy-preserving validation; no disclosure profile; no redaction profile; no hash manifests; no verdict hashes</w:t>
            </w:r>
          </w:p>
        </w:tc>
        <w:tc>
          <w:tcPr>
            <w:tcW w:type="dxa" w:w="2045"/>
          </w:tcPr>
          <w:p>
            <w:pPr>
              <w:spacing w:after="0"/>
            </w:pPr>
            <w:r>
              <w:rPr>
                <w:rFonts w:ascii="Arial" w:hAnsi="Arial"/>
                <w:b w:val="0"/>
                <w:sz w:val="14"/>
              </w:rPr>
              <w:t>Privacy-preserving third-party validation (MRO-11); disclosure profile; redaction profile; hash manifests; verdict hashes</w:t>
            </w:r>
          </w:p>
        </w:tc>
        <w:tc>
          <w:tcPr>
            <w:tcW w:type="dxa" w:w="2045"/>
          </w:tcPr>
          <w:p>
            <w:pPr>
              <w:spacing w:after="0"/>
            </w:pPr>
            <w:r>
              <w:rPr>
                <w:rFonts w:ascii="Arial" w:hAnsi="Arial"/>
                <w:b w:val="0"/>
                <w:sz w:val="14"/>
              </w:rPr>
              <w:t>Data export is data management feature, not privacy-preserving validation protocol</w:t>
            </w:r>
          </w:p>
        </w:tc>
      </w:tr>
    </w:tbl>
    <w:p>
      <w:pPr>
        <w:spacing w:after="56"/>
      </w:pPr>
      <w:r>
        <w:t>Negative control policy:</w:t>
      </w:r>
    </w:p>
    <w:p>
      <w:pPr>
        <w:pStyle w:val="ListBullet"/>
        <w:spacing w:after="56"/>
      </w:pPr>
      <w:r>
        <w:t>Distinguish adjacent capabilities from lifecycle responsibility objects. Many systems have features that are adjacent to lifecycle governance but do not constitute lifecycle responsibility objects.</w:t>
      </w:r>
    </w:p>
    <w:p>
      <w:pPr>
        <w:pStyle w:val="ListBullet"/>
        <w:spacing w:after="56"/>
      </w:pPr>
      <w:r>
        <w:t>Require explicit evidence for lifecycle responsibility objects. Approval buttons, logs, access control, task completion, and data export are not lifecycle responsibility objects unless they include the required fields and workflows.</w:t>
      </w:r>
    </w:p>
    <w:p>
      <w:pPr>
        <w:pStyle w:val="ListBullet"/>
        <w:spacing w:after="56"/>
      </w:pPr>
      <w:r>
        <w:t>Prevent overclaim. Negative control prevents scoring systems for adjacent capabilities that do not meet lifecycle responsibility object requirements.</w:t>
      </w:r>
    </w:p>
    <w:p>
      <w:pPr>
        <w:pStyle w:val="ListBullet"/>
        <w:spacing w:after="56"/>
      </w:pPr>
      <w:r>
        <w:t>Document why adjacent capabilities do not count. Negative control checklist explains why specific capabilities do not count toward RCCS/ALCS scores.</w:t>
      </w:r>
    </w:p>
    <w:p>
      <w:pPr>
        <w:pStyle w:val="Heading1"/>
      </w:pPr>
      <w:r>
        <w:t>Appendix C — References and Source Notes</w:t>
      </w:r>
    </w:p>
    <w:p>
      <w:pPr>
        <w:spacing w:after="56"/>
      </w:pPr>
      <w:r>
        <w:t>Version: v0.3.2-FRC-R3</w:t>
      </w:r>
    </w:p>
    <w:p>
      <w:pPr>
        <w:pStyle w:val="Heading2"/>
      </w:pPr>
      <w:r>
        <w:t>C.0 Source Boundary</w:t>
      </w:r>
    </w:p>
    <w:p>
      <w:pPr>
        <w:spacing w:after="56"/>
      </w:pPr>
      <w:r>
        <w:t>This appendix provides a source register and citation guidance for the Global AI Compliance White Paper 2026. Phase 1C follow-up located official source entry points and created a claim evidence register for high-risk L2 product/protocol claims. This appendix does not claim final publication-candidate citation rendering or page-level source pinning is complete.</w:t>
      </w:r>
    </w:p>
    <w:p>
      <w:pPr>
        <w:spacing w:after="56"/>
      </w:pPr>
      <w:r>
        <w:t>Boundary statement:</w:t>
      </w:r>
    </w:p>
    <w:p>
      <w:pPr>
        <w:pStyle w:val="ListBullet"/>
        <w:spacing w:after="56"/>
      </w:pPr>
      <w:r>
        <w:t>This appendix is a source register and claim-binding pointer, not a final bibliography. The source register lists sources used in the white paper and their current validation status. Phase 1C follow-up completed source-entry and claim-disposition review; final page-level citation pinning remains a publication-candidate QA task.</w:t>
      </w:r>
    </w:p>
    <w:p>
      <w:pPr>
        <w:pStyle w:val="ListBullet"/>
        <w:spacing w:after="56"/>
      </w:pPr>
      <w:r>
        <w:t>Citation source pointers require final page-level pinning. Many L2 product documentation sources are referenced via source IDs (e.g., [IBM-WATSONX-GOVERNANCE-DOCS], [MPLP-DOCS]). Phase 1C follow-up located official entry points; publication-candidate QA should pin exact page URLs and publication/access details where needed.</w:t>
      </w:r>
    </w:p>
    <w:p>
      <w:pPr>
        <w:pStyle w:val="ListBullet"/>
        <w:spacing w:after="56"/>
      </w:pPr>
      <w:r>
        <w:t>Evidence levels affect confidence. L1 sources (binding legal text, formal standards) establish baseline obligations but do not prove implementation. L2 sources (official product/protocol documentation) support documented capability surfaces but do not prove deployment practice, audit success, legal compliance, or lifecycle responsibility-object implementation. L3-L5 sources have lower or different confidence and must be marked appropriately.</w:t>
      </w:r>
    </w:p>
    <w:p>
      <w:pPr>
        <w:pStyle w:val="ListBullet"/>
        <w:spacing w:after="56"/>
      </w:pPr>
      <w:r>
        <w:t>Source validation is not legal compliance proof. Validated sources support the white paper's analytical framework. They do not prove legal compliance, regulatory approval, or certification.</w:t>
      </w:r>
    </w:p>
    <w:p>
      <w:pPr>
        <w:pStyle w:val="Heading2"/>
      </w:pPr>
      <w:r>
        <w:t>C.1 Evidence Level Policy</w:t>
      </w:r>
    </w:p>
    <w:p>
      <w:pPr>
        <w:spacing w:after="56"/>
      </w:pPr>
      <w:r>
        <w:t>The following table defines evidence levels and their permitted use.</w:t>
      </w:r>
    </w:p>
    <w:p>
      <w:pPr>
        <w:keepNext/>
      </w:pPr>
      <w:r>
        <w:rPr>
          <w:b/>
          <w:sz w:val="16"/>
        </w:rPr>
        <w:t>Table T-C-01: Evidence Level Policy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Level</w:t>
            </w:r>
          </w:p>
        </w:tc>
        <w:tc>
          <w:tcPr>
            <w:tcW w:type="dxa" w:w="2045"/>
          </w:tcPr>
          <w:p>
            <w:pPr>
              <w:spacing w:after="0"/>
            </w:pPr>
            <w:r>
              <w:rPr>
                <w:rFonts w:ascii="Arial" w:hAnsi="Arial"/>
                <w:b/>
                <w:sz w:val="14"/>
              </w:rPr>
              <w:t>Source Type</w:t>
            </w:r>
          </w:p>
        </w:tc>
        <w:tc>
          <w:tcPr>
            <w:tcW w:type="dxa" w:w="2045"/>
          </w:tcPr>
          <w:p>
            <w:pPr>
              <w:spacing w:after="0"/>
            </w:pPr>
            <w:r>
              <w:rPr>
                <w:rFonts w:ascii="Arial" w:hAnsi="Arial"/>
                <w:b/>
                <w:sz w:val="14"/>
              </w:rPr>
              <w:t>Permitted Use</w:t>
            </w:r>
          </w:p>
        </w:tc>
        <w:tc>
          <w:tcPr>
            <w:tcW w:type="dxa" w:w="2045"/>
          </w:tcPr>
          <w:p>
            <w:pPr>
              <w:spacing w:after="0"/>
            </w:pPr>
            <w:r>
              <w:rPr>
                <w:rFonts w:ascii="Arial" w:hAnsi="Arial"/>
                <w:b/>
                <w:sz w:val="14"/>
              </w:rPr>
              <w:t>Confidence</w:t>
            </w:r>
          </w:p>
        </w:tc>
        <w:tc>
          <w:tcPr>
            <w:tcW w:type="dxa" w:w="2045"/>
          </w:tcPr>
          <w:p>
            <w:pPr>
              <w:spacing w:after="0"/>
            </w:pPr>
            <w:r>
              <w:rPr>
                <w:rFonts w:ascii="Arial" w:hAnsi="Arial"/>
                <w:b/>
                <w:sz w:val="14"/>
              </w:rPr>
              <w:t>Limitation</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Binding legal text (EU AI Act, GDPR, Colorado AI Act, etc.)</w:t>
            </w:r>
          </w:p>
        </w:tc>
        <w:tc>
          <w:tcPr>
            <w:tcW w:type="dxa" w:w="2045"/>
          </w:tcPr>
          <w:p>
            <w:pPr>
              <w:spacing w:after="0"/>
            </w:pPr>
            <w:r>
              <w:rPr>
                <w:rFonts w:ascii="Arial" w:hAnsi="Arial"/>
                <w:b w:val="0"/>
                <w:sz w:val="14"/>
              </w:rPr>
              <w:t>Regulatory baseline; legal obligation statements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Legal text requires legal interpretation; does not prove organizational compliance</w:t>
            </w:r>
          </w:p>
        </w:tc>
      </w:tr>
      <w:tr>
        <w:tc>
          <w:tcPr>
            <w:tcW w:type="dxa" w:w="2045"/>
          </w:tcPr>
          <w:p>
            <w:pPr>
              <w:spacing w:after="0"/>
            </w:pPr>
            <w:r>
              <w:rPr>
                <w:rFonts w:ascii="Arial" w:hAnsi="Arial"/>
                <w:b w:val="0"/>
                <w:sz w:val="14"/>
              </w:rPr>
              <w:t>L1</w:t>
            </w:r>
          </w:p>
        </w:tc>
        <w:tc>
          <w:tcPr>
            <w:tcW w:type="dxa" w:w="2045"/>
          </w:tcPr>
          <w:p>
            <w:pPr>
              <w:spacing w:after="0"/>
            </w:pPr>
            <w:r>
              <w:rPr>
                <w:rFonts w:ascii="Arial" w:hAnsi="Arial"/>
                <w:b w:val="0"/>
                <w:sz w:val="14"/>
              </w:rPr>
              <w:t>Formal standards (NIST AI RMF, ISO/IEC 42001, Singapore IMDA, W3C PROV, W3C VC)</w:t>
            </w:r>
          </w:p>
        </w:tc>
        <w:tc>
          <w:tcPr>
            <w:tcW w:type="dxa" w:w="2045"/>
          </w:tcPr>
          <w:p>
            <w:pPr>
              <w:spacing w:after="0"/>
            </w:pPr>
            <w:r>
              <w:rPr>
                <w:rFonts w:ascii="Arial" w:hAnsi="Arial"/>
                <w:b w:val="0"/>
                <w:sz w:val="14"/>
              </w:rPr>
              <w:t>Framework baseline; standard requirements</w:t>
            </w:r>
          </w:p>
        </w:tc>
        <w:tc>
          <w:tcPr>
            <w:tcW w:type="dxa" w:w="2045"/>
          </w:tcPr>
          <w:p>
            <w:pPr>
              <w:spacing w:after="0"/>
            </w:pPr>
            <w:r>
              <w:rPr>
                <w:rFonts w:ascii="Arial" w:hAnsi="Arial"/>
                <w:b w:val="0"/>
                <w:sz w:val="14"/>
              </w:rPr>
              <w:t>Highest</w:t>
            </w:r>
          </w:p>
        </w:tc>
        <w:tc>
          <w:tcPr>
            <w:tcW w:type="dxa" w:w="2045"/>
          </w:tcPr>
          <w:p>
            <w:pPr>
              <w:spacing w:after="0"/>
            </w:pPr>
            <w:r>
              <w:rPr>
                <w:rFonts w:ascii="Arial" w:hAnsi="Arial"/>
                <w:b w:val="0"/>
                <w:sz w:val="14"/>
              </w:rPr>
              <w:t>Standards are voluntary unless mandated by regulation; adoption does not prove compliance</w:t>
            </w:r>
          </w:p>
        </w:tc>
      </w:tr>
      <w:tr>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product documentation (vendor docs, protocol specs, GitHub repos)</w:t>
            </w:r>
          </w:p>
        </w:tc>
        <w:tc>
          <w:tcPr>
            <w:tcW w:type="dxa" w:w="2045"/>
          </w:tcPr>
          <w:p>
            <w:pPr>
              <w:spacing w:after="0"/>
            </w:pPr>
            <w:r>
              <w:rPr>
                <w:rFonts w:ascii="Arial" w:hAnsi="Arial"/>
                <w:b w:val="0"/>
                <w:sz w:val="14"/>
              </w:rPr>
              <w:t>System capability claims; feature descriptions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Product docs describe capability, not operational effectiveness; require validation; may change without notice</w:t>
            </w:r>
          </w:p>
        </w:tc>
      </w:tr>
      <w:tr>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Third-party audit reports, academic papers, industry reports</w:t>
            </w:r>
          </w:p>
        </w:tc>
        <w:tc>
          <w:tcPr>
            <w:tcW w:type="dxa" w:w="2045"/>
          </w:tcPr>
          <w:p>
            <w:pPr>
              <w:spacing w:after="0"/>
            </w:pPr>
            <w:r>
              <w:rPr>
                <w:rFonts w:ascii="Arial" w:hAnsi="Arial"/>
                <w:b w:val="0"/>
                <w:sz w:val="14"/>
              </w:rPr>
              <w:t>Supplemental confidence; independent assessment</w:t>
            </w:r>
          </w:p>
        </w:tc>
        <w:tc>
          <w:tcPr>
            <w:tcW w:type="dxa" w:w="2045"/>
          </w:tcPr>
          <w:p>
            <w:pPr>
              <w:spacing w:after="0"/>
            </w:pPr>
            <w:r>
              <w:rPr>
                <w:rFonts w:ascii="Arial" w:hAnsi="Arial"/>
                <w:b w:val="0"/>
                <w:sz w:val="14"/>
              </w:rPr>
              <w:t>Medium</w:t>
            </w:r>
          </w:p>
        </w:tc>
        <w:tc>
          <w:tcPr>
            <w:tcW w:type="dxa" w:w="2045"/>
          </w:tcPr>
          <w:p>
            <w:pPr>
              <w:spacing w:after="0"/>
            </w:pPr>
            <w:r>
              <w:rPr>
                <w:rFonts w:ascii="Arial" w:hAnsi="Arial"/>
                <w:b w:val="0"/>
                <w:sz w:val="14"/>
              </w:rPr>
              <w:t>Audit reports are point-in-time assessments; academic papers may not reflect current state; industry reports may have bias</w:t>
            </w:r>
          </w:p>
        </w:tc>
      </w:tr>
      <w:tr>
        <w:tc>
          <w:tcPr>
            <w:tcW w:type="dxa" w:w="2045"/>
          </w:tcPr>
          <w:p>
            <w:pPr>
              <w:spacing w:after="0"/>
            </w:pPr>
            <w:r>
              <w:rPr>
                <w:rFonts w:ascii="Arial" w:hAnsi="Arial"/>
                <w:b w:val="0"/>
                <w:sz w:val="14"/>
              </w:rPr>
              <w:t>L4</w:t>
            </w:r>
          </w:p>
        </w:tc>
        <w:tc>
          <w:tcPr>
            <w:tcW w:type="dxa" w:w="2045"/>
          </w:tcPr>
          <w:p>
            <w:pPr>
              <w:spacing w:after="0"/>
            </w:pPr>
            <w:r>
              <w:rPr>
                <w:rFonts w:ascii="Arial" w:hAnsi="Arial"/>
                <w:b w:val="0"/>
                <w:sz w:val="14"/>
              </w:rPr>
              <w:t>Vendor claims, marketing materials, blog posts</w:t>
            </w:r>
          </w:p>
        </w:tc>
        <w:tc>
          <w:tcPr>
            <w:tcW w:type="dxa" w:w="2045"/>
          </w:tcPr>
          <w:p>
            <w:pPr>
              <w:spacing w:after="0"/>
            </w:pPr>
            <w:r>
              <w:rPr>
                <w:rFonts w:ascii="Arial" w:hAnsi="Arial"/>
                <w:b w:val="0"/>
                <w:sz w:val="14"/>
              </w:rPr>
              <w:t>Positioning only; not capability claims</w:t>
            </w:r>
          </w:p>
        </w:tc>
        <w:tc>
          <w:tcPr>
            <w:tcW w:type="dxa" w:w="2045"/>
          </w:tcPr>
          <w:p>
            <w:pPr>
              <w:spacing w:after="0"/>
            </w:pPr>
            <w:r>
              <w:rPr>
                <w:rFonts w:ascii="Arial" w:hAnsi="Arial"/>
                <w:b w:val="0"/>
                <w:sz w:val="14"/>
              </w:rPr>
              <w:t>Low</w:t>
            </w:r>
          </w:p>
        </w:tc>
        <w:tc>
          <w:tcPr>
            <w:tcW w:type="dxa" w:w="2045"/>
          </w:tcPr>
          <w:p>
            <w:pPr>
              <w:spacing w:after="0"/>
            </w:pPr>
            <w:r>
              <w:rPr>
                <w:rFonts w:ascii="Arial" w:hAnsi="Arial"/>
                <w:b w:val="0"/>
                <w:sz w:val="14"/>
              </w:rPr>
              <w:t>Vendor claims require validation; marketing materials may overstate capability; blog posts are not authoritative</w:t>
            </w:r>
          </w:p>
        </w:tc>
      </w:tr>
      <w:tr>
        <w:tc>
          <w:tcPr>
            <w:tcW w:type="dxa" w:w="2045"/>
          </w:tcPr>
          <w:p>
            <w:pPr>
              <w:spacing w:after="0"/>
            </w:pPr>
            <w:r>
              <w:rPr>
                <w:rFonts w:ascii="Arial" w:hAnsi="Arial"/>
                <w:b w:val="0"/>
                <w:sz w:val="14"/>
              </w:rPr>
              <w:t>L5</w:t>
            </w:r>
          </w:p>
        </w:tc>
        <w:tc>
          <w:tcPr>
            <w:tcW w:type="dxa" w:w="2045"/>
          </w:tcPr>
          <w:p>
            <w:pPr>
              <w:spacing w:after="0"/>
            </w:pPr>
            <w:r>
              <w:rPr>
                <w:rFonts w:ascii="Arial" w:hAnsi="Arial"/>
                <w:b w:val="0"/>
                <w:sz w:val="14"/>
              </w:rPr>
              <w:t>Author inference, analytical framework, logical derivation</w:t>
            </w:r>
          </w:p>
        </w:tc>
        <w:tc>
          <w:tcPr>
            <w:tcW w:type="dxa" w:w="2045"/>
          </w:tcPr>
          <w:p>
            <w:pPr>
              <w:spacing w:after="0"/>
            </w:pPr>
            <w:r>
              <w:rPr>
                <w:rFonts w:ascii="Arial" w:hAnsi="Arial"/>
                <w:b w:val="0"/>
                <w:sz w:val="14"/>
              </w:rPr>
              <w:t>Framework design; gap analysis; analytical tools</w:t>
            </w:r>
          </w:p>
        </w:tc>
        <w:tc>
          <w:tcPr>
            <w:tcW w:type="dxa" w:w="2045"/>
          </w:tcPr>
          <w:p>
            <w:pPr>
              <w:spacing w:after="0"/>
            </w:pPr>
            <w:r>
              <w:rPr>
                <w:rFonts w:ascii="Arial" w:hAnsi="Arial"/>
                <w:b w:val="0"/>
                <w:sz w:val="14"/>
              </w:rPr>
              <w:t>Lowest</w:t>
            </w:r>
          </w:p>
        </w:tc>
        <w:tc>
          <w:tcPr>
            <w:tcW w:type="dxa" w:w="2045"/>
          </w:tcPr>
          <w:p>
            <w:pPr>
              <w:spacing w:after="0"/>
            </w:pPr>
            <w:r>
              <w:rPr>
                <w:rFonts w:ascii="Arial" w:hAnsi="Arial"/>
                <w:b w:val="0"/>
                <w:sz w:val="14"/>
              </w:rPr>
              <w:t>Author inference must be marked clearly; does not replace evidence; requires organizational interpretation</w:t>
            </w:r>
          </w:p>
        </w:tc>
      </w:tr>
    </w:tbl>
    <w:p>
      <w:pPr>
        <w:spacing w:after="56"/>
      </w:pPr>
      <w:r>
        <w:t>Evidence level multipliers for RCCS/ALCS scoring:</w:t>
      </w:r>
    </w:p>
    <w:p>
      <w:pPr>
        <w:pStyle w:val="ListBullet"/>
        <w:spacing w:after="56"/>
      </w:pPr>
      <w:r>
        <w:t>L1: 1.00</w:t>
      </w:r>
    </w:p>
    <w:p>
      <w:pPr>
        <w:pStyle w:val="ListBullet"/>
        <w:spacing w:after="56"/>
      </w:pPr>
      <w:r>
        <w:t>L2: 0.85</w:t>
      </w:r>
    </w:p>
    <w:p>
      <w:pPr>
        <w:pStyle w:val="ListBullet"/>
        <w:spacing w:after="56"/>
      </w:pPr>
      <w:r>
        <w:t>L3: 0.75</w:t>
      </w:r>
    </w:p>
    <w:p>
      <w:pPr>
        <w:pStyle w:val="ListBullet"/>
        <w:spacing w:after="56"/>
      </w:pPr>
      <w:r>
        <w:t>L4: 0.55</w:t>
      </w:r>
    </w:p>
    <w:p>
      <w:pPr>
        <w:pStyle w:val="ListBullet"/>
        <w:spacing w:after="56"/>
      </w:pPr>
      <w:r>
        <w:t>L5: 0.35</w:t>
      </w:r>
    </w:p>
    <w:p>
      <w:pPr>
        <w:pStyle w:val="Heading2"/>
      </w:pPr>
      <w:r>
        <w:t>C.2 Required Source Groups</w:t>
      </w:r>
    </w:p>
    <w:p>
      <w:pPr>
        <w:spacing w:after="56"/>
      </w:pPr>
      <w:r>
        <w:t>The white paper uses five source groups: L1 Binding Legal/Regulatory Sources, L1 Formal Standards, L2 Official Product Documentation, L3 Third-Party Reports, and L5 Author Inference.</w:t>
      </w:r>
    </w:p>
    <w:p>
      <w:pPr>
        <w:pStyle w:val="Heading3"/>
      </w:pPr>
      <w:r>
        <w:t>L1: Binding Legal/Regulatory Sources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EU-AI-ACT</w:t>
            </w:r>
          </w:p>
        </w:tc>
        <w:tc>
          <w:tcPr>
            <w:tcW w:type="dxa" w:w="2045"/>
          </w:tcPr>
          <w:p>
            <w:pPr>
              <w:spacing w:after="0"/>
            </w:pPr>
            <w:r>
              <w:rPr>
                <w:rFonts w:ascii="Arial" w:hAnsi="Arial"/>
                <w:b w:val="0"/>
                <w:sz w:val="14"/>
              </w:rPr>
              <w:t>EU AI Act (Regulation (EU) 2024/1689) Articles 9, 10, 11, 12, 13, 14, 15, 72</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GDPR</w:t>
            </w:r>
          </w:p>
        </w:tc>
        <w:tc>
          <w:tcPr>
            <w:tcW w:type="dxa" w:w="2045"/>
          </w:tcPr>
          <w:p>
            <w:pPr>
              <w:spacing w:after="0"/>
            </w:pPr>
            <w:r>
              <w:rPr>
                <w:rFonts w:ascii="Arial" w:hAnsi="Arial"/>
                <w:b w:val="0"/>
                <w:sz w:val="14"/>
              </w:rPr>
              <w:t>GDPR (Regulation (EU) 2016/679) Article 5, Article 17, Article 28</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COLORADO-AI-ACT</w:t>
            </w:r>
          </w:p>
        </w:tc>
        <w:tc>
          <w:tcPr>
            <w:tcW w:type="dxa" w:w="2045"/>
          </w:tcPr>
          <w:p>
            <w:pPr>
              <w:spacing w:after="0"/>
            </w:pPr>
            <w:r>
              <w:rPr>
                <w:rFonts w:ascii="Arial" w:hAnsi="Arial"/>
                <w:b w:val="0"/>
                <w:sz w:val="14"/>
              </w:rPr>
              <w:t>Colorado AI Act (SB25B-004)</w:t>
            </w:r>
          </w:p>
        </w:tc>
        <w:tc>
          <w:tcPr>
            <w:tcW w:type="dxa" w:w="2045"/>
          </w:tcPr>
          <w:p>
            <w:pPr>
              <w:spacing w:after="0"/>
            </w:pPr>
            <w:r>
              <w:rPr>
                <w:rFonts w:ascii="Arial" w:hAnsi="Arial"/>
                <w:b w:val="0"/>
                <w:sz w:val="14"/>
              </w:rPr>
              <w:t>Legal text</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L1: Formal Standards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NIST-AI-RMF</w:t>
            </w:r>
          </w:p>
        </w:tc>
        <w:tc>
          <w:tcPr>
            <w:tcW w:type="dxa" w:w="2045"/>
          </w:tcPr>
          <w:p>
            <w:pPr>
              <w:spacing w:after="0"/>
            </w:pPr>
            <w:r>
              <w:rPr>
                <w:rFonts w:ascii="Arial" w:hAnsi="Arial"/>
                <w:b w:val="0"/>
                <w:sz w:val="14"/>
              </w:rPr>
              <w:t>NIST AI Risk Management Framework 1.0</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ISO-42001</w:t>
            </w:r>
          </w:p>
        </w:tc>
        <w:tc>
          <w:tcPr>
            <w:tcW w:type="dxa" w:w="2045"/>
          </w:tcPr>
          <w:p>
            <w:pPr>
              <w:spacing w:after="0"/>
            </w:pPr>
            <w:r>
              <w:rPr>
                <w:rFonts w:ascii="Arial" w:hAnsi="Arial"/>
                <w:b w:val="0"/>
                <w:sz w:val="14"/>
              </w:rPr>
              <w:t>ISO/IEC 42001:2023 AI Management System</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SINGAPORE-IMDA</w:t>
            </w:r>
          </w:p>
        </w:tc>
        <w:tc>
          <w:tcPr>
            <w:tcW w:type="dxa" w:w="2045"/>
          </w:tcPr>
          <w:p>
            <w:pPr>
              <w:spacing w:after="0"/>
            </w:pPr>
            <w:r>
              <w:rPr>
                <w:rFonts w:ascii="Arial" w:hAnsi="Arial"/>
                <w:b w:val="0"/>
                <w:sz w:val="14"/>
              </w:rPr>
              <w:t>Singapore IMDA Model AI Governance Framework for Agentic AI</w:t>
            </w:r>
          </w:p>
        </w:tc>
        <w:tc>
          <w:tcPr>
            <w:tcW w:type="dxa" w:w="2045"/>
          </w:tcPr>
          <w:p>
            <w:pPr>
              <w:spacing w:after="0"/>
            </w:pPr>
            <w:r>
              <w:rPr>
                <w:rFonts w:ascii="Arial" w:hAnsi="Arial"/>
                <w:b w:val="0"/>
                <w:sz w:val="14"/>
              </w:rPr>
              <w:t>Standard</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W3C-PROV</w:t>
            </w:r>
          </w:p>
        </w:tc>
        <w:tc>
          <w:tcPr>
            <w:tcW w:type="dxa" w:w="2045"/>
          </w:tcPr>
          <w:p>
            <w:pPr>
              <w:spacing w:after="0"/>
            </w:pPr>
            <w:r>
              <w:rPr>
                <w:rFonts w:ascii="Arial" w:hAnsi="Arial"/>
                <w:b w:val="0"/>
                <w:sz w:val="14"/>
              </w:rPr>
              <w:t>W3C PROV-DM: The PROV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r>
        <w:tc>
          <w:tcPr>
            <w:tcW w:type="dxa" w:w="2045"/>
          </w:tcPr>
          <w:p>
            <w:pPr>
              <w:spacing w:after="0"/>
            </w:pPr>
            <w:r>
              <w:rPr>
                <w:rFonts w:ascii="Arial" w:hAnsi="Arial"/>
                <w:b w:val="0"/>
                <w:sz w:val="14"/>
              </w:rPr>
              <w:t>W3C-VC</w:t>
            </w:r>
          </w:p>
        </w:tc>
        <w:tc>
          <w:tcPr>
            <w:tcW w:type="dxa" w:w="2045"/>
          </w:tcPr>
          <w:p>
            <w:pPr>
              <w:spacing w:after="0"/>
            </w:pPr>
            <w:r>
              <w:rPr>
                <w:rFonts w:ascii="Arial" w:hAnsi="Arial"/>
                <w:b w:val="0"/>
                <w:sz w:val="14"/>
              </w:rPr>
              <w:t>W3C Verifiable Credentials Data Model</w:t>
            </w:r>
          </w:p>
        </w:tc>
        <w:tc>
          <w:tcPr>
            <w:tcW w:type="dxa" w:w="2045"/>
          </w:tcPr>
          <w:p>
            <w:pPr>
              <w:spacing w:after="0"/>
            </w:pPr>
            <w:r>
              <w:rPr>
                <w:rFonts w:ascii="Arial" w:hAnsi="Arial"/>
                <w:b w:val="0"/>
                <w:sz w:val="14"/>
              </w:rPr>
              <w:t>Protocol spec</w:t>
            </w:r>
          </w:p>
        </w:tc>
        <w:tc>
          <w:tcPr>
            <w:tcW w:type="dxa" w:w="2045"/>
          </w:tcPr>
          <w:p>
            <w:pPr>
              <w:spacing w:after="0"/>
            </w:pPr>
            <w:r>
              <w:rPr>
                <w:rFonts w:ascii="Arial" w:hAnsi="Arial"/>
                <w:b w:val="0"/>
                <w:sz w:val="14"/>
              </w:rPr>
              <w:t>Chapter 4</w:t>
            </w:r>
          </w:p>
        </w:tc>
        <w:tc>
          <w:tcPr>
            <w:tcW w:type="dxa" w:w="2045"/>
          </w:tcPr>
          <w:p>
            <w:pPr>
              <w:spacing w:after="0"/>
            </w:pPr>
            <w:r>
              <w:rPr>
                <w:rFonts w:ascii="Arial" w:hAnsi="Arial"/>
                <w:b w:val="0"/>
                <w:sz w:val="14"/>
              </w:rPr>
              <w:t>✓ Referenced</w:t>
            </w:r>
          </w:p>
        </w:tc>
      </w:tr>
    </w:tbl>
    <w:p>
      <w:pPr>
        <w:pStyle w:val="Heading3"/>
      </w:pPr>
      <w:r>
        <w:t>L2: Official Product Documentation (Claim-Level Reviewed)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IBM watsonx.governance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Microsoft Azure AI Foundry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L5 unless exact docs support them</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Responsible AI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point/source family located; exact responsible-AI page pinning remains</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AWS Bedrock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AWS Bedrock Guardrails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guardrails are not delegated-authority proof</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AWS AgentCore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ALCS object mappings remain analytical</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Google Vertex 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lifecycle-object mappings remain L5 unless exact docs support them</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Google Agent Development Kit (ADK)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ADK primitives are not governance objects by default</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Google Model Armor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safety inspection is not lifecycle responsibility proof</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LangGraph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orchestration mappings remain analytical</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LangSmith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observability mappings remain analytical</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OpenAI Agents SDK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SDK entry point located; OpenAI platform guide returned HTTP 403 by curl and needs final access/rendering check</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Tools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Official source family located; exact tools page pinning remains</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CrewAI Official Documentation</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Entry point located; agent role labels are not human accountability roles</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CrewAI GitHub Repository</w:t>
            </w:r>
          </w:p>
        </w:tc>
        <w:tc>
          <w:tcPr>
            <w:tcW w:type="dxa" w:w="2045"/>
          </w:tcPr>
          <w:p>
            <w:pPr>
              <w:spacing w:after="0"/>
            </w:pPr>
            <w:r>
              <w:rPr>
                <w:rFonts w:ascii="Arial" w:hAnsi="Arial"/>
                <w:b w:val="0"/>
                <w:sz w:val="14"/>
              </w:rPr>
              <w:t>Product docs</w:t>
            </w:r>
          </w:p>
        </w:tc>
        <w:tc>
          <w:tcPr>
            <w:tcW w:type="dxa" w:w="2045"/>
          </w:tcPr>
          <w:p>
            <w:pPr>
              <w:spacing w:after="0"/>
            </w:pPr>
            <w:r>
              <w:rPr>
                <w:rFonts w:ascii="Arial" w:hAnsi="Arial"/>
                <w:b w:val="0"/>
                <w:sz w:val="14"/>
              </w:rPr>
              <w:t>Chapter 12</w:t>
            </w:r>
          </w:p>
        </w:tc>
        <w:tc>
          <w:tcPr>
            <w:tcW w:type="dxa" w:w="2045"/>
          </w:tcPr>
          <w:p>
            <w:pPr>
              <w:spacing w:after="0"/>
            </w:pPr>
            <w:r>
              <w:rPr>
                <w:rFonts w:ascii="Arial" w:hAnsi="Arial"/>
                <w:b w:val="0"/>
                <w:sz w:val="14"/>
              </w:rPr>
              <w:t>✓ Repository entry point located; exact code/API claims require page-level pinning</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MPLP (Multi-Agent Lifecycle Protocol) Official Documentation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Chapters 12, 13</w:t>
            </w:r>
          </w:p>
        </w:tc>
        <w:tc>
          <w:tcPr>
            <w:tcW w:type="dxa" w:w="2045"/>
          </w:tcPr>
          <w:p>
            <w:pPr>
              <w:spacing w:after="0"/>
            </w:pPr>
            <w:r>
              <w:rPr>
                <w:rFonts w:ascii="Arial" w:hAnsi="Arial"/>
                <w:b w:val="0"/>
                <w:sz w:val="14"/>
              </w:rPr>
              <w:t>✓ Entry point located; protocol mapping remains L2 + L5 analytical interpretation</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MPLP Protocol Specification</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13</w:t>
            </w:r>
          </w:p>
        </w:tc>
        <w:tc>
          <w:tcPr>
            <w:tcW w:type="dxa" w:w="2045"/>
          </w:tcPr>
          <w:p>
            <w:pPr>
              <w:spacing w:after="0"/>
            </w:pPr>
            <w:r>
              <w:rPr>
                <w:rFonts w:ascii="Arial" w:hAnsi="Arial"/>
                <w:b w:val="0"/>
                <w:sz w:val="14"/>
              </w:rPr>
              <w:t>✓ Bound through MPLP docs entry point; version/citation rendering remains</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Validation Lab Evidence-Based Validation Methodology</w:t>
            </w:r>
          </w:p>
        </w:tc>
        <w:tc>
          <w:tcPr>
            <w:tcW w:type="dxa" w:w="2045"/>
          </w:tcPr>
          <w:p>
            <w:pPr>
              <w:spacing w:after="0"/>
            </w:pPr>
            <w:r>
              <w:rPr>
                <w:rFonts w:ascii="Arial" w:hAnsi="Arial"/>
                <w:b w:val="0"/>
                <w:sz w:val="14"/>
              </w:rPr>
              <w:t>Protocol docs</w:t>
            </w:r>
          </w:p>
        </w:tc>
        <w:tc>
          <w:tcPr>
            <w:tcW w:type="dxa" w:w="2045"/>
          </w:tcPr>
          <w:p>
            <w:pPr>
              <w:spacing w:after="0"/>
            </w:pPr>
            <w:r>
              <w:rPr>
                <w:rFonts w:ascii="Arial" w:hAnsi="Arial"/>
                <w:b w:val="0"/>
                <w:sz w:val="14"/>
              </w:rPr>
              <w:t>Chapter 14</w:t>
            </w:r>
          </w:p>
        </w:tc>
        <w:tc>
          <w:tcPr>
            <w:tcW w:type="dxa" w:w="2045"/>
          </w:tcPr>
          <w:p>
            <w:pPr>
              <w:spacing w:after="0"/>
            </w:pPr>
            <w:r>
              <w:rPr>
                <w:rFonts w:ascii="Arial" w:hAnsi="Arial"/>
                <w:b w:val="0"/>
                <w:sz w:val="14"/>
              </w:rPr>
              <w:t>◐ Public entry point located; methodology-specific support remains boundary-limited</w:t>
            </w:r>
          </w:p>
        </w:tc>
      </w:tr>
    </w:tbl>
    <w:p>
      <w:pPr>
        <w:pStyle w:val="Heading3"/>
      </w:pPr>
      <w:r>
        <w:t>L5: Author Inference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Source Name</w:t>
            </w:r>
          </w:p>
        </w:tc>
        <w:tc>
          <w:tcPr>
            <w:tcW w:type="dxa" w:w="2045"/>
          </w:tcPr>
          <w:p>
            <w:pPr>
              <w:spacing w:after="0"/>
            </w:pPr>
            <w:r>
              <w:rPr>
                <w:rFonts w:ascii="Arial" w:hAnsi="Arial"/>
                <w:b/>
                <w:sz w:val="14"/>
              </w:rPr>
              <w:t>Type</w:t>
            </w:r>
          </w:p>
        </w:tc>
        <w:tc>
          <w:tcPr>
            <w:tcW w:type="dxa" w:w="2045"/>
          </w:tcPr>
          <w:p>
            <w:pPr>
              <w:spacing w:after="0"/>
            </w:pPr>
            <w:r>
              <w:rPr>
                <w:rFonts w:ascii="Arial" w:hAnsi="Arial"/>
                <w:b/>
                <w:sz w:val="14"/>
              </w:rPr>
              <w:t>Used In</w:t>
            </w:r>
          </w:p>
        </w:tc>
        <w:tc>
          <w:tcPr>
            <w:tcW w:type="dxa" w:w="2045"/>
          </w:tcPr>
          <w:p>
            <w:pPr>
              <w:spacing w:after="0"/>
            </w:pPr>
            <w:r>
              <w:rPr>
                <w:rFonts w:ascii="Arial" w:hAnsi="Arial"/>
                <w:b/>
                <w:sz w:val="14"/>
              </w:rPr>
              <w:t>Current Status</w:t>
            </w:r>
          </w:p>
        </w:tc>
      </w:tr>
      <w:tr>
        <w:tc>
          <w:tcPr>
            <w:tcW w:type="dxa" w:w="2045"/>
          </w:tcPr>
          <w:p>
            <w:pPr>
              <w:spacing w:after="0"/>
            </w:pPr>
            <w:r>
              <w:rPr>
                <w:rFonts w:ascii="Arial" w:hAnsi="Arial"/>
                <w:b w:val="0"/>
                <w:sz w:val="14"/>
              </w:rPr>
              <w:t>AUTHOR-INFERENCE-MRO</w:t>
            </w:r>
          </w:p>
        </w:tc>
        <w:tc>
          <w:tcPr>
            <w:tcW w:type="dxa" w:w="2045"/>
          </w:tcPr>
          <w:p>
            <w:pPr>
              <w:spacing w:after="0"/>
            </w:pPr>
            <w:r>
              <w:rPr>
                <w:rFonts w:ascii="Arial" w:hAnsi="Arial"/>
                <w:b w:val="0"/>
                <w:sz w:val="14"/>
              </w:rPr>
              <w:t>Sixteen Missing Regulatory Objects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6</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AUTHOR-INFERENCE-RCCS</w:t>
            </w:r>
          </w:p>
        </w:tc>
        <w:tc>
          <w:tcPr>
            <w:tcW w:type="dxa" w:w="2045"/>
          </w:tcPr>
          <w:p>
            <w:pPr>
              <w:spacing w:after="0"/>
            </w:pPr>
            <w:r>
              <w:rPr>
                <w:rFonts w:ascii="Arial" w:hAnsi="Arial"/>
                <w:b w:val="0"/>
                <w:sz w:val="14"/>
              </w:rPr>
              <w:t>RCCS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7</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AUTHOR-INFERENCE-ALCS</w:t>
            </w:r>
          </w:p>
        </w:tc>
        <w:tc>
          <w:tcPr>
            <w:tcW w:type="dxa" w:w="2045"/>
          </w:tcPr>
          <w:p>
            <w:pPr>
              <w:spacing w:after="0"/>
            </w:pPr>
            <w:r>
              <w:rPr>
                <w:rFonts w:ascii="Arial" w:hAnsi="Arial"/>
                <w:b w:val="0"/>
                <w:sz w:val="14"/>
              </w:rPr>
              <w:t>ALCS Analytical Framework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8</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AUTHOR-INFERENCE-COMPOSITE</w:t>
            </w:r>
          </w:p>
        </w:tc>
        <w:tc>
          <w:tcPr>
            <w:tcW w:type="dxa" w:w="2045"/>
          </w:tcPr>
          <w:p>
            <w:pPr>
              <w:spacing w:after="0"/>
            </w:pPr>
            <w:r>
              <w:rPr>
                <w:rFonts w:ascii="Arial" w:hAnsi="Arial"/>
                <w:b w:val="0"/>
                <w:sz w:val="14"/>
              </w:rPr>
              <w:t>Composite Scoring Method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9</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AUTHOR-INFERENCE-SYSTEM-MAPPING</w:t>
            </w:r>
          </w:p>
        </w:tc>
        <w:tc>
          <w:tcPr>
            <w:tcW w:type="dxa" w:w="2045"/>
          </w:tcPr>
          <w:p>
            <w:pPr>
              <w:spacing w:after="0"/>
            </w:pPr>
            <w:r>
              <w:rPr>
                <w:rFonts w:ascii="Arial" w:hAnsi="Arial"/>
                <w:b w:val="0"/>
                <w:sz w:val="14"/>
              </w:rPr>
              <w:t>System Mapping Methodology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Chapters 11, 12</w:t>
            </w:r>
          </w:p>
        </w:tc>
        <w:tc>
          <w:tcPr>
            <w:tcW w:type="dxa" w:w="2045"/>
          </w:tcPr>
          <w:p>
            <w:pPr>
              <w:spacing w:after="0"/>
            </w:pPr>
            <w:r>
              <w:rPr>
                <w:rFonts w:ascii="Arial" w:hAnsi="Arial"/>
                <w:b w:val="0"/>
                <w:sz w:val="14"/>
              </w:rPr>
              <w:t>✓ Marked as L5</w:t>
            </w:r>
          </w:p>
        </w:tc>
      </w:tr>
      <w:tr>
        <w:tc>
          <w:tcPr>
            <w:tcW w:type="dxa" w:w="2045"/>
          </w:tcPr>
          <w:p>
            <w:pPr>
              <w:spacing w:after="0"/>
            </w:pPr>
            <w:r>
              <w:rPr>
                <w:rFonts w:ascii="Arial" w:hAnsi="Arial"/>
                <w:b w:val="0"/>
                <w:sz w:val="14"/>
              </w:rPr>
              <w:t>AUTHOR-INFERENCE-FAILURE-SCENARIOS</w:t>
            </w:r>
          </w:p>
        </w:tc>
        <w:tc>
          <w:tcPr>
            <w:tcW w:type="dxa" w:w="2045"/>
          </w:tcPr>
          <w:p>
            <w:pPr>
              <w:spacing w:after="0"/>
            </w:pPr>
            <w:r>
              <w:rPr>
                <w:rFonts w:ascii="Arial" w:hAnsi="Arial"/>
                <w:b w:val="0"/>
                <w:sz w:val="14"/>
              </w:rPr>
              <w:t>Enterprise Failure Scenarios (Author Inference)</w:t>
            </w:r>
          </w:p>
        </w:tc>
        <w:tc>
          <w:tcPr>
            <w:tcW w:type="dxa" w:w="2045"/>
          </w:tcPr>
          <w:p>
            <w:pPr>
              <w:spacing w:after="0"/>
            </w:pPr>
            <w:r>
              <w:rPr>
                <w:rFonts w:ascii="Arial" w:hAnsi="Arial"/>
                <w:b w:val="0"/>
                <w:sz w:val="14"/>
              </w:rPr>
              <w:t>Analytical framework</w:t>
            </w:r>
          </w:p>
        </w:tc>
        <w:tc>
          <w:tcPr>
            <w:tcW w:type="dxa" w:w="2045"/>
          </w:tcPr>
          <w:p>
            <w:pPr>
              <w:spacing w:after="0"/>
            </w:pPr>
            <w:r>
              <w:rPr>
                <w:rFonts w:ascii="Arial" w:hAnsi="Arial"/>
                <w:b w:val="0"/>
                <w:sz w:val="14"/>
              </w:rPr>
              <w:t>Chapter 15</w:t>
            </w:r>
          </w:p>
        </w:tc>
        <w:tc>
          <w:tcPr>
            <w:tcW w:type="dxa" w:w="2045"/>
          </w:tcPr>
          <w:p>
            <w:pPr>
              <w:spacing w:after="0"/>
            </w:pPr>
            <w:r>
              <w:rPr>
                <w:rFonts w:ascii="Arial" w:hAnsi="Arial"/>
                <w:b w:val="0"/>
                <w:sz w:val="14"/>
              </w:rPr>
              <w:t>✓ Marked as L5</w:t>
            </w:r>
          </w:p>
        </w:tc>
      </w:tr>
    </w:tbl>
    <w:p>
      <w:pPr>
        <w:pStyle w:val="Heading2"/>
      </w:pPr>
      <w:r>
        <w:t>C.3 Source Register</w:t>
      </w:r>
    </w:p>
    <w:p>
      <w:pPr>
        <w:spacing w:after="56"/>
      </w:pPr>
      <w:r>
        <w:t>The following table provides the complete source register for the white paper.</w:t>
      </w:r>
    </w:p>
    <w:p>
      <w:pPr>
        <w:keepNext/>
      </w:pPr>
      <w:r>
        <w:rPr>
          <w:b/>
          <w:sz w:val="16"/>
        </w:rPr>
        <w:t>Table T-C-02: Source Register</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Source Name</w:t>
            </w:r>
          </w:p>
        </w:tc>
        <w:tc>
          <w:tcPr>
            <w:tcW w:type="dxa" w:w="1704"/>
          </w:tcPr>
          <w:p>
            <w:pPr>
              <w:spacing w:after="0"/>
            </w:pPr>
            <w:r>
              <w:rPr>
                <w:rFonts w:ascii="Arial" w:hAnsi="Arial"/>
                <w:b/>
                <w:sz w:val="12"/>
              </w:rPr>
              <w:t>Evidence Level</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Current Status</w:t>
            </w:r>
          </w:p>
        </w:tc>
        <w:tc>
          <w:tcPr>
            <w:tcW w:type="dxa" w:w="1704"/>
          </w:tcPr>
          <w:p>
            <w:pPr>
              <w:spacing w:after="0"/>
            </w:pPr>
            <w:r>
              <w:rPr>
                <w:rFonts w:ascii="Arial" w:hAnsi="Arial"/>
                <w:b/>
                <w:sz w:val="12"/>
              </w:rPr>
              <w:t>Publication Follow-up Action</w:t>
            </w:r>
          </w:p>
        </w:tc>
      </w:tr>
      <w:tr>
        <w:tc>
          <w:tcPr>
            <w:tcW w:type="dxa" w:w="1704"/>
          </w:tcPr>
          <w:p>
            <w:pPr>
              <w:spacing w:after="0"/>
            </w:pPr>
            <w:r>
              <w:rPr>
                <w:rFonts w:ascii="Arial" w:hAnsi="Arial"/>
                <w:b w:val="0"/>
                <w:sz w:val="12"/>
              </w:rPr>
              <w:t>EU-AI-ACT</w:t>
            </w:r>
          </w:p>
        </w:tc>
        <w:tc>
          <w:tcPr>
            <w:tcW w:type="dxa" w:w="1704"/>
          </w:tcPr>
          <w:p>
            <w:pPr>
              <w:spacing w:after="0"/>
            </w:pPr>
            <w:r>
              <w:rPr>
                <w:rFonts w:ascii="Arial" w:hAnsi="Arial"/>
                <w:b w:val="0"/>
                <w:sz w:val="12"/>
              </w:rPr>
              <w:t>EU AI Act (Regulation (EU) 2024/1689)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GDPR</w:t>
            </w:r>
          </w:p>
        </w:tc>
        <w:tc>
          <w:tcPr>
            <w:tcW w:type="dxa" w:w="1704"/>
          </w:tcPr>
          <w:p>
            <w:pPr>
              <w:spacing w:after="0"/>
            </w:pPr>
            <w:r>
              <w:rPr>
                <w:rFonts w:ascii="Arial" w:hAnsi="Arial"/>
                <w:b w:val="0"/>
                <w:sz w:val="12"/>
              </w:rPr>
              <w:t>GDPR (Regulation (EU) 2016/679)</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article citations</w:t>
            </w:r>
          </w:p>
        </w:tc>
      </w:tr>
      <w:tr>
        <w:tc>
          <w:tcPr>
            <w:tcW w:type="dxa" w:w="1704"/>
          </w:tcPr>
          <w:p>
            <w:pPr>
              <w:spacing w:after="0"/>
            </w:pPr>
            <w:r>
              <w:rPr>
                <w:rFonts w:ascii="Arial" w:hAnsi="Arial"/>
                <w:b w:val="0"/>
                <w:sz w:val="12"/>
              </w:rPr>
              <w:t>COLORADO-AI-ACT</w:t>
            </w:r>
          </w:p>
        </w:tc>
        <w:tc>
          <w:tcPr>
            <w:tcW w:type="dxa" w:w="1704"/>
          </w:tcPr>
          <w:p>
            <w:pPr>
              <w:spacing w:after="0"/>
            </w:pPr>
            <w:r>
              <w:rPr>
                <w:rFonts w:ascii="Arial" w:hAnsi="Arial"/>
                <w:b w:val="0"/>
                <w:sz w:val="12"/>
              </w:rPr>
              <w:t>Colorado AI Act (SB25B-004)</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NIST-AI-RMF</w:t>
            </w:r>
          </w:p>
        </w:tc>
        <w:tc>
          <w:tcPr>
            <w:tcW w:type="dxa" w:w="1704"/>
          </w:tcPr>
          <w:p>
            <w:pPr>
              <w:spacing w:after="0"/>
            </w:pPr>
            <w:r>
              <w:rPr>
                <w:rFonts w:ascii="Arial" w:hAnsi="Arial"/>
                <w:b w:val="0"/>
                <w:sz w:val="12"/>
              </w:rPr>
              <w:t>NIST AI RMF 1.0</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ISO-42001</w:t>
            </w:r>
          </w:p>
        </w:tc>
        <w:tc>
          <w:tcPr>
            <w:tcW w:type="dxa" w:w="1704"/>
          </w:tcPr>
          <w:p>
            <w:pPr>
              <w:spacing w:after="0"/>
            </w:pPr>
            <w:r>
              <w:rPr>
                <w:rFonts w:ascii="Arial" w:hAnsi="Arial"/>
                <w:b w:val="0"/>
                <w:sz w:val="12"/>
              </w:rPr>
              <w:t>ISO/IEC 42001:2023</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SINGAPORE-IMDA</w:t>
            </w:r>
          </w:p>
        </w:tc>
        <w:tc>
          <w:tcPr>
            <w:tcW w:type="dxa" w:w="1704"/>
          </w:tcPr>
          <w:p>
            <w:pPr>
              <w:spacing w:after="0"/>
            </w:pPr>
            <w:r>
              <w:rPr>
                <w:rFonts w:ascii="Arial" w:hAnsi="Arial"/>
                <w:b w:val="0"/>
                <w:sz w:val="12"/>
              </w:rPr>
              <w:t>Singapore IMDA Model AI Governance Framework for Agentic AI</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W3C-PROV</w:t>
            </w:r>
          </w:p>
        </w:tc>
        <w:tc>
          <w:tcPr>
            <w:tcW w:type="dxa" w:w="1704"/>
          </w:tcPr>
          <w:p>
            <w:pPr>
              <w:spacing w:after="0"/>
            </w:pPr>
            <w:r>
              <w:rPr>
                <w:rFonts w:ascii="Arial" w:hAnsi="Arial"/>
                <w:b w:val="0"/>
                <w:sz w:val="12"/>
              </w:rPr>
              <w:t>W3C PROV-DM</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W3C-VC</w:t>
            </w:r>
          </w:p>
        </w:tc>
        <w:tc>
          <w:tcPr>
            <w:tcW w:type="dxa" w:w="1704"/>
          </w:tcPr>
          <w:p>
            <w:pPr>
              <w:spacing w:after="0"/>
            </w:pPr>
            <w:r>
              <w:rPr>
                <w:rFonts w:ascii="Arial" w:hAnsi="Arial"/>
                <w:b w:val="0"/>
                <w:sz w:val="12"/>
              </w:rPr>
              <w:t>W3C Verifiable Credentials</w:t>
            </w:r>
          </w:p>
        </w:tc>
        <w:tc>
          <w:tcPr>
            <w:tcW w:type="dxa" w:w="1704"/>
          </w:tcPr>
          <w:p>
            <w:pPr>
              <w:spacing w:after="0"/>
            </w:pPr>
            <w:r>
              <w:rPr>
                <w:rFonts w:ascii="Arial" w:hAnsi="Arial"/>
                <w:b w:val="0"/>
                <w:sz w:val="12"/>
              </w:rPr>
              <w:t>L1</w:t>
            </w:r>
          </w:p>
        </w:tc>
        <w:tc>
          <w:tcPr>
            <w:tcW w:type="dxa" w:w="1704"/>
          </w:tcPr>
          <w:p>
            <w:pPr>
              <w:spacing w:after="0"/>
            </w:pPr>
            <w:r>
              <w:rPr>
                <w:rFonts w:ascii="Arial" w:hAnsi="Arial"/>
                <w:b w:val="0"/>
                <w:sz w:val="12"/>
              </w:rPr>
              <w:t>Chapter 4</w:t>
            </w:r>
          </w:p>
        </w:tc>
        <w:tc>
          <w:tcPr>
            <w:tcW w:type="dxa" w:w="1704"/>
          </w:tcPr>
          <w:p>
            <w:pPr>
              <w:spacing w:after="0"/>
            </w:pPr>
            <w:r>
              <w:rPr>
                <w:rFonts w:ascii="Arial" w:hAnsi="Arial"/>
                <w:b w:val="0"/>
                <w:sz w:val="12"/>
              </w:rPr>
              <w:t>✓ Referenced</w:t>
            </w:r>
          </w:p>
        </w:tc>
        <w:tc>
          <w:tcPr>
            <w:tcW w:type="dxa" w:w="1704"/>
          </w:tcPr>
          <w:p>
            <w:pPr>
              <w:spacing w:after="0"/>
            </w:pPr>
            <w:r>
              <w:rPr>
                <w:rFonts w:ascii="Arial" w:hAnsi="Arial"/>
                <w:b w:val="0"/>
                <w:sz w:val="12"/>
              </w:rPr>
              <w:t>Verify citation</w:t>
            </w:r>
          </w:p>
        </w:tc>
      </w:tr>
      <w:tr>
        <w:tc>
          <w:tcPr>
            <w:tcW w:type="dxa" w:w="1704"/>
          </w:tcPr>
          <w:p>
            <w:pPr>
              <w:spacing w:after="0"/>
            </w:pPr>
            <w:r>
              <w:rPr>
                <w:rFonts w:ascii="Arial" w:hAnsi="Arial"/>
                <w:b w:val="0"/>
                <w:sz w:val="12"/>
              </w:rPr>
              <w:t>IBM-WATSONX-GOVERNANCE-DOCS</w:t>
            </w:r>
          </w:p>
        </w:tc>
        <w:tc>
          <w:tcPr>
            <w:tcW w:type="dxa" w:w="1704"/>
          </w:tcPr>
          <w:p>
            <w:pPr>
              <w:spacing w:after="0"/>
            </w:pPr>
            <w:r>
              <w:rPr>
                <w:rFonts w:ascii="Arial" w:hAnsi="Arial"/>
                <w:b w:val="0"/>
                <w:sz w:val="12"/>
              </w:rPr>
              <w:t>IBM watsonx.governance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docs pages and publication/access details</w:t>
            </w:r>
          </w:p>
        </w:tc>
      </w:tr>
      <w:tr>
        <w:tc>
          <w:tcPr>
            <w:tcW w:type="dxa" w:w="1704"/>
          </w:tcPr>
          <w:p>
            <w:pPr>
              <w:spacing w:after="0"/>
            </w:pPr>
            <w:r>
              <w:rPr>
                <w:rFonts w:ascii="Arial" w:hAnsi="Arial"/>
                <w:b w:val="0"/>
                <w:sz w:val="12"/>
              </w:rPr>
              <w:t>MICROSOFT-AZURE-AI-FOUNDRY-DOCS</w:t>
            </w:r>
          </w:p>
        </w:tc>
        <w:tc>
          <w:tcPr>
            <w:tcW w:type="dxa" w:w="1704"/>
          </w:tcPr>
          <w:p>
            <w:pPr>
              <w:spacing w:after="0"/>
            </w:pPr>
            <w:r>
              <w:rPr>
                <w:rFonts w:ascii="Arial" w:hAnsi="Arial"/>
                <w:b w:val="0"/>
                <w:sz w:val="12"/>
              </w:rPr>
              <w:t>Microsoft Azure AI Foundry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Microsoft Learn pages and publication/access details</w:t>
            </w:r>
          </w:p>
        </w:tc>
      </w:tr>
      <w:tr>
        <w:tc>
          <w:tcPr>
            <w:tcW w:type="dxa" w:w="1704"/>
          </w:tcPr>
          <w:p>
            <w:pPr>
              <w:spacing w:after="0"/>
            </w:pPr>
            <w:r>
              <w:rPr>
                <w:rFonts w:ascii="Arial" w:hAnsi="Arial"/>
                <w:b w:val="0"/>
                <w:sz w:val="12"/>
              </w:rPr>
              <w:t>MICROSOFT-RESPONSIBLE-AI-DOCS</w:t>
            </w:r>
          </w:p>
        </w:tc>
        <w:tc>
          <w:tcPr>
            <w:tcW w:type="dxa" w:w="1704"/>
          </w:tcPr>
          <w:p>
            <w:pPr>
              <w:spacing w:after="0"/>
            </w:pPr>
            <w:r>
              <w:rPr>
                <w:rFonts w:ascii="Arial" w:hAnsi="Arial"/>
                <w:b w:val="0"/>
                <w:sz w:val="12"/>
              </w:rPr>
              <w:t>Microsoft Responsible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Source family located; exact page pinning remains</w:t>
            </w:r>
          </w:p>
        </w:tc>
        <w:tc>
          <w:tcPr>
            <w:tcW w:type="dxa" w:w="1704"/>
          </w:tcPr>
          <w:p>
            <w:pPr>
              <w:spacing w:after="0"/>
            </w:pPr>
            <w:r>
              <w:rPr>
                <w:rFonts w:ascii="Arial" w:hAnsi="Arial"/>
                <w:b w:val="0"/>
                <w:sz w:val="12"/>
              </w:rPr>
              <w:t>Pin exact responsible-AI pages if retained</w:t>
            </w:r>
          </w:p>
        </w:tc>
      </w:tr>
      <w:tr>
        <w:tc>
          <w:tcPr>
            <w:tcW w:type="dxa" w:w="1704"/>
          </w:tcPr>
          <w:p>
            <w:pPr>
              <w:spacing w:after="0"/>
            </w:pPr>
            <w:r>
              <w:rPr>
                <w:rFonts w:ascii="Arial" w:hAnsi="Arial"/>
                <w:b w:val="0"/>
                <w:sz w:val="12"/>
              </w:rPr>
              <w:t>AWS-BEDROCK-DOCS</w:t>
            </w:r>
          </w:p>
        </w:tc>
        <w:tc>
          <w:tcPr>
            <w:tcW w:type="dxa" w:w="1704"/>
          </w:tcPr>
          <w:p>
            <w:pPr>
              <w:spacing w:after="0"/>
            </w:pPr>
            <w:r>
              <w:rPr>
                <w:rFonts w:ascii="Arial" w:hAnsi="Arial"/>
                <w:b w:val="0"/>
                <w:sz w:val="12"/>
              </w:rPr>
              <w:t>AWS Bedrock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Bedrock pages and publication/access details</w:t>
            </w:r>
          </w:p>
        </w:tc>
      </w:tr>
      <w:tr>
        <w:tc>
          <w:tcPr>
            <w:tcW w:type="dxa" w:w="1704"/>
          </w:tcPr>
          <w:p>
            <w:pPr>
              <w:spacing w:after="0"/>
            </w:pPr>
            <w:r>
              <w:rPr>
                <w:rFonts w:ascii="Arial" w:hAnsi="Arial"/>
                <w:b w:val="0"/>
                <w:sz w:val="12"/>
              </w:rPr>
              <w:t>AWS-BEDROCK-GUARDRAILS-DOCS</w:t>
            </w:r>
          </w:p>
        </w:tc>
        <w:tc>
          <w:tcPr>
            <w:tcW w:type="dxa" w:w="1704"/>
          </w:tcPr>
          <w:p>
            <w:pPr>
              <w:spacing w:after="0"/>
            </w:pPr>
            <w:r>
              <w:rPr>
                <w:rFonts w:ascii="Arial" w:hAnsi="Arial"/>
                <w:b w:val="0"/>
                <w:sz w:val="12"/>
              </w:rPr>
              <w:t>AWS Bedrock Guardrails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guardrails pages and preserve authority-boundary caveat</w:t>
            </w:r>
          </w:p>
        </w:tc>
      </w:tr>
      <w:tr>
        <w:tc>
          <w:tcPr>
            <w:tcW w:type="dxa" w:w="1704"/>
          </w:tcPr>
          <w:p>
            <w:pPr>
              <w:spacing w:after="0"/>
            </w:pPr>
            <w:r>
              <w:rPr>
                <w:rFonts w:ascii="Arial" w:hAnsi="Arial"/>
                <w:b w:val="0"/>
                <w:sz w:val="12"/>
              </w:rPr>
              <w:t>AWS-AGENTCORE-DOCS</w:t>
            </w:r>
          </w:p>
        </w:tc>
        <w:tc>
          <w:tcPr>
            <w:tcW w:type="dxa" w:w="1704"/>
          </w:tcPr>
          <w:p>
            <w:pPr>
              <w:spacing w:after="0"/>
            </w:pPr>
            <w:r>
              <w:rPr>
                <w:rFonts w:ascii="Arial" w:hAnsi="Arial"/>
                <w:b w:val="0"/>
                <w:sz w:val="12"/>
              </w:rPr>
              <w:t>AWS AgentCore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AgentCore pages and publication/access details</w:t>
            </w:r>
          </w:p>
        </w:tc>
      </w:tr>
      <w:tr>
        <w:tc>
          <w:tcPr>
            <w:tcW w:type="dxa" w:w="1704"/>
          </w:tcPr>
          <w:p>
            <w:pPr>
              <w:spacing w:after="0"/>
            </w:pPr>
            <w:r>
              <w:rPr>
                <w:rFonts w:ascii="Arial" w:hAnsi="Arial"/>
                <w:b w:val="0"/>
                <w:sz w:val="12"/>
              </w:rPr>
              <w:t>GOOGLE-VERTEX-AI-DOCS</w:t>
            </w:r>
          </w:p>
        </w:tc>
        <w:tc>
          <w:tcPr>
            <w:tcW w:type="dxa" w:w="1704"/>
          </w:tcPr>
          <w:p>
            <w:pPr>
              <w:spacing w:after="0"/>
            </w:pPr>
            <w:r>
              <w:rPr>
                <w:rFonts w:ascii="Arial" w:hAnsi="Arial"/>
                <w:b w:val="0"/>
                <w:sz w:val="12"/>
              </w:rPr>
              <w:t>Google Vertex 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Vertex AI pages and publication/access details</w:t>
            </w:r>
          </w:p>
        </w:tc>
      </w:tr>
      <w:tr>
        <w:tc>
          <w:tcPr>
            <w:tcW w:type="dxa" w:w="1704"/>
          </w:tcPr>
          <w:p>
            <w:pPr>
              <w:spacing w:after="0"/>
            </w:pPr>
            <w:r>
              <w:rPr>
                <w:rFonts w:ascii="Arial" w:hAnsi="Arial"/>
                <w:b w:val="0"/>
                <w:sz w:val="12"/>
              </w:rPr>
              <w:t>GOOGLE-ADK-DOCS</w:t>
            </w:r>
          </w:p>
        </w:tc>
        <w:tc>
          <w:tcPr>
            <w:tcW w:type="dxa" w:w="1704"/>
          </w:tcPr>
          <w:p>
            <w:pPr>
              <w:spacing w:after="0"/>
            </w:pPr>
            <w:r>
              <w:rPr>
                <w:rFonts w:ascii="Arial" w:hAnsi="Arial"/>
                <w:b w:val="0"/>
                <w:sz w:val="12"/>
              </w:rPr>
              <w:t>Google ADK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ADK pages and publication/access details</w:t>
            </w:r>
          </w:p>
        </w:tc>
      </w:tr>
      <w:tr>
        <w:tc>
          <w:tcPr>
            <w:tcW w:type="dxa" w:w="1704"/>
          </w:tcPr>
          <w:p>
            <w:pPr>
              <w:spacing w:after="0"/>
            </w:pPr>
            <w:r>
              <w:rPr>
                <w:rFonts w:ascii="Arial" w:hAnsi="Arial"/>
                <w:b w:val="0"/>
                <w:sz w:val="12"/>
              </w:rPr>
              <w:t>GOOGLE-MODEL-ARMOR-DOCS</w:t>
            </w:r>
          </w:p>
        </w:tc>
        <w:tc>
          <w:tcPr>
            <w:tcW w:type="dxa" w:w="1704"/>
          </w:tcPr>
          <w:p>
            <w:pPr>
              <w:spacing w:after="0"/>
            </w:pPr>
            <w:r>
              <w:rPr>
                <w:rFonts w:ascii="Arial" w:hAnsi="Arial"/>
                <w:b w:val="0"/>
                <w:sz w:val="12"/>
              </w:rPr>
              <w:t>Google Model Armor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Model Armor pages and preserve lifecycle-governance caveat</w:t>
            </w:r>
          </w:p>
        </w:tc>
      </w:tr>
      <w:tr>
        <w:tc>
          <w:tcPr>
            <w:tcW w:type="dxa" w:w="1704"/>
          </w:tcPr>
          <w:p>
            <w:pPr>
              <w:spacing w:after="0"/>
            </w:pPr>
            <w:r>
              <w:rPr>
                <w:rFonts w:ascii="Arial" w:hAnsi="Arial"/>
                <w:b w:val="0"/>
                <w:sz w:val="12"/>
              </w:rPr>
              <w:t>LANGGRAPH-DOCS</w:t>
            </w:r>
          </w:p>
        </w:tc>
        <w:tc>
          <w:tcPr>
            <w:tcW w:type="dxa" w:w="1704"/>
          </w:tcPr>
          <w:p>
            <w:pPr>
              <w:spacing w:after="0"/>
            </w:pPr>
            <w:r>
              <w:rPr>
                <w:rFonts w:ascii="Arial" w:hAnsi="Arial"/>
                <w:b w:val="0"/>
                <w:sz w:val="12"/>
              </w:rPr>
              <w:t>LangGraph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LangGraph pages and publication/access details</w:t>
            </w:r>
          </w:p>
        </w:tc>
      </w:tr>
      <w:tr>
        <w:tc>
          <w:tcPr>
            <w:tcW w:type="dxa" w:w="1704"/>
          </w:tcPr>
          <w:p>
            <w:pPr>
              <w:spacing w:after="0"/>
            </w:pPr>
            <w:r>
              <w:rPr>
                <w:rFonts w:ascii="Arial" w:hAnsi="Arial"/>
                <w:b w:val="0"/>
                <w:sz w:val="12"/>
              </w:rPr>
              <w:t>LANGSMITH-DOCS</w:t>
            </w:r>
          </w:p>
        </w:tc>
        <w:tc>
          <w:tcPr>
            <w:tcW w:type="dxa" w:w="1704"/>
          </w:tcPr>
          <w:p>
            <w:pPr>
              <w:spacing w:after="0"/>
            </w:pPr>
            <w:r>
              <w:rPr>
                <w:rFonts w:ascii="Arial" w:hAnsi="Arial"/>
                <w:b w:val="0"/>
                <w:sz w:val="12"/>
              </w:rPr>
              <w:t>LangSmith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LangSmith pages and publication/access details</w:t>
            </w:r>
          </w:p>
        </w:tc>
      </w:tr>
      <w:tr>
        <w:tc>
          <w:tcPr>
            <w:tcW w:type="dxa" w:w="1704"/>
          </w:tcPr>
          <w:p>
            <w:pPr>
              <w:spacing w:after="0"/>
            </w:pPr>
            <w:r>
              <w:rPr>
                <w:rFonts w:ascii="Arial" w:hAnsi="Arial"/>
                <w:b w:val="0"/>
                <w:sz w:val="12"/>
              </w:rPr>
              <w:t>OPENAI-AGENTS-SDK-DOCS</w:t>
            </w:r>
          </w:p>
        </w:tc>
        <w:tc>
          <w:tcPr>
            <w:tcW w:type="dxa" w:w="1704"/>
          </w:tcPr>
          <w:p>
            <w:pPr>
              <w:spacing w:after="0"/>
            </w:pPr>
            <w:r>
              <w:rPr>
                <w:rFonts w:ascii="Arial" w:hAnsi="Arial"/>
                <w:b w:val="0"/>
                <w:sz w:val="12"/>
              </w:rPr>
              <w:t>OpenAI Agents SDK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SDK entry point located; platform guide access/rendering needs final check</w:t>
            </w:r>
          </w:p>
        </w:tc>
        <w:tc>
          <w:tcPr>
            <w:tcW w:type="dxa" w:w="1704"/>
          </w:tcPr>
          <w:p>
            <w:pPr>
              <w:spacing w:after="0"/>
            </w:pPr>
            <w:r>
              <w:rPr>
                <w:rFonts w:ascii="Arial" w:hAnsi="Arial"/>
                <w:b w:val="0"/>
                <w:sz w:val="12"/>
              </w:rPr>
              <w:t>Use accessible official SDK docs and perform final citation rendering check</w:t>
            </w:r>
          </w:p>
        </w:tc>
      </w:tr>
      <w:tr>
        <w:tc>
          <w:tcPr>
            <w:tcW w:type="dxa" w:w="1704"/>
          </w:tcPr>
          <w:p>
            <w:pPr>
              <w:spacing w:after="0"/>
            </w:pPr>
            <w:r>
              <w:rPr>
                <w:rFonts w:ascii="Arial" w:hAnsi="Arial"/>
                <w:b w:val="0"/>
                <w:sz w:val="12"/>
              </w:rPr>
              <w:t>OPENAI-TOOLS-DOCS</w:t>
            </w:r>
          </w:p>
        </w:tc>
        <w:tc>
          <w:tcPr>
            <w:tcW w:type="dxa" w:w="1704"/>
          </w:tcPr>
          <w:p>
            <w:pPr>
              <w:spacing w:after="0"/>
            </w:pPr>
            <w:r>
              <w:rPr>
                <w:rFonts w:ascii="Arial" w:hAnsi="Arial"/>
                <w:b w:val="0"/>
                <w:sz w:val="12"/>
              </w:rPr>
              <w:t>OpenAI Tools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Official source family located; exact tools page pinning remains</w:t>
            </w:r>
          </w:p>
        </w:tc>
        <w:tc>
          <w:tcPr>
            <w:tcW w:type="dxa" w:w="1704"/>
          </w:tcPr>
          <w:p>
            <w:pPr>
              <w:spacing w:after="0"/>
            </w:pPr>
            <w:r>
              <w:rPr>
                <w:rFonts w:ascii="Arial" w:hAnsi="Arial"/>
                <w:b w:val="0"/>
                <w:sz w:val="12"/>
              </w:rPr>
              <w:t>Pin exact accessible tools pages if retained</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CrewAI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Entry point located; page-level citation pinning remains</w:t>
            </w:r>
          </w:p>
        </w:tc>
        <w:tc>
          <w:tcPr>
            <w:tcW w:type="dxa" w:w="1704"/>
          </w:tcPr>
          <w:p>
            <w:pPr>
              <w:spacing w:after="0"/>
            </w:pPr>
            <w:r>
              <w:rPr>
                <w:rFonts w:ascii="Arial" w:hAnsi="Arial"/>
                <w:b w:val="0"/>
                <w:sz w:val="12"/>
              </w:rPr>
              <w:t>Pin exact CrewAI docs pages and publication/access details</w:t>
            </w:r>
          </w:p>
        </w:tc>
      </w:tr>
      <w:tr>
        <w:tc>
          <w:tcPr>
            <w:tcW w:type="dxa" w:w="1704"/>
          </w:tcPr>
          <w:p>
            <w:pPr>
              <w:spacing w:after="0"/>
            </w:pPr>
            <w:r>
              <w:rPr>
                <w:rFonts w:ascii="Arial" w:hAnsi="Arial"/>
                <w:b w:val="0"/>
                <w:sz w:val="12"/>
              </w:rPr>
              <w:t>CREWAI-GITHUB</w:t>
            </w:r>
          </w:p>
        </w:tc>
        <w:tc>
          <w:tcPr>
            <w:tcW w:type="dxa" w:w="1704"/>
          </w:tcPr>
          <w:p>
            <w:pPr>
              <w:spacing w:after="0"/>
            </w:pPr>
            <w:r>
              <w:rPr>
                <w:rFonts w:ascii="Arial" w:hAnsi="Arial"/>
                <w:b w:val="0"/>
                <w:sz w:val="12"/>
              </w:rPr>
              <w:t>CrewAI GitHub</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12</w:t>
            </w:r>
          </w:p>
        </w:tc>
        <w:tc>
          <w:tcPr>
            <w:tcW w:type="dxa" w:w="1704"/>
          </w:tcPr>
          <w:p>
            <w:pPr>
              <w:spacing w:after="0"/>
            </w:pPr>
            <w:r>
              <w:rPr>
                <w:rFonts w:ascii="Arial" w:hAnsi="Arial"/>
                <w:b w:val="0"/>
                <w:sz w:val="12"/>
              </w:rPr>
              <w:t>Repository entry point located; exact code/API claims require page-level pinning</w:t>
            </w:r>
          </w:p>
        </w:tc>
        <w:tc>
          <w:tcPr>
            <w:tcW w:type="dxa" w:w="1704"/>
          </w:tcPr>
          <w:p>
            <w:pPr>
              <w:spacing w:after="0"/>
            </w:pPr>
            <w:r>
              <w:rPr>
                <w:rFonts w:ascii="Arial" w:hAnsi="Arial"/>
                <w:b w:val="0"/>
                <w:sz w:val="12"/>
              </w:rPr>
              <w:t>Pin exact repository paths only for code/API-specific claims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MPLP Docs</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Chapters 12, 13</w:t>
            </w:r>
          </w:p>
        </w:tc>
        <w:tc>
          <w:tcPr>
            <w:tcW w:type="dxa" w:w="1704"/>
          </w:tcPr>
          <w:p>
            <w:pPr>
              <w:spacing w:after="0"/>
            </w:pPr>
            <w:r>
              <w:rPr>
                <w:rFonts w:ascii="Arial" w:hAnsi="Arial"/>
                <w:b w:val="0"/>
                <w:sz w:val="12"/>
              </w:rPr>
              <w:t>Entry point located; protocol version/citation rendering remains</w:t>
            </w:r>
          </w:p>
        </w:tc>
        <w:tc>
          <w:tcPr>
            <w:tcW w:type="dxa" w:w="1704"/>
          </w:tcPr>
          <w:p>
            <w:pPr>
              <w:spacing w:after="0"/>
            </w:pPr>
            <w:r>
              <w:rPr>
                <w:rFonts w:ascii="Arial" w:hAnsi="Arial"/>
                <w:b w:val="0"/>
                <w:sz w:val="12"/>
              </w:rPr>
              <w:t>Pin protocol version and preserve conflict-of-interest boundary</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MPLP Spec</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13</w:t>
            </w:r>
          </w:p>
        </w:tc>
        <w:tc>
          <w:tcPr>
            <w:tcW w:type="dxa" w:w="1704"/>
          </w:tcPr>
          <w:p>
            <w:pPr>
              <w:spacing w:after="0"/>
            </w:pPr>
            <w:r>
              <w:rPr>
                <w:rFonts w:ascii="Arial" w:hAnsi="Arial"/>
                <w:b w:val="0"/>
                <w:sz w:val="12"/>
              </w:rPr>
              <w:t>Bound through MPLP docs entry point; exact version/citation rendering remains</w:t>
            </w:r>
          </w:p>
        </w:tc>
        <w:tc>
          <w:tcPr>
            <w:tcW w:type="dxa" w:w="1704"/>
          </w:tcPr>
          <w:p>
            <w:pPr>
              <w:spacing w:after="0"/>
            </w:pPr>
            <w:r>
              <w:rPr>
                <w:rFonts w:ascii="Arial" w:hAnsi="Arial"/>
                <w:b w:val="0"/>
                <w:sz w:val="12"/>
              </w:rPr>
              <w:t>Pin exact specification/version reference if separate page exists</w:t>
            </w:r>
          </w:p>
        </w:tc>
      </w:tr>
      <w:tr>
        <w:tc>
          <w:tcPr>
            <w:tcW w:type="dxa" w:w="1704"/>
          </w:tcPr>
          <w:p>
            <w:pPr>
              <w:spacing w:after="0"/>
            </w:pPr>
            <w:r>
              <w:rPr>
                <w:rFonts w:ascii="Arial" w:hAnsi="Arial"/>
                <w:b w:val="0"/>
                <w:sz w:val="12"/>
              </w:rPr>
              <w:t>VALIDATION-LAB-METHODOLOGY</w:t>
            </w:r>
          </w:p>
        </w:tc>
        <w:tc>
          <w:tcPr>
            <w:tcW w:type="dxa" w:w="1704"/>
          </w:tcPr>
          <w:p>
            <w:pPr>
              <w:spacing w:after="0"/>
            </w:pPr>
            <w:r>
              <w:rPr>
                <w:rFonts w:ascii="Arial" w:hAnsi="Arial"/>
                <w:b w:val="0"/>
                <w:sz w:val="12"/>
              </w:rPr>
              <w:t>Validation Lab Methodology</w:t>
            </w:r>
          </w:p>
        </w:tc>
        <w:tc>
          <w:tcPr>
            <w:tcW w:type="dxa" w:w="1704"/>
          </w:tcPr>
          <w:p>
            <w:pPr>
              <w:spacing w:after="0"/>
            </w:pPr>
            <w:r>
              <w:rPr>
                <w:rFonts w:ascii="Arial" w:hAnsi="Arial"/>
                <w:b w:val="0"/>
                <w:sz w:val="12"/>
              </w:rPr>
              <w:t>L2</w:t>
            </w:r>
          </w:p>
        </w:tc>
        <w:tc>
          <w:tcPr>
            <w:tcW w:type="dxa" w:w="1704"/>
          </w:tcPr>
          <w:p>
            <w:pPr>
              <w:spacing w:after="0"/>
            </w:pPr>
            <w:r>
              <w:rPr>
                <w:rFonts w:ascii="Arial" w:hAnsi="Arial"/>
                <w:b w:val="0"/>
                <w:sz w:val="12"/>
              </w:rPr>
              <w:t>Chapter 14</w:t>
            </w:r>
          </w:p>
        </w:tc>
        <w:tc>
          <w:tcPr>
            <w:tcW w:type="dxa" w:w="1704"/>
          </w:tcPr>
          <w:p>
            <w:pPr>
              <w:spacing w:after="0"/>
            </w:pPr>
            <w:r>
              <w:rPr>
                <w:rFonts w:ascii="Arial" w:hAnsi="Arial"/>
                <w:b w:val="0"/>
                <w:sz w:val="12"/>
              </w:rPr>
              <w:t>Public entry point located; methodology-specific support remains boundary-limited</w:t>
            </w:r>
          </w:p>
        </w:tc>
        <w:tc>
          <w:tcPr>
            <w:tcW w:type="dxa" w:w="1704"/>
          </w:tcPr>
          <w:p>
            <w:pPr>
              <w:spacing w:after="0"/>
            </w:pPr>
            <w:r>
              <w:rPr>
                <w:rFonts w:ascii="Arial" w:hAnsi="Arial"/>
                <w:b w:val="0"/>
                <w:sz w:val="12"/>
              </w:rPr>
              <w:t>Pin methodology-specific citation if available or retain boundary-limited note</w:t>
            </w:r>
          </w:p>
        </w:tc>
      </w:tr>
      <w:tr>
        <w:tc>
          <w:tcPr>
            <w:tcW w:type="dxa" w:w="1704"/>
          </w:tcPr>
          <w:p>
            <w:pPr>
              <w:spacing w:after="0"/>
            </w:pPr>
            <w:r>
              <w:rPr>
                <w:rFonts w:ascii="Arial" w:hAnsi="Arial"/>
                <w:b w:val="0"/>
                <w:sz w:val="12"/>
              </w:rPr>
              <w:t>AUTHOR-INFERENCE-MRO</w:t>
            </w:r>
          </w:p>
        </w:tc>
        <w:tc>
          <w:tcPr>
            <w:tcW w:type="dxa" w:w="1704"/>
          </w:tcPr>
          <w:p>
            <w:pPr>
              <w:spacing w:after="0"/>
            </w:pPr>
            <w:r>
              <w:rPr>
                <w:rFonts w:ascii="Arial" w:hAnsi="Arial"/>
                <w:b w:val="0"/>
                <w:sz w:val="12"/>
              </w:rPr>
              <w:t>Sixteen MROs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6</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AUTHOR-INFERENCE-RCCS</w:t>
            </w:r>
          </w:p>
        </w:tc>
        <w:tc>
          <w:tcPr>
            <w:tcW w:type="dxa" w:w="1704"/>
          </w:tcPr>
          <w:p>
            <w:pPr>
              <w:spacing w:after="0"/>
            </w:pPr>
            <w:r>
              <w:rPr>
                <w:rFonts w:ascii="Arial" w:hAnsi="Arial"/>
                <w:b w:val="0"/>
                <w:sz w:val="12"/>
              </w:rPr>
              <w:t>RCCS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7</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AUTHOR-INFERENCE-ALCS</w:t>
            </w:r>
          </w:p>
        </w:tc>
        <w:tc>
          <w:tcPr>
            <w:tcW w:type="dxa" w:w="1704"/>
          </w:tcPr>
          <w:p>
            <w:pPr>
              <w:spacing w:after="0"/>
            </w:pPr>
            <w:r>
              <w:rPr>
                <w:rFonts w:ascii="Arial" w:hAnsi="Arial"/>
                <w:b w:val="0"/>
                <w:sz w:val="12"/>
              </w:rPr>
              <w:t>ALCS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8</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AUTHOR-INFERENCE-COMPOSITE</w:t>
            </w:r>
          </w:p>
        </w:tc>
        <w:tc>
          <w:tcPr>
            <w:tcW w:type="dxa" w:w="1704"/>
          </w:tcPr>
          <w:p>
            <w:pPr>
              <w:spacing w:after="0"/>
            </w:pPr>
            <w:r>
              <w:rPr>
                <w:rFonts w:ascii="Arial" w:hAnsi="Arial"/>
                <w:b w:val="0"/>
                <w:sz w:val="12"/>
              </w:rPr>
              <w:t>Composite Scoring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9</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AUTHOR-INFERENCE-SYSTEM-MAPPING</w:t>
            </w:r>
          </w:p>
        </w:tc>
        <w:tc>
          <w:tcPr>
            <w:tcW w:type="dxa" w:w="1704"/>
          </w:tcPr>
          <w:p>
            <w:pPr>
              <w:spacing w:after="0"/>
            </w:pPr>
            <w:r>
              <w:rPr>
                <w:rFonts w:ascii="Arial" w:hAnsi="Arial"/>
                <w:b w:val="0"/>
                <w:sz w:val="12"/>
              </w:rPr>
              <w:t>System Mapping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Chapters 11, 12</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r>
        <w:tc>
          <w:tcPr>
            <w:tcW w:type="dxa" w:w="1704"/>
          </w:tcPr>
          <w:p>
            <w:pPr>
              <w:spacing w:after="0"/>
            </w:pPr>
            <w:r>
              <w:rPr>
                <w:rFonts w:ascii="Arial" w:hAnsi="Arial"/>
                <w:b w:val="0"/>
                <w:sz w:val="12"/>
              </w:rPr>
              <w:t>AUTHOR-INFERENCE-FAILURE-SCENARIOS</w:t>
            </w:r>
          </w:p>
        </w:tc>
        <w:tc>
          <w:tcPr>
            <w:tcW w:type="dxa" w:w="1704"/>
          </w:tcPr>
          <w:p>
            <w:pPr>
              <w:spacing w:after="0"/>
            </w:pPr>
            <w:r>
              <w:rPr>
                <w:rFonts w:ascii="Arial" w:hAnsi="Arial"/>
                <w:b w:val="0"/>
                <w:sz w:val="12"/>
              </w:rPr>
              <w:t>Failure Scenarios (Author Inference)</w:t>
            </w:r>
          </w:p>
        </w:tc>
        <w:tc>
          <w:tcPr>
            <w:tcW w:type="dxa" w:w="1704"/>
          </w:tcPr>
          <w:p>
            <w:pPr>
              <w:spacing w:after="0"/>
            </w:pPr>
            <w:r>
              <w:rPr>
                <w:rFonts w:ascii="Arial" w:hAnsi="Arial"/>
                <w:b w:val="0"/>
                <w:sz w:val="12"/>
              </w:rPr>
              <w:t>L5</w:t>
            </w:r>
          </w:p>
        </w:tc>
        <w:tc>
          <w:tcPr>
            <w:tcW w:type="dxa" w:w="1704"/>
          </w:tcPr>
          <w:p>
            <w:pPr>
              <w:spacing w:after="0"/>
            </w:pPr>
            <w:r>
              <w:rPr>
                <w:rFonts w:ascii="Arial" w:hAnsi="Arial"/>
                <w:b w:val="0"/>
                <w:sz w:val="12"/>
              </w:rPr>
              <w:t>Chapter 15</w:t>
            </w:r>
          </w:p>
        </w:tc>
        <w:tc>
          <w:tcPr>
            <w:tcW w:type="dxa" w:w="1704"/>
          </w:tcPr>
          <w:p>
            <w:pPr>
              <w:spacing w:after="0"/>
            </w:pPr>
            <w:r>
              <w:rPr>
                <w:rFonts w:ascii="Arial" w:hAnsi="Arial"/>
                <w:b w:val="0"/>
                <w:sz w:val="12"/>
              </w:rPr>
              <w:t>✓ Marked as L5</w:t>
            </w:r>
          </w:p>
        </w:tc>
        <w:tc>
          <w:tcPr>
            <w:tcW w:type="dxa" w:w="1704"/>
          </w:tcPr>
          <w:p>
            <w:pPr>
              <w:spacing w:after="0"/>
            </w:pPr>
            <w:r>
              <w:rPr>
                <w:rFonts w:ascii="Arial" w:hAnsi="Arial"/>
                <w:b w:val="0"/>
                <w:sz w:val="12"/>
              </w:rPr>
              <w:t>Verify L5 marking in text</w:t>
            </w:r>
          </w:p>
        </w:tc>
      </w:tr>
    </w:tbl>
    <w:p>
      <w:pPr>
        <w:pStyle w:val="Heading2"/>
      </w:pPr>
      <w:r>
        <w:t>C.4 Citation Revalidation Queue</w:t>
      </w:r>
    </w:p>
    <w:p>
      <w:pPr>
        <w:spacing w:after="56"/>
      </w:pPr>
      <w:r>
        <w:t>The following table lists sources requiring final page-level citation pinning or retained boundary notes during publication-candidate QA after claim-level source review.</w:t>
      </w:r>
    </w:p>
    <w:p>
      <w:pPr>
        <w:keepNext/>
      </w:pPr>
      <w:r>
        <w:rPr>
          <w:b/>
          <w:sz w:val="16"/>
        </w:rPr>
        <w:t>Table T-C-03: Citation Revalidation Queue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Source ID</w:t>
            </w:r>
          </w:p>
        </w:tc>
        <w:tc>
          <w:tcPr>
            <w:tcW w:type="dxa" w:w="2045"/>
          </w:tcPr>
          <w:p>
            <w:pPr>
              <w:spacing w:after="0"/>
            </w:pPr>
            <w:r>
              <w:rPr>
                <w:rFonts w:ascii="Arial" w:hAnsi="Arial"/>
                <w:b/>
                <w:sz w:val="14"/>
              </w:rPr>
              <w:t>URL / Source Pointer</w:t>
            </w:r>
          </w:p>
        </w:tc>
        <w:tc>
          <w:tcPr>
            <w:tcW w:type="dxa" w:w="2045"/>
          </w:tcPr>
          <w:p>
            <w:pPr>
              <w:spacing w:after="0"/>
            </w:pPr>
            <w:r>
              <w:rPr>
                <w:rFonts w:ascii="Arial" w:hAnsi="Arial"/>
                <w:b/>
                <w:sz w:val="14"/>
              </w:rPr>
              <w:t>Publication QA Need</w:t>
            </w:r>
          </w:p>
        </w:tc>
        <w:tc>
          <w:tcPr>
            <w:tcW w:type="dxa" w:w="2045"/>
          </w:tcPr>
          <w:p>
            <w:pPr>
              <w:spacing w:after="0"/>
            </w:pPr>
            <w:r>
              <w:rPr>
                <w:rFonts w:ascii="Arial" w:hAnsi="Arial"/>
                <w:b/>
                <w:sz w:val="14"/>
              </w:rPr>
              <w:t>Priority</w:t>
            </w:r>
          </w:p>
        </w:tc>
        <w:tc>
          <w:tcPr>
            <w:tcW w:type="dxa" w:w="2045"/>
          </w:tcPr>
          <w:p>
            <w:pPr>
              <w:spacing w:after="0"/>
            </w:pPr>
            <w:r>
              <w:rPr>
                <w:rFonts w:ascii="Arial" w:hAnsi="Arial"/>
                <w:b/>
                <w:sz w:val="14"/>
              </w:rPr>
              <w:t>QA Stage</w:t>
            </w:r>
          </w:p>
        </w:tc>
      </w:tr>
      <w:tr>
        <w:tc>
          <w:tcPr>
            <w:tcW w:type="dxa" w:w="2045"/>
          </w:tcPr>
          <w:p>
            <w:pPr>
              <w:spacing w:after="0"/>
            </w:pPr>
            <w:r>
              <w:rPr>
                <w:rFonts w:ascii="Arial" w:hAnsi="Arial"/>
                <w:b w:val="0"/>
                <w:sz w:val="14"/>
              </w:rPr>
              <w:t>IBM-WATSONX-GOVERNANCE-DOCS</w:t>
            </w:r>
          </w:p>
        </w:tc>
        <w:tc>
          <w:tcPr>
            <w:tcW w:type="dxa" w:w="2045"/>
          </w:tcPr>
          <w:p>
            <w:pPr>
              <w:spacing w:after="0"/>
            </w:pPr>
            <w:r>
              <w:rPr>
                <w:rFonts w:ascii="Arial" w:hAnsi="Arial"/>
                <w:b w:val="0"/>
                <w:sz w:val="14"/>
              </w:rPr>
              <w:t>https://www.ibm.com/products/watsonx-governance; https://www.ibm.com/docs/en/watsonx</w:t>
            </w:r>
          </w:p>
        </w:tc>
        <w:tc>
          <w:tcPr>
            <w:tcW w:type="dxa" w:w="2045"/>
          </w:tcPr>
          <w:p>
            <w:pPr>
              <w:spacing w:after="0"/>
            </w:pPr>
            <w:r>
              <w:rPr>
                <w:rFonts w:ascii="Arial" w:hAnsi="Arial"/>
                <w:b w:val="0"/>
                <w:sz w:val="14"/>
              </w:rPr>
              <w:t>Pin exact pages for specific governance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MICROSOFT-AZURE-AI-FOUNDRY-DOCS</w:t>
            </w:r>
          </w:p>
        </w:tc>
        <w:tc>
          <w:tcPr>
            <w:tcW w:type="dxa" w:w="2045"/>
          </w:tcPr>
          <w:p>
            <w:pPr>
              <w:spacing w:after="0"/>
            </w:pPr>
            <w:r>
              <w:rPr>
                <w:rFonts w:ascii="Arial" w:hAnsi="Arial"/>
                <w:b w:val="0"/>
                <w:sz w:val="14"/>
              </w:rPr>
              <w:t>https://learn.microsoft.com/en-us/azure/foundry/</w:t>
            </w:r>
          </w:p>
        </w:tc>
        <w:tc>
          <w:tcPr>
            <w:tcW w:type="dxa" w:w="2045"/>
          </w:tcPr>
          <w:p>
            <w:pPr>
              <w:spacing w:after="0"/>
            </w:pPr>
            <w:r>
              <w:rPr>
                <w:rFonts w:ascii="Arial" w:hAnsi="Arial"/>
                <w:b w:val="0"/>
                <w:sz w:val="14"/>
              </w:rPr>
              <w:t>Pin exact pages for agents, tracing, evaluations, and safety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MICROSOFT-RESPONSIBLE-AI-DOCS</w:t>
            </w:r>
          </w:p>
        </w:tc>
        <w:tc>
          <w:tcPr>
            <w:tcW w:type="dxa" w:w="2045"/>
          </w:tcPr>
          <w:p>
            <w:pPr>
              <w:spacing w:after="0"/>
            </w:pPr>
            <w:r>
              <w:rPr>
                <w:rFonts w:ascii="Arial" w:hAnsi="Arial"/>
                <w:b w:val="0"/>
                <w:sz w:val="14"/>
              </w:rPr>
              <w:t>Microsoft Learn source family</w:t>
            </w:r>
          </w:p>
        </w:tc>
        <w:tc>
          <w:tcPr>
            <w:tcW w:type="dxa" w:w="2045"/>
          </w:tcPr>
          <w:p>
            <w:pPr>
              <w:spacing w:after="0"/>
            </w:pPr>
            <w:r>
              <w:rPr>
                <w:rFonts w:ascii="Arial" w:hAnsi="Arial"/>
                <w:b w:val="0"/>
                <w:sz w:val="14"/>
              </w:rPr>
              <w:t>Pin exact responsible-AI pages if retained</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AWS-BEDROCK-DOCS</w:t>
            </w:r>
          </w:p>
        </w:tc>
        <w:tc>
          <w:tcPr>
            <w:tcW w:type="dxa" w:w="2045"/>
          </w:tcPr>
          <w:p>
            <w:pPr>
              <w:spacing w:after="0"/>
            </w:pPr>
            <w:r>
              <w:rPr>
                <w:rFonts w:ascii="Arial" w:hAnsi="Arial"/>
                <w:b w:val="0"/>
                <w:sz w:val="14"/>
              </w:rPr>
              <w:t>https://docs.aws.amazon.com/bedrock/latest/userguide/what-is-bedrock.html</w:t>
            </w:r>
          </w:p>
        </w:tc>
        <w:tc>
          <w:tcPr>
            <w:tcW w:type="dxa" w:w="2045"/>
          </w:tcPr>
          <w:p>
            <w:pPr>
              <w:spacing w:after="0"/>
            </w:pPr>
            <w:r>
              <w:rPr>
                <w:rFonts w:ascii="Arial" w:hAnsi="Arial"/>
                <w:b w:val="0"/>
                <w:sz w:val="14"/>
              </w:rPr>
              <w:t>Pin exact Bedrock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AWS-BEDROCK-GUARDRAILS-DOCS</w:t>
            </w:r>
          </w:p>
        </w:tc>
        <w:tc>
          <w:tcPr>
            <w:tcW w:type="dxa" w:w="2045"/>
          </w:tcPr>
          <w:p>
            <w:pPr>
              <w:spacing w:after="0"/>
            </w:pPr>
            <w:r>
              <w:rPr>
                <w:rFonts w:ascii="Arial" w:hAnsi="Arial"/>
                <w:b w:val="0"/>
                <w:sz w:val="14"/>
              </w:rPr>
              <w:t>https://docs.aws.amazon.com/bedrock/latest/userguide/guardrails.html</w:t>
            </w:r>
          </w:p>
        </w:tc>
        <w:tc>
          <w:tcPr>
            <w:tcW w:type="dxa" w:w="2045"/>
          </w:tcPr>
          <w:p>
            <w:pPr>
              <w:spacing w:after="0"/>
            </w:pPr>
            <w:r>
              <w:rPr>
                <w:rFonts w:ascii="Arial" w:hAnsi="Arial"/>
                <w:b w:val="0"/>
                <w:sz w:val="14"/>
              </w:rPr>
              <w:t>Pin exact guardrails pages; preserve authority-boundary caveat</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AWS-AGENTCORE-DOCS</w:t>
            </w:r>
          </w:p>
        </w:tc>
        <w:tc>
          <w:tcPr>
            <w:tcW w:type="dxa" w:w="2045"/>
          </w:tcPr>
          <w:p>
            <w:pPr>
              <w:spacing w:after="0"/>
            </w:pPr>
            <w:r>
              <w:rPr>
                <w:rFonts w:ascii="Arial" w:hAnsi="Arial"/>
                <w:b w:val="0"/>
                <w:sz w:val="14"/>
              </w:rPr>
              <w:t>https://docs.aws.amazon.com/bedrock-agentcore/latest/devguide/what-is-bedrock-agentcore.html</w:t>
            </w:r>
          </w:p>
        </w:tc>
        <w:tc>
          <w:tcPr>
            <w:tcW w:type="dxa" w:w="2045"/>
          </w:tcPr>
          <w:p>
            <w:pPr>
              <w:spacing w:after="0"/>
            </w:pPr>
            <w:r>
              <w:rPr>
                <w:rFonts w:ascii="Arial" w:hAnsi="Arial"/>
                <w:b w:val="0"/>
                <w:sz w:val="14"/>
              </w:rPr>
              <w:t>Pin exact AgentCore pages for runtime/observability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GOOGLE-VERTEX-AI-DOCS</w:t>
            </w:r>
          </w:p>
        </w:tc>
        <w:tc>
          <w:tcPr>
            <w:tcW w:type="dxa" w:w="2045"/>
          </w:tcPr>
          <w:p>
            <w:pPr>
              <w:spacing w:after="0"/>
            </w:pPr>
            <w:r>
              <w:rPr>
                <w:rFonts w:ascii="Arial" w:hAnsi="Arial"/>
                <w:b w:val="0"/>
                <w:sz w:val="14"/>
              </w:rPr>
              <w:t>https://docs.cloud.google.com/vertex-ai/docs</w:t>
            </w:r>
          </w:p>
        </w:tc>
        <w:tc>
          <w:tcPr>
            <w:tcW w:type="dxa" w:w="2045"/>
          </w:tcPr>
          <w:p>
            <w:pPr>
              <w:spacing w:after="0"/>
            </w:pPr>
            <w:r>
              <w:rPr>
                <w:rFonts w:ascii="Arial" w:hAnsi="Arial"/>
                <w:b w:val="0"/>
                <w:sz w:val="14"/>
              </w:rPr>
              <w:t>Pin exact Vertex AI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GOOGLE-ADK-DOCS</w:t>
            </w:r>
          </w:p>
        </w:tc>
        <w:tc>
          <w:tcPr>
            <w:tcW w:type="dxa" w:w="2045"/>
          </w:tcPr>
          <w:p>
            <w:pPr>
              <w:spacing w:after="0"/>
            </w:pPr>
            <w:r>
              <w:rPr>
                <w:rFonts w:ascii="Arial" w:hAnsi="Arial"/>
                <w:b w:val="0"/>
                <w:sz w:val="14"/>
              </w:rPr>
              <w:t>https://adk.dev/</w:t>
            </w:r>
          </w:p>
        </w:tc>
        <w:tc>
          <w:tcPr>
            <w:tcW w:type="dxa" w:w="2045"/>
          </w:tcPr>
          <w:p>
            <w:pPr>
              <w:spacing w:after="0"/>
            </w:pPr>
            <w:r>
              <w:rPr>
                <w:rFonts w:ascii="Arial" w:hAnsi="Arial"/>
                <w:b w:val="0"/>
                <w:sz w:val="14"/>
              </w:rPr>
              <w:t>Pin exact ADK pages for agent/tool/session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GOOGLE-MODEL-ARMOR-DOCS</w:t>
            </w:r>
          </w:p>
        </w:tc>
        <w:tc>
          <w:tcPr>
            <w:tcW w:type="dxa" w:w="2045"/>
          </w:tcPr>
          <w:p>
            <w:pPr>
              <w:spacing w:after="0"/>
            </w:pPr>
            <w:r>
              <w:rPr>
                <w:rFonts w:ascii="Arial" w:hAnsi="Arial"/>
                <w:b w:val="0"/>
                <w:sz w:val="14"/>
              </w:rPr>
              <w:t>https://docs.cloud.google.com/model-armor/overview</w:t>
            </w:r>
          </w:p>
        </w:tc>
        <w:tc>
          <w:tcPr>
            <w:tcW w:type="dxa" w:w="2045"/>
          </w:tcPr>
          <w:p>
            <w:pPr>
              <w:spacing w:after="0"/>
            </w:pPr>
            <w:r>
              <w:rPr>
                <w:rFonts w:ascii="Arial" w:hAnsi="Arial"/>
                <w:b w:val="0"/>
                <w:sz w:val="14"/>
              </w:rPr>
              <w:t>Pin exact Model Armor pages; preserve lifecycle-governance caveat</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LANGGRAPH-DOCS</w:t>
            </w:r>
          </w:p>
        </w:tc>
        <w:tc>
          <w:tcPr>
            <w:tcW w:type="dxa" w:w="2045"/>
          </w:tcPr>
          <w:p>
            <w:pPr>
              <w:spacing w:after="0"/>
            </w:pPr>
            <w:r>
              <w:rPr>
                <w:rFonts w:ascii="Arial" w:hAnsi="Arial"/>
                <w:b w:val="0"/>
                <w:sz w:val="14"/>
              </w:rPr>
              <w:t>https://docs.langchain.com/oss/python/langgraph/overview</w:t>
            </w:r>
          </w:p>
        </w:tc>
        <w:tc>
          <w:tcPr>
            <w:tcW w:type="dxa" w:w="2045"/>
          </w:tcPr>
          <w:p>
            <w:pPr>
              <w:spacing w:after="0"/>
            </w:pPr>
            <w:r>
              <w:rPr>
                <w:rFonts w:ascii="Arial" w:hAnsi="Arial"/>
                <w:b w:val="0"/>
                <w:sz w:val="14"/>
              </w:rPr>
              <w:t>Pin exact persistence/interrupt/tool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LANGSMITH-DOCS</w:t>
            </w:r>
          </w:p>
        </w:tc>
        <w:tc>
          <w:tcPr>
            <w:tcW w:type="dxa" w:w="2045"/>
          </w:tcPr>
          <w:p>
            <w:pPr>
              <w:spacing w:after="0"/>
            </w:pPr>
            <w:r>
              <w:rPr>
                <w:rFonts w:ascii="Arial" w:hAnsi="Arial"/>
                <w:b w:val="0"/>
                <w:sz w:val="14"/>
              </w:rPr>
              <w:t>https://docs.langchain.com/langsmith/home</w:t>
            </w:r>
          </w:p>
        </w:tc>
        <w:tc>
          <w:tcPr>
            <w:tcW w:type="dxa" w:w="2045"/>
          </w:tcPr>
          <w:p>
            <w:pPr>
              <w:spacing w:after="0"/>
            </w:pPr>
            <w:r>
              <w:rPr>
                <w:rFonts w:ascii="Arial" w:hAnsi="Arial"/>
                <w:b w:val="0"/>
                <w:sz w:val="14"/>
              </w:rPr>
              <w:t>Pin exact tracing/evaluation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OPENAI-AGENTS-SDK-DOCS</w:t>
            </w:r>
          </w:p>
        </w:tc>
        <w:tc>
          <w:tcPr>
            <w:tcW w:type="dxa" w:w="2045"/>
          </w:tcPr>
          <w:p>
            <w:pPr>
              <w:spacing w:after="0"/>
            </w:pPr>
            <w:r>
              <w:rPr>
                <w:rFonts w:ascii="Arial" w:hAnsi="Arial"/>
                <w:b w:val="0"/>
                <w:sz w:val="14"/>
              </w:rPr>
              <w:t>https://openai.github.io/openai-agents-python/</w:t>
            </w:r>
          </w:p>
        </w:tc>
        <w:tc>
          <w:tcPr>
            <w:tcW w:type="dxa" w:w="2045"/>
          </w:tcPr>
          <w:p>
            <w:pPr>
              <w:spacing w:after="0"/>
            </w:pPr>
            <w:r>
              <w:rPr>
                <w:rFonts w:ascii="Arial" w:hAnsi="Arial"/>
                <w:b w:val="0"/>
                <w:sz w:val="14"/>
              </w:rPr>
              <w:t>Pin exact SDK pages for agents/tools/handoffs/tracing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OPENAI-TOOLS-DOCS</w:t>
            </w:r>
          </w:p>
        </w:tc>
        <w:tc>
          <w:tcPr>
            <w:tcW w:type="dxa" w:w="2045"/>
          </w:tcPr>
          <w:p>
            <w:pPr>
              <w:spacing w:after="0"/>
            </w:pPr>
            <w:r>
              <w:rPr>
                <w:rFonts w:ascii="Arial" w:hAnsi="Arial"/>
                <w:b w:val="0"/>
                <w:sz w:val="14"/>
              </w:rPr>
              <w:t>OpenAI platform docs source family</w:t>
            </w:r>
          </w:p>
        </w:tc>
        <w:tc>
          <w:tcPr>
            <w:tcW w:type="dxa" w:w="2045"/>
          </w:tcPr>
          <w:p>
            <w:pPr>
              <w:spacing w:after="0"/>
            </w:pPr>
            <w:r>
              <w:rPr>
                <w:rFonts w:ascii="Arial" w:hAnsi="Arial"/>
                <w:b w:val="0"/>
                <w:sz w:val="14"/>
              </w:rPr>
              <w:t>Pin exact accessible tools pages if retained</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CREWAI-DOCS</w:t>
            </w:r>
          </w:p>
        </w:tc>
        <w:tc>
          <w:tcPr>
            <w:tcW w:type="dxa" w:w="2045"/>
          </w:tcPr>
          <w:p>
            <w:pPr>
              <w:spacing w:after="0"/>
            </w:pPr>
            <w:r>
              <w:rPr>
                <w:rFonts w:ascii="Arial" w:hAnsi="Arial"/>
                <w:b w:val="0"/>
                <w:sz w:val="14"/>
              </w:rPr>
              <w:t>https://docs.crewai.com/</w:t>
            </w:r>
          </w:p>
        </w:tc>
        <w:tc>
          <w:tcPr>
            <w:tcW w:type="dxa" w:w="2045"/>
          </w:tcPr>
          <w:p>
            <w:pPr>
              <w:spacing w:after="0"/>
            </w:pPr>
            <w:r>
              <w:rPr>
                <w:rFonts w:ascii="Arial" w:hAnsi="Arial"/>
                <w:b w:val="0"/>
                <w:sz w:val="14"/>
              </w:rPr>
              <w:t>Pin exact agents/tasks/crews/flows/tools pages for retained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CREWAI-GITHUB</w:t>
            </w:r>
          </w:p>
        </w:tc>
        <w:tc>
          <w:tcPr>
            <w:tcW w:type="dxa" w:w="2045"/>
          </w:tcPr>
          <w:p>
            <w:pPr>
              <w:spacing w:after="0"/>
            </w:pPr>
            <w:r>
              <w:rPr>
                <w:rFonts w:ascii="Arial" w:hAnsi="Arial"/>
                <w:b w:val="0"/>
                <w:sz w:val="14"/>
              </w:rPr>
              <w:t>https://github.com/crewAIInc/crewAI</w:t>
            </w:r>
          </w:p>
        </w:tc>
        <w:tc>
          <w:tcPr>
            <w:tcW w:type="dxa" w:w="2045"/>
          </w:tcPr>
          <w:p>
            <w:pPr>
              <w:spacing w:after="0"/>
            </w:pPr>
            <w:r>
              <w:rPr>
                <w:rFonts w:ascii="Arial" w:hAnsi="Arial"/>
                <w:b w:val="0"/>
                <w:sz w:val="14"/>
              </w:rPr>
              <w:t>Pin exact repository paths only for code/API-specific claims</w:t>
            </w:r>
          </w:p>
        </w:tc>
        <w:tc>
          <w:tcPr>
            <w:tcW w:type="dxa" w:w="2045"/>
          </w:tcPr>
          <w:p>
            <w:pPr>
              <w:spacing w:after="0"/>
            </w:pPr>
            <w:r>
              <w:rPr>
                <w:rFonts w:ascii="Arial" w:hAnsi="Arial"/>
                <w:b w:val="0"/>
                <w:sz w:val="14"/>
              </w:rPr>
              <w:t>High</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MPLP-DOCS</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Pin protocol version and preserve conflict-of-interest boundary</w:t>
            </w:r>
          </w:p>
        </w:tc>
        <w:tc>
          <w:tcPr>
            <w:tcW w:type="dxa" w:w="2045"/>
          </w:tcPr>
          <w:p>
            <w:pPr>
              <w:spacing w:after="0"/>
            </w:pPr>
            <w:r>
              <w:rPr>
                <w:rFonts w:ascii="Arial" w:hAnsi="Arial"/>
                <w:b w:val="0"/>
                <w:sz w:val="14"/>
              </w:rPr>
              <w:t>Critical</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MPLP-SPEC</w:t>
            </w:r>
          </w:p>
        </w:tc>
        <w:tc>
          <w:tcPr>
            <w:tcW w:type="dxa" w:w="2045"/>
          </w:tcPr>
          <w:p>
            <w:pPr>
              <w:spacing w:after="0"/>
            </w:pPr>
            <w:r>
              <w:rPr>
                <w:rFonts w:ascii="Arial" w:hAnsi="Arial"/>
                <w:b w:val="0"/>
                <w:sz w:val="14"/>
              </w:rPr>
              <w:t>https://docs.mplp.io/docs/introduction/mplp-v1.0-protocol-overview</w:t>
            </w:r>
          </w:p>
        </w:tc>
        <w:tc>
          <w:tcPr>
            <w:tcW w:type="dxa" w:w="2045"/>
          </w:tcPr>
          <w:p>
            <w:pPr>
              <w:spacing w:after="0"/>
            </w:pPr>
            <w:r>
              <w:rPr>
                <w:rFonts w:ascii="Arial" w:hAnsi="Arial"/>
                <w:b w:val="0"/>
                <w:sz w:val="14"/>
              </w:rPr>
              <w:t>Pin exact specification/version reference if separate page exists</w:t>
            </w:r>
          </w:p>
        </w:tc>
        <w:tc>
          <w:tcPr>
            <w:tcW w:type="dxa" w:w="2045"/>
          </w:tcPr>
          <w:p>
            <w:pPr>
              <w:spacing w:after="0"/>
            </w:pPr>
            <w:r>
              <w:rPr>
                <w:rFonts w:ascii="Arial" w:hAnsi="Arial"/>
                <w:b w:val="0"/>
                <w:sz w:val="14"/>
              </w:rPr>
              <w:t>Critical</w:t>
            </w:r>
          </w:p>
        </w:tc>
        <w:tc>
          <w:tcPr>
            <w:tcW w:type="dxa" w:w="2045"/>
          </w:tcPr>
          <w:p>
            <w:pPr>
              <w:spacing w:after="0"/>
            </w:pPr>
            <w:r>
              <w:rPr>
                <w:rFonts w:ascii="Arial" w:hAnsi="Arial"/>
                <w:b w:val="0"/>
                <w:sz w:val="14"/>
              </w:rPr>
              <w:t>Phase 1D / publication QA</w:t>
            </w:r>
          </w:p>
        </w:tc>
      </w:tr>
      <w:tr>
        <w:tc>
          <w:tcPr>
            <w:tcW w:type="dxa" w:w="2045"/>
          </w:tcPr>
          <w:p>
            <w:pPr>
              <w:spacing w:after="0"/>
            </w:pPr>
            <w:r>
              <w:rPr>
                <w:rFonts w:ascii="Arial" w:hAnsi="Arial"/>
                <w:b w:val="0"/>
                <w:sz w:val="14"/>
              </w:rPr>
              <w:t>VALIDATION-LAB-METHODOLOGY</w:t>
            </w:r>
          </w:p>
        </w:tc>
        <w:tc>
          <w:tcPr>
            <w:tcW w:type="dxa" w:w="2045"/>
          </w:tcPr>
          <w:p>
            <w:pPr>
              <w:spacing w:after="0"/>
            </w:pPr>
            <w:r>
              <w:rPr>
                <w:rFonts w:ascii="Arial" w:hAnsi="Arial"/>
                <w:b w:val="0"/>
                <w:sz w:val="14"/>
              </w:rPr>
              <w:t>https://lab.mplp.io/</w:t>
            </w:r>
          </w:p>
        </w:tc>
        <w:tc>
          <w:tcPr>
            <w:tcW w:type="dxa" w:w="2045"/>
          </w:tcPr>
          <w:p>
            <w:pPr>
              <w:spacing w:after="0"/>
            </w:pPr>
            <w:r>
              <w:rPr>
                <w:rFonts w:ascii="Arial" w:hAnsi="Arial"/>
                <w:b w:val="0"/>
                <w:sz w:val="14"/>
              </w:rPr>
              <w:t>Pin methodology-specific citation if available or retain boundary-limited note</w:t>
            </w:r>
          </w:p>
        </w:tc>
        <w:tc>
          <w:tcPr>
            <w:tcW w:type="dxa" w:w="2045"/>
          </w:tcPr>
          <w:p>
            <w:pPr>
              <w:spacing w:after="0"/>
            </w:pPr>
            <w:r>
              <w:rPr>
                <w:rFonts w:ascii="Arial" w:hAnsi="Arial"/>
                <w:b w:val="0"/>
                <w:sz w:val="14"/>
              </w:rPr>
              <w:t>Critical</w:t>
            </w:r>
          </w:p>
        </w:tc>
        <w:tc>
          <w:tcPr>
            <w:tcW w:type="dxa" w:w="2045"/>
          </w:tcPr>
          <w:p>
            <w:pPr>
              <w:spacing w:after="0"/>
            </w:pPr>
            <w:r>
              <w:rPr>
                <w:rFonts w:ascii="Arial" w:hAnsi="Arial"/>
                <w:b w:val="0"/>
                <w:sz w:val="14"/>
              </w:rPr>
              <w:t>Phase 1D / publication QA</w:t>
            </w:r>
          </w:p>
        </w:tc>
      </w:tr>
    </w:tbl>
    <w:p>
      <w:pPr>
        <w:pStyle w:val="Heading2"/>
      </w:pPr>
      <w:r>
        <w:t>C.5 Source Notes and Revalidation Policy</w:t>
      </w:r>
    </w:p>
    <w:p>
      <w:pPr>
        <w:pStyle w:val="Heading3"/>
      </w:pPr>
      <w:r>
        <w:t>Source Notes</w:t>
      </w:r>
    </w:p>
    <w:p>
      <w:pPr>
        <w:pStyle w:val="ListBullet"/>
        <w:spacing w:after="56"/>
      </w:pPr>
      <w:r>
        <w:t>L1 sources (legal text and formal standards) are referenced in Chapter 4 and provide the regulatory baseline for the white paper. These sources are authoritative but require legal interpretation. The white paper does not provide legal advice or legal interpretation.</w:t>
      </w:r>
    </w:p>
    <w:p>
      <w:pPr>
        <w:pStyle w:val="ListBullet"/>
        <w:spacing w:after="56"/>
      </w:pPr>
      <w:r>
        <w:t>L2 sources (official product documentation) are referenced in Chapters 12, 13, and 14 and support documented product/protocol capability surfaces. Phase 1C follow-up located official entry points and recorded claim-level dispositions. L2 sources still require page-level pinning during publication-candidate QA and do not prove deployment practice or legal compliance.</w:t>
      </w:r>
    </w:p>
    <w:p>
      <w:pPr>
        <w:pStyle w:val="ListBullet"/>
        <w:spacing w:after="56"/>
      </w:pPr>
      <w:r>
        <w:t>L5 sources (author inference) are used in Chapters 6-9, 11-12, and 15 to define the analytical framework (MROs, RCCS, ALCS, Composite Scoring, System Mapping, Failure Scenarios). These sources are marked as author inference and do not replace evidence-based analysis.</w:t>
      </w:r>
    </w:p>
    <w:p>
      <w:pPr>
        <w:pStyle w:val="ListBullet"/>
        <w:spacing w:after="56"/>
      </w:pPr>
      <w:r>
        <w:t>MPLP and Validation Lab sources require special attention due to author conflict of interest. The author of this white paper is also the creator of MPLP and Validation Lab. Phase 1C follow-up verified that MPLP and Validation Lab remain positioned as examples, not required or exclusive solutions; publication-candidate QA must preserve that boundary.</w:t>
      </w:r>
    </w:p>
    <w:p>
      <w:pPr>
        <w:pStyle w:val="Heading3"/>
      </w:pPr>
      <w:r>
        <w:t>Revalidation Policy</w:t>
      </w:r>
    </w:p>
    <w:p>
      <w:pPr>
        <w:spacing w:after="56"/>
      </w:pPr>
      <w:r>
        <w:t>Publication-candidate source governance must:</w:t>
      </w:r>
    </w:p>
    <w:p>
      <w:pPr>
        <w:pStyle w:val="ListNumber"/>
        <w:spacing w:after="56"/>
      </w:pPr>
      <w:r>
        <w:t>Pin exact page-level L2 product documentation URLs and replace remaining source pointers with validated URLs and publication/access details</w:t>
      </w:r>
    </w:p>
    <w:p>
      <w:pPr>
        <w:pStyle w:val="ListNumber"/>
        <w:spacing w:after="56"/>
      </w:pPr>
      <w:r>
        <w:t>Verify all L1 legal/regulatory citations for accuracy and completeness</w:t>
      </w:r>
    </w:p>
    <w:p>
      <w:pPr>
        <w:pStyle w:val="ListNumber"/>
        <w:spacing w:after="56"/>
      </w:pPr>
      <w:r>
        <w:t>Mark all L5 author inference clearly in the text</w:t>
      </w:r>
    </w:p>
    <w:p>
      <w:pPr>
        <w:pStyle w:val="ListNumber"/>
        <w:spacing w:after="56"/>
      </w:pPr>
      <w:r>
        <w:t>Preserve MPLP and Validation Lab boundary discipline and add methodology-specific Validation Lab support if available</w:t>
      </w:r>
    </w:p>
    <w:p>
      <w:pPr>
        <w:pStyle w:val="ListNumber"/>
        <w:spacing w:after="56"/>
      </w:pPr>
      <w:r>
        <w:t>Remove or mark as inference any unsupported claims</w:t>
      </w:r>
    </w:p>
    <w:p>
      <w:pPr>
        <w:pStyle w:val="ListNumber"/>
        <w:spacing w:after="56"/>
      </w:pPr>
      <w:r>
        <w:t>Maintain the claim evidence register documenting all source validation and downgrade actions</w:t>
      </w:r>
    </w:p>
    <w:p>
      <w:pPr>
        <w:pStyle w:val="Heading1"/>
      </w:pPr>
      <w:r>
        <w:t>Appendix D — Expanded Cross-System MRO Mapping</w:t>
      </w:r>
    </w:p>
    <w:p>
      <w:pPr>
        <w:spacing w:after="56"/>
      </w:pPr>
      <w:r>
        <w:t>Version: v0.3.2-FRC-R3</w:t>
      </w:r>
    </w:p>
    <w:p>
      <w:pPr>
        <w:pStyle w:val="Heading2"/>
      </w:pPr>
      <w:r>
        <w:t>D.0 Mapping Boundary</w:t>
      </w:r>
    </w:p>
    <w:p>
      <w:pPr>
        <w:spacing w:after="56"/>
      </w:pPr>
      <w:r>
        <w:t>This appendix provides an expanded cross-system MRO mapping across the eight representative systems evaluated in Chapters 11-12. This mapping is an analytical tool, not a product ranking, certification, or procurement recommendation. Phase 1C follow-up located official source entry points and added claim-level source binding, but the mapping remains revalidated provisional because many MRO-to-system cells are analytical interpretations rather than direct product-documentation claims.</w:t>
      </w:r>
    </w:p>
    <w:p>
      <w:pPr>
        <w:spacing w:after="56"/>
      </w:pPr>
      <w:r>
        <w:t>Boundary statement:</w:t>
      </w:r>
    </w:p>
    <w:p>
      <w:pPr>
        <w:pStyle w:val="ListBullet"/>
        <w:spacing w:after="56"/>
      </w:pPr>
      <w:r>
        <w:t>This mapping is analytical only. The mapping compares systems by responsibility semantics, not product quality, market leadership, or procurement suitability.</w:t>
      </w:r>
    </w:p>
    <w:p>
      <w:pPr>
        <w:pStyle w:val="ListBullet"/>
        <w:spacing w:after="56"/>
      </w:pPr>
      <w:r>
        <w:t>This mapping is not a product ranking. Systems are not ranked by score or quality. The mapping identifies where systems appear to provide lifecycle responsibility object primitives and where gaps may exist.</w:t>
      </w:r>
    </w:p>
    <w:p>
      <w:pPr>
        <w:pStyle w:val="ListBullet"/>
        <w:spacing w:after="56"/>
      </w:pPr>
      <w:r>
        <w:t>This mapping is not certification. The presence of lifecycle responsibility object primitives does not certify a system as compliant, approved, or enterprise-ready.</w:t>
      </w:r>
    </w:p>
    <w:p>
      <w:pPr>
        <w:pStyle w:val="ListBullet"/>
        <w:spacing w:after="56"/>
      </w:pPr>
      <w:r>
        <w:t>This mapping is not a procurement recommendation. Organizations must evaluate systems within their specific legal, regulatory, and operational context. This mapping provides analytical input, not procurement guidance.</w:t>
      </w:r>
    </w:p>
    <w:p>
      <w:pPr>
        <w:pStyle w:val="ListBullet"/>
        <w:spacing w:after="56"/>
      </w:pPr>
      <w:r>
        <w:t>This mapping is based on source-bound public evidence and analytical interpretation. Official product/protocol entry points were located during Phase 1C follow-up. L2 evidence supports documented capability surfaces; MRO cell-level mapping remains L5 analytical interpretation where official documentation does not directly define the lifecycle responsibility object.</w:t>
      </w:r>
    </w:p>
    <w:p>
      <w:pPr>
        <w:pStyle w:val="ListBullet"/>
        <w:spacing w:after="56"/>
      </w:pPr>
      <w:r>
        <w:t>This mapping uses qualitative values. The mapping uses qualitative values (Strong object-level mapping, Strong workflow/feature mapping, Partial or adjacent capability, Weak or implementer-built only, Not visible in public evidence, Source support unresolved where applicable) rather than numeric scores to avoid creating a false precision ranking.</w:t>
      </w:r>
    </w:p>
    <w:p>
      <w:pPr>
        <w:pStyle w:val="Heading2"/>
      </w:pPr>
      <w:r>
        <w:t>D.1 How to Read the Expanded MRO Mapping</w:t>
      </w:r>
    </w:p>
    <w:p>
      <w:pPr>
        <w:spacing w:after="56"/>
      </w:pPr>
      <w:r>
        <w:t>The expanded MRO mapping (Table T-D-01) maps all sixteen Missing Regulatory Objects across all eight representative systems.</w:t>
      </w:r>
    </w:p>
    <w:p>
      <w:pPr>
        <w:spacing w:after="56"/>
      </w:pPr>
      <w:r>
        <w:t>Qualitative values:</w:t>
      </w:r>
    </w:p>
    <w:p>
      <w:pPr>
        <w:pStyle w:val="ListBullet"/>
        <w:spacing w:after="56"/>
      </w:pPr>
      <w:r>
        <w:t>Strong object-level mapping: System appears to provide explicit lifecycle responsibility object primitives with protocol-level or API-level support based on available documentation. Example: MPLP appears to provide explicit role, context, plan, confirm, and trace semantics. Revalidated provisional; mapping remains L5 unless the source directly defines the object.</w:t>
      </w:r>
    </w:p>
    <w:p>
      <w:pPr>
        <w:pStyle w:val="ListBullet"/>
        <w:spacing w:after="56"/>
      </w:pPr>
      <w:r>
        <w:t>Strong workflow/feature mapping: System appears to provide workflow or feature primitives that may support lifecycle responsibility objects with configuration or integration based on available documentation. Example: IBM watsonx.governance appears to provide model governance workflows that may support lifecycle responsibility objects. Revalidated provisional; adjacent workflow evidence is not lifecycle-object proof.</w:t>
      </w:r>
    </w:p>
    <w:p>
      <w:pPr>
        <w:pStyle w:val="ListBullet"/>
        <w:spacing w:after="56"/>
      </w:pPr>
      <w:r>
        <w:t>Partial or adjacent capability: System appears to provide adjacent capabilities that are related to lifecycle responsibility objects but may not fully satisfy the object requirements based on available documentation. Example: Approval button is not the same as human-role-to-MAS responsibility mapping. Revalidated provisional; keep as adjacent unless exact source support is pinned.</w:t>
      </w:r>
    </w:p>
    <w:p>
      <w:pPr>
        <w:pStyle w:val="ListBullet"/>
        <w:spacing w:after="56"/>
      </w:pPr>
      <w:r>
        <w:t>Weak or implementer-built only: Lifecycle responsibility object primitives are not visible in current public documentation; implementers may need to build lifecycle governance on top of the system. Example: OpenAI Agents SDK provides execution primitives, while enterprise lifecycle governance objects require additional design. Revalidated provisional; this does not prove absence of private or implementation-specific capability.</w:t>
      </w:r>
    </w:p>
    <w:p>
      <w:pPr>
        <w:pStyle w:val="ListBullet"/>
        <w:spacing w:after="56"/>
      </w:pPr>
      <w:r>
        <w:t>Not visible in public evidence: Lifecycle responsibility object primitives are not visible in public product documentation or protocol specifications. This does not prove the capability does not exist; it means public evidence is not available.</w:t>
      </w:r>
    </w:p>
    <w:p>
      <w:pPr>
        <w:pStyle w:val="ListBullet"/>
        <w:spacing w:after="56"/>
      </w:pPr>
      <w:r>
        <w:t>Source support unresolved: Mapping is uncertain because exact source support for the lifecycle responsibility object has not been pinned.</w:t>
      </w:r>
    </w:p>
    <w:p>
      <w:pPr>
        <w:spacing w:after="56"/>
      </w:pPr>
      <w:r>
        <w:t>Reading the table:</w:t>
      </w:r>
    </w:p>
    <w:p>
      <w:pPr>
        <w:pStyle w:val="ListBullet"/>
        <w:spacing w:after="56"/>
      </w:pPr>
      <w:r>
        <w:t>Rows: Sixteen Missing Regulatory Objects (MRO-01 through MRO-16)</w:t>
      </w:r>
    </w:p>
    <w:p>
      <w:pPr>
        <w:pStyle w:val="ListBullet"/>
        <w:spacing w:after="56"/>
      </w:pPr>
      <w:r>
        <w:t>Columns: Eight representative systems (MPLP, IBM, Microsoft, AWS, Google, LangGraph/LangSmith, OpenAI, CrewAI)</w:t>
      </w:r>
    </w:p>
    <w:p>
      <w:pPr>
        <w:pStyle w:val="ListBullet"/>
        <w:spacing w:after="56"/>
      </w:pPr>
      <w:r>
        <w:t>Cells: Qualitative mapping value for each MRO × System combination</w:t>
      </w:r>
    </w:p>
    <w:p>
      <w:pPr>
        <w:pStyle w:val="ListBullet"/>
        <w:spacing w:after="56"/>
      </w:pPr>
      <w:r>
        <w:t>Notes column: Additional context or boundary notes</w:t>
      </w:r>
    </w:p>
    <w:p>
      <w:pPr>
        <w:pStyle w:val="Heading2"/>
      </w:pPr>
      <w:r>
        <w:t>D.2 Expanded Cross-System MRO Mapping</w:t>
      </w:r>
    </w:p>
    <w:p>
      <w:pPr>
        <w:spacing w:after="56"/>
      </w:pPr>
      <w:r>
        <w:t>Note: This table is very wide (10 columns) and requires landscape layout. Phase 1C layout audit documented the risk; Phase 1D rendering QA remains required.</w:t>
      </w:r>
    </w:p>
    <w:p>
      <w:pPr>
        <w:keepNext/>
      </w:pPr>
      <w:r>
        <w:rPr>
          <w:b/>
          <w:sz w:val="16"/>
        </w:rPr>
        <w:t>Table T-D-01: Expanded Cross-System MRO Mapping</w:t>
      </w:r>
    </w:p>
    <w:tbl>
      <w:tblPr>
        <w:tblStyle w:val="TableGrid"/>
        <w:tblW w:type="auto" w:w="0"/>
        <w:tblLayout w:type="autofit"/>
        <w:tblLook w:firstColumn="1" w:firstRow="1" w:lastColumn="0" w:lastRow="0" w:noHBand="0" w:noVBand="1" w:val="04A0"/>
      </w:tblPr>
      <w:tblGrid>
        <w:gridCol w:w="929"/>
        <w:gridCol w:w="929"/>
        <w:gridCol w:w="929"/>
        <w:gridCol w:w="929"/>
        <w:gridCol w:w="929"/>
        <w:gridCol w:w="929"/>
        <w:gridCol w:w="929"/>
        <w:gridCol w:w="929"/>
        <w:gridCol w:w="929"/>
        <w:gridCol w:w="929"/>
        <w:gridCol w:w="929"/>
      </w:tblGrid>
      <w:tr>
        <w:tc>
          <w:tcPr>
            <w:tcW w:type="dxa" w:w="929"/>
          </w:tcPr>
          <w:p>
            <w:pPr>
              <w:spacing w:after="0"/>
            </w:pPr>
            <w:r>
              <w:rPr>
                <w:rFonts w:ascii="Arial" w:hAnsi="Arial"/>
                <w:b/>
                <w:sz w:val="12"/>
              </w:rPr>
              <w:t>MRO ID</w:t>
            </w:r>
          </w:p>
        </w:tc>
        <w:tc>
          <w:tcPr>
            <w:tcW w:type="dxa" w:w="929"/>
          </w:tcPr>
          <w:p>
            <w:pPr>
              <w:spacing w:after="0"/>
            </w:pPr>
            <w:r>
              <w:rPr>
                <w:rFonts w:ascii="Arial" w:hAnsi="Arial"/>
                <w:b/>
                <w:sz w:val="12"/>
              </w:rPr>
              <w:t>MRO Name</w:t>
            </w:r>
          </w:p>
        </w:tc>
        <w:tc>
          <w:tcPr>
            <w:tcW w:type="dxa" w:w="929"/>
          </w:tcPr>
          <w:p>
            <w:pPr>
              <w:spacing w:after="0"/>
            </w:pPr>
            <w:r>
              <w:rPr>
                <w:rFonts w:ascii="Arial" w:hAnsi="Arial"/>
                <w:b/>
                <w:sz w:val="12"/>
              </w:rPr>
              <w:t>MPLP</w:t>
            </w:r>
          </w:p>
        </w:tc>
        <w:tc>
          <w:tcPr>
            <w:tcW w:type="dxa" w:w="929"/>
          </w:tcPr>
          <w:p>
            <w:pPr>
              <w:spacing w:after="0"/>
            </w:pPr>
            <w:r>
              <w:rPr>
                <w:rFonts w:ascii="Arial" w:hAnsi="Arial"/>
                <w:b/>
                <w:sz w:val="12"/>
              </w:rPr>
              <w:t>IBM watsonx.governance</w:t>
            </w:r>
          </w:p>
        </w:tc>
        <w:tc>
          <w:tcPr>
            <w:tcW w:type="dxa" w:w="929"/>
          </w:tcPr>
          <w:p>
            <w:pPr>
              <w:spacing w:after="0"/>
            </w:pPr>
            <w:r>
              <w:rPr>
                <w:rFonts w:ascii="Arial" w:hAnsi="Arial"/>
                <w:b/>
                <w:sz w:val="12"/>
              </w:rPr>
              <w:t>Microsoft Azure AI Foundry</w:t>
            </w:r>
          </w:p>
        </w:tc>
        <w:tc>
          <w:tcPr>
            <w:tcW w:type="dxa" w:w="929"/>
          </w:tcPr>
          <w:p>
            <w:pPr>
              <w:spacing w:after="0"/>
            </w:pPr>
            <w:r>
              <w:rPr>
                <w:rFonts w:ascii="Arial" w:hAnsi="Arial"/>
                <w:b/>
                <w:sz w:val="12"/>
              </w:rPr>
              <w:t>AWS Bedrock / Guardrails / AgentCore</w:t>
            </w:r>
          </w:p>
        </w:tc>
        <w:tc>
          <w:tcPr>
            <w:tcW w:type="dxa" w:w="929"/>
          </w:tcPr>
          <w:p>
            <w:pPr>
              <w:spacing w:after="0"/>
            </w:pPr>
            <w:r>
              <w:rPr>
                <w:rFonts w:ascii="Arial" w:hAnsi="Arial"/>
                <w:b/>
                <w:sz w:val="12"/>
              </w:rPr>
              <w:t>Google Vertex AI / ADK / Model Armor</w:t>
            </w:r>
          </w:p>
        </w:tc>
        <w:tc>
          <w:tcPr>
            <w:tcW w:type="dxa" w:w="929"/>
          </w:tcPr>
          <w:p>
            <w:pPr>
              <w:spacing w:after="0"/>
            </w:pPr>
            <w:r>
              <w:rPr>
                <w:rFonts w:ascii="Arial" w:hAnsi="Arial"/>
                <w:b/>
                <w:sz w:val="12"/>
              </w:rPr>
              <w:t>LangGraph / LangSmith</w:t>
            </w:r>
          </w:p>
        </w:tc>
        <w:tc>
          <w:tcPr>
            <w:tcW w:type="dxa" w:w="929"/>
          </w:tcPr>
          <w:p>
            <w:pPr>
              <w:spacing w:after="0"/>
            </w:pPr>
            <w:r>
              <w:rPr>
                <w:rFonts w:ascii="Arial" w:hAnsi="Arial"/>
                <w:b/>
                <w:sz w:val="12"/>
              </w:rPr>
              <w:t>OpenAI Agents SDK</w:t>
            </w:r>
          </w:p>
        </w:tc>
        <w:tc>
          <w:tcPr>
            <w:tcW w:type="dxa" w:w="929"/>
          </w:tcPr>
          <w:p>
            <w:pPr>
              <w:spacing w:after="0"/>
            </w:pPr>
            <w:r>
              <w:rPr>
                <w:rFonts w:ascii="Arial" w:hAnsi="Arial"/>
                <w:b/>
                <w:sz w:val="12"/>
              </w:rPr>
              <w:t>CrewAI</w:t>
            </w:r>
          </w:p>
        </w:tc>
        <w:tc>
          <w:tcPr>
            <w:tcW w:type="dxa" w:w="929"/>
          </w:tcPr>
          <w:p>
            <w:pPr>
              <w:spacing w:after="0"/>
            </w:pPr>
            <w:r>
              <w:rPr>
                <w:rFonts w:ascii="Arial" w:hAnsi="Arial"/>
                <w:b/>
                <w:sz w:val="12"/>
              </w:rPr>
              <w:t>Notes</w:t>
            </w:r>
          </w:p>
        </w:tc>
      </w:tr>
      <w:tr>
        <w:tc>
          <w:tcPr>
            <w:tcW w:type="dxa" w:w="929"/>
          </w:tcPr>
          <w:p>
            <w:pPr>
              <w:spacing w:after="0"/>
            </w:pPr>
            <w:r>
              <w:rPr>
                <w:rFonts w:ascii="Arial" w:hAnsi="Arial"/>
                <w:b w:val="0"/>
                <w:sz w:val="12"/>
              </w:rPr>
              <w:t>MRO-01</w:t>
            </w:r>
          </w:p>
        </w:tc>
        <w:tc>
          <w:tcPr>
            <w:tcW w:type="dxa" w:w="929"/>
          </w:tcPr>
          <w:p>
            <w:pPr>
              <w:spacing w:after="0"/>
            </w:pPr>
            <w:r>
              <w:rPr>
                <w:rFonts w:ascii="Arial" w:hAnsi="Arial"/>
                <w:b w:val="0"/>
                <w:sz w:val="12"/>
              </w:rPr>
              <w:t>Human Role to MAS Responsibility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Role semantics appear explicit; IBM: Governance workflows may support role mapping; Others: Adjacent capabilities may exist but not lifecycle-specific.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MRO-02</w:t>
            </w:r>
          </w:p>
        </w:tc>
        <w:tc>
          <w:tcPr>
            <w:tcW w:type="dxa" w:w="929"/>
          </w:tcPr>
          <w:p>
            <w:pPr>
              <w:spacing w:after="0"/>
            </w:pPr>
            <w:r>
              <w:rPr>
                <w:rFonts w:ascii="Arial" w:hAnsi="Arial"/>
                <w:b w:val="0"/>
                <w:sz w:val="12"/>
              </w:rPr>
              <w:t>Delegated Authority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Authority boundary semantics appear explicit; AWS: Guardrails may provide boundary enforcement; Others: Access control ≠ authority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MRO-03</w:t>
            </w:r>
          </w:p>
        </w:tc>
        <w:tc>
          <w:tcPr>
            <w:tcW w:type="dxa" w:w="929"/>
          </w:tcPr>
          <w:p>
            <w:pPr>
              <w:spacing w:after="0"/>
            </w:pPr>
            <w:r>
              <w:rPr>
                <w:rFonts w:ascii="Arial" w:hAnsi="Arial"/>
                <w:b w:val="0"/>
                <w:sz w:val="12"/>
              </w:rPr>
              <w:t>Agent Role is not Human Role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Role distinction appears explicit; IBM: Governance workflows may distinguish roles; CrewAI: Agent role labels exist but ≠ accountability roles.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MRO-04</w:t>
            </w:r>
          </w:p>
        </w:tc>
        <w:tc>
          <w:tcPr>
            <w:tcW w:type="dxa" w:w="929"/>
          </w:tcPr>
          <w:p>
            <w:pPr>
              <w:spacing w:after="0"/>
            </w:pPr>
            <w:r>
              <w:rPr>
                <w:rFonts w:ascii="Arial" w:hAnsi="Arial"/>
                <w:b w:val="0"/>
                <w:sz w:val="12"/>
              </w:rPr>
              <w:t>Accepted Outcome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Confirm semantics appear explicit; IBM: Approval workflows may exist; Others: Task completion ≠ accepted outcome.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MRO-05</w:t>
            </w:r>
          </w:p>
        </w:tc>
        <w:tc>
          <w:tcPr>
            <w:tcW w:type="dxa" w:w="929"/>
          </w:tcPr>
          <w:p>
            <w:pPr>
              <w:spacing w:after="0"/>
            </w:pPr>
            <w:r>
              <w:rPr>
                <w:rFonts w:ascii="Arial" w:hAnsi="Arial"/>
                <w:b w:val="0"/>
                <w:sz w:val="12"/>
              </w:rPr>
              <w:t>Tool-Action Liability Boundary</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Tool-action semantics appear explicit; AWS: Guardrails may provide tool-action controls; Others: Tool calling ≠ liability boundary.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MRO-06</w:t>
            </w:r>
          </w:p>
        </w:tc>
        <w:tc>
          <w:tcPr>
            <w:tcW w:type="dxa" w:w="929"/>
          </w:tcPr>
          <w:p>
            <w:pPr>
              <w:spacing w:after="0"/>
            </w:pPr>
            <w:r>
              <w:rPr>
                <w:rFonts w:ascii="Arial" w:hAnsi="Arial"/>
                <w:b w:val="0"/>
                <w:sz w:val="12"/>
              </w:rPr>
              <w:t>Responsibility Transfer Across Agents</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MPLP: Handoff semantics appear explicit; LangGraph: Orchestration may support handoff; Others: Handoff ≠ responsibility transfer.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MRO-07</w:t>
            </w:r>
          </w:p>
        </w:tc>
        <w:tc>
          <w:tcPr>
            <w:tcW w:type="dxa" w:w="929"/>
          </w:tcPr>
          <w:p>
            <w:pPr>
              <w:spacing w:after="0"/>
            </w:pPr>
            <w:r>
              <w:rPr>
                <w:rFonts w:ascii="Arial" w:hAnsi="Arial"/>
                <w:b w:val="0"/>
                <w:sz w:val="12"/>
              </w:rPr>
              <w:t>Authority Drift</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Drift detection semantics appear explicit; IBM: Model monitoring may detect drift; Others: Monitoring ≠ authority drift detection.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MRO-08</w:t>
            </w:r>
          </w:p>
        </w:tc>
        <w:tc>
          <w:tcPr>
            <w:tcW w:type="dxa" w:w="929"/>
          </w:tcPr>
          <w:p>
            <w:pPr>
              <w:spacing w:after="0"/>
            </w:pPr>
            <w:r>
              <w:rPr>
                <w:rFonts w:ascii="Arial" w:hAnsi="Arial"/>
                <w:b w:val="0"/>
                <w:sz w:val="12"/>
              </w:rPr>
              <w:t>MAS Evidence Partitioning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Evidence partitioning semantics appear explicit; IBM: Audit trail partitioning may exist; LangSmith: Trace partitioning may exist; Others: Logs ≠ partitioned evidence.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MRO-09</w:t>
            </w:r>
          </w:p>
        </w:tc>
        <w:tc>
          <w:tcPr>
            <w:tcW w:type="dxa" w:w="929"/>
          </w:tcPr>
          <w:p>
            <w:pPr>
              <w:spacing w:after="0"/>
            </w:pPr>
            <w:r>
              <w:rPr>
                <w:rFonts w:ascii="Arial" w:hAnsi="Arial"/>
                <w:b w:val="0"/>
                <w:sz w:val="12"/>
              </w:rPr>
              <w:t>Cross-Project Reuse Compliance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Reuse validation semantics appear explicit; Others: Reuse ≠ reuse compliance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MRO-10</w:t>
            </w:r>
          </w:p>
        </w:tc>
        <w:tc>
          <w:tcPr>
            <w:tcW w:type="dxa" w:w="929"/>
          </w:tcPr>
          <w:p>
            <w:pPr>
              <w:spacing w:after="0"/>
            </w:pPr>
            <w:r>
              <w:rPr>
                <w:rFonts w:ascii="Arial" w:hAnsi="Arial"/>
                <w:b w:val="0"/>
                <w:sz w:val="12"/>
              </w:rPr>
              <w:t>Privacy / GDPR Lifecycle Mapping</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Privacy lifecycle semantics appear explicit; IBM/Microsoft/Google: Data governance workflows may exist; Others: Data governance ≠ lifecycle privacy mapping.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MRO-11</w:t>
            </w:r>
          </w:p>
        </w:tc>
        <w:tc>
          <w:tcPr>
            <w:tcW w:type="dxa" w:w="929"/>
          </w:tcPr>
          <w:p>
            <w:pPr>
              <w:spacing w:after="0"/>
            </w:pPr>
            <w:r>
              <w:rPr>
                <w:rFonts w:ascii="Arial" w:hAnsi="Arial"/>
                <w:b w:val="0"/>
                <w:sz w:val="12"/>
              </w:rPr>
              <w:t>Privacy-Preserving Third-Party Validation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Validation semantics appear explicit; Others: Validation ≠ privacy-preserving validation protocol.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MRO-12</w:t>
            </w:r>
          </w:p>
        </w:tc>
        <w:tc>
          <w:tcPr>
            <w:tcW w:type="dxa" w:w="929"/>
          </w:tcPr>
          <w:p>
            <w:pPr>
              <w:spacing w:after="0"/>
            </w:pPr>
            <w:r>
              <w:rPr>
                <w:rFonts w:ascii="Arial" w:hAnsi="Arial"/>
                <w:b w:val="0"/>
                <w:sz w:val="12"/>
              </w:rPr>
              <w:t>Evidence Minimization and Selective Disclosure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Selective disclosure semantics appear explicit; IBM: Evidence export with minimization may exist; Others: Data export ≠ selective disclosure.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MRO-13</w:t>
            </w:r>
          </w:p>
        </w:tc>
        <w:tc>
          <w:tcPr>
            <w:tcW w:type="dxa" w:w="929"/>
          </w:tcPr>
          <w:p>
            <w:pPr>
              <w:spacing w:after="0"/>
            </w:pPr>
            <w:r>
              <w:rPr>
                <w:rFonts w:ascii="Arial" w:hAnsi="Arial"/>
                <w:b w:val="0"/>
                <w:sz w:val="12"/>
              </w:rPr>
              <w:t>Data Subject Rights vs Evidence Retention</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Retention reconciliation semantics appear explicit; IBM/Microsoft/Google: Data subject rights workflows may exist; Others: Data retention ≠ evidence retention reconciliation.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MRO-14</w:t>
            </w:r>
          </w:p>
        </w:tc>
        <w:tc>
          <w:tcPr>
            <w:tcW w:type="dxa" w:w="929"/>
          </w:tcPr>
          <w:p>
            <w:pPr>
              <w:spacing w:after="0"/>
            </w:pPr>
            <w:r>
              <w:rPr>
                <w:rFonts w:ascii="Arial" w:hAnsi="Arial"/>
                <w:b w:val="0"/>
                <w:sz w:val="12"/>
              </w:rPr>
              <w:t>Third-Party Processor / Subprocessor Chain</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IBM/Microsoft/AWS/Google: Processor chain documentation may exist; MPLP: Network semantics may support but require integration; Others: Processor chain ≠ responsibility chain.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MRO-15</w:t>
            </w:r>
          </w:p>
        </w:tc>
        <w:tc>
          <w:tcPr>
            <w:tcW w:type="dxa" w:w="929"/>
          </w:tcPr>
          <w:p>
            <w:pPr>
              <w:spacing w:after="0"/>
            </w:pPr>
            <w:r>
              <w:rPr>
                <w:rFonts w:ascii="Arial" w:hAnsi="Arial"/>
                <w:b w:val="0"/>
                <w:sz w:val="12"/>
              </w:rPr>
              <w:t>Vendor / Model / Runtime Substitution Conformance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Substitution conformance semantics appear explicit; IBM: Model version management may exist; Others: Model substitution ≠ conformance validation. Revalidated provisional; exact cell-level lifecycle-object support remains source-bound, narrowed, or L5 analytical interpretation.</w:t>
            </w:r>
          </w:p>
        </w:tc>
      </w:tr>
      <w:tr>
        <w:tc>
          <w:tcPr>
            <w:tcW w:type="dxa" w:w="929"/>
          </w:tcPr>
          <w:p>
            <w:pPr>
              <w:spacing w:after="0"/>
            </w:pPr>
            <w:r>
              <w:rPr>
                <w:rFonts w:ascii="Arial" w:hAnsi="Arial"/>
                <w:b w:val="0"/>
                <w:sz w:val="12"/>
              </w:rPr>
              <w:t>MRO-16</w:t>
            </w:r>
          </w:p>
        </w:tc>
        <w:tc>
          <w:tcPr>
            <w:tcW w:type="dxa" w:w="929"/>
          </w:tcPr>
          <w:p>
            <w:pPr>
              <w:spacing w:after="0"/>
            </w:pPr>
            <w:r>
              <w:rPr>
                <w:rFonts w:ascii="Arial" w:hAnsi="Arial"/>
                <w:b w:val="0"/>
                <w:sz w:val="12"/>
              </w:rPr>
              <w:t>Incident, Dispute, and Remediation Closure</w:t>
            </w:r>
          </w:p>
        </w:tc>
        <w:tc>
          <w:tcPr>
            <w:tcW w:type="dxa" w:w="929"/>
          </w:tcPr>
          <w:p>
            <w:pPr>
              <w:spacing w:after="0"/>
            </w:pPr>
            <w:r>
              <w:rPr>
                <w:rFonts w:ascii="Arial" w:hAnsi="Arial"/>
                <w:b w:val="0"/>
                <w:sz w:val="12"/>
              </w:rPr>
              <w:t>Strong object-level mapping (provisional)</w:t>
            </w:r>
          </w:p>
        </w:tc>
        <w:tc>
          <w:tcPr>
            <w:tcW w:type="dxa" w:w="929"/>
          </w:tcPr>
          <w:p>
            <w:pPr>
              <w:spacing w:after="0"/>
            </w:pPr>
            <w:r>
              <w:rPr>
                <w:rFonts w:ascii="Arial" w:hAnsi="Arial"/>
                <w:b w:val="0"/>
                <w:sz w:val="12"/>
              </w:rPr>
              <w:t>Strong workflow/feature mapping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Partial or adjacent capability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Weak or implementer-built only (provisional)</w:t>
            </w:r>
          </w:p>
        </w:tc>
        <w:tc>
          <w:tcPr>
            <w:tcW w:type="dxa" w:w="929"/>
          </w:tcPr>
          <w:p>
            <w:pPr>
              <w:spacing w:after="0"/>
            </w:pPr>
            <w:r>
              <w:rPr>
                <w:rFonts w:ascii="Arial" w:hAnsi="Arial"/>
                <w:b w:val="0"/>
                <w:sz w:val="12"/>
              </w:rPr>
              <w:t>MPLP: Closure semantics appear explicit; IBM: Incident management workflows may exist; Others: Incident response ≠ remediation closure with lifecycle evidence. Revalidated provisional; exact cell-level lifecycle-object support remains source-bound, narrowed, or L5 analytical interpretation.</w:t>
            </w:r>
          </w:p>
        </w:tc>
      </w:tr>
    </w:tbl>
    <w:p>
      <w:pPr>
        <w:pStyle w:val="Heading2"/>
      </w:pPr>
      <w:r>
        <w:t>D.3 Pattern-Level Interpretation</w:t>
      </w:r>
    </w:p>
    <w:p>
      <w:pPr>
        <w:spacing w:after="56"/>
      </w:pPr>
      <w:r>
        <w:t>The expanded MRO mapping reveals several provisional patterns across system categories. All mappings remain revalidated provisional after Phase 1C claim-level source binding.</w:t>
      </w:r>
    </w:p>
    <w:p>
      <w:pPr>
        <w:spacing w:after="56"/>
      </w:pPr>
      <w:r>
        <w:t>Pattern 1: Lifecycle protocol paths (MPLP) provisionally show strong object-level mapping across most MROs.</w:t>
      </w:r>
    </w:p>
    <w:p>
      <w:pPr>
        <w:spacing w:after="56"/>
      </w:pPr>
      <w:r>
        <w:t>Based on available protocol documentation, MPLP appears to provide explicit protocol-level semantics for lifecycle responsibility objects. However, protocol-level fit does not prove deployment conformance, operational effectiveness, or enterprise adoption. MPLP requires implementation validation, enterprise integration, and organizational adoption. Phase 1C follow-up located the official MPLP documentation entry point; mapping strength remains L5 analytical interpretation where not directly stated in protocol text.</w:t>
      </w:r>
    </w:p>
    <w:p>
      <w:pPr>
        <w:spacing w:after="56"/>
      </w:pPr>
      <w:r>
        <w:t>Pattern 2: Enterprise AI governance platforms (IBM watsonx.governance) provisionally show strong workflow/feature mapping across governance-related MROs.</w:t>
      </w:r>
    </w:p>
    <w:p>
      <w:pPr>
        <w:spacing w:after="56"/>
      </w:pPr>
      <w:r>
        <w:t>Based on available product documentation, IBM watsonx.governance appears to provide model governance workflows, audit trails, data governance, and incident management. These workflows may support lifecycle responsibility objects with configuration or integration. However, workflow/feature mapping does not automatically provide lifecycle responsibility semantics. Organizations must map workflows to lifecycle objects. Phase 1C follow-up located official IBM entry points; MRO cell mappings remain provisional.</w:t>
      </w:r>
    </w:p>
    <w:p>
      <w:pPr>
        <w:spacing w:after="56"/>
      </w:pPr>
      <w:r>
        <w:t>Pattern 3: Cloud AI platforms (Microsoft, AWS, Google) provisionally show strong workflow/feature mapping for data governance and processor chain MROs, but partial or adjacent capability for lifecycle-specific MROs.</w:t>
      </w:r>
    </w:p>
    <w:p>
      <w:pPr>
        <w:spacing w:after="56"/>
      </w:pPr>
      <w:r>
        <w:t>Based on available product documentation, cloud AI platforms appear to provide data governance, processor chain documentation, and compliance workflows. However, these platforms are designed for model governance and AI platform operations, not necessarily lifecycle responsibility-object governance. Lifecycle responsibility objects may require additional integration or custom implementation. Phase 1C follow-up located official Microsoft, AWS, and Google entry points; MRO cell mappings remain provisional.</w:t>
      </w:r>
    </w:p>
    <w:p>
      <w:pPr>
        <w:spacing w:after="56"/>
      </w:pPr>
      <w:r>
        <w:t>Pattern 4: Agent orchestration frameworks (LangGraph/LangSmith) provisionally show strong workflow/feature mapping for evidence partitioning and responsibility transfer, but partial or adjacent capability for other MROs.</w:t>
      </w:r>
    </w:p>
    <w:p>
      <w:pPr>
        <w:spacing w:after="56"/>
      </w:pPr>
      <w:r>
        <w:t>Based on available product documentation, LangGraph appears to provide orchestration primitives and LangSmith appears to provide tracing/observability primitives. These primitives may be useful for lifecycle governance but do not automatically provide lifecycle responsibility semantics. Organizations must build lifecycle governance on top of orchestration primitives. Phase 1C follow-up located official LangGraph/LangSmith entry points; MRO cell mappings remain provisional.</w:t>
      </w:r>
    </w:p>
    <w:p>
      <w:pPr>
        <w:spacing w:after="56"/>
      </w:pPr>
      <w:r>
        <w:t>Pattern 5: Developer agent SDKs (OpenAI Agents SDK, CrewAI) provisionally show weak or implementer-built only for most MROs.</w:t>
      </w:r>
    </w:p>
    <w:p>
      <w:pPr>
        <w:spacing w:after="56"/>
      </w:pPr>
      <w:r>
        <w:t>Based on available product documentation, developer agent SDKs appear to provide execution primitives but not final lifecycle governance primitives. Organizations must build lifecycle governance on top of execution primitives. This is not a weakness of the SDKs; it reflects their design purpose (execution, not governance). Phase 1C follow-up located official OpenAI Agents SDK and CrewAI entry points; MRO cell mappings remain provisional.</w:t>
      </w:r>
    </w:p>
    <w:p>
      <w:pPr>
        <w:spacing w:after="56"/>
      </w:pPr>
      <w:r>
        <w:t>Pattern 6: The field gap is not lack of AI tools. The field gap is lack of explicit lifecycle responsibility objects.</w:t>
      </w:r>
    </w:p>
    <w:p>
      <w:pPr>
        <w:spacing w:after="56"/>
      </w:pPr>
      <w:r>
        <w:t>All eight systems provide useful primitives for agentic AI. However, based on available public evidence, many lifecycle responsibility object primitives remain adjacent, implementer-built, or analytically inferred. Organizations must build lifecycle governance by integrating multiple systems, configuring workflows, or implementing custom lifecycle governance layers. This pattern remains revalidated provisional after Phase 1C claim-level source binding.</w:t>
      </w:r>
    </w:p>
    <w:p>
      <w:pPr>
        <w:pStyle w:val="Heading2"/>
      </w:pPr>
      <w:r>
        <w:t>D.4 Phase 1C Claim-Level Source Binding Note</w:t>
      </w:r>
    </w:p>
    <w:p>
      <w:pPr>
        <w:spacing w:after="56"/>
      </w:pPr>
      <w:r>
        <w:t>This appendix is based on public product documentation and protocol specifications available as of the white paper publication date. Phase 1C follow-up completed source-entry and claim-disposition review for Appendix D. Remaining finalization work is to:</w:t>
      </w:r>
    </w:p>
    <w:p>
      <w:pPr>
        <w:pStyle w:val="ListNumber"/>
        <w:spacing w:after="56"/>
      </w:pPr>
      <w:r>
        <w:t>Pin exact page-level citations for high-risk MRO cell claims where needed</w:t>
      </w:r>
    </w:p>
    <w:p>
      <w:pPr>
        <w:pStyle w:val="ListNumber"/>
        <w:spacing w:after="56"/>
      </w:pPr>
      <w:r>
        <w:t>Preserve L5 analytical status for MRO mappings not directly stated in official documentation</w:t>
      </w:r>
    </w:p>
    <w:p>
      <w:pPr>
        <w:pStyle w:val="ListNumber"/>
        <w:spacing w:after="56"/>
      </w:pPr>
      <w:r>
        <w:t>Retain provisional wording for all cross-system cells until publication approval</w:t>
      </w:r>
    </w:p>
    <w:p>
      <w:pPr>
        <w:pStyle w:val="ListNumber"/>
        <w:spacing w:after="56"/>
      </w:pPr>
      <w:r>
        <w:t>Verify all qualitative mapping values during final proofing</w:t>
      </w:r>
    </w:p>
    <w:p>
      <w:pPr>
        <w:pStyle w:val="ListNumber"/>
        <w:spacing w:after="56"/>
      </w:pPr>
      <w:r>
        <w:t>Mark uncertain mappings as source-support unresolved if exact page-level support cannot be pinned</w:t>
      </w:r>
    </w:p>
    <w:p>
      <w:pPr>
        <w:spacing w:after="56"/>
      </w:pPr>
      <w:r>
        <w:t>Phase 1D wide-table evaluation: Table T-D-01 is very wide (10 columns) and may require splitting, rotation, or alternative layout for readability in DOCX/PDF format.</w:t>
      </w:r>
    </w:p>
    <w:p>
      <w:pPr>
        <w:pStyle w:val="Heading1"/>
      </w:pPr>
      <w:r>
        <w:t>Appendix E — RCCS Detailed Scoring Rubrics</w:t>
      </w:r>
    </w:p>
    <w:p>
      <w:pPr>
        <w:spacing w:after="56"/>
      </w:pPr>
      <w:r>
        <w:t>Version: v0.3.2-FRC-R3</w:t>
      </w:r>
    </w:p>
    <w:p>
      <w:pPr>
        <w:pStyle w:val="Heading2"/>
      </w:pPr>
      <w:r>
        <w:t>E.0 RCCS Rubric Boundary</w:t>
      </w:r>
    </w:p>
    <w:p>
      <w:pPr>
        <w:spacing w:after="56"/>
      </w:pPr>
      <w:r>
        <w:t>This appendix provides detailed scoring rubrics for all ten RCCS (Regulatory Compliance Coverage Score) dimensions. These rubrics are analytical tools for evaluating system capability to support regulatory compliance coverage primitives. They are not legal compliance scores, certifications, or regulatory approvals.</w:t>
      </w:r>
    </w:p>
    <w:p>
      <w:pPr>
        <w:spacing w:after="56"/>
      </w:pPr>
      <w:r>
        <w:t>Boundary statement:</w:t>
      </w:r>
    </w:p>
    <w:p>
      <w:pPr>
        <w:pStyle w:val="ListBullet"/>
        <w:spacing w:after="56"/>
      </w:pPr>
      <w:r>
        <w:t>RCCS measures regulatory compliance coverage primitives. RCCS evaluates whether a system provides primitives that can support regulatory compliance coverage requirements. It does not prove legal compliance, regulatory approval, certification, audit readiness, or operational effectiveness.</w:t>
      </w:r>
    </w:p>
    <w:p>
      <w:pPr>
        <w:pStyle w:val="ListBullet"/>
        <w:spacing w:after="56"/>
      </w:pPr>
      <w:r>
        <w:t>High RCCS scores do not prove legal compliance. A high RCCS score indicates that a system provides primitives for regulatory compliance coverage. It does not prove that the system is legally compliant, operationally effective, or enterprise-ready.</w:t>
      </w:r>
    </w:p>
    <w:p>
      <w:pPr>
        <w:pStyle w:val="ListBullet"/>
        <w:spacing w:after="56"/>
      </w:pPr>
      <w:r>
        <w:t>Low RCCS scores do not prove non-compliance. A low RCCS score indicates gaps in regulatory compliance coverage primitives. It does not prove that the system is non-compliant, unsafe, or unsuitable for deployment.</w:t>
      </w:r>
    </w:p>
    <w:p>
      <w:pPr>
        <w:pStyle w:val="ListBullet"/>
        <w:spacing w:after="56"/>
      </w:pPr>
      <w:r>
        <w:t>RCCS scores are context-independent. RCCS scores measure system capability, not organizational practice. Organizations must interpret scores within their legal, regulatory, and operational context.</w:t>
      </w:r>
    </w:p>
    <w:p>
      <w:pPr>
        <w:pStyle w:val="ListBullet"/>
        <w:spacing w:after="56"/>
      </w:pPr>
      <w:r>
        <w:t>RCCS scores require evidence. All scores must be supported by evidence. The evidence level (L1-L5) affects the score multiplier using the canonical formula from Phase 1B-8C.</w:t>
      </w:r>
    </w:p>
    <w:p>
      <w:pPr>
        <w:pStyle w:val="ListBullet"/>
        <w:spacing w:after="56"/>
      </w:pPr>
      <w:r>
        <w:t>RCCS scores are not product rankings. Rubrics compare systems by regulatory compliance coverage primitives, not product quality, market leadership, or procurement suitability.</w:t>
      </w:r>
    </w:p>
    <w:p>
      <w:pPr>
        <w:pStyle w:val="Heading2"/>
      </w:pPr>
      <w:r>
        <w:t>E.1 How to Use RCCS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regulatory compliance coverage primitives.</w:t>
      </w:r>
    </w:p>
    <w:p>
      <w:pPr>
        <w:pStyle w:val="Heading2"/>
      </w:pPr>
      <w:r>
        <w:t>E.2 RCCS Detailed Rubrics</w:t>
      </w:r>
    </w:p>
    <w:p>
      <w:pPr>
        <w:pStyle w:val="Heading3"/>
      </w:pPr>
      <w:r>
        <w:t>RCCS-01: Risk Management</w:t>
      </w:r>
    </w:p>
    <w:p>
      <w:pPr>
        <w:spacing w:after="56"/>
      </w:pPr>
      <w:r>
        <w:t>Core question: Does the system provide primitives for AI risk identification, assessment, mitigation, and monitoring?</w:t>
      </w:r>
    </w:p>
    <w:p>
      <w:pPr>
        <w:spacing w:after="56"/>
      </w:pPr>
      <w:r>
        <w:t>What counts: Risk assessment frameworks, risk registers, risk mitigation controls, risk monitoring dashboards, risk escalation workflows</w:t>
      </w:r>
    </w:p>
    <w:p>
      <w:pPr>
        <w:spacing w:after="56"/>
      </w:pPr>
      <w:r>
        <w:t>What does not count: General software risk management, non-AI-specific risk controls, risk management without AI lifecycle integration</w:t>
      </w:r>
    </w:p>
    <w:p>
      <w:pPr>
        <w:keepNext/>
      </w:pPr>
      <w:r>
        <w:rPr>
          <w:b/>
          <w:sz w:val="16"/>
        </w:rPr>
        <w:t>Table T-E-01: RCCS-01 Risk Management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risk management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risk assessment, no risk register, no risk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risk management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risk management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Risk management mentioned in marketing docs but no implementation details</w:t>
            </w:r>
          </w:p>
        </w:tc>
        <w:tc>
          <w:tcPr>
            <w:tcW w:type="dxa" w:w="1704"/>
          </w:tcPr>
          <w:p>
            <w:pPr>
              <w:spacing w:after="0"/>
            </w:pPr>
            <w:r>
              <w:rPr>
                <w:rFonts w:ascii="Arial" w:hAnsi="Arial"/>
                <w:b w:val="0"/>
                <w:sz w:val="12"/>
              </w:rPr>
              <w:t>Risk management mentioned ≠ risk management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risk management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Risk assessment template exists but no risk register or monitoring</w:t>
            </w:r>
          </w:p>
        </w:tc>
        <w:tc>
          <w:tcPr>
            <w:tcW w:type="dxa" w:w="1704"/>
          </w:tcPr>
          <w:p>
            <w:pPr>
              <w:spacing w:after="0"/>
            </w:pPr>
            <w:r>
              <w:rPr>
                <w:rFonts w:ascii="Arial" w:hAnsi="Arial"/>
                <w:b w:val="0"/>
                <w:sz w:val="12"/>
              </w:rPr>
              <w:t>Risk template ≠ risk assessment workflow</w:t>
            </w:r>
          </w:p>
        </w:tc>
        <w:tc>
          <w:tcPr>
            <w:tcW w:type="dxa" w:w="1704"/>
          </w:tcPr>
          <w:p>
            <w:pPr>
              <w:spacing w:after="0"/>
            </w:pPr>
            <w:r>
              <w:rPr>
                <w:rFonts w:ascii="Arial" w:hAnsi="Arial"/>
                <w:b w:val="0"/>
                <w:sz w:val="12"/>
              </w:rPr>
              <w:t>Partial coverage;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risk management</w:t>
            </w:r>
          </w:p>
        </w:tc>
        <w:tc>
          <w:tcPr>
            <w:tcW w:type="dxa" w:w="1704"/>
          </w:tcPr>
          <w:p>
            <w:pPr>
              <w:spacing w:after="0"/>
            </w:pPr>
            <w:r>
              <w:rPr>
                <w:rFonts w:ascii="Arial" w:hAnsi="Arial"/>
                <w:b w:val="0"/>
                <w:sz w:val="12"/>
              </w:rPr>
              <w:t>Product documentation with risk assessment and register</w:t>
            </w:r>
          </w:p>
        </w:tc>
        <w:tc>
          <w:tcPr>
            <w:tcW w:type="dxa" w:w="1704"/>
          </w:tcPr>
          <w:p>
            <w:pPr>
              <w:spacing w:after="0"/>
            </w:pPr>
            <w:r>
              <w:rPr>
                <w:rFonts w:ascii="Arial" w:hAnsi="Arial"/>
                <w:b w:val="0"/>
                <w:sz w:val="12"/>
              </w:rPr>
              <w:t>Risk assessment workflow, risk register, basic mitigation controls</w:t>
            </w:r>
          </w:p>
        </w:tc>
        <w:tc>
          <w:tcPr>
            <w:tcW w:type="dxa" w:w="1704"/>
          </w:tcPr>
          <w:p>
            <w:pPr>
              <w:spacing w:after="0"/>
            </w:pPr>
            <w:r>
              <w:rPr>
                <w:rFonts w:ascii="Arial" w:hAnsi="Arial"/>
                <w:b w:val="0"/>
                <w:sz w:val="12"/>
              </w:rPr>
              <w:t>Risk register ≠ risk monitoring or escalation</w:t>
            </w:r>
          </w:p>
        </w:tc>
        <w:tc>
          <w:tcPr>
            <w:tcW w:type="dxa" w:w="1704"/>
          </w:tcPr>
          <w:p>
            <w:pPr>
              <w:spacing w:after="0"/>
            </w:pPr>
            <w:r>
              <w:rPr>
                <w:rFonts w:ascii="Arial" w:hAnsi="Arial"/>
                <w:b w:val="0"/>
                <w:sz w:val="12"/>
              </w:rPr>
              <w:t>Moderate coverage; monitoring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risk management</w:t>
            </w:r>
          </w:p>
        </w:tc>
        <w:tc>
          <w:tcPr>
            <w:tcW w:type="dxa" w:w="1704"/>
          </w:tcPr>
          <w:p>
            <w:pPr>
              <w:spacing w:after="0"/>
            </w:pPr>
            <w:r>
              <w:rPr>
                <w:rFonts w:ascii="Arial" w:hAnsi="Arial"/>
                <w:b w:val="0"/>
                <w:sz w:val="12"/>
              </w:rPr>
              <w:t>Product documentation with risk assessment, register, mitigation, and monitoring</w:t>
            </w:r>
          </w:p>
        </w:tc>
        <w:tc>
          <w:tcPr>
            <w:tcW w:type="dxa" w:w="1704"/>
          </w:tcPr>
          <w:p>
            <w:pPr>
              <w:spacing w:after="0"/>
            </w:pPr>
            <w:r>
              <w:rPr>
                <w:rFonts w:ascii="Arial" w:hAnsi="Arial"/>
                <w:b w:val="0"/>
                <w:sz w:val="12"/>
              </w:rPr>
              <w:t>Risk assessment workflow, risk register, mitigation controls, risk monitoring dashboard</w:t>
            </w:r>
          </w:p>
        </w:tc>
        <w:tc>
          <w:tcPr>
            <w:tcW w:type="dxa" w:w="1704"/>
          </w:tcPr>
          <w:p>
            <w:pPr>
              <w:spacing w:after="0"/>
            </w:pPr>
            <w:r>
              <w:rPr>
                <w:rFonts w:ascii="Arial" w:hAnsi="Arial"/>
                <w:b w:val="0"/>
                <w:sz w:val="12"/>
              </w:rPr>
              <w:t>Risk monitoring ≠ risk escalation or continuous improvement</w:t>
            </w:r>
          </w:p>
        </w:tc>
        <w:tc>
          <w:tcPr>
            <w:tcW w:type="dxa" w:w="1704"/>
          </w:tcPr>
          <w:p>
            <w:pPr>
              <w:spacing w:after="0"/>
            </w:pPr>
            <w:r>
              <w:rPr>
                <w:rFonts w:ascii="Arial" w:hAnsi="Arial"/>
                <w:b w:val="0"/>
                <w:sz w:val="12"/>
              </w:rPr>
              <w:t>Strong coverage; escalation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9 risk management system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RCCS-02: Data Governance</w:t>
      </w:r>
    </w:p>
    <w:p>
      <w:pPr>
        <w:spacing w:after="56"/>
      </w:pPr>
      <w:r>
        <w:t>Core question: Does the system provide primitives for data governance including data quality, data lineage, data access control, and data retention?</w:t>
      </w:r>
    </w:p>
    <w:p>
      <w:pPr>
        <w:spacing w:after="56"/>
      </w:pPr>
      <w:r>
        <w:t>What counts: Data quality checks, data lineage tracking, data access control, data retention policies, data subject rights workflows</w:t>
      </w:r>
    </w:p>
    <w:p>
      <w:pPr>
        <w:spacing w:after="56"/>
      </w:pPr>
      <w:r>
        <w:t>What does not count: General database management, data storage without governance, data access control without lifecycle integration</w:t>
      </w:r>
    </w:p>
    <w:p>
      <w:pPr>
        <w:keepNext/>
      </w:pPr>
      <w:r>
        <w:rPr>
          <w:b/>
          <w:sz w:val="16"/>
        </w:rPr>
        <w:t>Table T-E-02: RCCS-02 Data Governance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governance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quality checks, no data lineage, no data access control</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governance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governance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governance mentioned in marketing docs but no implementation details</w:t>
            </w:r>
          </w:p>
        </w:tc>
        <w:tc>
          <w:tcPr>
            <w:tcW w:type="dxa" w:w="1704"/>
          </w:tcPr>
          <w:p>
            <w:pPr>
              <w:spacing w:after="0"/>
            </w:pPr>
            <w:r>
              <w:rPr>
                <w:rFonts w:ascii="Arial" w:hAnsi="Arial"/>
                <w:b w:val="0"/>
                <w:sz w:val="12"/>
              </w:rPr>
              <w:t>Data governance mentioned ≠ data governance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governance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quality checks exist but no data lineage or retention policies</w:t>
            </w:r>
          </w:p>
        </w:tc>
        <w:tc>
          <w:tcPr>
            <w:tcW w:type="dxa" w:w="1704"/>
          </w:tcPr>
          <w:p>
            <w:pPr>
              <w:spacing w:after="0"/>
            </w:pPr>
            <w:r>
              <w:rPr>
                <w:rFonts w:ascii="Arial" w:hAnsi="Arial"/>
                <w:b w:val="0"/>
                <w:sz w:val="12"/>
              </w:rPr>
              <w:t>Data quality ≠ data lineage or retention</w:t>
            </w:r>
          </w:p>
        </w:tc>
        <w:tc>
          <w:tcPr>
            <w:tcW w:type="dxa" w:w="1704"/>
          </w:tcPr>
          <w:p>
            <w:pPr>
              <w:spacing w:after="0"/>
            </w:pPr>
            <w:r>
              <w:rPr>
                <w:rFonts w:ascii="Arial" w:hAnsi="Arial"/>
                <w:b w:val="0"/>
                <w:sz w:val="12"/>
              </w:rPr>
              <w:t>Partial coverage; lineage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governance</w:t>
            </w:r>
          </w:p>
        </w:tc>
        <w:tc>
          <w:tcPr>
            <w:tcW w:type="dxa" w:w="1704"/>
          </w:tcPr>
          <w:p>
            <w:pPr>
              <w:spacing w:after="0"/>
            </w:pPr>
            <w:r>
              <w:rPr>
                <w:rFonts w:ascii="Arial" w:hAnsi="Arial"/>
                <w:b w:val="0"/>
                <w:sz w:val="12"/>
              </w:rPr>
              <w:t>Product documentation with data quality, lineage, and access control</w:t>
            </w:r>
          </w:p>
        </w:tc>
        <w:tc>
          <w:tcPr>
            <w:tcW w:type="dxa" w:w="1704"/>
          </w:tcPr>
          <w:p>
            <w:pPr>
              <w:spacing w:after="0"/>
            </w:pPr>
            <w:r>
              <w:rPr>
                <w:rFonts w:ascii="Arial" w:hAnsi="Arial"/>
                <w:b w:val="0"/>
                <w:sz w:val="12"/>
              </w:rPr>
              <w:t>Data quality checks, data lineage tracking, data access control</w:t>
            </w:r>
          </w:p>
        </w:tc>
        <w:tc>
          <w:tcPr>
            <w:tcW w:type="dxa" w:w="1704"/>
          </w:tcPr>
          <w:p>
            <w:pPr>
              <w:spacing w:after="0"/>
            </w:pPr>
            <w:r>
              <w:rPr>
                <w:rFonts w:ascii="Arial" w:hAnsi="Arial"/>
                <w:b w:val="0"/>
                <w:sz w:val="12"/>
              </w:rPr>
              <w:t>Data access control ≠ data retention or subject rights</w:t>
            </w:r>
          </w:p>
        </w:tc>
        <w:tc>
          <w:tcPr>
            <w:tcW w:type="dxa" w:w="1704"/>
          </w:tcPr>
          <w:p>
            <w:pPr>
              <w:spacing w:after="0"/>
            </w:pPr>
            <w:r>
              <w:rPr>
                <w:rFonts w:ascii="Arial" w:hAnsi="Arial"/>
                <w:b w:val="0"/>
                <w:sz w:val="12"/>
              </w:rPr>
              <w:t>Moderate coverage; retention and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governance</w:t>
            </w:r>
          </w:p>
        </w:tc>
        <w:tc>
          <w:tcPr>
            <w:tcW w:type="dxa" w:w="1704"/>
          </w:tcPr>
          <w:p>
            <w:pPr>
              <w:spacing w:after="0"/>
            </w:pPr>
            <w:r>
              <w:rPr>
                <w:rFonts w:ascii="Arial" w:hAnsi="Arial"/>
                <w:b w:val="0"/>
                <w:sz w:val="12"/>
              </w:rPr>
              <w:t>Product documentation with data quality, lineage, access control, and retention</w:t>
            </w:r>
          </w:p>
        </w:tc>
        <w:tc>
          <w:tcPr>
            <w:tcW w:type="dxa" w:w="1704"/>
          </w:tcPr>
          <w:p>
            <w:pPr>
              <w:spacing w:after="0"/>
            </w:pPr>
            <w:r>
              <w:rPr>
                <w:rFonts w:ascii="Arial" w:hAnsi="Arial"/>
                <w:b w:val="0"/>
                <w:sz w:val="12"/>
              </w:rPr>
              <w:t>Data quality checks, data lineage tracking, data access control, data retention policies</w:t>
            </w:r>
          </w:p>
        </w:tc>
        <w:tc>
          <w:tcPr>
            <w:tcW w:type="dxa" w:w="1704"/>
          </w:tcPr>
          <w:p>
            <w:pPr>
              <w:spacing w:after="0"/>
            </w:pPr>
            <w:r>
              <w:rPr>
                <w:rFonts w:ascii="Arial" w:hAnsi="Arial"/>
                <w:b w:val="0"/>
                <w:sz w:val="12"/>
              </w:rPr>
              <w:t>Data retention ≠ data subject rights workflows</w:t>
            </w:r>
          </w:p>
        </w:tc>
        <w:tc>
          <w:tcPr>
            <w:tcW w:type="dxa" w:w="1704"/>
          </w:tcPr>
          <w:p>
            <w:pPr>
              <w:spacing w:after="0"/>
            </w:pPr>
            <w:r>
              <w:rPr>
                <w:rFonts w:ascii="Arial" w:hAnsi="Arial"/>
                <w:b w:val="0"/>
                <w:sz w:val="12"/>
              </w:rPr>
              <w:t>Strong coverage;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governance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RCCS-03: Documentation</w:t>
      </w:r>
    </w:p>
    <w:p>
      <w:pPr>
        <w:spacing w:after="56"/>
      </w:pPr>
      <w:r>
        <w:t>Core question: Does the system provide primitives for AI system documentation including model cards, system cards, and technical documentation?</w:t>
      </w:r>
    </w:p>
    <w:p>
      <w:pPr>
        <w:spacing w:after="56"/>
      </w:pPr>
      <w:r>
        <w:t>What counts: Model cards, system cards, technical documentation, API documentation, deployment documentation</w:t>
      </w:r>
    </w:p>
    <w:p>
      <w:pPr>
        <w:spacing w:after="56"/>
      </w:pPr>
      <w:r>
        <w:t>What does not count: General software documentation, marketing materials, documentation without AI lifecycle integration</w:t>
      </w:r>
    </w:p>
    <w:p>
      <w:pPr>
        <w:keepNext/>
      </w:pPr>
      <w:r>
        <w:rPr>
          <w:b/>
          <w:sz w:val="16"/>
        </w:rPr>
        <w:t>Table T-E-03: RCCS-03 Documentation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documentation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model cards, no system cards, no technical documentation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documentation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documentation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Documentation mentioned in marketing docs but no implementation details</w:t>
            </w:r>
          </w:p>
        </w:tc>
        <w:tc>
          <w:tcPr>
            <w:tcW w:type="dxa" w:w="1704"/>
          </w:tcPr>
          <w:p>
            <w:pPr>
              <w:spacing w:after="0"/>
            </w:pPr>
            <w:r>
              <w:rPr>
                <w:rFonts w:ascii="Arial" w:hAnsi="Arial"/>
                <w:b w:val="0"/>
                <w:sz w:val="12"/>
              </w:rPr>
              <w:t>Documentation mentioned ≠ documentation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documentation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Model card template exists but no system card or deployment documentation</w:t>
            </w:r>
          </w:p>
        </w:tc>
        <w:tc>
          <w:tcPr>
            <w:tcW w:type="dxa" w:w="1704"/>
          </w:tcPr>
          <w:p>
            <w:pPr>
              <w:spacing w:after="0"/>
            </w:pPr>
            <w:r>
              <w:rPr>
                <w:rFonts w:ascii="Arial" w:hAnsi="Arial"/>
                <w:b w:val="0"/>
                <w:sz w:val="12"/>
              </w:rPr>
              <w:t>Model card ≠ system card or deployment documentation</w:t>
            </w:r>
          </w:p>
        </w:tc>
        <w:tc>
          <w:tcPr>
            <w:tcW w:type="dxa" w:w="1704"/>
          </w:tcPr>
          <w:p>
            <w:pPr>
              <w:spacing w:after="0"/>
            </w:pPr>
            <w:r>
              <w:rPr>
                <w:rFonts w:ascii="Arial" w:hAnsi="Arial"/>
                <w:b w:val="0"/>
                <w:sz w:val="12"/>
              </w:rPr>
              <w:t>Partial coverage; system card and deployment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documentation</w:t>
            </w:r>
          </w:p>
        </w:tc>
        <w:tc>
          <w:tcPr>
            <w:tcW w:type="dxa" w:w="1704"/>
          </w:tcPr>
          <w:p>
            <w:pPr>
              <w:spacing w:after="0"/>
            </w:pPr>
            <w:r>
              <w:rPr>
                <w:rFonts w:ascii="Arial" w:hAnsi="Arial"/>
                <w:b w:val="0"/>
                <w:sz w:val="12"/>
              </w:rPr>
              <w:t>Product documentation with model cards and system cards</w:t>
            </w:r>
          </w:p>
        </w:tc>
        <w:tc>
          <w:tcPr>
            <w:tcW w:type="dxa" w:w="1704"/>
          </w:tcPr>
          <w:p>
            <w:pPr>
              <w:spacing w:after="0"/>
            </w:pPr>
            <w:r>
              <w:rPr>
                <w:rFonts w:ascii="Arial" w:hAnsi="Arial"/>
                <w:b w:val="0"/>
                <w:sz w:val="12"/>
              </w:rPr>
              <w:t>Model card template, system card template, basic technical documentation</w:t>
            </w:r>
          </w:p>
        </w:tc>
        <w:tc>
          <w:tcPr>
            <w:tcW w:type="dxa" w:w="1704"/>
          </w:tcPr>
          <w:p>
            <w:pPr>
              <w:spacing w:after="0"/>
            </w:pPr>
            <w:r>
              <w:rPr>
                <w:rFonts w:ascii="Arial" w:hAnsi="Arial"/>
                <w:b w:val="0"/>
                <w:sz w:val="12"/>
              </w:rPr>
              <w:t>System card ≠ deployment documentation or API documentation</w:t>
            </w:r>
          </w:p>
        </w:tc>
        <w:tc>
          <w:tcPr>
            <w:tcW w:type="dxa" w:w="1704"/>
          </w:tcPr>
          <w:p>
            <w:pPr>
              <w:spacing w:after="0"/>
            </w:pPr>
            <w:r>
              <w:rPr>
                <w:rFonts w:ascii="Arial" w:hAnsi="Arial"/>
                <w:b w:val="0"/>
                <w:sz w:val="12"/>
              </w:rPr>
              <w:t>Moderate coverage; deployment and API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documentation</w:t>
            </w:r>
          </w:p>
        </w:tc>
        <w:tc>
          <w:tcPr>
            <w:tcW w:type="dxa" w:w="1704"/>
          </w:tcPr>
          <w:p>
            <w:pPr>
              <w:spacing w:after="0"/>
            </w:pPr>
            <w:r>
              <w:rPr>
                <w:rFonts w:ascii="Arial" w:hAnsi="Arial"/>
                <w:b w:val="0"/>
                <w:sz w:val="12"/>
              </w:rPr>
              <w:t>Product documentation with model cards, system cards, and technical documentation</w:t>
            </w:r>
          </w:p>
        </w:tc>
        <w:tc>
          <w:tcPr>
            <w:tcW w:type="dxa" w:w="1704"/>
          </w:tcPr>
          <w:p>
            <w:pPr>
              <w:spacing w:after="0"/>
            </w:pPr>
            <w:r>
              <w:rPr>
                <w:rFonts w:ascii="Arial" w:hAnsi="Arial"/>
                <w:b w:val="0"/>
                <w:sz w:val="12"/>
              </w:rPr>
              <w:t>Model card template, system card template, technical documentation, API documentation</w:t>
            </w:r>
          </w:p>
        </w:tc>
        <w:tc>
          <w:tcPr>
            <w:tcW w:type="dxa" w:w="1704"/>
          </w:tcPr>
          <w:p>
            <w:pPr>
              <w:spacing w:after="0"/>
            </w:pPr>
            <w:r>
              <w:rPr>
                <w:rFonts w:ascii="Arial" w:hAnsi="Arial"/>
                <w:b w:val="0"/>
                <w:sz w:val="12"/>
              </w:rPr>
              <w:t>API documentation ≠ deployment documentation or lifecycle documentation</w:t>
            </w:r>
          </w:p>
        </w:tc>
        <w:tc>
          <w:tcPr>
            <w:tcW w:type="dxa" w:w="1704"/>
          </w:tcPr>
          <w:p>
            <w:pPr>
              <w:spacing w:after="0"/>
            </w:pPr>
            <w:r>
              <w:rPr>
                <w:rFonts w:ascii="Arial" w:hAnsi="Arial"/>
                <w:b w:val="0"/>
                <w:sz w:val="12"/>
              </w:rPr>
              <w:t>Strong coverage; deployment and lifecycle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11 technical documentation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RCCS-04: Record-Keeping</w:t>
      </w:r>
    </w:p>
    <w:p>
      <w:pPr>
        <w:spacing w:after="56"/>
      </w:pPr>
      <w:r>
        <w:t>Core question: Does the system provide primitives for record-keeping including audit trails, logs, and evidence export?</w:t>
      </w:r>
    </w:p>
    <w:p>
      <w:pPr>
        <w:spacing w:after="56"/>
      </w:pPr>
      <w:r>
        <w:t>What counts: Audit trails, logs, evidence export capability, log retention policies, log integrity validation</w:t>
      </w:r>
    </w:p>
    <w:p>
      <w:pPr>
        <w:spacing w:after="56"/>
      </w:pPr>
      <w:r>
        <w:t>What does not count: General application logs, logs without lifecycle integration, logs without export capability</w:t>
      </w:r>
    </w:p>
    <w:p>
      <w:pPr>
        <w:keepNext/>
      </w:pPr>
      <w:r>
        <w:rPr>
          <w:b/>
          <w:sz w:val="16"/>
        </w:rPr>
        <w:t>Table T-E-04: RCCS-04 Record-Keeping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record-keeping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audit trails, no logs, no evidence export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record-keeping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record-keeping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Record-keeping mentioned in marketing docs but no implementation details</w:t>
            </w:r>
          </w:p>
        </w:tc>
        <w:tc>
          <w:tcPr>
            <w:tcW w:type="dxa" w:w="1704"/>
          </w:tcPr>
          <w:p>
            <w:pPr>
              <w:spacing w:after="0"/>
            </w:pPr>
            <w:r>
              <w:rPr>
                <w:rFonts w:ascii="Arial" w:hAnsi="Arial"/>
                <w:b w:val="0"/>
                <w:sz w:val="12"/>
              </w:rPr>
              <w:t>Record-keeping mentioned ≠ record-keeping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record-keeping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Audit trails exist but no evidence export or retention policies</w:t>
            </w:r>
          </w:p>
        </w:tc>
        <w:tc>
          <w:tcPr>
            <w:tcW w:type="dxa" w:w="1704"/>
          </w:tcPr>
          <w:p>
            <w:pPr>
              <w:spacing w:after="0"/>
            </w:pPr>
            <w:r>
              <w:rPr>
                <w:rFonts w:ascii="Arial" w:hAnsi="Arial"/>
                <w:b w:val="0"/>
                <w:sz w:val="12"/>
              </w:rPr>
              <w:t>Audit trails ≠ evidence export or retention</w:t>
            </w:r>
          </w:p>
        </w:tc>
        <w:tc>
          <w:tcPr>
            <w:tcW w:type="dxa" w:w="1704"/>
          </w:tcPr>
          <w:p>
            <w:pPr>
              <w:spacing w:after="0"/>
            </w:pPr>
            <w:r>
              <w:rPr>
                <w:rFonts w:ascii="Arial" w:hAnsi="Arial"/>
                <w:b w:val="0"/>
                <w:sz w:val="12"/>
              </w:rPr>
              <w:t>Partial coverage; export and retention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record-keeping</w:t>
            </w:r>
          </w:p>
        </w:tc>
        <w:tc>
          <w:tcPr>
            <w:tcW w:type="dxa" w:w="1704"/>
          </w:tcPr>
          <w:p>
            <w:pPr>
              <w:spacing w:after="0"/>
            </w:pPr>
            <w:r>
              <w:rPr>
                <w:rFonts w:ascii="Arial" w:hAnsi="Arial"/>
                <w:b w:val="0"/>
                <w:sz w:val="12"/>
              </w:rPr>
              <w:t>Product documentation with audit trails and evidence export</w:t>
            </w:r>
          </w:p>
        </w:tc>
        <w:tc>
          <w:tcPr>
            <w:tcW w:type="dxa" w:w="1704"/>
          </w:tcPr>
          <w:p>
            <w:pPr>
              <w:spacing w:after="0"/>
            </w:pPr>
            <w:r>
              <w:rPr>
                <w:rFonts w:ascii="Arial" w:hAnsi="Arial"/>
                <w:b w:val="0"/>
                <w:sz w:val="12"/>
              </w:rPr>
              <w:t>Audit trails, evidence export capability, basic log retention policies</w:t>
            </w:r>
          </w:p>
        </w:tc>
        <w:tc>
          <w:tcPr>
            <w:tcW w:type="dxa" w:w="1704"/>
          </w:tcPr>
          <w:p>
            <w:pPr>
              <w:spacing w:after="0"/>
            </w:pPr>
            <w:r>
              <w:rPr>
                <w:rFonts w:ascii="Arial" w:hAnsi="Arial"/>
                <w:b w:val="0"/>
                <w:sz w:val="12"/>
              </w:rPr>
              <w:t>Evidence export ≠ log integrity validation or selective disclosure</w:t>
            </w:r>
          </w:p>
        </w:tc>
        <w:tc>
          <w:tcPr>
            <w:tcW w:type="dxa" w:w="1704"/>
          </w:tcPr>
          <w:p>
            <w:pPr>
              <w:spacing w:after="0"/>
            </w:pPr>
            <w:r>
              <w:rPr>
                <w:rFonts w:ascii="Arial" w:hAnsi="Arial"/>
                <w:b w:val="0"/>
                <w:sz w:val="12"/>
              </w:rPr>
              <w:t>Moderate coverage; integrity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record-keeping</w:t>
            </w:r>
          </w:p>
        </w:tc>
        <w:tc>
          <w:tcPr>
            <w:tcW w:type="dxa" w:w="1704"/>
          </w:tcPr>
          <w:p>
            <w:pPr>
              <w:spacing w:after="0"/>
            </w:pPr>
            <w:r>
              <w:rPr>
                <w:rFonts w:ascii="Arial" w:hAnsi="Arial"/>
                <w:b w:val="0"/>
                <w:sz w:val="12"/>
              </w:rPr>
              <w:t>Product documentation with audit trails, evidence export, and retention</w:t>
            </w:r>
          </w:p>
        </w:tc>
        <w:tc>
          <w:tcPr>
            <w:tcW w:type="dxa" w:w="1704"/>
          </w:tcPr>
          <w:p>
            <w:pPr>
              <w:spacing w:after="0"/>
            </w:pPr>
            <w:r>
              <w:rPr>
                <w:rFonts w:ascii="Arial" w:hAnsi="Arial"/>
                <w:b w:val="0"/>
                <w:sz w:val="12"/>
              </w:rPr>
              <w:t>Audit trails, evidence export capability, log retention policies, log integrity validation</w:t>
            </w:r>
          </w:p>
        </w:tc>
        <w:tc>
          <w:tcPr>
            <w:tcW w:type="dxa" w:w="1704"/>
          </w:tcPr>
          <w:p>
            <w:pPr>
              <w:spacing w:after="0"/>
            </w:pPr>
            <w:r>
              <w:rPr>
                <w:rFonts w:ascii="Arial" w:hAnsi="Arial"/>
                <w:b w:val="0"/>
                <w:sz w:val="12"/>
              </w:rPr>
              <w:t>Log integrity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12 record-keeping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RCCS-05: Transparency</w:t>
      </w:r>
    </w:p>
    <w:p>
      <w:pPr>
        <w:spacing w:after="56"/>
      </w:pPr>
      <w:r>
        <w:t>Core question: Does the system provide primitives for transparency including explainability, interpretability, and disclosure?</w:t>
      </w:r>
    </w:p>
    <w:p>
      <w:pPr>
        <w:spacing w:after="56"/>
      </w:pPr>
      <w:r>
        <w:t>What counts: Explainability tools, interpretability methods, disclosure mechanisms, transparency reports</w:t>
      </w:r>
    </w:p>
    <w:p>
      <w:pPr>
        <w:spacing w:after="56"/>
      </w:pPr>
      <w:r>
        <w:t>What does not count: General UI transparency, transparency without AI lifecycle integration, transparency without disclosure capability</w:t>
      </w:r>
    </w:p>
    <w:p>
      <w:pPr>
        <w:keepNext/>
      </w:pPr>
      <w:r>
        <w:rPr>
          <w:b/>
          <w:sz w:val="16"/>
        </w:rPr>
        <w:t>Table T-E-05: RCCS-05 Transparency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transparency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explainability, no interpretability, no disclosure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transparency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transparency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Transparency mentioned in marketing docs but no implementation details</w:t>
            </w:r>
          </w:p>
        </w:tc>
        <w:tc>
          <w:tcPr>
            <w:tcW w:type="dxa" w:w="1704"/>
          </w:tcPr>
          <w:p>
            <w:pPr>
              <w:spacing w:after="0"/>
            </w:pPr>
            <w:r>
              <w:rPr>
                <w:rFonts w:ascii="Arial" w:hAnsi="Arial"/>
                <w:b w:val="0"/>
                <w:sz w:val="12"/>
              </w:rPr>
              <w:t>Transparency mentioned ≠ transparency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transparency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Explainability tools exist but no interpretability or disclosure mechanisms</w:t>
            </w:r>
          </w:p>
        </w:tc>
        <w:tc>
          <w:tcPr>
            <w:tcW w:type="dxa" w:w="1704"/>
          </w:tcPr>
          <w:p>
            <w:pPr>
              <w:spacing w:after="0"/>
            </w:pPr>
            <w:r>
              <w:rPr>
                <w:rFonts w:ascii="Arial" w:hAnsi="Arial"/>
                <w:b w:val="0"/>
                <w:sz w:val="12"/>
              </w:rPr>
              <w:t>Explainability ≠ interpretability or disclosure</w:t>
            </w:r>
          </w:p>
        </w:tc>
        <w:tc>
          <w:tcPr>
            <w:tcW w:type="dxa" w:w="1704"/>
          </w:tcPr>
          <w:p>
            <w:pPr>
              <w:spacing w:after="0"/>
            </w:pPr>
            <w:r>
              <w:rPr>
                <w:rFonts w:ascii="Arial" w:hAnsi="Arial"/>
                <w:b w:val="0"/>
                <w:sz w:val="12"/>
              </w:rPr>
              <w:t>Partial coverage; interpretability and disclosure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transparency</w:t>
            </w:r>
          </w:p>
        </w:tc>
        <w:tc>
          <w:tcPr>
            <w:tcW w:type="dxa" w:w="1704"/>
          </w:tcPr>
          <w:p>
            <w:pPr>
              <w:spacing w:after="0"/>
            </w:pPr>
            <w:r>
              <w:rPr>
                <w:rFonts w:ascii="Arial" w:hAnsi="Arial"/>
                <w:b w:val="0"/>
                <w:sz w:val="12"/>
              </w:rPr>
              <w:t>Product documentation with explainability and interpretability</w:t>
            </w:r>
          </w:p>
        </w:tc>
        <w:tc>
          <w:tcPr>
            <w:tcW w:type="dxa" w:w="1704"/>
          </w:tcPr>
          <w:p>
            <w:pPr>
              <w:spacing w:after="0"/>
            </w:pPr>
            <w:r>
              <w:rPr>
                <w:rFonts w:ascii="Arial" w:hAnsi="Arial"/>
                <w:b w:val="0"/>
                <w:sz w:val="12"/>
              </w:rPr>
              <w:t>Explainability tools, interpretability methods, basic disclosure mechanisms</w:t>
            </w:r>
          </w:p>
        </w:tc>
        <w:tc>
          <w:tcPr>
            <w:tcW w:type="dxa" w:w="1704"/>
          </w:tcPr>
          <w:p>
            <w:pPr>
              <w:spacing w:after="0"/>
            </w:pPr>
            <w:r>
              <w:rPr>
                <w:rFonts w:ascii="Arial" w:hAnsi="Arial"/>
                <w:b w:val="0"/>
                <w:sz w:val="12"/>
              </w:rPr>
              <w:t>Disclosure mechanisms ≠ transparency reports or selective disclosure</w:t>
            </w:r>
          </w:p>
        </w:tc>
        <w:tc>
          <w:tcPr>
            <w:tcW w:type="dxa" w:w="1704"/>
          </w:tcPr>
          <w:p>
            <w:pPr>
              <w:spacing w:after="0"/>
            </w:pPr>
            <w:r>
              <w:rPr>
                <w:rFonts w:ascii="Arial" w:hAnsi="Arial"/>
                <w:b w:val="0"/>
                <w:sz w:val="12"/>
              </w:rPr>
              <w:t>Moderate coverage; reporting and selective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transparency</w:t>
            </w:r>
          </w:p>
        </w:tc>
        <w:tc>
          <w:tcPr>
            <w:tcW w:type="dxa" w:w="1704"/>
          </w:tcPr>
          <w:p>
            <w:pPr>
              <w:spacing w:after="0"/>
            </w:pPr>
            <w:r>
              <w:rPr>
                <w:rFonts w:ascii="Arial" w:hAnsi="Arial"/>
                <w:b w:val="0"/>
                <w:sz w:val="12"/>
              </w:rPr>
              <w:t>Product documentation with explainability, interpretability, and disclosure</w:t>
            </w:r>
          </w:p>
        </w:tc>
        <w:tc>
          <w:tcPr>
            <w:tcW w:type="dxa" w:w="1704"/>
          </w:tcPr>
          <w:p>
            <w:pPr>
              <w:spacing w:after="0"/>
            </w:pPr>
            <w:r>
              <w:rPr>
                <w:rFonts w:ascii="Arial" w:hAnsi="Arial"/>
                <w:b w:val="0"/>
                <w:sz w:val="12"/>
              </w:rPr>
              <w:t>Explainability tools, interpretability methods, disclosure mechanisms, transparency reports</w:t>
            </w:r>
          </w:p>
        </w:tc>
        <w:tc>
          <w:tcPr>
            <w:tcW w:type="dxa" w:w="1704"/>
          </w:tcPr>
          <w:p>
            <w:pPr>
              <w:spacing w:after="0"/>
            </w:pPr>
            <w:r>
              <w:rPr>
                <w:rFonts w:ascii="Arial" w:hAnsi="Arial"/>
                <w:b w:val="0"/>
                <w:sz w:val="12"/>
              </w:rPr>
              <w:t>Transparency reports ≠ selective disclosure or evidence minimization</w:t>
            </w:r>
          </w:p>
        </w:tc>
        <w:tc>
          <w:tcPr>
            <w:tcW w:type="dxa" w:w="1704"/>
          </w:tcPr>
          <w:p>
            <w:pPr>
              <w:spacing w:after="0"/>
            </w:pPr>
            <w:r>
              <w:rPr>
                <w:rFonts w:ascii="Arial" w:hAnsi="Arial"/>
                <w:b w:val="0"/>
                <w:sz w:val="12"/>
              </w:rPr>
              <w:t>Strong coverage; selective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13 transparency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RCCS-06: Human Oversight</w:t>
      </w:r>
    </w:p>
    <w:p>
      <w:pPr>
        <w:spacing w:after="56"/>
      </w:pPr>
      <w:r>
        <w:t>Core question: Does the system provide primitives for human oversight including human-in-the-loop, human-on-the-loop, and human review workflows?</w:t>
      </w:r>
    </w:p>
    <w:p>
      <w:pPr>
        <w:spacing w:after="56"/>
      </w:pPr>
      <w:r>
        <w:t>What counts: Human-in-the-loop workflows, human-on-the-loop monitoring, human review workflows, escalation mechanisms</w:t>
      </w:r>
    </w:p>
    <w:p>
      <w:pPr>
        <w:spacing w:after="56"/>
      </w:pPr>
      <w:r>
        <w:t>What does not count: General approval buttons, human oversight without lifecycle integration, human oversight without accountability mapping</w:t>
      </w:r>
    </w:p>
    <w:p>
      <w:pPr>
        <w:keepNext/>
      </w:pPr>
      <w:r>
        <w:rPr>
          <w:b/>
          <w:sz w:val="16"/>
        </w:rPr>
        <w:t>Table T-E-06: RCCS-06 Human Oversight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 oversight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human-in-the-loop, no human-on-the-loop, no human review</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 oversight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 oversight</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 oversight mentioned in marketing docs but no implementation details</w:t>
            </w:r>
          </w:p>
        </w:tc>
        <w:tc>
          <w:tcPr>
            <w:tcW w:type="dxa" w:w="1704"/>
          </w:tcPr>
          <w:p>
            <w:pPr>
              <w:spacing w:after="0"/>
            </w:pPr>
            <w:r>
              <w:rPr>
                <w:rFonts w:ascii="Arial" w:hAnsi="Arial"/>
                <w:b w:val="0"/>
                <w:sz w:val="12"/>
              </w:rPr>
              <w:t>Human oversight mentioned ≠ human oversight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 oversight</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Approval button exists but no human-role-to-MAS responsibility mapping or escalation</w:t>
            </w:r>
          </w:p>
        </w:tc>
        <w:tc>
          <w:tcPr>
            <w:tcW w:type="dxa" w:w="1704"/>
          </w:tcPr>
          <w:p>
            <w:pPr>
              <w:spacing w:after="0"/>
            </w:pPr>
            <w:r>
              <w:rPr>
                <w:rFonts w:ascii="Arial" w:hAnsi="Arial"/>
                <w:b w:val="0"/>
                <w:sz w:val="12"/>
              </w:rPr>
              <w:t>Approval button ≠ human-role-to-MAS responsibility mapping</w:t>
            </w:r>
          </w:p>
        </w:tc>
        <w:tc>
          <w:tcPr>
            <w:tcW w:type="dxa" w:w="1704"/>
          </w:tcPr>
          <w:p>
            <w:pPr>
              <w:spacing w:after="0"/>
            </w:pPr>
            <w:r>
              <w:rPr>
                <w:rFonts w:ascii="Arial" w:hAnsi="Arial"/>
                <w:b w:val="0"/>
                <w:sz w:val="12"/>
              </w:rPr>
              <w:t>Partial coverage; responsibility mapping and escalation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 oversight</w:t>
            </w:r>
          </w:p>
        </w:tc>
        <w:tc>
          <w:tcPr>
            <w:tcW w:type="dxa" w:w="1704"/>
          </w:tcPr>
          <w:p>
            <w:pPr>
              <w:spacing w:after="0"/>
            </w:pPr>
            <w:r>
              <w:rPr>
                <w:rFonts w:ascii="Arial" w:hAnsi="Arial"/>
                <w:b w:val="0"/>
                <w:sz w:val="12"/>
              </w:rPr>
              <w:t>Product documentation with human-in-the-loop and human-on-the-loop</w:t>
            </w:r>
          </w:p>
        </w:tc>
        <w:tc>
          <w:tcPr>
            <w:tcW w:type="dxa" w:w="1704"/>
          </w:tcPr>
          <w:p>
            <w:pPr>
              <w:spacing w:after="0"/>
            </w:pPr>
            <w:r>
              <w:rPr>
                <w:rFonts w:ascii="Arial" w:hAnsi="Arial"/>
                <w:b w:val="0"/>
                <w:sz w:val="12"/>
              </w:rPr>
              <w:t>Human-in-the-loop workflows, human-on-the-loop monitoring, basic human review workflows</w:t>
            </w:r>
          </w:p>
        </w:tc>
        <w:tc>
          <w:tcPr>
            <w:tcW w:type="dxa" w:w="1704"/>
          </w:tcPr>
          <w:p>
            <w:pPr>
              <w:spacing w:after="0"/>
            </w:pPr>
            <w:r>
              <w:rPr>
                <w:rFonts w:ascii="Arial" w:hAnsi="Arial"/>
                <w:b w:val="0"/>
                <w:sz w:val="12"/>
              </w:rPr>
              <w:t>Human review ≠ escalation mechanisms or accountability mapping</w:t>
            </w:r>
          </w:p>
        </w:tc>
        <w:tc>
          <w:tcPr>
            <w:tcW w:type="dxa" w:w="1704"/>
          </w:tcPr>
          <w:p>
            <w:pPr>
              <w:spacing w:after="0"/>
            </w:pPr>
            <w:r>
              <w:rPr>
                <w:rFonts w:ascii="Arial" w:hAnsi="Arial"/>
                <w:b w:val="0"/>
                <w:sz w:val="12"/>
              </w:rPr>
              <w:t>Moderate coverage; escalation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 oversight</w:t>
            </w:r>
          </w:p>
        </w:tc>
        <w:tc>
          <w:tcPr>
            <w:tcW w:type="dxa" w:w="1704"/>
          </w:tcPr>
          <w:p>
            <w:pPr>
              <w:spacing w:after="0"/>
            </w:pPr>
            <w:r>
              <w:rPr>
                <w:rFonts w:ascii="Arial" w:hAnsi="Arial"/>
                <w:b w:val="0"/>
                <w:sz w:val="12"/>
              </w:rPr>
              <w:t>Product documentation with human-in-the-loop, human-on-the-loop, and escalation</w:t>
            </w:r>
          </w:p>
        </w:tc>
        <w:tc>
          <w:tcPr>
            <w:tcW w:type="dxa" w:w="1704"/>
          </w:tcPr>
          <w:p>
            <w:pPr>
              <w:spacing w:after="0"/>
            </w:pPr>
            <w:r>
              <w:rPr>
                <w:rFonts w:ascii="Arial" w:hAnsi="Arial"/>
                <w:b w:val="0"/>
                <w:sz w:val="12"/>
              </w:rPr>
              <w:t>Human-in-the-loop workflows, human-on-the-loop monitoring, human review workflows, escalation mechanisms</w:t>
            </w:r>
          </w:p>
        </w:tc>
        <w:tc>
          <w:tcPr>
            <w:tcW w:type="dxa" w:w="1704"/>
          </w:tcPr>
          <w:p>
            <w:pPr>
              <w:spacing w:after="0"/>
            </w:pPr>
            <w:r>
              <w:rPr>
                <w:rFonts w:ascii="Arial" w:hAnsi="Arial"/>
                <w:b w:val="0"/>
                <w:sz w:val="12"/>
              </w:rPr>
              <w:t>Escalation mechanisms ≠ accountability mapping or accepted outcome compliance</w:t>
            </w:r>
          </w:p>
        </w:tc>
        <w:tc>
          <w:tcPr>
            <w:tcW w:type="dxa" w:w="1704"/>
          </w:tcPr>
          <w:p>
            <w:pPr>
              <w:spacing w:after="0"/>
            </w:pPr>
            <w:r>
              <w:rPr>
                <w:rFonts w:ascii="Arial" w:hAnsi="Arial"/>
                <w:b w:val="0"/>
                <w:sz w:val="12"/>
              </w:rPr>
              <w:t>Strong coverage; accountability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RCCS-07: Security</w:t>
      </w:r>
    </w:p>
    <w:p>
      <w:pPr>
        <w:spacing w:after="56"/>
      </w:pPr>
      <w:r>
        <w:t>Core question: Does the system provide primitives for security including access control, authentication, authorization, and security monitoring?</w:t>
      </w:r>
    </w:p>
    <w:p>
      <w:pPr>
        <w:spacing w:after="56"/>
      </w:pPr>
      <w:r>
        <w:t>What counts: Access control, authentication, authorization, security monitoring, security incident response</w:t>
      </w:r>
    </w:p>
    <w:p>
      <w:pPr>
        <w:spacing w:after="56"/>
      </w:pPr>
      <w:r>
        <w:t>What does not count: General application security, security without AI lifecycle integration, security without lifecycle evidence</w:t>
      </w:r>
    </w:p>
    <w:p>
      <w:pPr>
        <w:keepNext/>
      </w:pPr>
      <w:r>
        <w:rPr>
          <w:b/>
          <w:sz w:val="16"/>
        </w:rPr>
        <w:t>Table T-E-07: RCCS-07 Security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security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access control, no authentication, no authorization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security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security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Security mentioned in marketing docs but no implementation details</w:t>
            </w:r>
          </w:p>
        </w:tc>
        <w:tc>
          <w:tcPr>
            <w:tcW w:type="dxa" w:w="1704"/>
          </w:tcPr>
          <w:p>
            <w:pPr>
              <w:spacing w:after="0"/>
            </w:pPr>
            <w:r>
              <w:rPr>
                <w:rFonts w:ascii="Arial" w:hAnsi="Arial"/>
                <w:b w:val="0"/>
                <w:sz w:val="12"/>
              </w:rPr>
              <w:t>Security mentioned ≠ security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security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Access control exists but no authentication or authorization for AI lifecycle</w:t>
            </w:r>
          </w:p>
        </w:tc>
        <w:tc>
          <w:tcPr>
            <w:tcW w:type="dxa" w:w="1704"/>
          </w:tcPr>
          <w:p>
            <w:pPr>
              <w:spacing w:after="0"/>
            </w:pPr>
            <w:r>
              <w:rPr>
                <w:rFonts w:ascii="Arial" w:hAnsi="Arial"/>
                <w:b w:val="0"/>
                <w:sz w:val="12"/>
              </w:rPr>
              <w:t>Access control ≠ authentication or authorization</w:t>
            </w:r>
          </w:p>
        </w:tc>
        <w:tc>
          <w:tcPr>
            <w:tcW w:type="dxa" w:w="1704"/>
          </w:tcPr>
          <w:p>
            <w:pPr>
              <w:spacing w:after="0"/>
            </w:pPr>
            <w:r>
              <w:rPr>
                <w:rFonts w:ascii="Arial" w:hAnsi="Arial"/>
                <w:b w:val="0"/>
                <w:sz w:val="12"/>
              </w:rPr>
              <w:t>Partial coverage; authentication and authorization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security</w:t>
            </w:r>
          </w:p>
        </w:tc>
        <w:tc>
          <w:tcPr>
            <w:tcW w:type="dxa" w:w="1704"/>
          </w:tcPr>
          <w:p>
            <w:pPr>
              <w:spacing w:after="0"/>
            </w:pPr>
            <w:r>
              <w:rPr>
                <w:rFonts w:ascii="Arial" w:hAnsi="Arial"/>
                <w:b w:val="0"/>
                <w:sz w:val="12"/>
              </w:rPr>
              <w:t>Product documentation with access control, authentication, and authorization</w:t>
            </w:r>
          </w:p>
        </w:tc>
        <w:tc>
          <w:tcPr>
            <w:tcW w:type="dxa" w:w="1704"/>
          </w:tcPr>
          <w:p>
            <w:pPr>
              <w:spacing w:after="0"/>
            </w:pPr>
            <w:r>
              <w:rPr>
                <w:rFonts w:ascii="Arial" w:hAnsi="Arial"/>
                <w:b w:val="0"/>
                <w:sz w:val="12"/>
              </w:rPr>
              <w:t>Access control, authentication, authorization, basic security monitoring</w:t>
            </w:r>
          </w:p>
        </w:tc>
        <w:tc>
          <w:tcPr>
            <w:tcW w:type="dxa" w:w="1704"/>
          </w:tcPr>
          <w:p>
            <w:pPr>
              <w:spacing w:after="0"/>
            </w:pPr>
            <w:r>
              <w:rPr>
                <w:rFonts w:ascii="Arial" w:hAnsi="Arial"/>
                <w:b w:val="0"/>
                <w:sz w:val="12"/>
              </w:rPr>
              <w:t>Security monitoring ≠ security incident response or lifecycle evidence</w:t>
            </w:r>
          </w:p>
        </w:tc>
        <w:tc>
          <w:tcPr>
            <w:tcW w:type="dxa" w:w="1704"/>
          </w:tcPr>
          <w:p>
            <w:pPr>
              <w:spacing w:after="0"/>
            </w:pPr>
            <w:r>
              <w:rPr>
                <w:rFonts w:ascii="Arial" w:hAnsi="Arial"/>
                <w:b w:val="0"/>
                <w:sz w:val="12"/>
              </w:rPr>
              <w:t>Moderate coverage; incident response and lifecycle evidence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security</w:t>
            </w:r>
          </w:p>
        </w:tc>
        <w:tc>
          <w:tcPr>
            <w:tcW w:type="dxa" w:w="1704"/>
          </w:tcPr>
          <w:p>
            <w:pPr>
              <w:spacing w:after="0"/>
            </w:pPr>
            <w:r>
              <w:rPr>
                <w:rFonts w:ascii="Arial" w:hAnsi="Arial"/>
                <w:b w:val="0"/>
                <w:sz w:val="12"/>
              </w:rPr>
              <w:t>Product documentation with access control, authentication, authorization, and monitoring</w:t>
            </w:r>
          </w:p>
        </w:tc>
        <w:tc>
          <w:tcPr>
            <w:tcW w:type="dxa" w:w="1704"/>
          </w:tcPr>
          <w:p>
            <w:pPr>
              <w:spacing w:after="0"/>
            </w:pPr>
            <w:r>
              <w:rPr>
                <w:rFonts w:ascii="Arial" w:hAnsi="Arial"/>
                <w:b w:val="0"/>
                <w:sz w:val="12"/>
              </w:rPr>
              <w:t>Access control, authentication, authorization, security monitoring, security incident response</w:t>
            </w:r>
          </w:p>
        </w:tc>
        <w:tc>
          <w:tcPr>
            <w:tcW w:type="dxa" w:w="1704"/>
          </w:tcPr>
          <w:p>
            <w:pPr>
              <w:spacing w:after="0"/>
            </w:pPr>
            <w:r>
              <w:rPr>
                <w:rFonts w:ascii="Arial" w:hAnsi="Arial"/>
                <w:b w:val="0"/>
                <w:sz w:val="12"/>
              </w:rPr>
              <w:t>Security incident response ≠ lifecycle evidence or delegated authority boundary</w:t>
            </w:r>
          </w:p>
        </w:tc>
        <w:tc>
          <w:tcPr>
            <w:tcW w:type="dxa" w:w="1704"/>
          </w:tcPr>
          <w:p>
            <w:pPr>
              <w:spacing w:after="0"/>
            </w:pPr>
            <w:r>
              <w:rPr>
                <w:rFonts w:ascii="Arial" w:hAnsi="Arial"/>
                <w:b w:val="0"/>
                <w:sz w:val="12"/>
              </w:rPr>
              <w:t>Strong coverage; lifecycle evidence and authority boundary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Baseline source: NIST AI RMF security requirements; implementation evidence: audit report, operational artifact, protocol evidence, or validated workflow record</w:t>
            </w:r>
          </w:p>
        </w:tc>
        <w:tc>
          <w:tcPr>
            <w:tcW w:type="dxa" w:w="1704"/>
          </w:tcPr>
          <w:p>
            <w:pPr>
              <w:spacing w:after="0"/>
            </w:pPr>
            <w:r>
              <w:rPr>
                <w:rFonts w:ascii="Arial" w:hAnsi="Arial"/>
                <w:b w:val="0"/>
                <w:sz w:val="12"/>
              </w:rPr>
              <w:t>Legal or standards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RCCS-08: Accountability</w:t>
      </w:r>
    </w:p>
    <w:p>
      <w:pPr>
        <w:spacing w:after="56"/>
      </w:pPr>
      <w:r>
        <w:t>Core question: Does the system provide primitives for accountability including role assignment, responsibility mapping, and accountability tracking?</w:t>
      </w:r>
    </w:p>
    <w:p>
      <w:pPr>
        <w:spacing w:after="56"/>
      </w:pPr>
      <w:r>
        <w:t>What counts: Role assignment, responsibility mapping, accountability tracking, accountability escalation</w:t>
      </w:r>
    </w:p>
    <w:p>
      <w:pPr>
        <w:spacing w:after="56"/>
      </w:pPr>
      <w:r>
        <w:t>What does not count: General user management, accountability without lifecycle integration, accountability without accepted outcome compliance</w:t>
      </w:r>
    </w:p>
    <w:p>
      <w:pPr>
        <w:keepNext/>
      </w:pPr>
      <w:r>
        <w:rPr>
          <w:b/>
          <w:sz w:val="16"/>
        </w:rPr>
        <w:t>Table T-E-08: RCCS-08 Accountability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accountability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role assignment, no responsibility mapping, no accountability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accountability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accountability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Accountability mentioned in marketing docs but no implementation details</w:t>
            </w:r>
          </w:p>
        </w:tc>
        <w:tc>
          <w:tcPr>
            <w:tcW w:type="dxa" w:w="1704"/>
          </w:tcPr>
          <w:p>
            <w:pPr>
              <w:spacing w:after="0"/>
            </w:pPr>
            <w:r>
              <w:rPr>
                <w:rFonts w:ascii="Arial" w:hAnsi="Arial"/>
                <w:b w:val="0"/>
                <w:sz w:val="12"/>
              </w:rPr>
              <w:t>Accountability mentioned ≠ accountability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accountability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Role assignment exists but no responsibility mapping or accountability tracking</w:t>
            </w:r>
          </w:p>
        </w:tc>
        <w:tc>
          <w:tcPr>
            <w:tcW w:type="dxa" w:w="1704"/>
          </w:tcPr>
          <w:p>
            <w:pPr>
              <w:spacing w:after="0"/>
            </w:pPr>
            <w:r>
              <w:rPr>
                <w:rFonts w:ascii="Arial" w:hAnsi="Arial"/>
                <w:b w:val="0"/>
                <w:sz w:val="12"/>
              </w:rPr>
              <w:t>Role assignment ≠ responsibility mapping or accountability tracking</w:t>
            </w:r>
          </w:p>
        </w:tc>
        <w:tc>
          <w:tcPr>
            <w:tcW w:type="dxa" w:w="1704"/>
          </w:tcPr>
          <w:p>
            <w:pPr>
              <w:spacing w:after="0"/>
            </w:pPr>
            <w:r>
              <w:rPr>
                <w:rFonts w:ascii="Arial" w:hAnsi="Arial"/>
                <w:b w:val="0"/>
                <w:sz w:val="12"/>
              </w:rPr>
              <w:t>Partial coverage; responsibility mapping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accountability</w:t>
            </w:r>
          </w:p>
        </w:tc>
        <w:tc>
          <w:tcPr>
            <w:tcW w:type="dxa" w:w="1704"/>
          </w:tcPr>
          <w:p>
            <w:pPr>
              <w:spacing w:after="0"/>
            </w:pPr>
            <w:r>
              <w:rPr>
                <w:rFonts w:ascii="Arial" w:hAnsi="Arial"/>
                <w:b w:val="0"/>
                <w:sz w:val="12"/>
              </w:rPr>
              <w:t>Product documentation with role assignment and responsibility mapping</w:t>
            </w:r>
          </w:p>
        </w:tc>
        <w:tc>
          <w:tcPr>
            <w:tcW w:type="dxa" w:w="1704"/>
          </w:tcPr>
          <w:p>
            <w:pPr>
              <w:spacing w:after="0"/>
            </w:pPr>
            <w:r>
              <w:rPr>
                <w:rFonts w:ascii="Arial" w:hAnsi="Arial"/>
                <w:b w:val="0"/>
                <w:sz w:val="12"/>
              </w:rPr>
              <w:t>Role assignment, responsibility mapping, basic accountability tracking</w:t>
            </w:r>
          </w:p>
        </w:tc>
        <w:tc>
          <w:tcPr>
            <w:tcW w:type="dxa" w:w="1704"/>
          </w:tcPr>
          <w:p>
            <w:pPr>
              <w:spacing w:after="0"/>
            </w:pPr>
            <w:r>
              <w:rPr>
                <w:rFonts w:ascii="Arial" w:hAnsi="Arial"/>
                <w:b w:val="0"/>
                <w:sz w:val="12"/>
              </w:rPr>
              <w:t>Accountability tracking ≠ accountability escalation or accepted outcome compliance</w:t>
            </w:r>
          </w:p>
        </w:tc>
        <w:tc>
          <w:tcPr>
            <w:tcW w:type="dxa" w:w="1704"/>
          </w:tcPr>
          <w:p>
            <w:pPr>
              <w:spacing w:after="0"/>
            </w:pPr>
            <w:r>
              <w:rPr>
                <w:rFonts w:ascii="Arial" w:hAnsi="Arial"/>
                <w:b w:val="0"/>
                <w:sz w:val="12"/>
              </w:rPr>
              <w:t>Moderate coverage; escalation and accepted outcome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accountability</w:t>
            </w:r>
          </w:p>
        </w:tc>
        <w:tc>
          <w:tcPr>
            <w:tcW w:type="dxa" w:w="1704"/>
          </w:tcPr>
          <w:p>
            <w:pPr>
              <w:spacing w:after="0"/>
            </w:pPr>
            <w:r>
              <w:rPr>
                <w:rFonts w:ascii="Arial" w:hAnsi="Arial"/>
                <w:b w:val="0"/>
                <w:sz w:val="12"/>
              </w:rPr>
              <w:t>Product documentation with role assignment, responsibility mapping, and tracking</w:t>
            </w:r>
          </w:p>
        </w:tc>
        <w:tc>
          <w:tcPr>
            <w:tcW w:type="dxa" w:w="1704"/>
          </w:tcPr>
          <w:p>
            <w:pPr>
              <w:spacing w:after="0"/>
            </w:pPr>
            <w:r>
              <w:rPr>
                <w:rFonts w:ascii="Arial" w:hAnsi="Arial"/>
                <w:b w:val="0"/>
                <w:sz w:val="12"/>
              </w:rPr>
              <w:t>Role assignment, responsibility mapping, accountability tracking, accountability escalation</w:t>
            </w:r>
          </w:p>
        </w:tc>
        <w:tc>
          <w:tcPr>
            <w:tcW w:type="dxa" w:w="1704"/>
          </w:tcPr>
          <w:p>
            <w:pPr>
              <w:spacing w:after="0"/>
            </w:pPr>
            <w:r>
              <w:rPr>
                <w:rFonts w:ascii="Arial" w:hAnsi="Arial"/>
                <w:b w:val="0"/>
                <w:sz w:val="12"/>
              </w:rPr>
              <w:t>Accountability escalation ≠ accepted outcome compliance or human-role-to-MAS mapping</w:t>
            </w:r>
          </w:p>
        </w:tc>
        <w:tc>
          <w:tcPr>
            <w:tcW w:type="dxa" w:w="1704"/>
          </w:tcPr>
          <w:p>
            <w:pPr>
              <w:spacing w:after="0"/>
            </w:pPr>
            <w:r>
              <w:rPr>
                <w:rFonts w:ascii="Arial" w:hAnsi="Arial"/>
                <w:b w:val="0"/>
                <w:sz w:val="12"/>
              </w:rPr>
              <w:t>Strong coverage; accepted outcome and human-role-to-MAS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RCCS-09: Contestability</w:t>
      </w:r>
    </w:p>
    <w:p>
      <w:pPr>
        <w:spacing w:after="56"/>
      </w:pPr>
      <w:r>
        <w:t>Core question: Does the system provide primitives for contestability including dispute resolution, appeal mechanisms, and remediation workflows?</w:t>
      </w:r>
    </w:p>
    <w:p>
      <w:pPr>
        <w:spacing w:after="56"/>
      </w:pPr>
      <w:r>
        <w:t>What counts: Dispute resolution workflows, appeal mechanisms, remediation workflows, contestability tracking</w:t>
      </w:r>
    </w:p>
    <w:p>
      <w:pPr>
        <w:spacing w:after="56"/>
      </w:pPr>
      <w:r>
        <w:t>What does not count: General customer support, contestability without lifecycle integration, contestability without remediation closure</w:t>
      </w:r>
    </w:p>
    <w:p>
      <w:pPr>
        <w:keepNext/>
      </w:pPr>
      <w:r>
        <w:rPr>
          <w:b/>
          <w:sz w:val="16"/>
        </w:rPr>
        <w:t>Table T-E-09: RCCS-09 Contestability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contestability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dispute resolution, no appeal mechanisms, no remediation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contestability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contestability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Contestability mentioned in marketing docs but no implementation details</w:t>
            </w:r>
          </w:p>
        </w:tc>
        <w:tc>
          <w:tcPr>
            <w:tcW w:type="dxa" w:w="1704"/>
          </w:tcPr>
          <w:p>
            <w:pPr>
              <w:spacing w:after="0"/>
            </w:pPr>
            <w:r>
              <w:rPr>
                <w:rFonts w:ascii="Arial" w:hAnsi="Arial"/>
                <w:b w:val="0"/>
                <w:sz w:val="12"/>
              </w:rPr>
              <w:t>Contestability mentioned ≠ contestability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contestability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Dispute resolution workflow exists but no appeal mechanisms or remediation workflows</w:t>
            </w:r>
          </w:p>
        </w:tc>
        <w:tc>
          <w:tcPr>
            <w:tcW w:type="dxa" w:w="1704"/>
          </w:tcPr>
          <w:p>
            <w:pPr>
              <w:spacing w:after="0"/>
            </w:pPr>
            <w:r>
              <w:rPr>
                <w:rFonts w:ascii="Arial" w:hAnsi="Arial"/>
                <w:b w:val="0"/>
                <w:sz w:val="12"/>
              </w:rPr>
              <w:t>Dispute resolution ≠ appeal mechanisms or remediation workflows</w:t>
            </w:r>
          </w:p>
        </w:tc>
        <w:tc>
          <w:tcPr>
            <w:tcW w:type="dxa" w:w="1704"/>
          </w:tcPr>
          <w:p>
            <w:pPr>
              <w:spacing w:after="0"/>
            </w:pPr>
            <w:r>
              <w:rPr>
                <w:rFonts w:ascii="Arial" w:hAnsi="Arial"/>
                <w:b w:val="0"/>
                <w:sz w:val="12"/>
              </w:rPr>
              <w:t>Partial coverage; appeal and remediation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contestability</w:t>
            </w:r>
          </w:p>
        </w:tc>
        <w:tc>
          <w:tcPr>
            <w:tcW w:type="dxa" w:w="1704"/>
          </w:tcPr>
          <w:p>
            <w:pPr>
              <w:spacing w:after="0"/>
            </w:pPr>
            <w:r>
              <w:rPr>
                <w:rFonts w:ascii="Arial" w:hAnsi="Arial"/>
                <w:b w:val="0"/>
                <w:sz w:val="12"/>
              </w:rPr>
              <w:t>Product documentation with dispute resolution and appeal mechanisms</w:t>
            </w:r>
          </w:p>
        </w:tc>
        <w:tc>
          <w:tcPr>
            <w:tcW w:type="dxa" w:w="1704"/>
          </w:tcPr>
          <w:p>
            <w:pPr>
              <w:spacing w:after="0"/>
            </w:pPr>
            <w:r>
              <w:rPr>
                <w:rFonts w:ascii="Arial" w:hAnsi="Arial"/>
                <w:b w:val="0"/>
                <w:sz w:val="12"/>
              </w:rPr>
              <w:t>Dispute resolution workflows, appeal mechanisms, basic remediation workflows</w:t>
            </w:r>
          </w:p>
        </w:tc>
        <w:tc>
          <w:tcPr>
            <w:tcW w:type="dxa" w:w="1704"/>
          </w:tcPr>
          <w:p>
            <w:pPr>
              <w:spacing w:after="0"/>
            </w:pPr>
            <w:r>
              <w:rPr>
                <w:rFonts w:ascii="Arial" w:hAnsi="Arial"/>
                <w:b w:val="0"/>
                <w:sz w:val="12"/>
              </w:rPr>
              <w:t>Remediation workflows ≠ remediation closure or contestability tracking</w:t>
            </w:r>
          </w:p>
        </w:tc>
        <w:tc>
          <w:tcPr>
            <w:tcW w:type="dxa" w:w="1704"/>
          </w:tcPr>
          <w:p>
            <w:pPr>
              <w:spacing w:after="0"/>
            </w:pPr>
            <w:r>
              <w:rPr>
                <w:rFonts w:ascii="Arial" w:hAnsi="Arial"/>
                <w:b w:val="0"/>
                <w:sz w:val="12"/>
              </w:rPr>
              <w:t>Moderate coverage; closure and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contestability</w:t>
            </w:r>
          </w:p>
        </w:tc>
        <w:tc>
          <w:tcPr>
            <w:tcW w:type="dxa" w:w="1704"/>
          </w:tcPr>
          <w:p>
            <w:pPr>
              <w:spacing w:after="0"/>
            </w:pPr>
            <w:r>
              <w:rPr>
                <w:rFonts w:ascii="Arial" w:hAnsi="Arial"/>
                <w:b w:val="0"/>
                <w:sz w:val="12"/>
              </w:rPr>
              <w:t>Product documentation with dispute resolution, appeal, and remediation</w:t>
            </w:r>
          </w:p>
        </w:tc>
        <w:tc>
          <w:tcPr>
            <w:tcW w:type="dxa" w:w="1704"/>
          </w:tcPr>
          <w:p>
            <w:pPr>
              <w:spacing w:after="0"/>
            </w:pPr>
            <w:r>
              <w:rPr>
                <w:rFonts w:ascii="Arial" w:hAnsi="Arial"/>
                <w:b w:val="0"/>
                <w:sz w:val="12"/>
              </w:rPr>
              <w:t>Dispute resolution workflows, appeal mechanisms, remediation workflows, contestability tracking</w:t>
            </w:r>
          </w:p>
        </w:tc>
        <w:tc>
          <w:tcPr>
            <w:tcW w:type="dxa" w:w="1704"/>
          </w:tcPr>
          <w:p>
            <w:pPr>
              <w:spacing w:after="0"/>
            </w:pPr>
            <w:r>
              <w:rPr>
                <w:rFonts w:ascii="Arial" w:hAnsi="Arial"/>
                <w:b w:val="0"/>
                <w:sz w:val="12"/>
              </w:rPr>
              <w:t>Contestability tracking ≠ remediation closure or incident/dispute/remediation closure</w:t>
            </w:r>
          </w:p>
        </w:tc>
        <w:tc>
          <w:tcPr>
            <w:tcW w:type="dxa" w:w="1704"/>
          </w:tcPr>
          <w:p>
            <w:pPr>
              <w:spacing w:after="0"/>
            </w:pPr>
            <w:r>
              <w:rPr>
                <w:rFonts w:ascii="Arial" w:hAnsi="Arial"/>
                <w:b w:val="0"/>
                <w:sz w:val="12"/>
              </w:rPr>
              <w:t>Strong coverage; closure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22 right to contest automated decision-making;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3"/>
      </w:pPr>
      <w:r>
        <w:t>RCCS-10: Monitoring</w:t>
      </w:r>
    </w:p>
    <w:p>
      <w:pPr>
        <w:spacing w:after="56"/>
      </w:pPr>
      <w:r>
        <w:t>Core question: Does the system provide primitives for monitoring including performance monitoring, drift detection, and continuous improvement?</w:t>
      </w:r>
    </w:p>
    <w:p>
      <w:pPr>
        <w:spacing w:after="56"/>
      </w:pPr>
      <w:r>
        <w:t>What counts: Performance monitoring, drift detection, continuous improvement workflows, monitoring dashboards</w:t>
      </w:r>
    </w:p>
    <w:p>
      <w:pPr>
        <w:spacing w:after="56"/>
      </w:pPr>
      <w:r>
        <w:t>What does not count: General application monitoring, monitoring without AI lifecycle integration, monitoring without drift detection</w:t>
      </w:r>
    </w:p>
    <w:p>
      <w:pPr>
        <w:keepNext/>
      </w:pPr>
      <w:r>
        <w:rPr>
          <w:b/>
          <w:sz w:val="16"/>
        </w:rPr>
        <w:t>Table T-E-10: RCCS-10 Monitoring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monitoring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performance monitoring, no drift detection, no continuous improvement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monitoring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monitoring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Monitoring mentioned in marketing docs but no implementation details</w:t>
            </w:r>
          </w:p>
        </w:tc>
        <w:tc>
          <w:tcPr>
            <w:tcW w:type="dxa" w:w="1704"/>
          </w:tcPr>
          <w:p>
            <w:pPr>
              <w:spacing w:after="0"/>
            </w:pPr>
            <w:r>
              <w:rPr>
                <w:rFonts w:ascii="Arial" w:hAnsi="Arial"/>
                <w:b w:val="0"/>
                <w:sz w:val="12"/>
              </w:rPr>
              <w:t>Monitoring mentioned ≠ monitoring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monitoring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Performance monitoring exists but no drift detection or continuous improvement</w:t>
            </w:r>
          </w:p>
        </w:tc>
        <w:tc>
          <w:tcPr>
            <w:tcW w:type="dxa" w:w="1704"/>
          </w:tcPr>
          <w:p>
            <w:pPr>
              <w:spacing w:after="0"/>
            </w:pPr>
            <w:r>
              <w:rPr>
                <w:rFonts w:ascii="Arial" w:hAnsi="Arial"/>
                <w:b w:val="0"/>
                <w:sz w:val="12"/>
              </w:rPr>
              <w:t>Performance monitoring ≠ drift detection or continuous improvement</w:t>
            </w:r>
          </w:p>
        </w:tc>
        <w:tc>
          <w:tcPr>
            <w:tcW w:type="dxa" w:w="1704"/>
          </w:tcPr>
          <w:p>
            <w:pPr>
              <w:spacing w:after="0"/>
            </w:pPr>
            <w:r>
              <w:rPr>
                <w:rFonts w:ascii="Arial" w:hAnsi="Arial"/>
                <w:b w:val="0"/>
                <w:sz w:val="12"/>
              </w:rPr>
              <w:t>Partial coverage; drift detection and continuous improvement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monitoring</w:t>
            </w:r>
          </w:p>
        </w:tc>
        <w:tc>
          <w:tcPr>
            <w:tcW w:type="dxa" w:w="1704"/>
          </w:tcPr>
          <w:p>
            <w:pPr>
              <w:spacing w:after="0"/>
            </w:pPr>
            <w:r>
              <w:rPr>
                <w:rFonts w:ascii="Arial" w:hAnsi="Arial"/>
                <w:b w:val="0"/>
                <w:sz w:val="12"/>
              </w:rPr>
              <w:t>Product documentation with performance monitoring and drift detection</w:t>
            </w:r>
          </w:p>
        </w:tc>
        <w:tc>
          <w:tcPr>
            <w:tcW w:type="dxa" w:w="1704"/>
          </w:tcPr>
          <w:p>
            <w:pPr>
              <w:spacing w:after="0"/>
            </w:pPr>
            <w:r>
              <w:rPr>
                <w:rFonts w:ascii="Arial" w:hAnsi="Arial"/>
                <w:b w:val="0"/>
                <w:sz w:val="12"/>
              </w:rPr>
              <w:t>Performance monitoring, drift detection, basic continuous improvement workflows</w:t>
            </w:r>
          </w:p>
        </w:tc>
        <w:tc>
          <w:tcPr>
            <w:tcW w:type="dxa" w:w="1704"/>
          </w:tcPr>
          <w:p>
            <w:pPr>
              <w:spacing w:after="0"/>
            </w:pPr>
            <w:r>
              <w:rPr>
                <w:rFonts w:ascii="Arial" w:hAnsi="Arial"/>
                <w:b w:val="0"/>
                <w:sz w:val="12"/>
              </w:rPr>
              <w:t>Continuous improvement ≠ monitoring dashboards or authority drift detection</w:t>
            </w:r>
          </w:p>
        </w:tc>
        <w:tc>
          <w:tcPr>
            <w:tcW w:type="dxa" w:w="1704"/>
          </w:tcPr>
          <w:p>
            <w:pPr>
              <w:spacing w:after="0"/>
            </w:pPr>
            <w:r>
              <w:rPr>
                <w:rFonts w:ascii="Arial" w:hAnsi="Arial"/>
                <w:b w:val="0"/>
                <w:sz w:val="12"/>
              </w:rPr>
              <w:t>Moderate coverage; dashboards and authority drift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monitoring</w:t>
            </w:r>
          </w:p>
        </w:tc>
        <w:tc>
          <w:tcPr>
            <w:tcW w:type="dxa" w:w="1704"/>
          </w:tcPr>
          <w:p>
            <w:pPr>
              <w:spacing w:after="0"/>
            </w:pPr>
            <w:r>
              <w:rPr>
                <w:rFonts w:ascii="Arial" w:hAnsi="Arial"/>
                <w:b w:val="0"/>
                <w:sz w:val="12"/>
              </w:rPr>
              <w:t>Product documentation with performance monitoring, drift detection, and continuous improvement</w:t>
            </w:r>
          </w:p>
        </w:tc>
        <w:tc>
          <w:tcPr>
            <w:tcW w:type="dxa" w:w="1704"/>
          </w:tcPr>
          <w:p>
            <w:pPr>
              <w:spacing w:after="0"/>
            </w:pPr>
            <w:r>
              <w:rPr>
                <w:rFonts w:ascii="Arial" w:hAnsi="Arial"/>
                <w:b w:val="0"/>
                <w:sz w:val="12"/>
              </w:rPr>
              <w:t>Performance monitoring, drift detection, continuous improvement workflows, monitoring dashboards</w:t>
            </w:r>
          </w:p>
        </w:tc>
        <w:tc>
          <w:tcPr>
            <w:tcW w:type="dxa" w:w="1704"/>
          </w:tcPr>
          <w:p>
            <w:pPr>
              <w:spacing w:after="0"/>
            </w:pPr>
            <w:r>
              <w:rPr>
                <w:rFonts w:ascii="Arial" w:hAnsi="Arial"/>
                <w:b w:val="0"/>
                <w:sz w:val="12"/>
              </w:rPr>
              <w:t>Monitoring dashboards ≠ authority drift detection or lifecycle drift detection</w:t>
            </w:r>
          </w:p>
        </w:tc>
        <w:tc>
          <w:tcPr>
            <w:tcW w:type="dxa" w:w="1704"/>
          </w:tcPr>
          <w:p>
            <w:pPr>
              <w:spacing w:after="0"/>
            </w:pPr>
            <w:r>
              <w:rPr>
                <w:rFonts w:ascii="Arial" w:hAnsi="Arial"/>
                <w:b w:val="0"/>
                <w:sz w:val="12"/>
              </w:rPr>
              <w:t>Strong coverage; authority drift and lifecycle drift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capability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system implementation</w:t>
            </w:r>
          </w:p>
        </w:tc>
        <w:tc>
          <w:tcPr>
            <w:tcW w:type="dxa" w:w="1704"/>
          </w:tcPr>
          <w:p>
            <w:pPr>
              <w:spacing w:after="0"/>
            </w:pPr>
            <w:r>
              <w:rPr>
                <w:rFonts w:ascii="Arial" w:hAnsi="Arial"/>
                <w:b w:val="0"/>
                <w:sz w:val="12"/>
              </w:rPr>
              <w:t>Complete capability requires implementation evidence; legal text alone insufficient</w:t>
            </w:r>
          </w:p>
        </w:tc>
      </w:tr>
    </w:tbl>
    <w:p>
      <w:pPr>
        <w:pStyle w:val="Heading2"/>
      </w:pPr>
      <w:r>
        <w:t>E.3 RCCS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RCCS-04 Record-Keeping</w:t>
        <w:br/>
        <w:t>Raw Score: 4 (Strong capability)</w:t>
        <w:br/>
        <w:t>Evidence Level: L2 (Product documentation)</w:t>
        <w:br/>
        <w:t>Evidence Multiplier: 0.85</w:t>
        <w:br/>
        <w:t>Dimension Score: (4/5) × 100 × 0.85 = 68.0</w:t>
      </w:r>
    </w:p>
    <w:p>
      <w:pPr>
        <w:pStyle w:val="Heading2"/>
      </w:pPr>
      <w:r>
        <w:t>E.4 RCCS Scoring Notes and Negative Controls</w:t>
      </w:r>
    </w:p>
    <w:p>
      <w:pPr>
        <w:spacing w:after="56"/>
      </w:pPr>
      <w:r>
        <w:t>Negative controls prevent overclaim:</w:t>
      </w:r>
    </w:p>
    <w:p>
      <w:pPr>
        <w:pStyle w:val="ListNumber"/>
        <w:spacing w:after="56"/>
      </w:pPr>
      <w:r>
        <w:t>Risk management mentioned ≠ risk management implemented</w:t>
      </w:r>
    </w:p>
    <w:p>
      <w:pPr>
        <w:pStyle w:val="ListBullet"/>
        <w:spacing w:after="56"/>
      </w:pPr>
      <w:r>
        <w:t>Vendor marketing materials may mention risk management without providing implementation details</w:t>
      </w:r>
    </w:p>
    <w:p>
      <w:pPr>
        <w:pStyle w:val="ListBullet"/>
        <w:spacing w:after="56"/>
      </w:pPr>
      <w:r>
        <w:t>Require product documentation or audit evidence to validate implementation</w:t>
      </w:r>
    </w:p>
    <w:p>
      <w:pPr>
        <w:pStyle w:val="ListNumber"/>
        <w:spacing w:after="56"/>
      </w:pPr>
      <w:r>
        <w:t>Data quality ≠ data lineage or retention</w:t>
      </w:r>
    </w:p>
    <w:p>
      <w:pPr>
        <w:pStyle w:val="ListBullet"/>
        <w:spacing w:after="56"/>
      </w:pPr>
      <w:r>
        <w:t>Data quality checks do not automatically provide data lineage tracking or retention policies</w:t>
      </w:r>
    </w:p>
    <w:p>
      <w:pPr>
        <w:pStyle w:val="ListBullet"/>
        <w:spacing w:after="56"/>
      </w:pPr>
      <w:r>
        <w:t>Require explicit evidence of lineage and retention capabilities</w:t>
      </w:r>
    </w:p>
    <w:p>
      <w:pPr>
        <w:pStyle w:val="ListNumber"/>
        <w:spacing w:after="56"/>
      </w:pPr>
      <w:r>
        <w:t>Model card ≠ system card or deployment documentation</w:t>
      </w:r>
    </w:p>
    <w:p>
      <w:pPr>
        <w:pStyle w:val="ListBullet"/>
        <w:spacing w:after="56"/>
      </w:pPr>
      <w:r>
        <w:t>Model cards document model-level information but do not provide system-level or deployment-level documentation</w:t>
      </w:r>
    </w:p>
    <w:p>
      <w:pPr>
        <w:pStyle w:val="ListBullet"/>
        <w:spacing w:after="56"/>
      </w:pPr>
      <w:r>
        <w:t>Require explicit evidence of system cards and deployment documentation</w:t>
      </w:r>
    </w:p>
    <w:p>
      <w:pPr>
        <w:pStyle w:val="ListNumber"/>
        <w:spacing w:after="56"/>
      </w:pPr>
      <w:r>
        <w:t>Audit trails ≠ evidence export or retention</w:t>
      </w:r>
    </w:p>
    <w:p>
      <w:pPr>
        <w:pStyle w:val="ListBullet"/>
        <w:spacing w:after="56"/>
      </w:pPr>
      <w:r>
        <w:t>Audit trails provide execution records but do not automatically provide evidence export or retention capabilities</w:t>
      </w:r>
    </w:p>
    <w:p>
      <w:pPr>
        <w:pStyle w:val="ListBullet"/>
        <w:spacing w:after="56"/>
      </w:pPr>
      <w:r>
        <w:t>Require explicit evidence of export and retention capabilities</w:t>
      </w:r>
    </w:p>
    <w:p>
      <w:pPr>
        <w:pStyle w:val="ListNumber"/>
        <w:spacing w:after="56"/>
      </w:pPr>
      <w:r>
        <w:t>Explainability ≠ interpretability or disclosure</w:t>
      </w:r>
    </w:p>
    <w:p>
      <w:pPr>
        <w:pStyle w:val="ListBullet"/>
        <w:spacing w:after="56"/>
      </w:pPr>
      <w:r>
        <w:t>Explainability tools provide post-hoc explanations but do not automatically provide interpretability methods or disclosure mechanisms</w:t>
      </w:r>
    </w:p>
    <w:p>
      <w:pPr>
        <w:pStyle w:val="ListBullet"/>
        <w:spacing w:after="56"/>
      </w:pPr>
      <w:r>
        <w:t>Require explicit evidence of interpretability and disclosure capabilities</w:t>
      </w:r>
    </w:p>
    <w:p>
      <w:pPr>
        <w:pStyle w:val="ListNumber"/>
        <w:spacing w:after="56"/>
      </w:pPr>
      <w:r>
        <w:t>Approval button ≠ human-role-to-MAS responsibility mapping</w:t>
      </w:r>
    </w:p>
    <w:p>
      <w:pPr>
        <w:pStyle w:val="ListBullet"/>
        <w:spacing w:after="56"/>
      </w:pPr>
      <w:r>
        <w:t>Approval buttons provide UI controls but do not automatically provide human-role-to-MAS responsibility mapping or accountability tracking</w:t>
      </w:r>
    </w:p>
    <w:p>
      <w:pPr>
        <w:pStyle w:val="ListBullet"/>
        <w:spacing w:after="56"/>
      </w:pPr>
      <w:r>
        <w:t>Require explicit evidence of responsibility mapping and accountability tracking</w:t>
      </w:r>
    </w:p>
    <w:p>
      <w:pPr>
        <w:pStyle w:val="ListNumber"/>
        <w:spacing w:after="56"/>
      </w:pPr>
      <w:r>
        <w:t>Access control ≠ authentication or authorization</w:t>
      </w:r>
    </w:p>
    <w:p>
      <w:pPr>
        <w:pStyle w:val="ListBullet"/>
        <w:spacing w:after="56"/>
      </w:pPr>
      <w:r>
        <w:t>Access control provides basic security but does not automatically provide authentication or authorization for AI lifecycle</w:t>
      </w:r>
    </w:p>
    <w:p>
      <w:pPr>
        <w:pStyle w:val="ListBullet"/>
        <w:spacing w:after="56"/>
      </w:pPr>
      <w:r>
        <w:t>Require explicit evidence of authentication and authorization capabilities</w:t>
      </w:r>
    </w:p>
    <w:p>
      <w:pPr>
        <w:pStyle w:val="ListNumber"/>
        <w:spacing w:after="56"/>
      </w:pPr>
      <w:r>
        <w:t>Role assignment ≠ responsibility mapping or accountability tracking</w:t>
      </w:r>
    </w:p>
    <w:p>
      <w:pPr>
        <w:pStyle w:val="ListBullet"/>
        <w:spacing w:after="56"/>
      </w:pPr>
      <w:r>
        <w:t>Role assignment provides user management but does not automatically provide responsibility mapping or accountability tracking</w:t>
      </w:r>
    </w:p>
    <w:p>
      <w:pPr>
        <w:pStyle w:val="ListBullet"/>
        <w:spacing w:after="56"/>
      </w:pPr>
      <w:r>
        <w:t>Require explicit evidence of responsibility mapping and accountability tracking</w:t>
      </w:r>
    </w:p>
    <w:p>
      <w:pPr>
        <w:pStyle w:val="ListNumber"/>
        <w:spacing w:after="56"/>
      </w:pPr>
      <w:r>
        <w:t>Dispute resolution ≠ appeal mechanisms or remediation workflows</w:t>
      </w:r>
    </w:p>
    <w:p>
      <w:pPr>
        <w:pStyle w:val="ListBullet"/>
        <w:spacing w:after="56"/>
      </w:pPr>
      <w:r>
        <w:t>Dispute resolution workflows provide basic contestability but do not automatically provide appeal mechanisms or remediation workflows</w:t>
      </w:r>
    </w:p>
    <w:p>
      <w:pPr>
        <w:pStyle w:val="ListBullet"/>
        <w:spacing w:after="56"/>
      </w:pPr>
      <w:r>
        <w:t>Require explicit evidence of appeal and remediation capabilities</w:t>
      </w:r>
    </w:p>
    <w:p>
      <w:pPr>
        <w:pStyle w:val="ListNumber"/>
        <w:spacing w:after="56"/>
      </w:pPr>
      <w:r>
        <w:t>Performance monitoring ≠ drift detection or continuous improvement</w:t>
      </w:r>
    </w:p>
    <w:p>
      <w:pPr>
        <w:pStyle w:val="ListBullet"/>
        <w:spacing w:after="56"/>
      </w:pPr>
      <w:r>
        <w:t>Performance monitoring provides basic observability but does not automatically provide drift detection or continuous improvement workflows</w:t>
      </w:r>
    </w:p>
    <w:p>
      <w:pPr>
        <w:pStyle w:val="ListBullet"/>
        <w:spacing w:after="56"/>
      </w:pPr>
      <w:r>
        <w:t>Require explicit evidence of drift detection and continuous improvement capabilities</w:t>
      </w:r>
    </w:p>
    <w:p>
      <w:pPr>
        <w:spacing w:after="56"/>
      </w:pPr>
      <w:r>
        <w:t>Boundary discipline:</w:t>
      </w:r>
    </w:p>
    <w:p>
      <w:pPr>
        <w:pStyle w:val="ListBullet"/>
        <w:spacing w:after="56"/>
      </w:pPr>
      <w:r>
        <w:t>RCCS measures regulatory compliance coverage primitives, not legal compliance</w:t>
      </w:r>
    </w:p>
    <w:p>
      <w:pPr>
        <w:pStyle w:val="ListBullet"/>
        <w:spacing w:after="56"/>
      </w:pPr>
      <w:r>
        <w:t>High RCCS scores do not prove legal compliance, regulatory approval, or certification</w:t>
      </w:r>
    </w:p>
    <w:p>
      <w:pPr>
        <w:pStyle w:val="ListBullet"/>
        <w:spacing w:after="56"/>
      </w:pPr>
      <w:r>
        <w:t>Low RCCS scores do not prove non-compliance or unsuitability</w:t>
      </w:r>
    </w:p>
    <w:p>
      <w:pPr>
        <w:pStyle w:val="ListBullet"/>
        <w:spacing w:after="56"/>
      </w:pPr>
      <w:r>
        <w:t>RCCS scores are context-independent; organizations must interpret within their legal, regulatory, and operational context</w:t>
      </w:r>
    </w:p>
    <w:p>
      <w:pPr>
        <w:pStyle w:val="ListBullet"/>
        <w:spacing w:after="56"/>
      </w:pPr>
      <w:r>
        <w:t>RCCS scores require evidence; evidence level affects score multiplier</w:t>
      </w:r>
    </w:p>
    <w:p>
      <w:pPr>
        <w:pStyle w:val="ListBullet"/>
        <w:spacing w:after="56"/>
      </w:pPr>
      <w:r>
        <w:t>RCCS scores are not product rankings; they compare systems by regulatory compliance coverage primitives</w:t>
      </w:r>
    </w:p>
    <w:p>
      <w:pPr>
        <w:pStyle w:val="Heading1"/>
      </w:pPr>
      <w:r>
        <w:t>Appendix F — ALCS Detailed Scoring Rubrics</w:t>
      </w:r>
    </w:p>
    <w:p>
      <w:pPr>
        <w:spacing w:after="56"/>
      </w:pPr>
      <w:r>
        <w:t>Version: v0.3.2-FRC-R3</w:t>
      </w:r>
    </w:p>
    <w:p>
      <w:pPr>
        <w:pStyle w:val="Heading2"/>
      </w:pPr>
      <w:r>
        <w:t>F.0 ALCS Rubric Boundary</w:t>
      </w:r>
    </w:p>
    <w:p>
      <w:pPr>
        <w:spacing w:after="56"/>
      </w:pPr>
      <w:r>
        <w:t>This appendix provides detailed scoring rubrics for all fifteen ALCS (Agentic Lifecycle Conformance Score) dimensions. These rubrics are analytical tools for evaluating system capability to support agentic lifecycle responsibility object maturity. They are not legal compliance scores, certifications, or regulatory approvals.</w:t>
      </w:r>
    </w:p>
    <w:p>
      <w:pPr>
        <w:spacing w:after="56"/>
      </w:pPr>
      <w:r>
        <w:t>Boundary statement:</w:t>
      </w:r>
    </w:p>
    <w:p>
      <w:pPr>
        <w:pStyle w:val="ListBullet"/>
        <w:spacing w:after="56"/>
      </w:pPr>
      <w:r>
        <w:t>ALCS measures agentic lifecycle responsibility object maturity. ALCS evaluates whether a system provides primitives that can support agentic lifecycle responsibility tracking, delegation, and accountability. It does not prove legal compliance, regulatory approval, certification, audit readiness, or operational effectiveness.</w:t>
      </w:r>
    </w:p>
    <w:p>
      <w:pPr>
        <w:pStyle w:val="ListBullet"/>
        <w:spacing w:after="56"/>
      </w:pPr>
      <w:r>
        <w:t>High ALCS scores do not prove legal compliance. A high ALCS score indicates that a system provides primitives for agentic lifecycle responsibility management. It does not prove that the system is legally compliant, operationally effective, or enterprise-ready.</w:t>
      </w:r>
    </w:p>
    <w:p>
      <w:pPr>
        <w:pStyle w:val="ListBullet"/>
        <w:spacing w:after="56"/>
      </w:pPr>
      <w:r>
        <w:t>Low ALCS scores do not prove non-compliance. A low ALCS score indicates gaps in agentic lifecycle responsibility primitives. It does not prove that the system is non-compliant, unsafe, or unsuitable for deployment.</w:t>
      </w:r>
    </w:p>
    <w:p>
      <w:pPr>
        <w:pStyle w:val="ListBullet"/>
        <w:spacing w:after="56"/>
      </w:pPr>
      <w:r>
        <w:t>ALCS scores are context-independent. ALCS scores measure system capability, not organizational practice. Organizations must interpret scores within their legal, regulatory, and operational context.</w:t>
      </w:r>
    </w:p>
    <w:p>
      <w:pPr>
        <w:pStyle w:val="ListBullet"/>
        <w:spacing w:after="56"/>
      </w:pPr>
      <w:r>
        <w:t>ALCS scores require evidence. All scores must be supported by evidence. The evidence level (L1-L5) affects the score multiplier using the canonical formula from Phase 1B-8C.</w:t>
      </w:r>
    </w:p>
    <w:p>
      <w:pPr>
        <w:pStyle w:val="ListBullet"/>
        <w:spacing w:after="56"/>
      </w:pPr>
      <w:r>
        <w:t>ALCS scores are not product rankings. Rubrics compare systems by agentic lifecycle responsibility primitives, not product quality, market leadership, or procurement suitability.</w:t>
      </w:r>
    </w:p>
    <w:p>
      <w:pPr>
        <w:pStyle w:val="Heading2"/>
      </w:pPr>
      <w:r>
        <w:t>F.1 How to Use ALCS Rubrics</w:t>
      </w:r>
    </w:p>
    <w:p>
      <w:pPr>
        <w:spacing w:after="56"/>
      </w:pPr>
      <w:r>
        <w:t>Scoring process:</w:t>
      </w:r>
    </w:p>
    <w:p>
      <w:pPr>
        <w:pStyle w:val="ListNumber"/>
        <w:spacing w:after="56"/>
      </w:pPr>
      <w:r>
        <w:t>Assess raw capability (0-5) based on system capability against the rubric</w:t>
      </w:r>
    </w:p>
    <w:p>
      <w:pPr>
        <w:pStyle w:val="ListNumber"/>
        <w:spacing w:after="56"/>
      </w:pPr>
      <w:r>
        <w:t>Identify evidence level (L1-L5) based on source type</w:t>
      </w:r>
    </w:p>
    <w:p>
      <w:pPr>
        <w:pStyle w:val="ListNumber"/>
        <w:spacing w:after="56"/>
      </w:pPr>
      <w:r>
        <w:t>Apply evidence multiplier using canonical formula: Dimension Score = (Raw Score / 5) × 100 × Evidence Confidence Multiplier</w:t>
      </w:r>
    </w:p>
    <w:p>
      <w:pPr>
        <w:pStyle w:val="ListNumber"/>
        <w:spacing w:after="56"/>
      </w:pPr>
      <w:r>
        <w:t>Document justification explaining why the raw score and evidence level were assigned</w:t>
      </w:r>
    </w:p>
    <w:p>
      <w:pPr>
        <w:pStyle w:val="ListNumber"/>
        <w:spacing w:after="56"/>
      </w:pPr>
      <w:r>
        <w:t>Add boundary note clarifying what the score does and does not prove</w:t>
      </w:r>
    </w:p>
    <w:p>
      <w:pPr>
        <w:spacing w:after="56"/>
      </w:pPr>
      <w:r>
        <w:t>Canonical evidence multipliers (from Phase 1B-8C):</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Scoring scale:</w:t>
      </w:r>
    </w:p>
    <w:p>
      <w:pPr>
        <w:pStyle w:val="ListBullet"/>
        <w:spacing w:after="56"/>
      </w:pPr>
      <w:r>
        <w:t>0: No capability; no evidence</w:t>
      </w:r>
    </w:p>
    <w:p>
      <w:pPr>
        <w:pStyle w:val="ListBullet"/>
        <w:spacing w:after="56"/>
      </w:pPr>
      <w:r>
        <w:t>1: Minimal capability; weak evidence</w:t>
      </w:r>
    </w:p>
    <w:p>
      <w:pPr>
        <w:pStyle w:val="ListBullet"/>
        <w:spacing w:after="56"/>
      </w:pPr>
      <w:r>
        <w:t>2: Partial capability; some evidence</w:t>
      </w:r>
    </w:p>
    <w:p>
      <w:pPr>
        <w:pStyle w:val="ListBullet"/>
        <w:spacing w:after="56"/>
      </w:pPr>
      <w:r>
        <w:t>3: Moderate capability; documented evidence</w:t>
      </w:r>
    </w:p>
    <w:p>
      <w:pPr>
        <w:pStyle w:val="ListBullet"/>
        <w:spacing w:after="56"/>
      </w:pPr>
      <w:r>
        <w:t>4: Strong capability; validated evidence</w:t>
      </w:r>
    </w:p>
    <w:p>
      <w:pPr>
        <w:pStyle w:val="ListBullet"/>
        <w:spacing w:after="56"/>
      </w:pPr>
      <w:r>
        <w:t>5: Complete capability demonstrated by implementation evidence, formal audit evidence, protocol-level evidence, or validated operational artifacts. Legal text may establish a regulatory baseline but does not by itself prove implementation.</w:t>
      </w:r>
    </w:p>
    <w:p>
      <w:pPr>
        <w:spacing w:after="56"/>
      </w:pPr>
      <w:r>
        <w:t>In score-5 rows, legal references identify the regulatory baseline only. They do not count as implementation evidence unless paired with implementation artifacts, formal audit evidence, protocol-level evidence, or validated operational records.</w:t>
      </w:r>
    </w:p>
    <w:p>
      <w:pPr>
        <w:spacing w:after="56"/>
      </w:pPr>
      <w:r>
        <w:t>Negative controls:</w:t>
      </w:r>
    </w:p>
    <w:p>
      <w:pPr>
        <w:spacing w:after="56"/>
      </w:pPr>
      <w:r>
        <w:t>Each rubric includes negative controls to prevent overclaim. Negative controls distinguish adjacent capabilities from agentic lifecycle responsibility primitives.</w:t>
      </w:r>
    </w:p>
    <w:p>
      <w:pPr>
        <w:pStyle w:val="Heading2"/>
      </w:pPr>
      <w:r>
        <w:t>F.2 ALCS Detailed Rubrics</w:t>
      </w:r>
    </w:p>
    <w:p>
      <w:pPr>
        <w:pStyle w:val="Heading3"/>
      </w:pPr>
      <w:r>
        <w:t>ALCS-01: Human-Role-to-MAS Responsibility Mapping</w:t>
      </w:r>
    </w:p>
    <w:p>
      <w:pPr>
        <w:spacing w:after="56"/>
      </w:pPr>
      <w:r>
        <w:t>Core question: Does the system provide primitives for mapping human roles to multi-agent system (MAS) responsibilities?</w:t>
      </w:r>
    </w:p>
    <w:p>
      <w:pPr>
        <w:spacing w:after="56"/>
      </w:pPr>
      <w:r>
        <w:t>What counts: Human role definitions, MAS responsibility definitions, role-to-responsibility mapping, responsibility tracking, responsibility audit trails</w:t>
      </w:r>
    </w:p>
    <w:p>
      <w:pPr>
        <w:spacing w:after="56"/>
      </w:pPr>
      <w:r>
        <w:t>What does not count: General user management, role assignment without MAS integration, responsibility tracking without lifecycle integration</w:t>
      </w:r>
    </w:p>
    <w:p>
      <w:pPr>
        <w:keepNext/>
      </w:pPr>
      <w:r>
        <w:rPr>
          <w:b/>
          <w:sz w:val="16"/>
        </w:rPr>
        <w:t>Table T-F-01: ALCS-01 Human-Role-to-MAS Responsibility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human-role-to-MAS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human role definitions, no MAS responsibility definitions, no mapping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human-role-to-MAS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human-role-to-MAS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Human-role-to-MAS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human-role-to-MAS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Human role definitions exist but no MAS responsibility definitions or mapping</w:t>
            </w:r>
          </w:p>
        </w:tc>
        <w:tc>
          <w:tcPr>
            <w:tcW w:type="dxa" w:w="1704"/>
          </w:tcPr>
          <w:p>
            <w:pPr>
              <w:spacing w:after="0"/>
            </w:pPr>
            <w:r>
              <w:rPr>
                <w:rFonts w:ascii="Arial" w:hAnsi="Arial"/>
                <w:b w:val="0"/>
                <w:sz w:val="12"/>
              </w:rPr>
              <w:t>Human roles ≠ MAS responsibilities or mapping</w:t>
            </w:r>
          </w:p>
        </w:tc>
        <w:tc>
          <w:tcPr>
            <w:tcW w:type="dxa" w:w="1704"/>
          </w:tcPr>
          <w:p>
            <w:pPr>
              <w:spacing w:after="0"/>
            </w:pPr>
            <w:r>
              <w:rPr>
                <w:rFonts w:ascii="Arial" w:hAnsi="Arial"/>
                <w:b w:val="0"/>
                <w:sz w:val="12"/>
              </w:rPr>
              <w:t>Partial coverage; MAS responsibility and mapping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human-role-to-MAS mapping</w:t>
            </w:r>
          </w:p>
        </w:tc>
        <w:tc>
          <w:tcPr>
            <w:tcW w:type="dxa" w:w="1704"/>
          </w:tcPr>
          <w:p>
            <w:pPr>
              <w:spacing w:after="0"/>
            </w:pPr>
            <w:r>
              <w:rPr>
                <w:rFonts w:ascii="Arial" w:hAnsi="Arial"/>
                <w:b w:val="0"/>
                <w:sz w:val="12"/>
              </w:rPr>
              <w:t>Product documentation with human roles and MAS responsibilities</w:t>
            </w:r>
          </w:p>
        </w:tc>
        <w:tc>
          <w:tcPr>
            <w:tcW w:type="dxa" w:w="1704"/>
          </w:tcPr>
          <w:p>
            <w:pPr>
              <w:spacing w:after="0"/>
            </w:pPr>
            <w:r>
              <w:rPr>
                <w:rFonts w:ascii="Arial" w:hAnsi="Arial"/>
                <w:b w:val="0"/>
                <w:sz w:val="12"/>
              </w:rPr>
              <w:t>Human role definitions, MAS responsibility definitions, basic role-to-responsibility mapping</w:t>
            </w:r>
          </w:p>
        </w:tc>
        <w:tc>
          <w:tcPr>
            <w:tcW w:type="dxa" w:w="1704"/>
          </w:tcPr>
          <w:p>
            <w:pPr>
              <w:spacing w:after="0"/>
            </w:pPr>
            <w:r>
              <w:rPr>
                <w:rFonts w:ascii="Arial" w:hAnsi="Arial"/>
                <w:b w:val="0"/>
                <w:sz w:val="12"/>
              </w:rPr>
              <w:t>Role-to-responsibility mapping ≠ responsibility tracking or audit trails</w:t>
            </w:r>
          </w:p>
        </w:tc>
        <w:tc>
          <w:tcPr>
            <w:tcW w:type="dxa" w:w="1704"/>
          </w:tcPr>
          <w:p>
            <w:pPr>
              <w:spacing w:after="0"/>
            </w:pPr>
            <w:r>
              <w:rPr>
                <w:rFonts w:ascii="Arial" w:hAnsi="Arial"/>
                <w:b w:val="0"/>
                <w:sz w:val="12"/>
              </w:rPr>
              <w:t>Moderate coverage; tracking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human-role-to-MAS mapping</w:t>
            </w:r>
          </w:p>
        </w:tc>
        <w:tc>
          <w:tcPr>
            <w:tcW w:type="dxa" w:w="1704"/>
          </w:tcPr>
          <w:p>
            <w:pPr>
              <w:spacing w:after="0"/>
            </w:pPr>
            <w:r>
              <w:rPr>
                <w:rFonts w:ascii="Arial" w:hAnsi="Arial"/>
                <w:b w:val="0"/>
                <w:sz w:val="12"/>
              </w:rPr>
              <w:t>Product documentation with human roles, MAS responsibilities, and tracking</w:t>
            </w:r>
          </w:p>
        </w:tc>
        <w:tc>
          <w:tcPr>
            <w:tcW w:type="dxa" w:w="1704"/>
          </w:tcPr>
          <w:p>
            <w:pPr>
              <w:spacing w:after="0"/>
            </w:pPr>
            <w:r>
              <w:rPr>
                <w:rFonts w:ascii="Arial" w:hAnsi="Arial"/>
                <w:b w:val="0"/>
                <w:sz w:val="12"/>
              </w:rPr>
              <w:t>Human role definitions, MAS responsibility definitions, role-to-responsibility mapping, responsibility tracking</w:t>
            </w:r>
          </w:p>
        </w:tc>
        <w:tc>
          <w:tcPr>
            <w:tcW w:type="dxa" w:w="1704"/>
          </w:tcPr>
          <w:p>
            <w:pPr>
              <w:spacing w:after="0"/>
            </w:pPr>
            <w:r>
              <w:rPr>
                <w:rFonts w:ascii="Arial" w:hAnsi="Arial"/>
                <w:b w:val="0"/>
                <w:sz w:val="12"/>
              </w:rPr>
              <w:t>Responsibility tracking ≠ responsibility audit trails or accepted outcome compliance</w:t>
            </w:r>
          </w:p>
        </w:tc>
        <w:tc>
          <w:tcPr>
            <w:tcW w:type="dxa" w:w="1704"/>
          </w:tcPr>
          <w:p>
            <w:pPr>
              <w:spacing w:after="0"/>
            </w:pPr>
            <w:r>
              <w:rPr>
                <w:rFonts w:ascii="Arial" w:hAnsi="Arial"/>
                <w:b w:val="0"/>
                <w:sz w:val="12"/>
              </w:rPr>
              <w:t>Strong coverage; audit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human-role-to-MAS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requirement with MAS integration;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ALCS-02: Delegated Authority Boundary</w:t>
      </w:r>
    </w:p>
    <w:p>
      <w:pPr>
        <w:spacing w:after="56"/>
      </w:pPr>
      <w:r>
        <w:t>Core question: Does the system provide primitives for defining and enforcing delegated authority boundaries between humans and agents?</w:t>
      </w:r>
    </w:p>
    <w:p>
      <w:pPr>
        <w:spacing w:after="56"/>
      </w:pPr>
      <w:r>
        <w:t>What counts: Authority boundary definitions, authority delegation workflows, authority enforcement mechanisms, authority audit trails</w:t>
      </w:r>
    </w:p>
    <w:p>
      <w:pPr>
        <w:spacing w:after="56"/>
      </w:pPr>
      <w:r>
        <w:t>What does not count: General permission systems, authority without lifecycle integration, authority without delegation tracking</w:t>
      </w:r>
    </w:p>
    <w:p>
      <w:pPr>
        <w:keepNext/>
      </w:pPr>
      <w:r>
        <w:rPr>
          <w:b/>
          <w:sz w:val="16"/>
        </w:rPr>
        <w:t>Table T-F-02: ALCS-02 Delegated Authority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delegated authority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authority boundary definitions, no delegation workflows, no enforcement</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delegated authority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delegated authority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Delegated authority mentioned in marketing docs but no implementation details</w:t>
            </w:r>
          </w:p>
        </w:tc>
        <w:tc>
          <w:tcPr>
            <w:tcW w:type="dxa" w:w="1704"/>
          </w:tcPr>
          <w:p>
            <w:pPr>
              <w:spacing w:after="0"/>
            </w:pPr>
            <w:r>
              <w:rPr>
                <w:rFonts w:ascii="Arial" w:hAnsi="Arial"/>
                <w:b w:val="0"/>
                <w:sz w:val="12"/>
              </w:rPr>
              <w:t>Authority mentioned ≠ authority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delegated authority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Authority boundary definitions exist but no delegation workflows or enforcement</w:t>
            </w:r>
          </w:p>
        </w:tc>
        <w:tc>
          <w:tcPr>
            <w:tcW w:type="dxa" w:w="1704"/>
          </w:tcPr>
          <w:p>
            <w:pPr>
              <w:spacing w:after="0"/>
            </w:pPr>
            <w:r>
              <w:rPr>
                <w:rFonts w:ascii="Arial" w:hAnsi="Arial"/>
                <w:b w:val="0"/>
                <w:sz w:val="12"/>
              </w:rPr>
              <w:t>Authority definitions ≠ delegation workflows or enforcement</w:t>
            </w:r>
          </w:p>
        </w:tc>
        <w:tc>
          <w:tcPr>
            <w:tcW w:type="dxa" w:w="1704"/>
          </w:tcPr>
          <w:p>
            <w:pPr>
              <w:spacing w:after="0"/>
            </w:pPr>
            <w:r>
              <w:rPr>
                <w:rFonts w:ascii="Arial" w:hAnsi="Arial"/>
                <w:b w:val="0"/>
                <w:sz w:val="12"/>
              </w:rPr>
              <w:t>Partial coverage; delegation and enforcement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delegated authority boundary</w:t>
            </w:r>
          </w:p>
        </w:tc>
        <w:tc>
          <w:tcPr>
            <w:tcW w:type="dxa" w:w="1704"/>
          </w:tcPr>
          <w:p>
            <w:pPr>
              <w:spacing w:after="0"/>
            </w:pPr>
            <w:r>
              <w:rPr>
                <w:rFonts w:ascii="Arial" w:hAnsi="Arial"/>
                <w:b w:val="0"/>
                <w:sz w:val="12"/>
              </w:rPr>
              <w:t>Product documentation with authority boundaries and delegation</w:t>
            </w:r>
          </w:p>
        </w:tc>
        <w:tc>
          <w:tcPr>
            <w:tcW w:type="dxa" w:w="1704"/>
          </w:tcPr>
          <w:p>
            <w:pPr>
              <w:spacing w:after="0"/>
            </w:pPr>
            <w:r>
              <w:rPr>
                <w:rFonts w:ascii="Arial" w:hAnsi="Arial"/>
                <w:b w:val="0"/>
                <w:sz w:val="12"/>
              </w:rPr>
              <w:t>Authority boundary definitions, authority delegation workflows, basic enforcement mechanisms</w:t>
            </w:r>
          </w:p>
        </w:tc>
        <w:tc>
          <w:tcPr>
            <w:tcW w:type="dxa" w:w="1704"/>
          </w:tcPr>
          <w:p>
            <w:pPr>
              <w:spacing w:after="0"/>
            </w:pPr>
            <w:r>
              <w:rPr>
                <w:rFonts w:ascii="Arial" w:hAnsi="Arial"/>
                <w:b w:val="0"/>
                <w:sz w:val="12"/>
              </w:rPr>
              <w:t>Enforcement mechanisms ≠ authority audit trails or authority drift detection</w:t>
            </w:r>
          </w:p>
        </w:tc>
        <w:tc>
          <w:tcPr>
            <w:tcW w:type="dxa" w:w="1704"/>
          </w:tcPr>
          <w:p>
            <w:pPr>
              <w:spacing w:after="0"/>
            </w:pPr>
            <w:r>
              <w:rPr>
                <w:rFonts w:ascii="Arial" w:hAnsi="Arial"/>
                <w:b w:val="0"/>
                <w:sz w:val="12"/>
              </w:rPr>
              <w:t>Moderate coverage; audit and drift detection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delegated authority boundary</w:t>
            </w:r>
          </w:p>
        </w:tc>
        <w:tc>
          <w:tcPr>
            <w:tcW w:type="dxa" w:w="1704"/>
          </w:tcPr>
          <w:p>
            <w:pPr>
              <w:spacing w:after="0"/>
            </w:pPr>
            <w:r>
              <w:rPr>
                <w:rFonts w:ascii="Arial" w:hAnsi="Arial"/>
                <w:b w:val="0"/>
                <w:sz w:val="12"/>
              </w:rPr>
              <w:t>Product documentation with authority boundaries, delegation, and enforcement</w:t>
            </w:r>
          </w:p>
        </w:tc>
        <w:tc>
          <w:tcPr>
            <w:tcW w:type="dxa" w:w="1704"/>
          </w:tcPr>
          <w:p>
            <w:pPr>
              <w:spacing w:after="0"/>
            </w:pPr>
            <w:r>
              <w:rPr>
                <w:rFonts w:ascii="Arial" w:hAnsi="Arial"/>
                <w:b w:val="0"/>
                <w:sz w:val="12"/>
              </w:rPr>
              <w:t>Authority boundary definitions, authority delegation workflows, enforcement mechanisms, authority audit trails</w:t>
            </w:r>
          </w:p>
        </w:tc>
        <w:tc>
          <w:tcPr>
            <w:tcW w:type="dxa" w:w="1704"/>
          </w:tcPr>
          <w:p>
            <w:pPr>
              <w:spacing w:after="0"/>
            </w:pPr>
            <w:r>
              <w:rPr>
                <w:rFonts w:ascii="Arial" w:hAnsi="Arial"/>
                <w:b w:val="0"/>
                <w:sz w:val="12"/>
              </w:rPr>
              <w:t>Authority audit trails ≠ authority drift detection or responsibility transfer tracking</w:t>
            </w:r>
          </w:p>
        </w:tc>
        <w:tc>
          <w:tcPr>
            <w:tcW w:type="dxa" w:w="1704"/>
          </w:tcPr>
          <w:p>
            <w:pPr>
              <w:spacing w:after="0"/>
            </w:pPr>
            <w:r>
              <w:rPr>
                <w:rFonts w:ascii="Arial" w:hAnsi="Arial"/>
                <w:b w:val="0"/>
                <w:sz w:val="12"/>
              </w:rPr>
              <w:t>Strong coverage; drift detection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delegated authority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authority boundary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ALCS-03: Agent Role vs Human Role Distinction</w:t>
      </w:r>
    </w:p>
    <w:p>
      <w:pPr>
        <w:spacing w:after="56"/>
      </w:pPr>
      <w:r>
        <w:t>Core question: Does the system provide primitives for distinguishing agent roles from human roles in lifecycle workflows?</w:t>
      </w:r>
    </w:p>
    <w:p>
      <w:pPr>
        <w:spacing w:after="56"/>
      </w:pPr>
      <w:r>
        <w:t>What counts: Agent role definitions, human role definitions, role distinction mechanisms, role-based access control, role audit trails</w:t>
      </w:r>
    </w:p>
    <w:p>
      <w:pPr>
        <w:spacing w:after="56"/>
      </w:pPr>
      <w:r>
        <w:t>What does not count: General role-based access control, role distinction without lifecycle integration, role distinction without accountability tracking</w:t>
      </w:r>
    </w:p>
    <w:p>
      <w:pPr>
        <w:keepNext/>
      </w:pPr>
      <w:r>
        <w:rPr>
          <w:b/>
          <w:sz w:val="16"/>
        </w:rPr>
        <w:t>Table T-F-03: ALCS-03 Agent Role vs Human Role Distinction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agent-human role distinction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agent role definitions, no human role definitions, no distinction mechanisms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agent-human role distinction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agent-human role distinction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Agent-human role distinction mentioned in marketing docs but no implementation details</w:t>
            </w:r>
          </w:p>
        </w:tc>
        <w:tc>
          <w:tcPr>
            <w:tcW w:type="dxa" w:w="1704"/>
          </w:tcPr>
          <w:p>
            <w:pPr>
              <w:spacing w:after="0"/>
            </w:pPr>
            <w:r>
              <w:rPr>
                <w:rFonts w:ascii="Arial" w:hAnsi="Arial"/>
                <w:b w:val="0"/>
                <w:sz w:val="12"/>
              </w:rPr>
              <w:t>Distinction mentioned ≠ distinction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agent-human role distinction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Agent role definitions exist but no human role definitions or distinction mechanisms</w:t>
            </w:r>
          </w:p>
        </w:tc>
        <w:tc>
          <w:tcPr>
            <w:tcW w:type="dxa" w:w="1704"/>
          </w:tcPr>
          <w:p>
            <w:pPr>
              <w:spacing w:after="0"/>
            </w:pPr>
            <w:r>
              <w:rPr>
                <w:rFonts w:ascii="Arial" w:hAnsi="Arial"/>
                <w:b w:val="0"/>
                <w:sz w:val="12"/>
              </w:rPr>
              <w:t>Agent roles ≠ human roles or distinction mechanisms</w:t>
            </w:r>
          </w:p>
        </w:tc>
        <w:tc>
          <w:tcPr>
            <w:tcW w:type="dxa" w:w="1704"/>
          </w:tcPr>
          <w:p>
            <w:pPr>
              <w:spacing w:after="0"/>
            </w:pPr>
            <w:r>
              <w:rPr>
                <w:rFonts w:ascii="Arial" w:hAnsi="Arial"/>
                <w:b w:val="0"/>
                <w:sz w:val="12"/>
              </w:rPr>
              <w:t>Partial coverage; human role and distinction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agent-human role distinction</w:t>
            </w:r>
          </w:p>
        </w:tc>
        <w:tc>
          <w:tcPr>
            <w:tcW w:type="dxa" w:w="1704"/>
          </w:tcPr>
          <w:p>
            <w:pPr>
              <w:spacing w:after="0"/>
            </w:pPr>
            <w:r>
              <w:rPr>
                <w:rFonts w:ascii="Arial" w:hAnsi="Arial"/>
                <w:b w:val="0"/>
                <w:sz w:val="12"/>
              </w:rPr>
              <w:t>Product documentation with agent roles, human roles, and distinction</w:t>
            </w:r>
          </w:p>
        </w:tc>
        <w:tc>
          <w:tcPr>
            <w:tcW w:type="dxa" w:w="1704"/>
          </w:tcPr>
          <w:p>
            <w:pPr>
              <w:spacing w:after="0"/>
            </w:pPr>
            <w:r>
              <w:rPr>
                <w:rFonts w:ascii="Arial" w:hAnsi="Arial"/>
                <w:b w:val="0"/>
                <w:sz w:val="12"/>
              </w:rPr>
              <w:t>Agent role definitions, human role definitions, basic role distinction mechanisms</w:t>
            </w:r>
          </w:p>
        </w:tc>
        <w:tc>
          <w:tcPr>
            <w:tcW w:type="dxa" w:w="1704"/>
          </w:tcPr>
          <w:p>
            <w:pPr>
              <w:spacing w:after="0"/>
            </w:pPr>
            <w:r>
              <w:rPr>
                <w:rFonts w:ascii="Arial" w:hAnsi="Arial"/>
                <w:b w:val="0"/>
                <w:sz w:val="12"/>
              </w:rPr>
              <w:t>Role distinction ≠ role-based access control or role audit trails</w:t>
            </w:r>
          </w:p>
        </w:tc>
        <w:tc>
          <w:tcPr>
            <w:tcW w:type="dxa" w:w="1704"/>
          </w:tcPr>
          <w:p>
            <w:pPr>
              <w:spacing w:after="0"/>
            </w:pPr>
            <w:r>
              <w:rPr>
                <w:rFonts w:ascii="Arial" w:hAnsi="Arial"/>
                <w:b w:val="0"/>
                <w:sz w:val="12"/>
              </w:rPr>
              <w:t>Moderate coverage; access control and audit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agent-human role distinction</w:t>
            </w:r>
          </w:p>
        </w:tc>
        <w:tc>
          <w:tcPr>
            <w:tcW w:type="dxa" w:w="1704"/>
          </w:tcPr>
          <w:p>
            <w:pPr>
              <w:spacing w:after="0"/>
            </w:pPr>
            <w:r>
              <w:rPr>
                <w:rFonts w:ascii="Arial" w:hAnsi="Arial"/>
                <w:b w:val="0"/>
                <w:sz w:val="12"/>
              </w:rPr>
              <w:t>Product documentation with agent roles, human roles, distinction, and access control</w:t>
            </w:r>
          </w:p>
        </w:tc>
        <w:tc>
          <w:tcPr>
            <w:tcW w:type="dxa" w:w="1704"/>
          </w:tcPr>
          <w:p>
            <w:pPr>
              <w:spacing w:after="0"/>
            </w:pPr>
            <w:r>
              <w:rPr>
                <w:rFonts w:ascii="Arial" w:hAnsi="Arial"/>
                <w:b w:val="0"/>
                <w:sz w:val="12"/>
              </w:rPr>
              <w:t>Agent role definitions, human role definitions, role distinction mechanisms, role-based access control</w:t>
            </w:r>
          </w:p>
        </w:tc>
        <w:tc>
          <w:tcPr>
            <w:tcW w:type="dxa" w:w="1704"/>
          </w:tcPr>
          <w:p>
            <w:pPr>
              <w:spacing w:after="0"/>
            </w:pPr>
            <w:r>
              <w:rPr>
                <w:rFonts w:ascii="Arial" w:hAnsi="Arial"/>
                <w:b w:val="0"/>
                <w:sz w:val="12"/>
              </w:rPr>
              <w:t>Role-based access control ≠ role audit trails or accountability tracking</w:t>
            </w:r>
          </w:p>
        </w:tc>
        <w:tc>
          <w:tcPr>
            <w:tcW w:type="dxa" w:w="1704"/>
          </w:tcPr>
          <w:p>
            <w:pPr>
              <w:spacing w:after="0"/>
            </w:pPr>
            <w:r>
              <w:rPr>
                <w:rFonts w:ascii="Arial" w:hAnsi="Arial"/>
                <w:b w:val="0"/>
                <w:sz w:val="12"/>
              </w:rPr>
              <w:t>Strong coverage; audit and accountability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agent-human role distinction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role distinction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ALCS-04: Accepted Outcome Compliance</w:t>
      </w:r>
    </w:p>
    <w:p>
      <w:pPr>
        <w:spacing w:after="56"/>
      </w:pPr>
      <w:r>
        <w:t>Core question: Does the system provide primitives for tracking accepted outcomes and ensuring compliance with accepted outcome boundaries?</w:t>
      </w:r>
    </w:p>
    <w:p>
      <w:pPr>
        <w:spacing w:after="56"/>
      </w:pPr>
      <w:r>
        <w:t>What counts: Accepted outcome definitions, outcome acceptance workflows, outcome compliance tracking, outcome audit trails</w:t>
      </w:r>
    </w:p>
    <w:p>
      <w:pPr>
        <w:spacing w:after="56"/>
      </w:pPr>
      <w:r>
        <w:t>What does not count: General output validation, outcome tracking without acceptance workflows, outcome tracking without compliance enforcement</w:t>
      </w:r>
    </w:p>
    <w:p>
      <w:pPr>
        <w:keepNext/>
      </w:pPr>
      <w:r>
        <w:rPr>
          <w:b/>
          <w:sz w:val="16"/>
        </w:rPr>
        <w:t>Table T-F-04: ALCS-04 Accepted Outcome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accepted outcome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accepted outcome definitions, no acceptance workflows, no compliance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accepted outcome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accepted outcome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Accepted outcome compliance mentioned in marketing docs but no implementation details</w:t>
            </w:r>
          </w:p>
        </w:tc>
        <w:tc>
          <w:tcPr>
            <w:tcW w:type="dxa" w:w="1704"/>
          </w:tcPr>
          <w:p>
            <w:pPr>
              <w:spacing w:after="0"/>
            </w:pPr>
            <w:r>
              <w:rPr>
                <w:rFonts w:ascii="Arial" w:hAnsi="Arial"/>
                <w:b w:val="0"/>
                <w:sz w:val="12"/>
              </w:rPr>
              <w:t>Compliance mentioned ≠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accepted outcome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Accepted outcome definitions exist but no acceptance workflows or compliance tracking</w:t>
            </w:r>
          </w:p>
        </w:tc>
        <w:tc>
          <w:tcPr>
            <w:tcW w:type="dxa" w:w="1704"/>
          </w:tcPr>
          <w:p>
            <w:pPr>
              <w:spacing w:after="0"/>
            </w:pPr>
            <w:r>
              <w:rPr>
                <w:rFonts w:ascii="Arial" w:hAnsi="Arial"/>
                <w:b w:val="0"/>
                <w:sz w:val="12"/>
              </w:rPr>
              <w:t>Outcome definitions ≠ acceptance workflows or compliance tracking</w:t>
            </w:r>
          </w:p>
        </w:tc>
        <w:tc>
          <w:tcPr>
            <w:tcW w:type="dxa" w:w="1704"/>
          </w:tcPr>
          <w:p>
            <w:pPr>
              <w:spacing w:after="0"/>
            </w:pPr>
            <w:r>
              <w:rPr>
                <w:rFonts w:ascii="Arial" w:hAnsi="Arial"/>
                <w:b w:val="0"/>
                <w:sz w:val="12"/>
              </w:rPr>
              <w:t>Partial coverage; acceptance and compliance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accepted outcome compliance</w:t>
            </w:r>
          </w:p>
        </w:tc>
        <w:tc>
          <w:tcPr>
            <w:tcW w:type="dxa" w:w="1704"/>
          </w:tcPr>
          <w:p>
            <w:pPr>
              <w:spacing w:after="0"/>
            </w:pPr>
            <w:r>
              <w:rPr>
                <w:rFonts w:ascii="Arial" w:hAnsi="Arial"/>
                <w:b w:val="0"/>
                <w:sz w:val="12"/>
              </w:rPr>
              <w:t>Product documentation with outcome definitions and acceptance workflows</w:t>
            </w:r>
          </w:p>
        </w:tc>
        <w:tc>
          <w:tcPr>
            <w:tcW w:type="dxa" w:w="1704"/>
          </w:tcPr>
          <w:p>
            <w:pPr>
              <w:spacing w:after="0"/>
            </w:pPr>
            <w:r>
              <w:rPr>
                <w:rFonts w:ascii="Arial" w:hAnsi="Arial"/>
                <w:b w:val="0"/>
                <w:sz w:val="12"/>
              </w:rPr>
              <w:t>Accepted outcome definitions, outcome acceptance workflows, basic compliance tracking</w:t>
            </w:r>
          </w:p>
        </w:tc>
        <w:tc>
          <w:tcPr>
            <w:tcW w:type="dxa" w:w="1704"/>
          </w:tcPr>
          <w:p>
            <w:pPr>
              <w:spacing w:after="0"/>
            </w:pPr>
            <w:r>
              <w:rPr>
                <w:rFonts w:ascii="Arial" w:hAnsi="Arial"/>
                <w:b w:val="0"/>
                <w:sz w:val="12"/>
              </w:rPr>
              <w:t>Compliance tracking ≠ outcome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accepted outcome compliance</w:t>
            </w:r>
          </w:p>
        </w:tc>
        <w:tc>
          <w:tcPr>
            <w:tcW w:type="dxa" w:w="1704"/>
          </w:tcPr>
          <w:p>
            <w:pPr>
              <w:spacing w:after="0"/>
            </w:pPr>
            <w:r>
              <w:rPr>
                <w:rFonts w:ascii="Arial" w:hAnsi="Arial"/>
                <w:b w:val="0"/>
                <w:sz w:val="12"/>
              </w:rPr>
              <w:t>Product documentation with outcome definitions, acceptance, and compliance</w:t>
            </w:r>
          </w:p>
        </w:tc>
        <w:tc>
          <w:tcPr>
            <w:tcW w:type="dxa" w:w="1704"/>
          </w:tcPr>
          <w:p>
            <w:pPr>
              <w:spacing w:after="0"/>
            </w:pPr>
            <w:r>
              <w:rPr>
                <w:rFonts w:ascii="Arial" w:hAnsi="Arial"/>
                <w:b w:val="0"/>
                <w:sz w:val="12"/>
              </w:rPr>
              <w:t>Accepted outcome definitions, outcome acceptance workflows, compliance tracking, outcome audit trails</w:t>
            </w:r>
          </w:p>
        </w:tc>
        <w:tc>
          <w:tcPr>
            <w:tcW w:type="dxa" w:w="1704"/>
          </w:tcPr>
          <w:p>
            <w:pPr>
              <w:spacing w:after="0"/>
            </w:pPr>
            <w:r>
              <w:rPr>
                <w:rFonts w:ascii="Arial" w:hAnsi="Arial"/>
                <w:b w:val="0"/>
                <w:sz w:val="12"/>
              </w:rPr>
              <w:t>Outcome audit trails ≠ compliance enforcement or responsibility transfer tracking</w:t>
            </w:r>
          </w:p>
        </w:tc>
        <w:tc>
          <w:tcPr>
            <w:tcW w:type="dxa" w:w="1704"/>
          </w:tcPr>
          <w:p>
            <w:pPr>
              <w:spacing w:after="0"/>
            </w:pPr>
            <w:r>
              <w:rPr>
                <w:rFonts w:ascii="Arial" w:hAnsi="Arial"/>
                <w:b w:val="0"/>
                <w:sz w:val="12"/>
              </w:rPr>
              <w:t>Strong coverage; enforcement and transfer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accepted outcome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14 human oversight with outcome acceptance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ALCS-05: Tool-Action Liability Boundary</w:t>
      </w:r>
    </w:p>
    <w:p>
      <w:pPr>
        <w:spacing w:after="56"/>
      </w:pPr>
      <w:r>
        <w:t>Core question: Does the system provide primitives for defining and tracking tool-action liability boundaries?</w:t>
      </w:r>
    </w:p>
    <w:p>
      <w:pPr>
        <w:spacing w:after="56"/>
      </w:pPr>
      <w:r>
        <w:t>What counts: Tool-action liability definitions, liability boundary enforcement, liability tracking, liability audit trails</w:t>
      </w:r>
    </w:p>
    <w:p>
      <w:pPr>
        <w:spacing w:after="56"/>
      </w:pPr>
      <w:r>
        <w:t>What does not count: General tool usage tracking, liability tracking without boundary enforcement, liability tracking without lifecycle integration</w:t>
      </w:r>
    </w:p>
    <w:p>
      <w:pPr>
        <w:keepNext/>
      </w:pPr>
      <w:r>
        <w:rPr>
          <w:b/>
          <w:sz w:val="16"/>
        </w:rPr>
        <w:t>Table T-F-05: ALCS-05 Tool-Action Liability Boundary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tool-action liability boundary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liability definitions, no boundary enforcement, no liability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tool-action liability boundary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tool-action liability boundary</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Tool-action liability mentioned in marketing docs but no implementation details</w:t>
            </w:r>
          </w:p>
        </w:tc>
        <w:tc>
          <w:tcPr>
            <w:tcW w:type="dxa" w:w="1704"/>
          </w:tcPr>
          <w:p>
            <w:pPr>
              <w:spacing w:after="0"/>
            </w:pPr>
            <w:r>
              <w:rPr>
                <w:rFonts w:ascii="Arial" w:hAnsi="Arial"/>
                <w:b w:val="0"/>
                <w:sz w:val="12"/>
              </w:rPr>
              <w:t>Liability mentioned ≠ liability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tool-action liability boundary</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Liability definitions exist but no boundary enforcement or liability tracking</w:t>
            </w:r>
          </w:p>
        </w:tc>
        <w:tc>
          <w:tcPr>
            <w:tcW w:type="dxa" w:w="1704"/>
          </w:tcPr>
          <w:p>
            <w:pPr>
              <w:spacing w:after="0"/>
            </w:pPr>
            <w:r>
              <w:rPr>
                <w:rFonts w:ascii="Arial" w:hAnsi="Arial"/>
                <w:b w:val="0"/>
                <w:sz w:val="12"/>
              </w:rPr>
              <w:t>Liability definitions ≠ boundary enforcement or tracking</w:t>
            </w:r>
          </w:p>
        </w:tc>
        <w:tc>
          <w:tcPr>
            <w:tcW w:type="dxa" w:w="1704"/>
          </w:tcPr>
          <w:p>
            <w:pPr>
              <w:spacing w:after="0"/>
            </w:pPr>
            <w:r>
              <w:rPr>
                <w:rFonts w:ascii="Arial" w:hAnsi="Arial"/>
                <w:b w:val="0"/>
                <w:sz w:val="12"/>
              </w:rPr>
              <w:t>Partial coverage; enforcement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tool-action liability boundary</w:t>
            </w:r>
          </w:p>
        </w:tc>
        <w:tc>
          <w:tcPr>
            <w:tcW w:type="dxa" w:w="1704"/>
          </w:tcPr>
          <w:p>
            <w:pPr>
              <w:spacing w:after="0"/>
            </w:pPr>
            <w:r>
              <w:rPr>
                <w:rFonts w:ascii="Arial" w:hAnsi="Arial"/>
                <w:b w:val="0"/>
                <w:sz w:val="12"/>
              </w:rPr>
              <w:t>Product documentation with liability definitions and boundary enforcement</w:t>
            </w:r>
          </w:p>
        </w:tc>
        <w:tc>
          <w:tcPr>
            <w:tcW w:type="dxa" w:w="1704"/>
          </w:tcPr>
          <w:p>
            <w:pPr>
              <w:spacing w:after="0"/>
            </w:pPr>
            <w:r>
              <w:rPr>
                <w:rFonts w:ascii="Arial" w:hAnsi="Arial"/>
                <w:b w:val="0"/>
                <w:sz w:val="12"/>
              </w:rPr>
              <w:t>Tool-action liability definitions, liability boundary enforcement, basic liability tracking</w:t>
            </w:r>
          </w:p>
        </w:tc>
        <w:tc>
          <w:tcPr>
            <w:tcW w:type="dxa" w:w="1704"/>
          </w:tcPr>
          <w:p>
            <w:pPr>
              <w:spacing w:after="0"/>
            </w:pPr>
            <w:r>
              <w:rPr>
                <w:rFonts w:ascii="Arial" w:hAnsi="Arial"/>
                <w:b w:val="0"/>
                <w:sz w:val="12"/>
              </w:rPr>
              <w:t>Liability tracking ≠ liability audit trails or responsibility transfer tracking</w:t>
            </w:r>
          </w:p>
        </w:tc>
        <w:tc>
          <w:tcPr>
            <w:tcW w:type="dxa" w:w="1704"/>
          </w:tcPr>
          <w:p>
            <w:pPr>
              <w:spacing w:after="0"/>
            </w:pPr>
            <w:r>
              <w:rPr>
                <w:rFonts w:ascii="Arial" w:hAnsi="Arial"/>
                <w:b w:val="0"/>
                <w:sz w:val="12"/>
              </w:rPr>
              <w:t>Moderate coverage; audit and transfer tracking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tool-action liability boundary</w:t>
            </w:r>
          </w:p>
        </w:tc>
        <w:tc>
          <w:tcPr>
            <w:tcW w:type="dxa" w:w="1704"/>
          </w:tcPr>
          <w:p>
            <w:pPr>
              <w:spacing w:after="0"/>
            </w:pPr>
            <w:r>
              <w:rPr>
                <w:rFonts w:ascii="Arial" w:hAnsi="Arial"/>
                <w:b w:val="0"/>
                <w:sz w:val="12"/>
              </w:rPr>
              <w:t>Product documentation with liability definitions, enforcement, and tracking</w:t>
            </w:r>
          </w:p>
        </w:tc>
        <w:tc>
          <w:tcPr>
            <w:tcW w:type="dxa" w:w="1704"/>
          </w:tcPr>
          <w:p>
            <w:pPr>
              <w:spacing w:after="0"/>
            </w:pPr>
            <w:r>
              <w:rPr>
                <w:rFonts w:ascii="Arial" w:hAnsi="Arial"/>
                <w:b w:val="0"/>
                <w:sz w:val="12"/>
              </w:rPr>
              <w:t>Tool-action liability definitions, liability boundary enforcement, liability tracking, liability audit trails</w:t>
            </w:r>
          </w:p>
        </w:tc>
        <w:tc>
          <w:tcPr>
            <w:tcW w:type="dxa" w:w="1704"/>
          </w:tcPr>
          <w:p>
            <w:pPr>
              <w:spacing w:after="0"/>
            </w:pPr>
            <w:r>
              <w:rPr>
                <w:rFonts w:ascii="Arial" w:hAnsi="Arial"/>
                <w:b w:val="0"/>
                <w:sz w:val="12"/>
              </w:rPr>
              <w:t>Liability audit trails ≠ responsibility transfer tracking or accepted outcome compliance</w:t>
            </w:r>
          </w:p>
        </w:tc>
        <w:tc>
          <w:tcPr>
            <w:tcW w:type="dxa" w:w="1704"/>
          </w:tcPr>
          <w:p>
            <w:pPr>
              <w:spacing w:after="0"/>
            </w:pPr>
            <w:r>
              <w:rPr>
                <w:rFonts w:ascii="Arial" w:hAnsi="Arial"/>
                <w:b w:val="0"/>
                <w:sz w:val="12"/>
              </w:rPr>
              <w:t>Strong coverage; transfer tracking and accepted outcome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tool-action liability boundary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tool-action liability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ALCS-06: Responsibility Transfer Across Agents</w:t>
      </w:r>
    </w:p>
    <w:p>
      <w:pPr>
        <w:spacing w:after="56"/>
      </w:pPr>
      <w:r>
        <w:t>Core question: Does the system provide primitives for tracking responsibility transfer across agents in multi-agent workflows?</w:t>
      </w:r>
    </w:p>
    <w:p>
      <w:pPr>
        <w:spacing w:after="56"/>
      </w:pPr>
      <w:r>
        <w:t>What counts: Responsibility transfer definitions, transfer workflows, transfer tracking, transfer audit trails</w:t>
      </w:r>
    </w:p>
    <w:p>
      <w:pPr>
        <w:spacing w:after="56"/>
      </w:pPr>
      <w:r>
        <w:t>What does not count: General workflow orchestration, transfer tracking without responsibility mapping, transfer tracking without lifecycle integration</w:t>
      </w:r>
    </w:p>
    <w:p>
      <w:pPr>
        <w:keepNext/>
      </w:pPr>
      <w:r>
        <w:rPr>
          <w:b/>
          <w:sz w:val="16"/>
        </w:rPr>
        <w:t>Table T-F-06: ALCS-06 Responsibility Transfer Across Agents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responsibility transfer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transfer definitions, no transfer workflows, no transfer tracking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responsibility transfer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responsibility transfer</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Responsibility transfer mentioned in marketing docs but no implementation details</w:t>
            </w:r>
          </w:p>
        </w:tc>
        <w:tc>
          <w:tcPr>
            <w:tcW w:type="dxa" w:w="1704"/>
          </w:tcPr>
          <w:p>
            <w:pPr>
              <w:spacing w:after="0"/>
            </w:pPr>
            <w:r>
              <w:rPr>
                <w:rFonts w:ascii="Arial" w:hAnsi="Arial"/>
                <w:b w:val="0"/>
                <w:sz w:val="12"/>
              </w:rPr>
              <w:t>Transfer mentioned ≠ transfer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responsibility transfer</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Transfer definitions exist but no transfer workflows or transfer tracking</w:t>
            </w:r>
          </w:p>
        </w:tc>
        <w:tc>
          <w:tcPr>
            <w:tcW w:type="dxa" w:w="1704"/>
          </w:tcPr>
          <w:p>
            <w:pPr>
              <w:spacing w:after="0"/>
            </w:pPr>
            <w:r>
              <w:rPr>
                <w:rFonts w:ascii="Arial" w:hAnsi="Arial"/>
                <w:b w:val="0"/>
                <w:sz w:val="12"/>
              </w:rPr>
              <w:t>Transfer definitions ≠ transfer workflows or tracking</w:t>
            </w:r>
          </w:p>
        </w:tc>
        <w:tc>
          <w:tcPr>
            <w:tcW w:type="dxa" w:w="1704"/>
          </w:tcPr>
          <w:p>
            <w:pPr>
              <w:spacing w:after="0"/>
            </w:pPr>
            <w:r>
              <w:rPr>
                <w:rFonts w:ascii="Arial" w:hAnsi="Arial"/>
                <w:b w:val="0"/>
                <w:sz w:val="12"/>
              </w:rPr>
              <w:t>Partial coverage; workflow and tracking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responsibility transfer</w:t>
            </w:r>
          </w:p>
        </w:tc>
        <w:tc>
          <w:tcPr>
            <w:tcW w:type="dxa" w:w="1704"/>
          </w:tcPr>
          <w:p>
            <w:pPr>
              <w:spacing w:after="0"/>
            </w:pPr>
            <w:r>
              <w:rPr>
                <w:rFonts w:ascii="Arial" w:hAnsi="Arial"/>
                <w:b w:val="0"/>
                <w:sz w:val="12"/>
              </w:rPr>
              <w:t>Product documentation with transfer definitions and workflows</w:t>
            </w:r>
          </w:p>
        </w:tc>
        <w:tc>
          <w:tcPr>
            <w:tcW w:type="dxa" w:w="1704"/>
          </w:tcPr>
          <w:p>
            <w:pPr>
              <w:spacing w:after="0"/>
            </w:pPr>
            <w:r>
              <w:rPr>
                <w:rFonts w:ascii="Arial" w:hAnsi="Arial"/>
                <w:b w:val="0"/>
                <w:sz w:val="12"/>
              </w:rPr>
              <w:t>Responsibility transfer definitions, transfer workflows, basic transfer tracking</w:t>
            </w:r>
          </w:p>
        </w:tc>
        <w:tc>
          <w:tcPr>
            <w:tcW w:type="dxa" w:w="1704"/>
          </w:tcPr>
          <w:p>
            <w:pPr>
              <w:spacing w:after="0"/>
            </w:pPr>
            <w:r>
              <w:rPr>
                <w:rFonts w:ascii="Arial" w:hAnsi="Arial"/>
                <w:b w:val="0"/>
                <w:sz w:val="12"/>
              </w:rPr>
              <w:t>Transfer tracking ≠ transfer audit trails or cross-agent accountability</w:t>
            </w:r>
          </w:p>
        </w:tc>
        <w:tc>
          <w:tcPr>
            <w:tcW w:type="dxa" w:w="1704"/>
          </w:tcPr>
          <w:p>
            <w:pPr>
              <w:spacing w:after="0"/>
            </w:pPr>
            <w:r>
              <w:rPr>
                <w:rFonts w:ascii="Arial" w:hAnsi="Arial"/>
                <w:b w:val="0"/>
                <w:sz w:val="12"/>
              </w:rPr>
              <w:t>Moderate coverage; audit and accountability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responsibility transfer</w:t>
            </w:r>
          </w:p>
        </w:tc>
        <w:tc>
          <w:tcPr>
            <w:tcW w:type="dxa" w:w="1704"/>
          </w:tcPr>
          <w:p>
            <w:pPr>
              <w:spacing w:after="0"/>
            </w:pPr>
            <w:r>
              <w:rPr>
                <w:rFonts w:ascii="Arial" w:hAnsi="Arial"/>
                <w:b w:val="0"/>
                <w:sz w:val="12"/>
              </w:rPr>
              <w:t>Product documentation with transfer definitions, workflows, and tracking</w:t>
            </w:r>
          </w:p>
        </w:tc>
        <w:tc>
          <w:tcPr>
            <w:tcW w:type="dxa" w:w="1704"/>
          </w:tcPr>
          <w:p>
            <w:pPr>
              <w:spacing w:after="0"/>
            </w:pPr>
            <w:r>
              <w:rPr>
                <w:rFonts w:ascii="Arial" w:hAnsi="Arial"/>
                <w:b w:val="0"/>
                <w:sz w:val="12"/>
              </w:rPr>
              <w:t>Responsibility transfer definitions, transfer workflows, transfer tracking, transfer audit trails</w:t>
            </w:r>
          </w:p>
        </w:tc>
        <w:tc>
          <w:tcPr>
            <w:tcW w:type="dxa" w:w="1704"/>
          </w:tcPr>
          <w:p>
            <w:pPr>
              <w:spacing w:after="0"/>
            </w:pPr>
            <w:r>
              <w:rPr>
                <w:rFonts w:ascii="Arial" w:hAnsi="Arial"/>
                <w:b w:val="0"/>
                <w:sz w:val="12"/>
              </w:rPr>
              <w:t>Transfer audit trails ≠ cross-agent accountability or MAS evidence partitioning</w:t>
            </w:r>
          </w:p>
        </w:tc>
        <w:tc>
          <w:tcPr>
            <w:tcW w:type="dxa" w:w="1704"/>
          </w:tcPr>
          <w:p>
            <w:pPr>
              <w:spacing w:after="0"/>
            </w:pPr>
            <w:r>
              <w:rPr>
                <w:rFonts w:ascii="Arial" w:hAnsi="Arial"/>
                <w:b w:val="0"/>
                <w:sz w:val="12"/>
              </w:rPr>
              <w:t>Strong coverage; accountability and evidence 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responsibility transfer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26 accountability with multi-agent responsibility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ALCS-07: Authority Drift Detection</w:t>
      </w:r>
    </w:p>
    <w:p>
      <w:pPr>
        <w:spacing w:after="56"/>
      </w:pPr>
      <w:r>
        <w:t>Core question: Does the system provide primitives for detecting authority drift where agents exceed delegated authority boundaries?</w:t>
      </w:r>
    </w:p>
    <w:p>
      <w:pPr>
        <w:spacing w:after="56"/>
      </w:pPr>
      <w:r>
        <w:t>What counts: Authority drift definitions, drift detection mechanisms, drift alerting, drift audit trails</w:t>
      </w:r>
    </w:p>
    <w:p>
      <w:pPr>
        <w:spacing w:after="56"/>
      </w:pPr>
      <w:r>
        <w:t>What does not count: General anomaly detection, drift detection without authority boundary integration, drift detection without lifecycle integration</w:t>
      </w:r>
    </w:p>
    <w:p>
      <w:pPr>
        <w:keepNext/>
      </w:pPr>
      <w:r>
        <w:rPr>
          <w:b/>
          <w:sz w:val="16"/>
        </w:rPr>
        <w:t>Table T-F-07: ALCS-07 Authority Drift Detection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authority drift detection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drift definitions, no drift detection, no drift alerting</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authority drift detection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authority drift detection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Authority drift detection mentioned in marketing docs but no implementation details</w:t>
            </w:r>
          </w:p>
        </w:tc>
        <w:tc>
          <w:tcPr>
            <w:tcW w:type="dxa" w:w="1704"/>
          </w:tcPr>
          <w:p>
            <w:pPr>
              <w:spacing w:after="0"/>
            </w:pPr>
            <w:r>
              <w:rPr>
                <w:rFonts w:ascii="Arial" w:hAnsi="Arial"/>
                <w:b w:val="0"/>
                <w:sz w:val="12"/>
              </w:rPr>
              <w:t>Drift detection mentioned ≠ drift detection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authority drift detection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Drift definitions exist but no drift detection mechanisms or drift alerting</w:t>
            </w:r>
          </w:p>
        </w:tc>
        <w:tc>
          <w:tcPr>
            <w:tcW w:type="dxa" w:w="1704"/>
          </w:tcPr>
          <w:p>
            <w:pPr>
              <w:spacing w:after="0"/>
            </w:pPr>
            <w:r>
              <w:rPr>
                <w:rFonts w:ascii="Arial" w:hAnsi="Arial"/>
                <w:b w:val="0"/>
                <w:sz w:val="12"/>
              </w:rPr>
              <w:t>Drift definitions ≠ drift detection or alerting</w:t>
            </w:r>
          </w:p>
        </w:tc>
        <w:tc>
          <w:tcPr>
            <w:tcW w:type="dxa" w:w="1704"/>
          </w:tcPr>
          <w:p>
            <w:pPr>
              <w:spacing w:after="0"/>
            </w:pPr>
            <w:r>
              <w:rPr>
                <w:rFonts w:ascii="Arial" w:hAnsi="Arial"/>
                <w:b w:val="0"/>
                <w:sz w:val="12"/>
              </w:rPr>
              <w:t>Partial coverage; detection and alerting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authority drift detection</w:t>
            </w:r>
          </w:p>
        </w:tc>
        <w:tc>
          <w:tcPr>
            <w:tcW w:type="dxa" w:w="1704"/>
          </w:tcPr>
          <w:p>
            <w:pPr>
              <w:spacing w:after="0"/>
            </w:pPr>
            <w:r>
              <w:rPr>
                <w:rFonts w:ascii="Arial" w:hAnsi="Arial"/>
                <w:b w:val="0"/>
                <w:sz w:val="12"/>
              </w:rPr>
              <w:t>Product documentation with drift definitions and detection</w:t>
            </w:r>
          </w:p>
        </w:tc>
        <w:tc>
          <w:tcPr>
            <w:tcW w:type="dxa" w:w="1704"/>
          </w:tcPr>
          <w:p>
            <w:pPr>
              <w:spacing w:after="0"/>
            </w:pPr>
            <w:r>
              <w:rPr>
                <w:rFonts w:ascii="Arial" w:hAnsi="Arial"/>
                <w:b w:val="0"/>
                <w:sz w:val="12"/>
              </w:rPr>
              <w:t>Authority drift definitions, drift detection mechanisms, basic drift alerting</w:t>
            </w:r>
          </w:p>
        </w:tc>
        <w:tc>
          <w:tcPr>
            <w:tcW w:type="dxa" w:w="1704"/>
          </w:tcPr>
          <w:p>
            <w:pPr>
              <w:spacing w:after="0"/>
            </w:pPr>
            <w:r>
              <w:rPr>
                <w:rFonts w:ascii="Arial" w:hAnsi="Arial"/>
                <w:b w:val="0"/>
                <w:sz w:val="12"/>
              </w:rPr>
              <w:t>Drift alerting ≠ drift audit trails or drift remediation workflows</w:t>
            </w:r>
          </w:p>
        </w:tc>
        <w:tc>
          <w:tcPr>
            <w:tcW w:type="dxa" w:w="1704"/>
          </w:tcPr>
          <w:p>
            <w:pPr>
              <w:spacing w:after="0"/>
            </w:pPr>
            <w:r>
              <w:rPr>
                <w:rFonts w:ascii="Arial" w:hAnsi="Arial"/>
                <w:b w:val="0"/>
                <w:sz w:val="12"/>
              </w:rPr>
              <w:t>Moderate coverage; audit and remediation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authority drift detection</w:t>
            </w:r>
          </w:p>
        </w:tc>
        <w:tc>
          <w:tcPr>
            <w:tcW w:type="dxa" w:w="1704"/>
          </w:tcPr>
          <w:p>
            <w:pPr>
              <w:spacing w:after="0"/>
            </w:pPr>
            <w:r>
              <w:rPr>
                <w:rFonts w:ascii="Arial" w:hAnsi="Arial"/>
                <w:b w:val="0"/>
                <w:sz w:val="12"/>
              </w:rPr>
              <w:t>Product documentation with drift definitions, detection, and alerting</w:t>
            </w:r>
          </w:p>
        </w:tc>
        <w:tc>
          <w:tcPr>
            <w:tcW w:type="dxa" w:w="1704"/>
          </w:tcPr>
          <w:p>
            <w:pPr>
              <w:spacing w:after="0"/>
            </w:pPr>
            <w:r>
              <w:rPr>
                <w:rFonts w:ascii="Arial" w:hAnsi="Arial"/>
                <w:b w:val="0"/>
                <w:sz w:val="12"/>
              </w:rPr>
              <w:t>Authority drift definitions, drift detection mechanisms, drift alerting, drift audit trails</w:t>
            </w:r>
          </w:p>
        </w:tc>
        <w:tc>
          <w:tcPr>
            <w:tcW w:type="dxa" w:w="1704"/>
          </w:tcPr>
          <w:p>
            <w:pPr>
              <w:spacing w:after="0"/>
            </w:pPr>
            <w:r>
              <w:rPr>
                <w:rFonts w:ascii="Arial" w:hAnsi="Arial"/>
                <w:b w:val="0"/>
                <w:sz w:val="12"/>
              </w:rPr>
              <w:t>Drift audit trails ≠ drift remediation workflows or continuous monitoring</w:t>
            </w:r>
          </w:p>
        </w:tc>
        <w:tc>
          <w:tcPr>
            <w:tcW w:type="dxa" w:w="1704"/>
          </w:tcPr>
          <w:p>
            <w:pPr>
              <w:spacing w:after="0"/>
            </w:pPr>
            <w:r>
              <w:rPr>
                <w:rFonts w:ascii="Arial" w:hAnsi="Arial"/>
                <w:b w:val="0"/>
                <w:sz w:val="12"/>
              </w:rPr>
              <w:t>Strong coverage; remediation and continuous monitoring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authority drift detection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72 post-market monitoring with authority drift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ALCS-08: MAS Evidence Partitioning</w:t>
      </w:r>
    </w:p>
    <w:p>
      <w:pPr>
        <w:spacing w:after="56"/>
      </w:pPr>
      <w:r>
        <w:t>Core question: Does the system provide primitives for partitioning evidence by agent, role, and responsibility in multi-agent systems?</w:t>
      </w:r>
    </w:p>
    <w:p>
      <w:pPr>
        <w:spacing w:after="56"/>
      </w:pPr>
      <w:r>
        <w:t>What counts: Evidence partitioning definitions, partitioning mechanisms, partitioned evidence storage, partitioned evidence retrieval</w:t>
      </w:r>
    </w:p>
    <w:p>
      <w:pPr>
        <w:spacing w:after="56"/>
      </w:pPr>
      <w:r>
        <w:t>What does not count: General evidence storage, evidence partitioning without agent/role/responsibility mapping, evidence partitioning without lifecycle integration</w:t>
      </w:r>
    </w:p>
    <w:p>
      <w:pPr>
        <w:keepNext/>
      </w:pPr>
      <w:r>
        <w:rPr>
          <w:b/>
          <w:sz w:val="16"/>
        </w:rPr>
        <w:t>Table T-F-08: ALCS-08 MAS Evidence Partitioning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MAS evidence partitioning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partitioning definitions, no partitioning mechanisms, no partitioned storage</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MAS evidence partitioning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MAS evidence partitioning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MAS evidence partitioning mentioned in marketing docs but no implementation details</w:t>
            </w:r>
          </w:p>
        </w:tc>
        <w:tc>
          <w:tcPr>
            <w:tcW w:type="dxa" w:w="1704"/>
          </w:tcPr>
          <w:p>
            <w:pPr>
              <w:spacing w:after="0"/>
            </w:pPr>
            <w:r>
              <w:rPr>
                <w:rFonts w:ascii="Arial" w:hAnsi="Arial"/>
                <w:b w:val="0"/>
                <w:sz w:val="12"/>
              </w:rPr>
              <w:t>Partitioning mentioned ≠ partitioning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MAS evidence partitioning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Partitioning definitions exist but no partitioning mechanisms or partitioned storage</w:t>
            </w:r>
          </w:p>
        </w:tc>
        <w:tc>
          <w:tcPr>
            <w:tcW w:type="dxa" w:w="1704"/>
          </w:tcPr>
          <w:p>
            <w:pPr>
              <w:spacing w:after="0"/>
            </w:pPr>
            <w:r>
              <w:rPr>
                <w:rFonts w:ascii="Arial" w:hAnsi="Arial"/>
                <w:b w:val="0"/>
                <w:sz w:val="12"/>
              </w:rPr>
              <w:t>Partitioning definitions ≠ partitioning mechanisms or storage</w:t>
            </w:r>
          </w:p>
        </w:tc>
        <w:tc>
          <w:tcPr>
            <w:tcW w:type="dxa" w:w="1704"/>
          </w:tcPr>
          <w:p>
            <w:pPr>
              <w:spacing w:after="0"/>
            </w:pPr>
            <w:r>
              <w:rPr>
                <w:rFonts w:ascii="Arial" w:hAnsi="Arial"/>
                <w:b w:val="0"/>
                <w:sz w:val="12"/>
              </w:rPr>
              <w:t>Partial coverage; mechanism and storage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MAS evidence partitioning</w:t>
            </w:r>
          </w:p>
        </w:tc>
        <w:tc>
          <w:tcPr>
            <w:tcW w:type="dxa" w:w="1704"/>
          </w:tcPr>
          <w:p>
            <w:pPr>
              <w:spacing w:after="0"/>
            </w:pPr>
            <w:r>
              <w:rPr>
                <w:rFonts w:ascii="Arial" w:hAnsi="Arial"/>
                <w:b w:val="0"/>
                <w:sz w:val="12"/>
              </w:rPr>
              <w:t>Product documentation with partitioning definitions and mechanisms</w:t>
            </w:r>
          </w:p>
        </w:tc>
        <w:tc>
          <w:tcPr>
            <w:tcW w:type="dxa" w:w="1704"/>
          </w:tcPr>
          <w:p>
            <w:pPr>
              <w:spacing w:after="0"/>
            </w:pPr>
            <w:r>
              <w:rPr>
                <w:rFonts w:ascii="Arial" w:hAnsi="Arial"/>
                <w:b w:val="0"/>
                <w:sz w:val="12"/>
              </w:rPr>
              <w:t>Evidence partitioning definitions, partitioning mechanisms, basic partitioned evidence storage</w:t>
            </w:r>
          </w:p>
        </w:tc>
        <w:tc>
          <w:tcPr>
            <w:tcW w:type="dxa" w:w="1704"/>
          </w:tcPr>
          <w:p>
            <w:pPr>
              <w:spacing w:after="0"/>
            </w:pPr>
            <w:r>
              <w:rPr>
                <w:rFonts w:ascii="Arial" w:hAnsi="Arial"/>
                <w:b w:val="0"/>
                <w:sz w:val="12"/>
              </w:rPr>
              <w:t>Partitioned storage ≠ partitioned evidence retrieval or selective disclosure</w:t>
            </w:r>
          </w:p>
        </w:tc>
        <w:tc>
          <w:tcPr>
            <w:tcW w:type="dxa" w:w="1704"/>
          </w:tcPr>
          <w:p>
            <w:pPr>
              <w:spacing w:after="0"/>
            </w:pPr>
            <w:r>
              <w:rPr>
                <w:rFonts w:ascii="Arial" w:hAnsi="Arial"/>
                <w:b w:val="0"/>
                <w:sz w:val="12"/>
              </w:rPr>
              <w:t>Moderate coverage; retrieval and disclosure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MAS evidence partitioning</w:t>
            </w:r>
          </w:p>
        </w:tc>
        <w:tc>
          <w:tcPr>
            <w:tcW w:type="dxa" w:w="1704"/>
          </w:tcPr>
          <w:p>
            <w:pPr>
              <w:spacing w:after="0"/>
            </w:pPr>
            <w:r>
              <w:rPr>
                <w:rFonts w:ascii="Arial" w:hAnsi="Arial"/>
                <w:b w:val="0"/>
                <w:sz w:val="12"/>
              </w:rPr>
              <w:t>Product documentation with partitioning definitions, mechanisms, and storage</w:t>
            </w:r>
          </w:p>
        </w:tc>
        <w:tc>
          <w:tcPr>
            <w:tcW w:type="dxa" w:w="1704"/>
          </w:tcPr>
          <w:p>
            <w:pPr>
              <w:spacing w:after="0"/>
            </w:pPr>
            <w:r>
              <w:rPr>
                <w:rFonts w:ascii="Arial" w:hAnsi="Arial"/>
                <w:b w:val="0"/>
                <w:sz w:val="12"/>
              </w:rPr>
              <w:t>Evidence partitioning definitions, partitioning mechanisms, partitioned evidence storage, partitioned evidence retrieval</w:t>
            </w:r>
          </w:p>
        </w:tc>
        <w:tc>
          <w:tcPr>
            <w:tcW w:type="dxa" w:w="1704"/>
          </w:tcPr>
          <w:p>
            <w:pPr>
              <w:spacing w:after="0"/>
            </w:pPr>
            <w:r>
              <w:rPr>
                <w:rFonts w:ascii="Arial" w:hAnsi="Arial"/>
                <w:b w:val="0"/>
                <w:sz w:val="12"/>
              </w:rPr>
              <w:t>Partitioned retrieval ≠ selective disclosure or evidence minimization</w:t>
            </w:r>
          </w:p>
        </w:tc>
        <w:tc>
          <w:tcPr>
            <w:tcW w:type="dxa" w:w="1704"/>
          </w:tcPr>
          <w:p>
            <w:pPr>
              <w:spacing w:after="0"/>
            </w:pPr>
            <w:r>
              <w:rPr>
                <w:rFonts w:ascii="Arial" w:hAnsi="Arial"/>
                <w:b w:val="0"/>
                <w:sz w:val="12"/>
              </w:rPr>
              <w:t>Strong coverage; disclosure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MAS evidence partitioning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MAS evidence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ALCS-09: Cross-Project Reuse Compliance</w:t>
      </w:r>
    </w:p>
    <w:p>
      <w:pPr>
        <w:spacing w:after="56"/>
      </w:pPr>
      <w:r>
        <w:t>Core question: Does the system provide primitives for ensuring compliance when reusing agents, models, or workflows across projects?</w:t>
      </w:r>
    </w:p>
    <w:p>
      <w:pPr>
        <w:spacing w:after="56"/>
      </w:pPr>
      <w:r>
        <w:t>What counts: Reuse compliance definitions, reuse tracking, reuse validation, reuse audit trails</w:t>
      </w:r>
    </w:p>
    <w:p>
      <w:pPr>
        <w:spacing w:after="56"/>
      </w:pPr>
      <w:r>
        <w:t>What does not count: General code reuse, reuse tracking without compliance validation, reuse tracking without lifecycle integration</w:t>
      </w:r>
    </w:p>
    <w:p>
      <w:pPr>
        <w:keepNext/>
      </w:pPr>
      <w:r>
        <w:rPr>
          <w:b/>
          <w:sz w:val="16"/>
        </w:rPr>
        <w:t>Table T-F-09: ALCS-09 Cross-Project Reuse Compliance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cross-project reuse compliance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reuse compliance definitions, no reuse tracking, no reuse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cross-project reuse compliance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cross-project reuse compliance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Cross-project reuse compliance mentioned in marketing docs but no implementation details</w:t>
            </w:r>
          </w:p>
        </w:tc>
        <w:tc>
          <w:tcPr>
            <w:tcW w:type="dxa" w:w="1704"/>
          </w:tcPr>
          <w:p>
            <w:pPr>
              <w:spacing w:after="0"/>
            </w:pPr>
            <w:r>
              <w:rPr>
                <w:rFonts w:ascii="Arial" w:hAnsi="Arial"/>
                <w:b w:val="0"/>
                <w:sz w:val="12"/>
              </w:rPr>
              <w:t>Reuse compliance mentioned ≠ reuse compliance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cross-project reuse compliance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Reuse compliance definitions exist but no reuse tracking or reuse validation</w:t>
            </w:r>
          </w:p>
        </w:tc>
        <w:tc>
          <w:tcPr>
            <w:tcW w:type="dxa" w:w="1704"/>
          </w:tcPr>
          <w:p>
            <w:pPr>
              <w:spacing w:after="0"/>
            </w:pPr>
            <w:r>
              <w:rPr>
                <w:rFonts w:ascii="Arial" w:hAnsi="Arial"/>
                <w:b w:val="0"/>
                <w:sz w:val="12"/>
              </w:rPr>
              <w:t>Reuse definitions ≠ reuse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cross-project reuse compliance</w:t>
            </w:r>
          </w:p>
        </w:tc>
        <w:tc>
          <w:tcPr>
            <w:tcW w:type="dxa" w:w="1704"/>
          </w:tcPr>
          <w:p>
            <w:pPr>
              <w:spacing w:after="0"/>
            </w:pPr>
            <w:r>
              <w:rPr>
                <w:rFonts w:ascii="Arial" w:hAnsi="Arial"/>
                <w:b w:val="0"/>
                <w:sz w:val="12"/>
              </w:rPr>
              <w:t>Product documentation with reuse definitions and tracking</w:t>
            </w:r>
          </w:p>
        </w:tc>
        <w:tc>
          <w:tcPr>
            <w:tcW w:type="dxa" w:w="1704"/>
          </w:tcPr>
          <w:p>
            <w:pPr>
              <w:spacing w:after="0"/>
            </w:pPr>
            <w:r>
              <w:rPr>
                <w:rFonts w:ascii="Arial" w:hAnsi="Arial"/>
                <w:b w:val="0"/>
                <w:sz w:val="12"/>
              </w:rPr>
              <w:t>Reuse compliance definitions, reuse tracking, basic reuse validation</w:t>
            </w:r>
          </w:p>
        </w:tc>
        <w:tc>
          <w:tcPr>
            <w:tcW w:type="dxa" w:w="1704"/>
          </w:tcPr>
          <w:p>
            <w:pPr>
              <w:spacing w:after="0"/>
            </w:pPr>
            <w:r>
              <w:rPr>
                <w:rFonts w:ascii="Arial" w:hAnsi="Arial"/>
                <w:b w:val="0"/>
                <w:sz w:val="12"/>
              </w:rPr>
              <w:t>Reuse validation ≠ reuse audit trails or compliance enforcement</w:t>
            </w:r>
          </w:p>
        </w:tc>
        <w:tc>
          <w:tcPr>
            <w:tcW w:type="dxa" w:w="1704"/>
          </w:tcPr>
          <w:p>
            <w:pPr>
              <w:spacing w:after="0"/>
            </w:pPr>
            <w:r>
              <w:rPr>
                <w:rFonts w:ascii="Arial" w:hAnsi="Arial"/>
                <w:b w:val="0"/>
                <w:sz w:val="12"/>
              </w:rPr>
              <w:t>Moderate coverage; audit and enforcement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cross-project reuse compliance</w:t>
            </w:r>
          </w:p>
        </w:tc>
        <w:tc>
          <w:tcPr>
            <w:tcW w:type="dxa" w:w="1704"/>
          </w:tcPr>
          <w:p>
            <w:pPr>
              <w:spacing w:after="0"/>
            </w:pPr>
            <w:r>
              <w:rPr>
                <w:rFonts w:ascii="Arial" w:hAnsi="Arial"/>
                <w:b w:val="0"/>
                <w:sz w:val="12"/>
              </w:rPr>
              <w:t>Product documentation with reuse definitions, tracking, and validation</w:t>
            </w:r>
          </w:p>
        </w:tc>
        <w:tc>
          <w:tcPr>
            <w:tcW w:type="dxa" w:w="1704"/>
          </w:tcPr>
          <w:p>
            <w:pPr>
              <w:spacing w:after="0"/>
            </w:pPr>
            <w:r>
              <w:rPr>
                <w:rFonts w:ascii="Arial" w:hAnsi="Arial"/>
                <w:b w:val="0"/>
                <w:sz w:val="12"/>
              </w:rPr>
              <w:t>Reuse compliance definitions, reuse tracking, reuse validation, reuse audit trails</w:t>
            </w:r>
          </w:p>
        </w:tc>
        <w:tc>
          <w:tcPr>
            <w:tcW w:type="dxa" w:w="1704"/>
          </w:tcPr>
          <w:p>
            <w:pPr>
              <w:spacing w:after="0"/>
            </w:pPr>
            <w:r>
              <w:rPr>
                <w:rFonts w:ascii="Arial" w:hAnsi="Arial"/>
                <w:b w:val="0"/>
                <w:sz w:val="12"/>
              </w:rPr>
              <w:t>Reuse audit trails ≠ compliance enforcement or vendor substitution conformance</w:t>
            </w:r>
          </w:p>
        </w:tc>
        <w:tc>
          <w:tcPr>
            <w:tcW w:type="dxa" w:w="1704"/>
          </w:tcPr>
          <w:p>
            <w:pPr>
              <w:spacing w:after="0"/>
            </w:pPr>
            <w:r>
              <w:rPr>
                <w:rFonts w:ascii="Arial" w:hAnsi="Arial"/>
                <w:b w:val="0"/>
                <w:sz w:val="12"/>
              </w:rPr>
              <w:t>Strong coverage; enforcement and substitution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cross-project reuse compliance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reuse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ALCS-10: Privacy/GDPR Lifecycle Mapping</w:t>
      </w:r>
    </w:p>
    <w:p>
      <w:pPr>
        <w:spacing w:after="56"/>
      </w:pPr>
      <w:r>
        <w:t>Core question: Does the system provide primitives for mapping privacy and GDPR requirements to AI lifecycle stages?</w:t>
      </w:r>
    </w:p>
    <w:p>
      <w:pPr>
        <w:spacing w:after="56"/>
      </w:pPr>
      <w:r>
        <w:t>What counts: Privacy lifecycle mapping definitions, GDPR requirement mapping, lifecycle stage integration, privacy audit trails</w:t>
      </w:r>
    </w:p>
    <w:p>
      <w:pPr>
        <w:spacing w:after="56"/>
      </w:pPr>
      <w:r>
        <w:t>What does not count: General privacy controls, privacy mapping without lifecycle integration, privacy mapping without GDPR-specific requirements</w:t>
      </w:r>
    </w:p>
    <w:p>
      <w:pPr>
        <w:keepNext/>
      </w:pPr>
      <w:r>
        <w:rPr>
          <w:b/>
          <w:sz w:val="16"/>
        </w:rPr>
        <w:t>Table T-F-10: ALCS-10 Privacy/GDPR Lifecycle Mapping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privacy/GDPR lifecycle mapping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 mapping definitions, no GDPR requirement mapping, no lifecycle integration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privacy/GDPR lifecycle mapping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privacy/GDPR lifecycle mapping</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Privacy/GDPR lifecycle mapping mentioned in marketing docs but no implementation details</w:t>
            </w:r>
          </w:p>
        </w:tc>
        <w:tc>
          <w:tcPr>
            <w:tcW w:type="dxa" w:w="1704"/>
          </w:tcPr>
          <w:p>
            <w:pPr>
              <w:spacing w:after="0"/>
            </w:pPr>
            <w:r>
              <w:rPr>
                <w:rFonts w:ascii="Arial" w:hAnsi="Arial"/>
                <w:b w:val="0"/>
                <w:sz w:val="12"/>
              </w:rPr>
              <w:t>Mapping mentioned ≠ mapping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privacy/GDPR lifecycle mapping</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 mapping definitions exist but no GDPR requirement mapping or lifecycle integration</w:t>
            </w:r>
          </w:p>
        </w:tc>
        <w:tc>
          <w:tcPr>
            <w:tcW w:type="dxa" w:w="1704"/>
          </w:tcPr>
          <w:p>
            <w:pPr>
              <w:spacing w:after="0"/>
            </w:pPr>
            <w:r>
              <w:rPr>
                <w:rFonts w:ascii="Arial" w:hAnsi="Arial"/>
                <w:b w:val="0"/>
                <w:sz w:val="12"/>
              </w:rPr>
              <w:t>Privacy definitions ≠ GDPR mapping or lifecycle integration</w:t>
            </w:r>
          </w:p>
        </w:tc>
        <w:tc>
          <w:tcPr>
            <w:tcW w:type="dxa" w:w="1704"/>
          </w:tcPr>
          <w:p>
            <w:pPr>
              <w:spacing w:after="0"/>
            </w:pPr>
            <w:r>
              <w:rPr>
                <w:rFonts w:ascii="Arial" w:hAnsi="Arial"/>
                <w:b w:val="0"/>
                <w:sz w:val="12"/>
              </w:rPr>
              <w:t>Partial coverage; GDPR and lifecycle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privacy/GDPR lifecycle mapping</w:t>
            </w:r>
          </w:p>
        </w:tc>
        <w:tc>
          <w:tcPr>
            <w:tcW w:type="dxa" w:w="1704"/>
          </w:tcPr>
          <w:p>
            <w:pPr>
              <w:spacing w:after="0"/>
            </w:pPr>
            <w:r>
              <w:rPr>
                <w:rFonts w:ascii="Arial" w:hAnsi="Arial"/>
                <w:b w:val="0"/>
                <w:sz w:val="12"/>
              </w:rPr>
              <w:t>Product documentation with privacy mapping and GDPR requirements</w:t>
            </w:r>
          </w:p>
        </w:tc>
        <w:tc>
          <w:tcPr>
            <w:tcW w:type="dxa" w:w="1704"/>
          </w:tcPr>
          <w:p>
            <w:pPr>
              <w:spacing w:after="0"/>
            </w:pPr>
            <w:r>
              <w:rPr>
                <w:rFonts w:ascii="Arial" w:hAnsi="Arial"/>
                <w:b w:val="0"/>
                <w:sz w:val="12"/>
              </w:rPr>
              <w:t>Privacy lifecycle mapping definitions, GDPR requirement mapping, basic lifecycle stage integration</w:t>
            </w:r>
          </w:p>
        </w:tc>
        <w:tc>
          <w:tcPr>
            <w:tcW w:type="dxa" w:w="1704"/>
          </w:tcPr>
          <w:p>
            <w:pPr>
              <w:spacing w:after="0"/>
            </w:pPr>
            <w:r>
              <w:rPr>
                <w:rFonts w:ascii="Arial" w:hAnsi="Arial"/>
                <w:b w:val="0"/>
                <w:sz w:val="12"/>
              </w:rPr>
              <w:t>Lifecycle integration ≠ privacy audit trails or data subject rights workflows</w:t>
            </w:r>
          </w:p>
        </w:tc>
        <w:tc>
          <w:tcPr>
            <w:tcW w:type="dxa" w:w="1704"/>
          </w:tcPr>
          <w:p>
            <w:pPr>
              <w:spacing w:after="0"/>
            </w:pPr>
            <w:r>
              <w:rPr>
                <w:rFonts w:ascii="Arial" w:hAnsi="Arial"/>
                <w:b w:val="0"/>
                <w:sz w:val="12"/>
              </w:rPr>
              <w:t>Moderate coverage; audit and data subject rights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privacy/GDPR lifecycle mapping</w:t>
            </w:r>
          </w:p>
        </w:tc>
        <w:tc>
          <w:tcPr>
            <w:tcW w:type="dxa" w:w="1704"/>
          </w:tcPr>
          <w:p>
            <w:pPr>
              <w:spacing w:after="0"/>
            </w:pPr>
            <w:r>
              <w:rPr>
                <w:rFonts w:ascii="Arial" w:hAnsi="Arial"/>
                <w:b w:val="0"/>
                <w:sz w:val="12"/>
              </w:rPr>
              <w:t>Product documentation with privacy mapping, GDPR requirements, and lifecycle integration</w:t>
            </w:r>
          </w:p>
        </w:tc>
        <w:tc>
          <w:tcPr>
            <w:tcW w:type="dxa" w:w="1704"/>
          </w:tcPr>
          <w:p>
            <w:pPr>
              <w:spacing w:after="0"/>
            </w:pPr>
            <w:r>
              <w:rPr>
                <w:rFonts w:ascii="Arial" w:hAnsi="Arial"/>
                <w:b w:val="0"/>
                <w:sz w:val="12"/>
              </w:rPr>
              <w:t>Privacy lifecycle mapping definitions, GDPR requirement mapping, lifecycle stage integration, privacy audit trails</w:t>
            </w:r>
          </w:p>
        </w:tc>
        <w:tc>
          <w:tcPr>
            <w:tcW w:type="dxa" w:w="1704"/>
          </w:tcPr>
          <w:p>
            <w:pPr>
              <w:spacing w:after="0"/>
            </w:pPr>
            <w:r>
              <w:rPr>
                <w:rFonts w:ascii="Arial" w:hAnsi="Arial"/>
                <w:b w:val="0"/>
                <w:sz w:val="12"/>
              </w:rPr>
              <w:t>Privacy audit trails ≠ data subject rights workflows or evidence minimization</w:t>
            </w:r>
          </w:p>
        </w:tc>
        <w:tc>
          <w:tcPr>
            <w:tcW w:type="dxa" w:w="1704"/>
          </w:tcPr>
          <w:p>
            <w:pPr>
              <w:spacing w:after="0"/>
            </w:pPr>
            <w:r>
              <w:rPr>
                <w:rFonts w:ascii="Arial" w:hAnsi="Arial"/>
                <w:b w:val="0"/>
                <w:sz w:val="12"/>
              </w:rPr>
              <w:t>Strong coverage; data subject rights and minimization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privacy/GDPR lifecycle mapping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25 data protection by design with AI lifecycle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ALCS-11: Privacy-Preserving Third-Party Validation</w:t>
      </w:r>
    </w:p>
    <w:p>
      <w:pPr>
        <w:spacing w:after="56"/>
      </w:pPr>
      <w:r>
        <w:t>Core question: Does the system provide primitives for third-party validation while preserving privacy and minimizing evidence disclosure?</w:t>
      </w:r>
    </w:p>
    <w:p>
      <w:pPr>
        <w:spacing w:after="56"/>
      </w:pPr>
      <w:r>
        <w:t>What counts: Privacy-preserving validation mechanisms, selective disclosure controls, third-party validation workflows, validation audit trails</w:t>
      </w:r>
    </w:p>
    <w:p>
      <w:pPr>
        <w:spacing w:after="56"/>
      </w:pPr>
      <w:r>
        <w:t>What does not count: General third-party access, validation without privacy controls, validation without selective disclosure</w:t>
      </w:r>
    </w:p>
    <w:p>
      <w:pPr>
        <w:keepNext/>
      </w:pPr>
      <w:r>
        <w:rPr>
          <w:b/>
          <w:sz w:val="16"/>
        </w:rPr>
        <w:t>Table T-F-11: ALCS-11 Privacy-Preserving Third-Party Validation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privacy-preserving third-party validation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privacy-preserving validation, no selective disclosure, no validation workflows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privacy-preserving third-party validation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privacy-preserving third-party validation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Privacy-preserving validation mentioned in marketing docs but no implementation details</w:t>
            </w:r>
          </w:p>
        </w:tc>
        <w:tc>
          <w:tcPr>
            <w:tcW w:type="dxa" w:w="1704"/>
          </w:tcPr>
          <w:p>
            <w:pPr>
              <w:spacing w:after="0"/>
            </w:pPr>
            <w:r>
              <w:rPr>
                <w:rFonts w:ascii="Arial" w:hAnsi="Arial"/>
                <w:b w:val="0"/>
                <w:sz w:val="12"/>
              </w:rPr>
              <w:t>Validation mentioned ≠ validation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privacy-preserving third-party validation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Privacy-preserving validation mechanisms exist but no selective disclosure or validation workflows</w:t>
            </w:r>
          </w:p>
        </w:tc>
        <w:tc>
          <w:tcPr>
            <w:tcW w:type="dxa" w:w="1704"/>
          </w:tcPr>
          <w:p>
            <w:pPr>
              <w:spacing w:after="0"/>
            </w:pPr>
            <w:r>
              <w:rPr>
                <w:rFonts w:ascii="Arial" w:hAnsi="Arial"/>
                <w:b w:val="0"/>
                <w:sz w:val="12"/>
              </w:rPr>
              <w:t>Privacy mechanisms ≠ selective disclosure or workflows</w:t>
            </w:r>
          </w:p>
        </w:tc>
        <w:tc>
          <w:tcPr>
            <w:tcW w:type="dxa" w:w="1704"/>
          </w:tcPr>
          <w:p>
            <w:pPr>
              <w:spacing w:after="0"/>
            </w:pPr>
            <w:r>
              <w:rPr>
                <w:rFonts w:ascii="Arial" w:hAnsi="Arial"/>
                <w:b w:val="0"/>
                <w:sz w:val="12"/>
              </w:rPr>
              <w:t>Partial coverage; disclosure and workflow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privacy-preserving third-party validation</w:t>
            </w:r>
          </w:p>
        </w:tc>
        <w:tc>
          <w:tcPr>
            <w:tcW w:type="dxa" w:w="1704"/>
          </w:tcPr>
          <w:p>
            <w:pPr>
              <w:spacing w:after="0"/>
            </w:pPr>
            <w:r>
              <w:rPr>
                <w:rFonts w:ascii="Arial" w:hAnsi="Arial"/>
                <w:b w:val="0"/>
                <w:sz w:val="12"/>
              </w:rPr>
              <w:t>Product documentation with privacy mechanisms and selective disclosure</w:t>
            </w:r>
          </w:p>
        </w:tc>
        <w:tc>
          <w:tcPr>
            <w:tcW w:type="dxa" w:w="1704"/>
          </w:tcPr>
          <w:p>
            <w:pPr>
              <w:spacing w:after="0"/>
            </w:pPr>
            <w:r>
              <w:rPr>
                <w:rFonts w:ascii="Arial" w:hAnsi="Arial"/>
                <w:b w:val="0"/>
                <w:sz w:val="12"/>
              </w:rPr>
              <w:t>Privacy-preserving validation mechanisms, selective disclosure controls, basic third-party validation workflows</w:t>
            </w:r>
          </w:p>
        </w:tc>
        <w:tc>
          <w:tcPr>
            <w:tcW w:type="dxa" w:w="1704"/>
          </w:tcPr>
          <w:p>
            <w:pPr>
              <w:spacing w:after="0"/>
            </w:pPr>
            <w:r>
              <w:rPr>
                <w:rFonts w:ascii="Arial" w:hAnsi="Arial"/>
                <w:b w:val="0"/>
                <w:sz w:val="12"/>
              </w:rPr>
              <w:t>Validation workflows ≠ validation audit trails or evidence minimization</w:t>
            </w:r>
          </w:p>
        </w:tc>
        <w:tc>
          <w:tcPr>
            <w:tcW w:type="dxa" w:w="1704"/>
          </w:tcPr>
          <w:p>
            <w:pPr>
              <w:spacing w:after="0"/>
            </w:pPr>
            <w:r>
              <w:rPr>
                <w:rFonts w:ascii="Arial" w:hAnsi="Arial"/>
                <w:b w:val="0"/>
                <w:sz w:val="12"/>
              </w:rPr>
              <w:t>Moderate coverage; audit and minimization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privacy-preserving third-party validation</w:t>
            </w:r>
          </w:p>
        </w:tc>
        <w:tc>
          <w:tcPr>
            <w:tcW w:type="dxa" w:w="1704"/>
          </w:tcPr>
          <w:p>
            <w:pPr>
              <w:spacing w:after="0"/>
            </w:pPr>
            <w:r>
              <w:rPr>
                <w:rFonts w:ascii="Arial" w:hAnsi="Arial"/>
                <w:b w:val="0"/>
                <w:sz w:val="12"/>
              </w:rPr>
              <w:t>Product documentation with privacy mechanisms, disclosure, and workflows</w:t>
            </w:r>
          </w:p>
        </w:tc>
        <w:tc>
          <w:tcPr>
            <w:tcW w:type="dxa" w:w="1704"/>
          </w:tcPr>
          <w:p>
            <w:pPr>
              <w:spacing w:after="0"/>
            </w:pPr>
            <w:r>
              <w:rPr>
                <w:rFonts w:ascii="Arial" w:hAnsi="Arial"/>
                <w:b w:val="0"/>
                <w:sz w:val="12"/>
              </w:rPr>
              <w:t>Privacy-preserving validation mechanisms, selective disclosure controls, third-party validation workflows, validation audit trails</w:t>
            </w:r>
          </w:p>
        </w:tc>
        <w:tc>
          <w:tcPr>
            <w:tcW w:type="dxa" w:w="1704"/>
          </w:tcPr>
          <w:p>
            <w:pPr>
              <w:spacing w:after="0"/>
            </w:pPr>
            <w:r>
              <w:rPr>
                <w:rFonts w:ascii="Arial" w:hAnsi="Arial"/>
                <w:b w:val="0"/>
                <w:sz w:val="12"/>
              </w:rPr>
              <w:t>Validation audit trails ≠ evidence minimization or zero-knowledge proofs</w:t>
            </w:r>
          </w:p>
        </w:tc>
        <w:tc>
          <w:tcPr>
            <w:tcW w:type="dxa" w:w="1704"/>
          </w:tcPr>
          <w:p>
            <w:pPr>
              <w:spacing w:after="0"/>
            </w:pPr>
            <w:r>
              <w:rPr>
                <w:rFonts w:ascii="Arial" w:hAnsi="Arial"/>
                <w:b w:val="0"/>
                <w:sz w:val="12"/>
              </w:rPr>
              <w:t>Strong coverage; minimization and zero-knowledge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privacy-preserving third-party validation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with third-party validation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ALCS-12: Evidence Minimization and Selective Disclosure</w:t>
      </w:r>
    </w:p>
    <w:p>
      <w:pPr>
        <w:spacing w:after="56"/>
      </w:pPr>
      <w:r>
        <w:t>Core question: Does the system provide primitives for evidence minimization and selective disclosure to reduce privacy risk?</w:t>
      </w:r>
    </w:p>
    <w:p>
      <w:pPr>
        <w:spacing w:after="56"/>
      </w:pPr>
      <w:r>
        <w:t>What counts: Evidence minimization policies, selective disclosure mechanisms, disclosure controls, minimization audit trails</w:t>
      </w:r>
    </w:p>
    <w:p>
      <w:pPr>
        <w:spacing w:after="56"/>
      </w:pPr>
      <w:r>
        <w:t>What does not count: General data minimization, minimization without lifecycle integration, minimization without selective disclosure controls</w:t>
      </w:r>
    </w:p>
    <w:p>
      <w:pPr>
        <w:keepNext/>
      </w:pPr>
      <w:r>
        <w:rPr>
          <w:b/>
          <w:sz w:val="16"/>
        </w:rPr>
        <w:t>Table T-F-12: ALCS-12 Evidence Minimization and Selective Disclosure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evidence minimization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minimization policies, no selective disclosure, no disclosure controls</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evidence minimization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evidence minimization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Evidence minimization mentioned in marketing docs but no implementation details</w:t>
            </w:r>
          </w:p>
        </w:tc>
        <w:tc>
          <w:tcPr>
            <w:tcW w:type="dxa" w:w="1704"/>
          </w:tcPr>
          <w:p>
            <w:pPr>
              <w:spacing w:after="0"/>
            </w:pPr>
            <w:r>
              <w:rPr>
                <w:rFonts w:ascii="Arial" w:hAnsi="Arial"/>
                <w:b w:val="0"/>
                <w:sz w:val="12"/>
              </w:rPr>
              <w:t>Minimization mentioned ≠ minimization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evidence minimization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Minimization policies exist but no selective disclosure mechanisms or disclosure controls</w:t>
            </w:r>
          </w:p>
        </w:tc>
        <w:tc>
          <w:tcPr>
            <w:tcW w:type="dxa" w:w="1704"/>
          </w:tcPr>
          <w:p>
            <w:pPr>
              <w:spacing w:after="0"/>
            </w:pPr>
            <w:r>
              <w:rPr>
                <w:rFonts w:ascii="Arial" w:hAnsi="Arial"/>
                <w:b w:val="0"/>
                <w:sz w:val="12"/>
              </w:rPr>
              <w:t>Minimization policies ≠ selective disclosure or controls</w:t>
            </w:r>
          </w:p>
        </w:tc>
        <w:tc>
          <w:tcPr>
            <w:tcW w:type="dxa" w:w="1704"/>
          </w:tcPr>
          <w:p>
            <w:pPr>
              <w:spacing w:after="0"/>
            </w:pPr>
            <w:r>
              <w:rPr>
                <w:rFonts w:ascii="Arial" w:hAnsi="Arial"/>
                <w:b w:val="0"/>
                <w:sz w:val="12"/>
              </w:rPr>
              <w:t>Partial coverage; disclosure and control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evidence minimization</w:t>
            </w:r>
          </w:p>
        </w:tc>
        <w:tc>
          <w:tcPr>
            <w:tcW w:type="dxa" w:w="1704"/>
          </w:tcPr>
          <w:p>
            <w:pPr>
              <w:spacing w:after="0"/>
            </w:pPr>
            <w:r>
              <w:rPr>
                <w:rFonts w:ascii="Arial" w:hAnsi="Arial"/>
                <w:b w:val="0"/>
                <w:sz w:val="12"/>
              </w:rPr>
              <w:t>Product documentation with minimization policies and selective disclosure</w:t>
            </w:r>
          </w:p>
        </w:tc>
        <w:tc>
          <w:tcPr>
            <w:tcW w:type="dxa" w:w="1704"/>
          </w:tcPr>
          <w:p>
            <w:pPr>
              <w:spacing w:after="0"/>
            </w:pPr>
            <w:r>
              <w:rPr>
                <w:rFonts w:ascii="Arial" w:hAnsi="Arial"/>
                <w:b w:val="0"/>
                <w:sz w:val="12"/>
              </w:rPr>
              <w:t>Evidence minimization policies, selective disclosure mechanisms, basic disclosure controls</w:t>
            </w:r>
          </w:p>
        </w:tc>
        <w:tc>
          <w:tcPr>
            <w:tcW w:type="dxa" w:w="1704"/>
          </w:tcPr>
          <w:p>
            <w:pPr>
              <w:spacing w:after="0"/>
            </w:pPr>
            <w:r>
              <w:rPr>
                <w:rFonts w:ascii="Arial" w:hAnsi="Arial"/>
                <w:b w:val="0"/>
                <w:sz w:val="12"/>
              </w:rPr>
              <w:t>Disclosure controls ≠ minimization audit trails or retention enforcement</w:t>
            </w:r>
          </w:p>
        </w:tc>
        <w:tc>
          <w:tcPr>
            <w:tcW w:type="dxa" w:w="1704"/>
          </w:tcPr>
          <w:p>
            <w:pPr>
              <w:spacing w:after="0"/>
            </w:pPr>
            <w:r>
              <w:rPr>
                <w:rFonts w:ascii="Arial" w:hAnsi="Arial"/>
                <w:b w:val="0"/>
                <w:sz w:val="12"/>
              </w:rPr>
              <w:t>Moderate coverage; audit and retention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evidence minimization</w:t>
            </w:r>
          </w:p>
        </w:tc>
        <w:tc>
          <w:tcPr>
            <w:tcW w:type="dxa" w:w="1704"/>
          </w:tcPr>
          <w:p>
            <w:pPr>
              <w:spacing w:after="0"/>
            </w:pPr>
            <w:r>
              <w:rPr>
                <w:rFonts w:ascii="Arial" w:hAnsi="Arial"/>
                <w:b w:val="0"/>
                <w:sz w:val="12"/>
              </w:rPr>
              <w:t>Product documentation with minimization policies, disclosure, and controls</w:t>
            </w:r>
          </w:p>
        </w:tc>
        <w:tc>
          <w:tcPr>
            <w:tcW w:type="dxa" w:w="1704"/>
          </w:tcPr>
          <w:p>
            <w:pPr>
              <w:spacing w:after="0"/>
            </w:pPr>
            <w:r>
              <w:rPr>
                <w:rFonts w:ascii="Arial" w:hAnsi="Arial"/>
                <w:b w:val="0"/>
                <w:sz w:val="12"/>
              </w:rPr>
              <w:t>Evidence minimization policies, selective disclosure mechanisms, disclosure controls, minimization audit trails</w:t>
            </w:r>
          </w:p>
        </w:tc>
        <w:tc>
          <w:tcPr>
            <w:tcW w:type="dxa" w:w="1704"/>
          </w:tcPr>
          <w:p>
            <w:pPr>
              <w:spacing w:after="0"/>
            </w:pPr>
            <w:r>
              <w:rPr>
                <w:rFonts w:ascii="Arial" w:hAnsi="Arial"/>
                <w:b w:val="0"/>
                <w:sz w:val="12"/>
              </w:rPr>
              <w:t>Minimization audit trails ≠ retention enforcement or data subject rights integration</w:t>
            </w:r>
          </w:p>
        </w:tc>
        <w:tc>
          <w:tcPr>
            <w:tcW w:type="dxa" w:w="1704"/>
          </w:tcPr>
          <w:p>
            <w:pPr>
              <w:spacing w:after="0"/>
            </w:pPr>
            <w:r>
              <w:rPr>
                <w:rFonts w:ascii="Arial" w:hAnsi="Arial"/>
                <w:b w:val="0"/>
                <w:sz w:val="12"/>
              </w:rPr>
              <w:t>Strong coverage; retention and data subject rights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evidence minimization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5 data minimization requirement;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ALCS-13: Data Subject Rights vs Evidence Retention</w:t>
      </w:r>
    </w:p>
    <w:p>
      <w:pPr>
        <w:spacing w:after="56"/>
      </w:pPr>
      <w:r>
        <w:t>Core question: Does the system provide primitives for balancing data subject rights (erasure, portability) with evidence retention requirements?</w:t>
      </w:r>
    </w:p>
    <w:p>
      <w:pPr>
        <w:spacing w:after="56"/>
      </w:pPr>
      <w:r>
        <w:t>What counts: Data subject rights workflows, evidence retention policies, rights-retention conflict resolution, conflict audit trails</w:t>
      </w:r>
    </w:p>
    <w:p>
      <w:pPr>
        <w:spacing w:after="56"/>
      </w:pPr>
      <w:r>
        <w:t>What does not count: General data subject rights, rights workflows without evidence retention integration, rights workflows without conflict resolution</w:t>
      </w:r>
    </w:p>
    <w:p>
      <w:pPr>
        <w:keepNext/>
      </w:pPr>
      <w:r>
        <w:rPr>
          <w:b/>
          <w:sz w:val="16"/>
        </w:rPr>
        <w:t>Table T-F-13: ALCS-13 Data Subject Rights vs Evidence Retention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data subject rights vs evidence retention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data subject rights workflows, no evidence retention policies, no conflict resolution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data subject rights vs evidence retention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data subject rights vs evidence retention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Data subject rights vs evidence retention mentioned in marketing docs but no implementation details</w:t>
            </w:r>
          </w:p>
        </w:tc>
        <w:tc>
          <w:tcPr>
            <w:tcW w:type="dxa" w:w="1704"/>
          </w:tcPr>
          <w:p>
            <w:pPr>
              <w:spacing w:after="0"/>
            </w:pPr>
            <w:r>
              <w:rPr>
                <w:rFonts w:ascii="Arial" w:hAnsi="Arial"/>
                <w:b w:val="0"/>
                <w:sz w:val="12"/>
              </w:rPr>
              <w:t>Rights-retention mentioned ≠ rights-retention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data subject rights vs evidence retention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Data subject rights workflows exist but no evidence retention policies or conflict resolution</w:t>
            </w:r>
          </w:p>
        </w:tc>
        <w:tc>
          <w:tcPr>
            <w:tcW w:type="dxa" w:w="1704"/>
          </w:tcPr>
          <w:p>
            <w:pPr>
              <w:spacing w:after="0"/>
            </w:pPr>
            <w:r>
              <w:rPr>
                <w:rFonts w:ascii="Arial" w:hAnsi="Arial"/>
                <w:b w:val="0"/>
                <w:sz w:val="12"/>
              </w:rPr>
              <w:t>Rights workflows ≠ retention policies or conflict resolution</w:t>
            </w:r>
          </w:p>
        </w:tc>
        <w:tc>
          <w:tcPr>
            <w:tcW w:type="dxa" w:w="1704"/>
          </w:tcPr>
          <w:p>
            <w:pPr>
              <w:spacing w:after="0"/>
            </w:pPr>
            <w:r>
              <w:rPr>
                <w:rFonts w:ascii="Arial" w:hAnsi="Arial"/>
                <w:b w:val="0"/>
                <w:sz w:val="12"/>
              </w:rPr>
              <w:t>Partial coverage; retention and conflict resolution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data subject rights vs evidence retention</w:t>
            </w:r>
          </w:p>
        </w:tc>
        <w:tc>
          <w:tcPr>
            <w:tcW w:type="dxa" w:w="1704"/>
          </w:tcPr>
          <w:p>
            <w:pPr>
              <w:spacing w:after="0"/>
            </w:pPr>
            <w:r>
              <w:rPr>
                <w:rFonts w:ascii="Arial" w:hAnsi="Arial"/>
                <w:b w:val="0"/>
                <w:sz w:val="12"/>
              </w:rPr>
              <w:t>Product documentation with rights workflows and retention policies</w:t>
            </w:r>
          </w:p>
        </w:tc>
        <w:tc>
          <w:tcPr>
            <w:tcW w:type="dxa" w:w="1704"/>
          </w:tcPr>
          <w:p>
            <w:pPr>
              <w:spacing w:after="0"/>
            </w:pPr>
            <w:r>
              <w:rPr>
                <w:rFonts w:ascii="Arial" w:hAnsi="Arial"/>
                <w:b w:val="0"/>
                <w:sz w:val="12"/>
              </w:rPr>
              <w:t>Data subject rights workflows, evidence retention policies, basic rights-retention conflict resolution</w:t>
            </w:r>
          </w:p>
        </w:tc>
        <w:tc>
          <w:tcPr>
            <w:tcW w:type="dxa" w:w="1704"/>
          </w:tcPr>
          <w:p>
            <w:pPr>
              <w:spacing w:after="0"/>
            </w:pPr>
            <w:r>
              <w:rPr>
                <w:rFonts w:ascii="Arial" w:hAnsi="Arial"/>
                <w:b w:val="0"/>
                <w:sz w:val="12"/>
              </w:rPr>
              <w:t>Conflict resolution ≠ conflict audit trails or legal basis tracking</w:t>
            </w:r>
          </w:p>
        </w:tc>
        <w:tc>
          <w:tcPr>
            <w:tcW w:type="dxa" w:w="1704"/>
          </w:tcPr>
          <w:p>
            <w:pPr>
              <w:spacing w:after="0"/>
            </w:pPr>
            <w:r>
              <w:rPr>
                <w:rFonts w:ascii="Arial" w:hAnsi="Arial"/>
                <w:b w:val="0"/>
                <w:sz w:val="12"/>
              </w:rPr>
              <w:t>Moderate coverage; audit and legal basis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data subject rights vs evidence retention</w:t>
            </w:r>
          </w:p>
        </w:tc>
        <w:tc>
          <w:tcPr>
            <w:tcW w:type="dxa" w:w="1704"/>
          </w:tcPr>
          <w:p>
            <w:pPr>
              <w:spacing w:after="0"/>
            </w:pPr>
            <w:r>
              <w:rPr>
                <w:rFonts w:ascii="Arial" w:hAnsi="Arial"/>
                <w:b w:val="0"/>
                <w:sz w:val="12"/>
              </w:rPr>
              <w:t>Product documentation with rights workflows, retention policies, and conflict resolution</w:t>
            </w:r>
          </w:p>
        </w:tc>
        <w:tc>
          <w:tcPr>
            <w:tcW w:type="dxa" w:w="1704"/>
          </w:tcPr>
          <w:p>
            <w:pPr>
              <w:spacing w:after="0"/>
            </w:pPr>
            <w:r>
              <w:rPr>
                <w:rFonts w:ascii="Arial" w:hAnsi="Arial"/>
                <w:b w:val="0"/>
                <w:sz w:val="12"/>
              </w:rPr>
              <w:t>Data subject rights workflows, evidence retention policies, rights-retention conflict resolution, conflict audit trails</w:t>
            </w:r>
          </w:p>
        </w:tc>
        <w:tc>
          <w:tcPr>
            <w:tcW w:type="dxa" w:w="1704"/>
          </w:tcPr>
          <w:p>
            <w:pPr>
              <w:spacing w:after="0"/>
            </w:pPr>
            <w:r>
              <w:rPr>
                <w:rFonts w:ascii="Arial" w:hAnsi="Arial"/>
                <w:b w:val="0"/>
                <w:sz w:val="12"/>
              </w:rPr>
              <w:t>Conflict audit trails ≠ legal basis tracking or regulatory exemption tracking</w:t>
            </w:r>
          </w:p>
        </w:tc>
        <w:tc>
          <w:tcPr>
            <w:tcW w:type="dxa" w:w="1704"/>
          </w:tcPr>
          <w:p>
            <w:pPr>
              <w:spacing w:after="0"/>
            </w:pPr>
            <w:r>
              <w:rPr>
                <w:rFonts w:ascii="Arial" w:hAnsi="Arial"/>
                <w:b w:val="0"/>
                <w:sz w:val="12"/>
              </w:rPr>
              <w:t>Strong coverage; legal basis and exemption tracking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data subject rights vs evidence retention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17 right to erasure with legal basis exemptions;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ALCS-14: Third-Party Processor/Subprocessor Chain</w:t>
      </w:r>
    </w:p>
    <w:p>
      <w:pPr>
        <w:spacing w:after="56"/>
      </w:pPr>
      <w:r>
        <w:t>Core question: Does the system provide primitives for tracking third-party processor and subprocessor chains in AI lifecycle workflows?</w:t>
      </w:r>
    </w:p>
    <w:p>
      <w:pPr>
        <w:spacing w:after="56"/>
      </w:pPr>
      <w:r>
        <w:t>What counts: Processor chain definitions, processor tracking, processor compliance validation, processor audit trails</w:t>
      </w:r>
    </w:p>
    <w:p>
      <w:pPr>
        <w:spacing w:after="56"/>
      </w:pPr>
      <w:r>
        <w:t>What does not count: General vendor management, processor tracking without compliance validation, processor tracking without lifecycle integration</w:t>
      </w:r>
    </w:p>
    <w:p>
      <w:pPr>
        <w:keepNext/>
      </w:pPr>
      <w:r>
        <w:rPr>
          <w:b/>
          <w:sz w:val="16"/>
        </w:rPr>
        <w:t>Table T-F-14: ALCS-14 Third-Party Processor/Subprocessor Chain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third-party processor chain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processor chain definitions, no processor tracking, no compliance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third-party processor chain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third-party processor chain</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Third-party processor chain mentioned in marketing docs but no implementation details</w:t>
            </w:r>
          </w:p>
        </w:tc>
        <w:tc>
          <w:tcPr>
            <w:tcW w:type="dxa" w:w="1704"/>
          </w:tcPr>
          <w:p>
            <w:pPr>
              <w:spacing w:after="0"/>
            </w:pPr>
            <w:r>
              <w:rPr>
                <w:rFonts w:ascii="Arial" w:hAnsi="Arial"/>
                <w:b w:val="0"/>
                <w:sz w:val="12"/>
              </w:rPr>
              <w:t>Processor chain mentioned ≠ processor chain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third-party processor chain</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Processor chain definitions exist but no processor tracking or compliance validation</w:t>
            </w:r>
          </w:p>
        </w:tc>
        <w:tc>
          <w:tcPr>
            <w:tcW w:type="dxa" w:w="1704"/>
          </w:tcPr>
          <w:p>
            <w:pPr>
              <w:spacing w:after="0"/>
            </w:pPr>
            <w:r>
              <w:rPr>
                <w:rFonts w:ascii="Arial" w:hAnsi="Arial"/>
                <w:b w:val="0"/>
                <w:sz w:val="12"/>
              </w:rPr>
              <w:t>Processor definitions ≠ processor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third-party processor chain</w:t>
            </w:r>
          </w:p>
        </w:tc>
        <w:tc>
          <w:tcPr>
            <w:tcW w:type="dxa" w:w="1704"/>
          </w:tcPr>
          <w:p>
            <w:pPr>
              <w:spacing w:after="0"/>
            </w:pPr>
            <w:r>
              <w:rPr>
                <w:rFonts w:ascii="Arial" w:hAnsi="Arial"/>
                <w:b w:val="0"/>
                <w:sz w:val="12"/>
              </w:rPr>
              <w:t>Product documentation with processor definitions and tracking</w:t>
            </w:r>
          </w:p>
        </w:tc>
        <w:tc>
          <w:tcPr>
            <w:tcW w:type="dxa" w:w="1704"/>
          </w:tcPr>
          <w:p>
            <w:pPr>
              <w:spacing w:after="0"/>
            </w:pPr>
            <w:r>
              <w:rPr>
                <w:rFonts w:ascii="Arial" w:hAnsi="Arial"/>
                <w:b w:val="0"/>
                <w:sz w:val="12"/>
              </w:rPr>
              <w:t>Processor chain definitions, processor tracking, basic processor compliance validation</w:t>
            </w:r>
          </w:p>
        </w:tc>
        <w:tc>
          <w:tcPr>
            <w:tcW w:type="dxa" w:w="1704"/>
          </w:tcPr>
          <w:p>
            <w:pPr>
              <w:spacing w:after="0"/>
            </w:pPr>
            <w:r>
              <w:rPr>
                <w:rFonts w:ascii="Arial" w:hAnsi="Arial"/>
                <w:b w:val="0"/>
                <w:sz w:val="12"/>
              </w:rPr>
              <w:t>Compliance validation ≠ processor audit trails or subprocessor notification</w:t>
            </w:r>
          </w:p>
        </w:tc>
        <w:tc>
          <w:tcPr>
            <w:tcW w:type="dxa" w:w="1704"/>
          </w:tcPr>
          <w:p>
            <w:pPr>
              <w:spacing w:after="0"/>
            </w:pPr>
            <w:r>
              <w:rPr>
                <w:rFonts w:ascii="Arial" w:hAnsi="Arial"/>
                <w:b w:val="0"/>
                <w:sz w:val="12"/>
              </w:rPr>
              <w:t>Moderate coverage; audit and notification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third-party processor chain</w:t>
            </w:r>
          </w:p>
        </w:tc>
        <w:tc>
          <w:tcPr>
            <w:tcW w:type="dxa" w:w="1704"/>
          </w:tcPr>
          <w:p>
            <w:pPr>
              <w:spacing w:after="0"/>
            </w:pPr>
            <w:r>
              <w:rPr>
                <w:rFonts w:ascii="Arial" w:hAnsi="Arial"/>
                <w:b w:val="0"/>
                <w:sz w:val="12"/>
              </w:rPr>
              <w:t>Product documentation with processor definitions, tracking, and validation</w:t>
            </w:r>
          </w:p>
        </w:tc>
        <w:tc>
          <w:tcPr>
            <w:tcW w:type="dxa" w:w="1704"/>
          </w:tcPr>
          <w:p>
            <w:pPr>
              <w:spacing w:after="0"/>
            </w:pPr>
            <w:r>
              <w:rPr>
                <w:rFonts w:ascii="Arial" w:hAnsi="Arial"/>
                <w:b w:val="0"/>
                <w:sz w:val="12"/>
              </w:rPr>
              <w:t>Processor chain definitions, processor tracking, processor compliance validation, processor audit trails</w:t>
            </w:r>
          </w:p>
        </w:tc>
        <w:tc>
          <w:tcPr>
            <w:tcW w:type="dxa" w:w="1704"/>
          </w:tcPr>
          <w:p>
            <w:pPr>
              <w:spacing w:after="0"/>
            </w:pPr>
            <w:r>
              <w:rPr>
                <w:rFonts w:ascii="Arial" w:hAnsi="Arial"/>
                <w:b w:val="0"/>
                <w:sz w:val="12"/>
              </w:rPr>
              <w:t>Processor audit trails ≠ subprocessor notification or data transfer impact assessment</w:t>
            </w:r>
          </w:p>
        </w:tc>
        <w:tc>
          <w:tcPr>
            <w:tcW w:type="dxa" w:w="1704"/>
          </w:tcPr>
          <w:p>
            <w:pPr>
              <w:spacing w:after="0"/>
            </w:pPr>
            <w:r>
              <w:rPr>
                <w:rFonts w:ascii="Arial" w:hAnsi="Arial"/>
                <w:b w:val="0"/>
                <w:sz w:val="12"/>
              </w:rPr>
              <w:t>Strong coverage; notification and impact assessment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third-party processor chain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GDPR Article 28 processor requirements with subprocessor chain tracking;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3"/>
      </w:pPr>
      <w:r>
        <w:t>ALCS-15: Vendor/Model/Runtime Substitution Conformance</w:t>
      </w:r>
    </w:p>
    <w:p>
      <w:pPr>
        <w:spacing w:after="56"/>
      </w:pPr>
      <w:r>
        <w:t>Core question: Does the system provide primitives for ensuring conformance when substituting vendors, models, or runtimes?</w:t>
      </w:r>
    </w:p>
    <w:p>
      <w:pPr>
        <w:spacing w:after="56"/>
      </w:pPr>
      <w:r>
        <w:t>What counts: Substitution conformance definitions, substitution tracking, substitution validation, substitution audit trails</w:t>
      </w:r>
    </w:p>
    <w:p>
      <w:pPr>
        <w:spacing w:after="56"/>
      </w:pPr>
      <w:r>
        <w:t>What does not count: General configuration management, substitution tracking without conformance validation, substitution tracking without lifecycle integration</w:t>
      </w:r>
    </w:p>
    <w:p>
      <w:pPr>
        <w:keepNext/>
      </w:pPr>
      <w:r>
        <w:rPr>
          <w:b/>
          <w:sz w:val="16"/>
        </w:rPr>
        <w:t>Table T-F-15: ALCS-15 Vendor/Model/Runtime Substitution Conformance Detailed Rubric</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Score</w:t>
            </w:r>
          </w:p>
        </w:tc>
        <w:tc>
          <w:tcPr>
            <w:tcW w:type="dxa" w:w="1704"/>
          </w:tcPr>
          <w:p>
            <w:pPr>
              <w:spacing w:after="0"/>
            </w:pPr>
            <w:r>
              <w:rPr>
                <w:rFonts w:ascii="Arial" w:hAnsi="Arial"/>
                <w:b/>
                <w:sz w:val="12"/>
              </w:rPr>
              <w:t>Capability Level</w:t>
            </w:r>
          </w:p>
        </w:tc>
        <w:tc>
          <w:tcPr>
            <w:tcW w:type="dxa" w:w="1704"/>
          </w:tcPr>
          <w:p>
            <w:pPr>
              <w:spacing w:after="0"/>
            </w:pPr>
            <w:r>
              <w:rPr>
                <w:rFonts w:ascii="Arial" w:hAnsi="Arial"/>
                <w:b/>
                <w:sz w:val="12"/>
              </w:rPr>
              <w:t>Required Evidence</w:t>
            </w:r>
          </w:p>
        </w:tc>
        <w:tc>
          <w:tcPr>
            <w:tcW w:type="dxa" w:w="1704"/>
          </w:tcPr>
          <w:p>
            <w:pPr>
              <w:spacing w:after="0"/>
            </w:pPr>
            <w:r>
              <w:rPr>
                <w:rFonts w:ascii="Arial" w:hAnsi="Arial"/>
                <w:b/>
                <w:sz w:val="12"/>
              </w:rPr>
              <w:t>Example Evidence Artifact</w:t>
            </w:r>
          </w:p>
        </w:tc>
        <w:tc>
          <w:tcPr>
            <w:tcW w:type="dxa" w:w="1704"/>
          </w:tcPr>
          <w:p>
            <w:pPr>
              <w:spacing w:after="0"/>
            </w:pPr>
            <w:r>
              <w:rPr>
                <w:rFonts w:ascii="Arial" w:hAnsi="Arial"/>
                <w:b/>
                <w:sz w:val="12"/>
              </w:rPr>
              <w:t>Negative Control</w:t>
            </w:r>
          </w:p>
        </w:tc>
        <w:tc>
          <w:tcPr>
            <w:tcW w:type="dxa" w:w="1704"/>
          </w:tcPr>
          <w:p>
            <w:pPr>
              <w:spacing w:after="0"/>
            </w:pPr>
            <w:r>
              <w:rPr>
                <w:rFonts w:ascii="Arial" w:hAnsi="Arial"/>
                <w:b/>
                <w:sz w:val="12"/>
              </w:rPr>
              <w:t>Boundary Note</w:t>
            </w:r>
          </w:p>
        </w:tc>
      </w:tr>
      <w:tr>
        <w:tc>
          <w:tcPr>
            <w:tcW w:type="dxa" w:w="1704"/>
          </w:tcPr>
          <w:p>
            <w:pPr>
              <w:spacing w:after="0"/>
            </w:pPr>
            <w:r>
              <w:rPr>
                <w:rFonts w:ascii="Arial" w:hAnsi="Arial"/>
                <w:b w:val="0"/>
                <w:sz w:val="12"/>
              </w:rPr>
              <w:t>0</w:t>
            </w:r>
          </w:p>
        </w:tc>
        <w:tc>
          <w:tcPr>
            <w:tcW w:type="dxa" w:w="1704"/>
          </w:tcPr>
          <w:p>
            <w:pPr>
              <w:spacing w:after="0"/>
            </w:pPr>
            <w:r>
              <w:rPr>
                <w:rFonts w:ascii="Arial" w:hAnsi="Arial"/>
                <w:b w:val="0"/>
                <w:sz w:val="12"/>
              </w:rPr>
              <w:t>No vendor/model/runtime substitution conformance capability</w:t>
            </w:r>
          </w:p>
        </w:tc>
        <w:tc>
          <w:tcPr>
            <w:tcW w:type="dxa" w:w="1704"/>
          </w:tcPr>
          <w:p>
            <w:pPr>
              <w:spacing w:after="0"/>
            </w:pPr>
            <w:r>
              <w:rPr>
                <w:rFonts w:ascii="Arial" w:hAnsi="Arial"/>
                <w:b w:val="0"/>
                <w:sz w:val="12"/>
              </w:rPr>
              <w:t>None</w:t>
            </w:r>
          </w:p>
        </w:tc>
        <w:tc>
          <w:tcPr>
            <w:tcW w:type="dxa" w:w="1704"/>
          </w:tcPr>
          <w:p>
            <w:pPr>
              <w:spacing w:after="0"/>
            </w:pPr>
            <w:r>
              <w:rPr>
                <w:rFonts w:ascii="Arial" w:hAnsi="Arial"/>
                <w:b w:val="0"/>
                <w:sz w:val="12"/>
              </w:rPr>
              <w:t>No substitution conformance definitions, no substitution tracking, no substitution validation</w:t>
            </w:r>
          </w:p>
        </w:tc>
        <w:tc>
          <w:tcPr>
            <w:tcW w:type="dxa" w:w="1704"/>
          </w:tcPr>
          <w:p>
            <w:pPr>
              <w:spacing w:after="0"/>
            </w:pPr>
            <w:r>
              <w:rPr>
                <w:rFonts w:ascii="Arial" w:hAnsi="Arial"/>
                <w:b w:val="0"/>
                <w:sz w:val="12"/>
              </w:rPr>
              <w:t>N/A</w:t>
            </w:r>
          </w:p>
        </w:tc>
        <w:tc>
          <w:tcPr>
            <w:tcW w:type="dxa" w:w="1704"/>
          </w:tcPr>
          <w:p>
            <w:pPr>
              <w:spacing w:after="0"/>
            </w:pPr>
            <w:r>
              <w:rPr>
                <w:rFonts w:ascii="Arial" w:hAnsi="Arial"/>
                <w:b w:val="0"/>
                <w:sz w:val="12"/>
              </w:rPr>
              <w:t>Absence of vendor/model/runtime substitution conformance primitives</w:t>
            </w:r>
          </w:p>
        </w:tc>
      </w:tr>
      <w:tr>
        <w:tc>
          <w:tcPr>
            <w:tcW w:type="dxa" w:w="1704"/>
          </w:tcPr>
          <w:p>
            <w:pPr>
              <w:spacing w:after="0"/>
            </w:pPr>
            <w:r>
              <w:rPr>
                <w:rFonts w:ascii="Arial" w:hAnsi="Arial"/>
                <w:b w:val="0"/>
                <w:sz w:val="12"/>
              </w:rPr>
              <w:t>1</w:t>
            </w:r>
          </w:p>
        </w:tc>
        <w:tc>
          <w:tcPr>
            <w:tcW w:type="dxa" w:w="1704"/>
          </w:tcPr>
          <w:p>
            <w:pPr>
              <w:spacing w:after="0"/>
            </w:pPr>
            <w:r>
              <w:rPr>
                <w:rFonts w:ascii="Arial" w:hAnsi="Arial"/>
                <w:b w:val="0"/>
                <w:sz w:val="12"/>
              </w:rPr>
              <w:t>Minimal vendor/model/runtime substitution conformance</w:t>
            </w:r>
          </w:p>
        </w:tc>
        <w:tc>
          <w:tcPr>
            <w:tcW w:type="dxa" w:w="1704"/>
          </w:tcPr>
          <w:p>
            <w:pPr>
              <w:spacing w:after="0"/>
            </w:pPr>
            <w:r>
              <w:rPr>
                <w:rFonts w:ascii="Arial" w:hAnsi="Arial"/>
                <w:b w:val="0"/>
                <w:sz w:val="12"/>
              </w:rPr>
              <w:t>Vendor claim or marketing material</w:t>
            </w:r>
          </w:p>
        </w:tc>
        <w:tc>
          <w:tcPr>
            <w:tcW w:type="dxa" w:w="1704"/>
          </w:tcPr>
          <w:p>
            <w:pPr>
              <w:spacing w:after="0"/>
            </w:pPr>
            <w:r>
              <w:rPr>
                <w:rFonts w:ascii="Arial" w:hAnsi="Arial"/>
                <w:b w:val="0"/>
                <w:sz w:val="12"/>
              </w:rPr>
              <w:t>Substitution conformance mentioned in marketing docs but no implementation details</w:t>
            </w:r>
          </w:p>
        </w:tc>
        <w:tc>
          <w:tcPr>
            <w:tcW w:type="dxa" w:w="1704"/>
          </w:tcPr>
          <w:p>
            <w:pPr>
              <w:spacing w:after="0"/>
            </w:pPr>
            <w:r>
              <w:rPr>
                <w:rFonts w:ascii="Arial" w:hAnsi="Arial"/>
                <w:b w:val="0"/>
                <w:sz w:val="12"/>
              </w:rPr>
              <w:t>Substitution mentioned ≠ substitution implemented</w:t>
            </w:r>
          </w:p>
        </w:tc>
        <w:tc>
          <w:tcPr>
            <w:tcW w:type="dxa" w:w="1704"/>
          </w:tcPr>
          <w:p>
            <w:pPr>
              <w:spacing w:after="0"/>
            </w:pPr>
            <w:r>
              <w:rPr>
                <w:rFonts w:ascii="Arial" w:hAnsi="Arial"/>
                <w:b w:val="0"/>
                <w:sz w:val="12"/>
              </w:rPr>
              <w:t>Vendor claim requires validation</w:t>
            </w:r>
          </w:p>
        </w:tc>
      </w:tr>
      <w:tr>
        <w:tc>
          <w:tcPr>
            <w:tcW w:type="dxa" w:w="1704"/>
          </w:tcPr>
          <w:p>
            <w:pPr>
              <w:spacing w:after="0"/>
            </w:pPr>
            <w:r>
              <w:rPr>
                <w:rFonts w:ascii="Arial" w:hAnsi="Arial"/>
                <w:b w:val="0"/>
                <w:sz w:val="12"/>
              </w:rPr>
              <w:t>2</w:t>
            </w:r>
          </w:p>
        </w:tc>
        <w:tc>
          <w:tcPr>
            <w:tcW w:type="dxa" w:w="1704"/>
          </w:tcPr>
          <w:p>
            <w:pPr>
              <w:spacing w:after="0"/>
            </w:pPr>
            <w:r>
              <w:rPr>
                <w:rFonts w:ascii="Arial" w:hAnsi="Arial"/>
                <w:b w:val="0"/>
                <w:sz w:val="12"/>
              </w:rPr>
              <w:t>Partial vendor/model/runtime substitution conformance</w:t>
            </w:r>
          </w:p>
        </w:tc>
        <w:tc>
          <w:tcPr>
            <w:tcW w:type="dxa" w:w="1704"/>
          </w:tcPr>
          <w:p>
            <w:pPr>
              <w:spacing w:after="0"/>
            </w:pPr>
            <w:r>
              <w:rPr>
                <w:rFonts w:ascii="Arial" w:hAnsi="Arial"/>
                <w:b w:val="0"/>
                <w:sz w:val="12"/>
              </w:rPr>
              <w:t>Product documentation with partial coverage</w:t>
            </w:r>
          </w:p>
        </w:tc>
        <w:tc>
          <w:tcPr>
            <w:tcW w:type="dxa" w:w="1704"/>
          </w:tcPr>
          <w:p>
            <w:pPr>
              <w:spacing w:after="0"/>
            </w:pPr>
            <w:r>
              <w:rPr>
                <w:rFonts w:ascii="Arial" w:hAnsi="Arial"/>
                <w:b w:val="0"/>
                <w:sz w:val="12"/>
              </w:rPr>
              <w:t>Substitution conformance definitions exist but no substitution tracking or substitution validation</w:t>
            </w:r>
          </w:p>
        </w:tc>
        <w:tc>
          <w:tcPr>
            <w:tcW w:type="dxa" w:w="1704"/>
          </w:tcPr>
          <w:p>
            <w:pPr>
              <w:spacing w:after="0"/>
            </w:pPr>
            <w:r>
              <w:rPr>
                <w:rFonts w:ascii="Arial" w:hAnsi="Arial"/>
                <w:b w:val="0"/>
                <w:sz w:val="12"/>
              </w:rPr>
              <w:t>Substitution definitions ≠ substitution tracking or validation</w:t>
            </w:r>
          </w:p>
        </w:tc>
        <w:tc>
          <w:tcPr>
            <w:tcW w:type="dxa" w:w="1704"/>
          </w:tcPr>
          <w:p>
            <w:pPr>
              <w:spacing w:after="0"/>
            </w:pPr>
            <w:r>
              <w:rPr>
                <w:rFonts w:ascii="Arial" w:hAnsi="Arial"/>
                <w:b w:val="0"/>
                <w:sz w:val="12"/>
              </w:rPr>
              <w:t>Partial coverage; tracking and validation gaps exist</w:t>
            </w:r>
          </w:p>
        </w:tc>
      </w:tr>
      <w:tr>
        <w:tc>
          <w:tcPr>
            <w:tcW w:type="dxa" w:w="1704"/>
          </w:tcPr>
          <w:p>
            <w:pPr>
              <w:spacing w:after="0"/>
            </w:pPr>
            <w:r>
              <w:rPr>
                <w:rFonts w:ascii="Arial" w:hAnsi="Arial"/>
                <w:b w:val="0"/>
                <w:sz w:val="12"/>
              </w:rPr>
              <w:t>3</w:t>
            </w:r>
          </w:p>
        </w:tc>
        <w:tc>
          <w:tcPr>
            <w:tcW w:type="dxa" w:w="1704"/>
          </w:tcPr>
          <w:p>
            <w:pPr>
              <w:spacing w:after="0"/>
            </w:pPr>
            <w:r>
              <w:rPr>
                <w:rFonts w:ascii="Arial" w:hAnsi="Arial"/>
                <w:b w:val="0"/>
                <w:sz w:val="12"/>
              </w:rPr>
              <w:t>Moderate vendor/model/runtime substitution conformance</w:t>
            </w:r>
          </w:p>
        </w:tc>
        <w:tc>
          <w:tcPr>
            <w:tcW w:type="dxa" w:w="1704"/>
          </w:tcPr>
          <w:p>
            <w:pPr>
              <w:spacing w:after="0"/>
            </w:pPr>
            <w:r>
              <w:rPr>
                <w:rFonts w:ascii="Arial" w:hAnsi="Arial"/>
                <w:b w:val="0"/>
                <w:sz w:val="12"/>
              </w:rPr>
              <w:t>Product documentation with substitution definitions and tracking</w:t>
            </w:r>
          </w:p>
        </w:tc>
        <w:tc>
          <w:tcPr>
            <w:tcW w:type="dxa" w:w="1704"/>
          </w:tcPr>
          <w:p>
            <w:pPr>
              <w:spacing w:after="0"/>
            </w:pPr>
            <w:r>
              <w:rPr>
                <w:rFonts w:ascii="Arial" w:hAnsi="Arial"/>
                <w:b w:val="0"/>
                <w:sz w:val="12"/>
              </w:rPr>
              <w:t>Substitution conformance definitions, substitution tracking, basic substitution validation</w:t>
            </w:r>
          </w:p>
        </w:tc>
        <w:tc>
          <w:tcPr>
            <w:tcW w:type="dxa" w:w="1704"/>
          </w:tcPr>
          <w:p>
            <w:pPr>
              <w:spacing w:after="0"/>
            </w:pPr>
            <w:r>
              <w:rPr>
                <w:rFonts w:ascii="Arial" w:hAnsi="Arial"/>
                <w:b w:val="0"/>
                <w:sz w:val="12"/>
              </w:rPr>
              <w:t>Substitution validation ≠ substitution audit trails or cross-project reuse compliance</w:t>
            </w:r>
          </w:p>
        </w:tc>
        <w:tc>
          <w:tcPr>
            <w:tcW w:type="dxa" w:w="1704"/>
          </w:tcPr>
          <w:p>
            <w:pPr>
              <w:spacing w:after="0"/>
            </w:pPr>
            <w:r>
              <w:rPr>
                <w:rFonts w:ascii="Arial" w:hAnsi="Arial"/>
                <w:b w:val="0"/>
                <w:sz w:val="12"/>
              </w:rPr>
              <w:t>Moderate coverage; audit and reuse compliance gaps exist</w:t>
            </w:r>
          </w:p>
        </w:tc>
      </w:tr>
      <w:tr>
        <w:tc>
          <w:tcPr>
            <w:tcW w:type="dxa" w:w="1704"/>
          </w:tcPr>
          <w:p>
            <w:pPr>
              <w:spacing w:after="0"/>
            </w:pPr>
            <w:r>
              <w:rPr>
                <w:rFonts w:ascii="Arial" w:hAnsi="Arial"/>
                <w:b w:val="0"/>
                <w:sz w:val="12"/>
              </w:rPr>
              <w:t>4</w:t>
            </w:r>
          </w:p>
        </w:tc>
        <w:tc>
          <w:tcPr>
            <w:tcW w:type="dxa" w:w="1704"/>
          </w:tcPr>
          <w:p>
            <w:pPr>
              <w:spacing w:after="0"/>
            </w:pPr>
            <w:r>
              <w:rPr>
                <w:rFonts w:ascii="Arial" w:hAnsi="Arial"/>
                <w:b w:val="0"/>
                <w:sz w:val="12"/>
              </w:rPr>
              <w:t>Strong vendor/model/runtime substitution conformance</w:t>
            </w:r>
          </w:p>
        </w:tc>
        <w:tc>
          <w:tcPr>
            <w:tcW w:type="dxa" w:w="1704"/>
          </w:tcPr>
          <w:p>
            <w:pPr>
              <w:spacing w:after="0"/>
            </w:pPr>
            <w:r>
              <w:rPr>
                <w:rFonts w:ascii="Arial" w:hAnsi="Arial"/>
                <w:b w:val="0"/>
                <w:sz w:val="12"/>
              </w:rPr>
              <w:t>Product documentation with substitution definitions, tracking, and validation</w:t>
            </w:r>
          </w:p>
        </w:tc>
        <w:tc>
          <w:tcPr>
            <w:tcW w:type="dxa" w:w="1704"/>
          </w:tcPr>
          <w:p>
            <w:pPr>
              <w:spacing w:after="0"/>
            </w:pPr>
            <w:r>
              <w:rPr>
                <w:rFonts w:ascii="Arial" w:hAnsi="Arial"/>
                <w:b w:val="0"/>
                <w:sz w:val="12"/>
              </w:rPr>
              <w:t>Substitution conformance definitions, substitution tracking, substitution validation, substitution audit trails</w:t>
            </w:r>
          </w:p>
        </w:tc>
        <w:tc>
          <w:tcPr>
            <w:tcW w:type="dxa" w:w="1704"/>
          </w:tcPr>
          <w:p>
            <w:pPr>
              <w:spacing w:after="0"/>
            </w:pPr>
            <w:r>
              <w:rPr>
                <w:rFonts w:ascii="Arial" w:hAnsi="Arial"/>
                <w:b w:val="0"/>
                <w:sz w:val="12"/>
              </w:rPr>
              <w:t>Substitution audit trails ≠ cross-project reuse compliance or evidence re-partitioning</w:t>
            </w:r>
          </w:p>
        </w:tc>
        <w:tc>
          <w:tcPr>
            <w:tcW w:type="dxa" w:w="1704"/>
          </w:tcPr>
          <w:p>
            <w:pPr>
              <w:spacing w:after="0"/>
            </w:pPr>
            <w:r>
              <w:rPr>
                <w:rFonts w:ascii="Arial" w:hAnsi="Arial"/>
                <w:b w:val="0"/>
                <w:sz w:val="12"/>
              </w:rPr>
              <w:t>Strong coverage; reuse compliance and re-partitioning gaps may exist</w:t>
            </w:r>
          </w:p>
        </w:tc>
      </w:tr>
      <w:tr>
        <w:tc>
          <w:tcPr>
            <w:tcW w:type="dxa" w:w="1704"/>
          </w:tcPr>
          <w:p>
            <w:pPr>
              <w:spacing w:after="0"/>
            </w:pPr>
            <w:r>
              <w:rPr>
                <w:rFonts w:ascii="Arial" w:hAnsi="Arial"/>
                <w:b w:val="0"/>
                <w:sz w:val="12"/>
              </w:rPr>
              <w:t>5</w:t>
            </w:r>
          </w:p>
        </w:tc>
        <w:tc>
          <w:tcPr>
            <w:tcW w:type="dxa" w:w="1704"/>
          </w:tcPr>
          <w:p>
            <w:pPr>
              <w:spacing w:after="0"/>
            </w:pPr>
            <w:r>
              <w:rPr>
                <w:rFonts w:ascii="Arial" w:hAnsi="Arial"/>
                <w:b w:val="0"/>
                <w:sz w:val="12"/>
              </w:rPr>
              <w:t>Complete vendor/model/runtime substitution conformance demonstrated by implementation evidence</w:t>
            </w:r>
          </w:p>
        </w:tc>
        <w:tc>
          <w:tcPr>
            <w:tcW w:type="dxa" w:w="1704"/>
          </w:tcPr>
          <w:p>
            <w:pPr>
              <w:spacing w:after="0"/>
            </w:pPr>
            <w:r>
              <w:rPr>
                <w:rFonts w:ascii="Arial" w:hAnsi="Arial"/>
                <w:b w:val="0"/>
                <w:sz w:val="12"/>
              </w:rPr>
              <w:t>Implementation evidence, formal audit evidence, protocol-level evidence, or validated operational artifacts</w:t>
            </w:r>
          </w:p>
        </w:tc>
        <w:tc>
          <w:tcPr>
            <w:tcW w:type="dxa" w:w="1704"/>
          </w:tcPr>
          <w:p>
            <w:pPr>
              <w:spacing w:after="0"/>
            </w:pPr>
            <w:r>
              <w:rPr>
                <w:rFonts w:ascii="Arial" w:hAnsi="Arial"/>
                <w:b w:val="0"/>
                <w:sz w:val="12"/>
              </w:rPr>
              <w:t>Legal baseline: EU AI Act Article 43 conformity assessment with substitution requirements; implementation evidence: audit report, operational artifact, protocol evidence, or validated workflow record</w:t>
            </w:r>
          </w:p>
        </w:tc>
        <w:tc>
          <w:tcPr>
            <w:tcW w:type="dxa" w:w="1704"/>
          </w:tcPr>
          <w:p>
            <w:pPr>
              <w:spacing w:after="0"/>
            </w:pPr>
            <w:r>
              <w:rPr>
                <w:rFonts w:ascii="Arial" w:hAnsi="Arial"/>
                <w:b w:val="0"/>
                <w:sz w:val="12"/>
              </w:rPr>
              <w:t>Legal text may establish regulatory baseline but does not prove ALCS implementation</w:t>
            </w:r>
          </w:p>
        </w:tc>
        <w:tc>
          <w:tcPr>
            <w:tcW w:type="dxa" w:w="1704"/>
          </w:tcPr>
          <w:p>
            <w:pPr>
              <w:spacing w:after="0"/>
            </w:pPr>
            <w:r>
              <w:rPr>
                <w:rFonts w:ascii="Arial" w:hAnsi="Arial"/>
                <w:b w:val="0"/>
                <w:sz w:val="12"/>
              </w:rPr>
              <w:t>Complete ALCS capability requires implementation evidence; legal text alone insufficient</w:t>
            </w:r>
          </w:p>
        </w:tc>
      </w:tr>
    </w:tbl>
    <w:p>
      <w:pPr>
        <w:pStyle w:val="Heading2"/>
      </w:pPr>
      <w:r>
        <w:t>F.3 ALCS Evidence Requirements</w:t>
      </w:r>
    </w:p>
    <w:p>
      <w:pPr>
        <w:spacing w:after="56"/>
      </w:pPr>
      <w:r>
        <w:t>Evidence hierarchy:</w:t>
      </w:r>
    </w:p>
    <w:p>
      <w:pPr>
        <w:pStyle w:val="ListBullet"/>
        <w:spacing w:after="56"/>
      </w:pPr>
      <w:r>
        <w:t>L1 (Binding Legal Text): EU AI Act, GDPR, Colorado AI Act, formal standards (NIST AI RMF, ISO/IEC 42001)</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 industry reports</w:t>
      </w:r>
    </w:p>
    <w:p>
      <w:pPr>
        <w:pStyle w:val="ListBullet"/>
        <w:spacing w:after="56"/>
      </w:pPr>
      <w:r>
        <w:t>L4 (Vendor Claim): Vendor claims, marketing materials, blog posts</w:t>
      </w:r>
    </w:p>
    <w:p>
      <w:pPr>
        <w:pStyle w:val="ListBullet"/>
        <w:spacing w:after="56"/>
      </w:pPr>
      <w:r>
        <w:t>L5 (Author Inference): Author inference, analytical framework, logical derivation</w:t>
      </w:r>
    </w:p>
    <w:p>
      <w:pPr>
        <w:spacing w:after="56"/>
      </w:pPr>
      <w:r>
        <w:t>Evidence multiplier application:</w:t>
      </w:r>
    </w:p>
    <w:p>
      <w:pPr>
        <w:spacing w:after="56"/>
      </w:pPr>
      <w:r>
        <w:t>Dimension Score = (Raw Score / 5) × 100 × Evidence Confidence Multiplier</w:t>
        <w:br/>
        <w:br/>
        <w:t>Where:</w:t>
        <w:br/>
        <w:t>Raw Score = 0-5 based on capability assessment</w:t>
        <w:br/>
        <w:t>Evidence Confidence Multiplier = L1=1.00, L2=0.85, L3=0.75, L4=0.55, L5=0.35</w:t>
      </w:r>
    </w:p>
    <w:p>
      <w:pPr>
        <w:spacing w:after="56"/>
      </w:pPr>
      <w:r>
        <w:t>Example:</w:t>
      </w:r>
    </w:p>
    <w:p>
      <w:pPr>
        <w:spacing w:after="56"/>
      </w:pPr>
      <w:r>
        <w:t>ALCS-01 Human-Role-to-MAS Responsibility Mapping</w:t>
        <w:br/>
        <w:t>Raw Score: 3 (Moderate capability)</w:t>
        <w:br/>
        <w:t>Evidence Level: L2 (Product documentation)</w:t>
        <w:br/>
        <w:t>Evidence Multiplier: 0.85</w:t>
        <w:br/>
        <w:t>Dimension Score: (3/5) × 100 × 0.85 = 51.0</w:t>
      </w:r>
    </w:p>
    <w:p>
      <w:pPr>
        <w:pStyle w:val="Heading2"/>
      </w:pPr>
      <w:r>
        <w:t>F.4 ALCS Scoring Notes and Negative Controls</w:t>
      </w:r>
    </w:p>
    <w:p>
      <w:pPr>
        <w:spacing w:after="56"/>
      </w:pPr>
      <w:r>
        <w:t>Negative controls prevent overclaim:</w:t>
      </w:r>
    </w:p>
    <w:p>
      <w:pPr>
        <w:pStyle w:val="ListNumber"/>
        <w:spacing w:after="56"/>
      </w:pPr>
      <w:r>
        <w:t>Human-role-to-MAS mapping mentioned ≠ mapping implemented</w:t>
      </w:r>
    </w:p>
    <w:p>
      <w:pPr>
        <w:pStyle w:val="ListBullet"/>
        <w:spacing w:after="56"/>
      </w:pPr>
      <w:r>
        <w:t>Vendor marketing materials may mention human-role-to-MAS mapping without providing implementation details</w:t>
      </w:r>
    </w:p>
    <w:p>
      <w:pPr>
        <w:pStyle w:val="ListBullet"/>
        <w:spacing w:after="56"/>
      </w:pPr>
      <w:r>
        <w:t>Require product documentation or audit evidence to validate implementation</w:t>
      </w:r>
    </w:p>
    <w:p>
      <w:pPr>
        <w:pStyle w:val="ListNumber"/>
        <w:spacing w:after="56"/>
      </w:pPr>
      <w:r>
        <w:t>Authority definitions ≠ delegation workflows or enforcement</w:t>
      </w:r>
    </w:p>
    <w:p>
      <w:pPr>
        <w:pStyle w:val="ListBullet"/>
        <w:spacing w:after="56"/>
      </w:pPr>
      <w:r>
        <w:t>Authority boundary definitions do not automatically provide delegation workflows or enforcement mechanisms</w:t>
      </w:r>
    </w:p>
    <w:p>
      <w:pPr>
        <w:pStyle w:val="ListBullet"/>
        <w:spacing w:after="56"/>
      </w:pPr>
      <w:r>
        <w:t>Require explicit evidence of delegation and enforcement capabilities</w:t>
      </w:r>
    </w:p>
    <w:p>
      <w:pPr>
        <w:pStyle w:val="ListNumber"/>
        <w:spacing w:after="56"/>
      </w:pPr>
      <w:r>
        <w:t>Agent roles ≠ human roles or distinction mechanisms</w:t>
      </w:r>
    </w:p>
    <w:p>
      <w:pPr>
        <w:pStyle w:val="ListBullet"/>
        <w:spacing w:after="56"/>
      </w:pPr>
      <w:r>
        <w:t>Agent role definitions do not automatically provide human role definitions or distinction mechanisms</w:t>
      </w:r>
    </w:p>
    <w:p>
      <w:pPr>
        <w:pStyle w:val="ListBullet"/>
        <w:spacing w:after="56"/>
      </w:pPr>
      <w:r>
        <w:t>Require explicit evidence of human roles and distinction capabilities</w:t>
      </w:r>
    </w:p>
    <w:p>
      <w:pPr>
        <w:pStyle w:val="ListNumber"/>
        <w:spacing w:after="56"/>
      </w:pPr>
      <w:r>
        <w:t>Outcome definitions ≠ acceptance workflows or compliance tracking</w:t>
      </w:r>
    </w:p>
    <w:p>
      <w:pPr>
        <w:pStyle w:val="ListBullet"/>
        <w:spacing w:after="56"/>
      </w:pPr>
      <w:r>
        <w:t>Accepted outcome definitions do not automatically provide acceptance workflows or compliance tracking</w:t>
      </w:r>
    </w:p>
    <w:p>
      <w:pPr>
        <w:pStyle w:val="ListBullet"/>
        <w:spacing w:after="56"/>
      </w:pPr>
      <w:r>
        <w:t>Require explicit evidence of acceptance and compliance capabilities</w:t>
      </w:r>
    </w:p>
    <w:p>
      <w:pPr>
        <w:pStyle w:val="ListNumber"/>
        <w:spacing w:after="56"/>
      </w:pPr>
      <w:r>
        <w:t>Liability definitions ≠ boundary enforcement or tracking</w:t>
      </w:r>
    </w:p>
    <w:p>
      <w:pPr>
        <w:pStyle w:val="ListBullet"/>
        <w:spacing w:after="56"/>
      </w:pPr>
      <w:r>
        <w:t>Tool-action liability definitions do not automatically provide boundary enforcement or liability tracking</w:t>
      </w:r>
    </w:p>
    <w:p>
      <w:pPr>
        <w:pStyle w:val="ListBullet"/>
        <w:spacing w:after="56"/>
      </w:pPr>
      <w:r>
        <w:t>Require explicit evidence of enforcement and tracking capabilities</w:t>
      </w:r>
    </w:p>
    <w:p>
      <w:pPr>
        <w:pStyle w:val="ListNumber"/>
        <w:spacing w:after="56"/>
      </w:pPr>
      <w:r>
        <w:t>Transfer definitions ≠ transfer workflows or tracking</w:t>
      </w:r>
    </w:p>
    <w:p>
      <w:pPr>
        <w:pStyle w:val="ListBullet"/>
        <w:spacing w:after="56"/>
      </w:pPr>
      <w:r>
        <w:t>Responsibility transfer definitions do not automatically provide transfer workflows or transfer tracking</w:t>
      </w:r>
    </w:p>
    <w:p>
      <w:pPr>
        <w:pStyle w:val="ListBullet"/>
        <w:spacing w:after="56"/>
      </w:pPr>
      <w:r>
        <w:t>Require explicit evidence of workflows and tracking capabilities</w:t>
      </w:r>
    </w:p>
    <w:p>
      <w:pPr>
        <w:pStyle w:val="ListNumber"/>
        <w:spacing w:after="56"/>
      </w:pPr>
      <w:r>
        <w:t>Drift definitions ≠ drift detection or alerting</w:t>
      </w:r>
    </w:p>
    <w:p>
      <w:pPr>
        <w:pStyle w:val="ListBullet"/>
        <w:spacing w:after="56"/>
      </w:pPr>
      <w:r>
        <w:t>Authority drift definitions do not automatically provide drift detection mechanisms or drift alerting</w:t>
      </w:r>
    </w:p>
    <w:p>
      <w:pPr>
        <w:pStyle w:val="ListBullet"/>
        <w:spacing w:after="56"/>
      </w:pPr>
      <w:r>
        <w:t>Require explicit evidence of detection and alerting capabilities</w:t>
      </w:r>
    </w:p>
    <w:p>
      <w:pPr>
        <w:pStyle w:val="ListNumber"/>
        <w:spacing w:after="56"/>
      </w:pPr>
      <w:r>
        <w:t>Partitioning definitions ≠ partitioning mechanisms or storage</w:t>
      </w:r>
    </w:p>
    <w:p>
      <w:pPr>
        <w:pStyle w:val="ListBullet"/>
        <w:spacing w:after="56"/>
      </w:pPr>
      <w:r>
        <w:t>Evidence partitioning definitions do not automatically provide partitioning mechanisms or partitioned storage</w:t>
      </w:r>
    </w:p>
    <w:p>
      <w:pPr>
        <w:pStyle w:val="ListBullet"/>
        <w:spacing w:after="56"/>
      </w:pPr>
      <w:r>
        <w:t>Require explicit evidence of mechanisms and storage capabilities</w:t>
      </w:r>
    </w:p>
    <w:p>
      <w:pPr>
        <w:pStyle w:val="ListNumber"/>
        <w:spacing w:after="56"/>
      </w:pPr>
      <w:r>
        <w:t>Reuse definitions ≠ reuse tracking or validation</w:t>
      </w:r>
    </w:p>
    <w:p>
      <w:pPr>
        <w:pStyle w:val="ListBullet"/>
        <w:spacing w:after="56"/>
      </w:pPr>
      <w:r>
        <w:t>Cross-project reuse compliance definitions do not automatically provide reuse tracking or reuse validation</w:t>
      </w:r>
    </w:p>
    <w:p>
      <w:pPr>
        <w:pStyle w:val="ListBullet"/>
        <w:spacing w:after="56"/>
      </w:pPr>
      <w:r>
        <w:t>Require explicit evidence of tracking and validation capabilities</w:t>
      </w:r>
    </w:p>
    <w:p>
      <w:pPr>
        <w:pStyle w:val="ListNumber"/>
        <w:spacing w:after="56"/>
      </w:pPr>
      <w:r>
        <w:t>Privacy definitions ≠ GDPR mapping or lifecycle integration</w:t>
      </w:r>
    </w:p>
    <w:p>
      <w:pPr>
        <w:pStyle w:val="ListBullet"/>
        <w:spacing w:after="56"/>
      </w:pPr>
      <w:r>
        <w:t>Privacy lifecycle mapping definitions do not automatically provide GDPR requirement mapping or lifecycle integration</w:t>
      </w:r>
    </w:p>
    <w:p>
      <w:pPr>
        <w:pStyle w:val="ListBullet"/>
        <w:spacing w:after="56"/>
      </w:pPr>
      <w:r>
        <w:t>Require explicit evidence of GDPR mapping and lifecycle integration capabilities</w:t>
      </w:r>
    </w:p>
    <w:p>
      <w:pPr>
        <w:pStyle w:val="ListNumber"/>
        <w:spacing w:after="56"/>
      </w:pPr>
      <w:r>
        <w:t>Privacy mechanisms ≠ selective disclosure or workflows</w:t>
      </w:r>
    </w:p>
    <w:p>
      <w:pPr>
        <w:pStyle w:val="ListBullet"/>
        <w:spacing w:after="56"/>
      </w:pPr>
      <w:r>
        <w:t>Privacy-preserving validation mechanisms do not automatically provide selective disclosure controls or validation workflows</w:t>
      </w:r>
    </w:p>
    <w:p>
      <w:pPr>
        <w:pStyle w:val="ListBullet"/>
        <w:spacing w:after="56"/>
      </w:pPr>
      <w:r>
        <w:t>Require explicit evidence of disclosure and workflow capabilities</w:t>
      </w:r>
    </w:p>
    <w:p>
      <w:pPr>
        <w:pStyle w:val="ListNumber"/>
        <w:spacing w:after="56"/>
      </w:pPr>
      <w:r>
        <w:t>Minimization policies ≠ selective disclosure or controls</w:t>
      </w:r>
    </w:p>
    <w:p>
      <w:pPr>
        <w:pStyle w:val="ListBullet"/>
        <w:spacing w:after="56"/>
      </w:pPr>
      <w:r>
        <w:t>Evidence minimization policies do not automatically provide selective disclosure mechanisms or disclosure controls</w:t>
      </w:r>
    </w:p>
    <w:p>
      <w:pPr>
        <w:pStyle w:val="ListBullet"/>
        <w:spacing w:after="56"/>
      </w:pPr>
      <w:r>
        <w:t>Require explicit evidence of disclosure and control capabilities</w:t>
      </w:r>
    </w:p>
    <w:p>
      <w:pPr>
        <w:pStyle w:val="ListNumber"/>
        <w:spacing w:after="56"/>
      </w:pPr>
      <w:r>
        <w:t>Rights workflows ≠ retention policies or conflict resolution</w:t>
      </w:r>
    </w:p>
    <w:p>
      <w:pPr>
        <w:pStyle w:val="ListBullet"/>
        <w:spacing w:after="56"/>
      </w:pPr>
      <w:r>
        <w:t>Data subject rights workflows do not automatically provide evidence retention policies or conflict resolution</w:t>
      </w:r>
    </w:p>
    <w:p>
      <w:pPr>
        <w:pStyle w:val="ListBullet"/>
        <w:spacing w:after="56"/>
      </w:pPr>
      <w:r>
        <w:t>Require explicit evidence of retention and conflict resolution capabilities</w:t>
      </w:r>
    </w:p>
    <w:p>
      <w:pPr>
        <w:pStyle w:val="ListNumber"/>
        <w:spacing w:after="56"/>
      </w:pPr>
      <w:r>
        <w:t>Processor definitions ≠ processor tracking or validation</w:t>
      </w:r>
    </w:p>
    <w:p>
      <w:pPr>
        <w:pStyle w:val="ListBullet"/>
        <w:spacing w:after="56"/>
      </w:pPr>
      <w:r>
        <w:t>Processor chain definitions do not automatically provide processor tracking or compliance validation</w:t>
      </w:r>
    </w:p>
    <w:p>
      <w:pPr>
        <w:pStyle w:val="ListBullet"/>
        <w:spacing w:after="56"/>
      </w:pPr>
      <w:r>
        <w:t>Require explicit evidence of tracking and validation capabilities</w:t>
      </w:r>
    </w:p>
    <w:p>
      <w:pPr>
        <w:pStyle w:val="ListNumber"/>
        <w:spacing w:after="56"/>
      </w:pPr>
      <w:r>
        <w:t>Substitution definitions ≠ substitution tracking or validation</w:t>
      </w:r>
    </w:p>
    <w:p>
      <w:pPr>
        <w:pStyle w:val="ListBullet"/>
        <w:spacing w:after="56"/>
      </w:pPr>
      <w:r>
        <w:t>Vendor/model/runtime substitution conformance definitions do not automatically provide substitution tracking or substitution validation</w:t>
      </w:r>
    </w:p>
    <w:p>
      <w:pPr>
        <w:pStyle w:val="ListBullet"/>
        <w:spacing w:after="56"/>
      </w:pPr>
      <w:r>
        <w:t>Require explicit evidence of tracking and validation capabilities</w:t>
      </w:r>
    </w:p>
    <w:p>
      <w:pPr>
        <w:spacing w:after="56"/>
      </w:pPr>
      <w:r>
        <w:t>Boundary discipline:</w:t>
      </w:r>
    </w:p>
    <w:p>
      <w:pPr>
        <w:pStyle w:val="ListBullet"/>
        <w:spacing w:after="56"/>
      </w:pPr>
      <w:r>
        <w:t>ALCS measures agentic lifecycle responsibility object maturity, not legal compliance</w:t>
      </w:r>
    </w:p>
    <w:p>
      <w:pPr>
        <w:pStyle w:val="ListBullet"/>
        <w:spacing w:after="56"/>
      </w:pPr>
      <w:r>
        <w:t>High ALCS scores do not prove legal compliance, regulatory approval, or certification</w:t>
      </w:r>
    </w:p>
    <w:p>
      <w:pPr>
        <w:pStyle w:val="ListBullet"/>
        <w:spacing w:after="56"/>
      </w:pPr>
      <w:r>
        <w:t>Low ALCS scores do not prove non-compliance or unsuitability</w:t>
      </w:r>
    </w:p>
    <w:p>
      <w:pPr>
        <w:pStyle w:val="ListBullet"/>
        <w:spacing w:after="56"/>
      </w:pPr>
      <w:r>
        <w:t>ALCS scores are context-independent; organizations must interpret within their legal, regulatory, and operational context</w:t>
      </w:r>
    </w:p>
    <w:p>
      <w:pPr>
        <w:pStyle w:val="ListBullet"/>
        <w:spacing w:after="56"/>
      </w:pPr>
      <w:r>
        <w:t>ALCS scores require evidence; evidence level affects score multiplier</w:t>
      </w:r>
    </w:p>
    <w:p>
      <w:pPr>
        <w:pStyle w:val="ListBullet"/>
        <w:spacing w:after="56"/>
      </w:pPr>
      <w:r>
        <w:t>ALCS scores are not product rankings; they compare systems by agentic lifecycle responsibility primitives</w:t>
      </w:r>
    </w:p>
    <w:p>
      <w:pPr>
        <w:spacing w:after="56"/>
      </w:pPr>
      <w:r>
        <w:t>ALCS vs RCCS distinction:</w:t>
      </w:r>
    </w:p>
    <w:p>
      <w:pPr>
        <w:pStyle w:val="ListBullet"/>
        <w:spacing w:after="56"/>
      </w:pPr>
      <w:r>
        <w:t>RCCS measures regulatory compliance coverage primitives (risk management, data governance, documentation, record-keeping, transparency, human oversight, security, accountability, contestability, monitoring)</w:t>
      </w:r>
    </w:p>
    <w:p>
      <w:pPr>
        <w:pStyle w:val="ListBullet"/>
        <w:spacing w:after="56"/>
      </w:pPr>
      <w:r>
        <w:t>ALCS measures agentic lifecycle responsibility object maturity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third-party validation, evidence minimization, data subject rights vs evidence retention, third-party processor chain, vendor/model/runtime substitution conformance)</w:t>
      </w:r>
    </w:p>
    <w:p>
      <w:pPr>
        <w:pStyle w:val="ListBullet"/>
        <w:spacing w:after="56"/>
      </w:pPr>
      <w:r>
        <w:t>RCCS focuses on regulatory compliance coverage capabilities</w:t>
      </w:r>
    </w:p>
    <w:p>
      <w:pPr>
        <w:pStyle w:val="ListBullet"/>
        <w:spacing w:after="56"/>
      </w:pPr>
      <w:r>
        <w:t>ALCS focuses on agentic lifecycle responsibility tracking and accountability capabilities</w:t>
      </w:r>
    </w:p>
    <w:p>
      <w:pPr>
        <w:pStyle w:val="ListBullet"/>
        <w:spacing w:after="56"/>
      </w:pPr>
      <w:r>
        <w:t>Both are analytical tools, not legal compliance scores</w:t>
      </w:r>
    </w:p>
    <w:p>
      <w:pPr>
        <w:spacing w:after="56"/>
      </w:pPr>
      <w:r>
        <w:t>Composite score formula (from Phase 1B-8C):</w:t>
      </w:r>
    </w:p>
    <w:p>
      <w:pPr>
        <w:spacing w:after="56"/>
      </w:pPr>
      <w:r>
        <w:t>Composite Score = 0.40 × RCCS + 0.60 × ALCS</w:t>
        <w:br/>
        <w:br/>
        <w:t>Where:</w:t>
        <w:br/>
        <w:t>RCCS = Average of 10 RCCS dimension scores (0-100)</w:t>
        <w:br/>
        <w:t>ALCS = Average of 15 ALCS dimension scores (0-100)</w:t>
        <w:br/>
        <w:t>Composite Score = Weighted average (0-100)</w:t>
      </w:r>
    </w:p>
    <w:p>
      <w:pPr>
        <w:spacing w:after="56"/>
      </w:pPr>
      <w:r>
        <w:t>Example:</w:t>
      </w:r>
    </w:p>
    <w:p>
      <w:pPr>
        <w:spacing w:after="56"/>
      </w:pPr>
      <w:r>
        <w:t>RCCS Adjusted Score: 65.0 (across 10 dimensions, 0-100)</w:t>
        <w:br/>
        <w:t>ALCS Adjusted Score: 55.0 (across 15 dimensions, 0-100)</w:t>
        <w:br/>
        <w:t>Composite Score: 0.40 × 65.0 + 0.60 × 55.0 = 26.0 + 33.0 = 59.0</w:t>
      </w:r>
    </w:p>
    <w:p>
      <w:pPr>
        <w:pStyle w:val="Heading1"/>
      </w:pPr>
      <w:r>
        <w:t>Appendix G — Expanded System-by-System Assessment</w:t>
      </w:r>
    </w:p>
    <w:p>
      <w:pPr>
        <w:spacing w:after="56"/>
      </w:pPr>
      <w:r>
        <w:t>Version: v0.3.2-FRC-R3</w:t>
      </w:r>
    </w:p>
    <w:p>
      <w:pPr>
        <w:pStyle w:val="Heading2"/>
      </w:pPr>
      <w:r>
        <w:t>G.0 Assessment Boundary and Provisional Status</w:t>
      </w:r>
    </w:p>
    <w:p>
      <w:pPr>
        <w:spacing w:after="56"/>
      </w:pPr>
      <w:r>
        <w:t>This appendix provides expanded system-by-system assessments for eight representative AI governance and agentic systems. These assessments are revalidated provisional after Phase 1C follow-up. Official source entry points were located for the required L2 product/protocol groups and material claims were either source-bound, narrowed, downgraded to L5 analytical interpretation, or retained as explicit lifecycle gaps. The assessments remain provisional because public documentation does not by itself prove deployed lifecycle responsibility-object implementation, audit readiness, legal compliance, procurement suitability, or operational effectiveness.</w:t>
      </w:r>
    </w:p>
    <w:p>
      <w:pPr>
        <w:spacing w:after="56"/>
      </w:pPr>
      <w:r>
        <w:t>CRITICAL BOUNDARY STATEMENT:</w:t>
      </w:r>
    </w:p>
    <w:p>
      <w:pPr>
        <w:pStyle w:val="ListBullet"/>
        <w:spacing w:after="56"/>
      </w:pPr>
      <w:r>
        <w:t>All assessments remain provisional. Phase 1C claim-level review located official source entry points and narrowed claims, but did not produce final vendor assessments.</w:t>
      </w:r>
    </w:p>
    <w:p>
      <w:pPr>
        <w:pStyle w:val="ListBullet"/>
        <w:spacing w:after="56"/>
      </w:pPr>
      <w:r>
        <w:t>L2 product documentation is source-bound, not final proof. Product documentation can support documented capability surfaces; it does not prove deployment practice, audit success, or lifecycle responsibility-object implementation.</w:t>
      </w:r>
    </w:p>
    <w:p>
      <w:pPr>
        <w:pStyle w:val="ListBullet"/>
        <w:spacing w:after="56"/>
      </w:pPr>
      <w:r>
        <w:t>This is not a product ordering. Systems are assessed by capability posture, not ordered by quality, market position, or procurement suitability.</w:t>
      </w:r>
    </w:p>
    <w:p>
      <w:pPr>
        <w:pStyle w:val="ListBullet"/>
        <w:spacing w:after="56"/>
      </w:pPr>
      <w:r>
        <w:t>This is not a procurement recommendation. Organizations must evaluate systems within their own legal, regulatory, operational, and business context.</w:t>
      </w:r>
    </w:p>
    <w:p>
      <w:pPr>
        <w:pStyle w:val="ListBullet"/>
        <w:spacing w:after="56"/>
      </w:pPr>
      <w:r>
        <w:t>This is not certification. Assessments measure capability posture against analytical frameworks (RCCS/ALCS), not legal compliance, regulatory approval, or certification status.</w:t>
      </w:r>
    </w:p>
    <w:p>
      <w:pPr>
        <w:pStyle w:val="ListBullet"/>
        <w:spacing w:after="56"/>
      </w:pPr>
      <w:r>
        <w:t>Assessments are context-independent. Organizations must interpret assessments within their legal, regulatory, and operational context.</w:t>
      </w:r>
    </w:p>
    <w:p>
      <w:pPr>
        <w:pStyle w:val="ListBullet"/>
        <w:spacing w:after="56"/>
      </w:pPr>
      <w:r>
        <w:t>Low provisional posture does not prove non-compliance or poor product quality. It indicates gaps in publicly visible evidence for specific capability primitives.</w:t>
      </w:r>
    </w:p>
    <w:p>
      <w:pPr>
        <w:pStyle w:val="ListBullet"/>
        <w:spacing w:after="56"/>
      </w:pPr>
      <w:r>
        <w:t>High provisional posture does not prove legal compliance, enterprise readiness, or operational effectiveness. It indicates stronger publicly visible evidence for specific capability primitives.</w:t>
      </w:r>
    </w:p>
    <w:p>
      <w:pPr>
        <w:spacing w:after="56"/>
      </w:pPr>
      <w:r>
        <w:t>Phase 1C follow-up result:</w:t>
      </w:r>
    </w:p>
    <w:p>
      <w:pPr>
        <w:pStyle w:val="ListNumber"/>
        <w:spacing w:after="56"/>
      </w:pPr>
      <w:r>
        <w:t>Official L2 source entry points were located for the eight assessed systems and required source groups.</w:t>
      </w:r>
    </w:p>
    <w:p>
      <w:pPr>
        <w:pStyle w:val="ListNumber"/>
        <w:spacing w:after="56"/>
      </w:pPr>
      <w:r>
        <w:t>Product/protocol capability claims were bound to source IDs where official documentation supports the surface capability.</w:t>
      </w:r>
    </w:p>
    <w:p>
      <w:pPr>
        <w:pStyle w:val="ListNumber"/>
        <w:spacing w:after="56"/>
      </w:pPr>
      <w:r>
        <w:t>Lifecycle responsibility-object mappings that are not directly stated in official documentation remain L5 analytical interpretation.</w:t>
      </w:r>
    </w:p>
    <w:p>
      <w:pPr>
        <w:pStyle w:val="ListNumber"/>
        <w:spacing w:after="56"/>
      </w:pPr>
      <w:r>
        <w:t>Unsupported or adjacent ALCS claims remain boundary-limited as "requires implementer integration", "not visible as lifecycle responsibility object", or "requires exact source support".</w:t>
      </w:r>
    </w:p>
    <w:p>
      <w:pPr>
        <w:pStyle w:val="ListNumber"/>
        <w:spacing w:after="56"/>
      </w:pPr>
      <w:r>
        <w:t>No numerical scores, ordering, procurement recommendation, certification claim, or legal compliance proof was introduced.</w:t>
      </w:r>
    </w:p>
    <w:p>
      <w:pPr>
        <w:pStyle w:val="Heading2"/>
      </w:pPr>
      <w:r>
        <w:t>G.1 How to Read the System Assessments</w:t>
      </w:r>
    </w:p>
    <w:p>
      <w:pPr>
        <w:spacing w:after="56"/>
      </w:pPr>
      <w:r>
        <w:t>Assessment structure:</w:t>
      </w:r>
    </w:p>
    <w:p>
      <w:pPr>
        <w:spacing w:after="56"/>
      </w:pPr>
      <w:r>
        <w:t>Each system assessment uses a qualitative provisional posture framework across key assessment areas. Assessments do not compute numerical scores, ordered comparisons, or composite metrics. After Phase 1C source binding, they remain revalidated provisional and non-ranking.</w:t>
      </w:r>
    </w:p>
    <w:p>
      <w:pPr>
        <w:spacing w:after="56"/>
      </w:pPr>
      <w:r>
        <w:t>Assessment areas:</w:t>
      </w:r>
    </w:p>
    <w:p>
      <w:pPr>
        <w:pStyle w:val="ListNumber"/>
        <w:spacing w:after="56"/>
      </w:pPr>
      <w:r>
        <w:t>Regulatory Compliance Coverage Primitives (RCCS-aligned): Risk management, data governance, documentation, record-keeping, transparency, human oversight, security, accountability, contestability, monitoring</w:t>
      </w:r>
    </w:p>
    <w:p>
      <w:pPr>
        <w:pStyle w:val="ListNumber"/>
        <w:spacing w:after="56"/>
      </w:pPr>
      <w:r>
        <w:t>Agentic Lifecycle Responsibility Objects (ALCS-aligned): Human-role-to-MAS mapping, delegated authority boundary, agent-human role distinction, accepted outcome compliance, tool-action liability boundary, responsibility transfer, authority drift detection, MAS evidence partitioning, cross-project reuse compliance, privacy/GDPR lifecycle mapping, privacy-preserving validation, evidence minimization, data subject rights vs retention, processor chain tracking, vendor/model/runtime substitution conformance</w:t>
      </w:r>
    </w:p>
    <w:p>
      <w:pPr>
        <w:spacing w:after="56"/>
      </w:pPr>
      <w:r>
        <w:t>Provisional posture levels:</w:t>
      </w:r>
    </w:p>
    <w:p>
      <w:pPr>
        <w:pStyle w:val="ListBullet"/>
        <w:spacing w:after="56"/>
      </w:pPr>
      <w:r>
        <w:t>Strong provisional posture: Multiple capability primitives visible in public product documentation with implementation details</w:t>
      </w:r>
    </w:p>
    <w:p>
      <w:pPr>
        <w:pStyle w:val="ListBullet"/>
        <w:spacing w:after="56"/>
      </w:pPr>
      <w:r>
        <w:t>Moderate provisional posture: Some capability primitives visible in public product documentation with partial implementation details</w:t>
      </w:r>
    </w:p>
    <w:p>
      <w:pPr>
        <w:pStyle w:val="ListBullet"/>
        <w:spacing w:after="56"/>
      </w:pPr>
      <w:r>
        <w:t>Partial provisional posture: Limited capability primitives visible in public product documentation with minimal implementation details</w:t>
      </w:r>
    </w:p>
    <w:p>
      <w:pPr>
        <w:pStyle w:val="ListBullet"/>
        <w:spacing w:after="56"/>
      </w:pPr>
      <w:r>
        <w:t>Weak / implementer-built posture: Few or no capability primitives visible in public product documentation; capabilities may exist but require implementer-built solutions</w:t>
      </w:r>
    </w:p>
    <w:p>
      <w:pPr>
        <w:pStyle w:val="ListBullet"/>
        <w:spacing w:after="56"/>
      </w:pPr>
      <w:r>
        <w:t>Not visible in public evidence: No publicly visible evidence for capability primitives; does not prove absence, only lack of public documentation</w:t>
      </w:r>
    </w:p>
    <w:p>
      <w:pPr>
        <w:spacing w:after="56"/>
      </w:pPr>
      <w:r>
        <w:t>Evidence types:</w:t>
      </w:r>
    </w:p>
    <w:p>
      <w:pPr>
        <w:pStyle w:val="ListBullet"/>
        <w:spacing w:after="56"/>
      </w:pPr>
      <w:r>
        <w:t>L1 (Binding Legal Text): EU AI Act, GDPR, formal standards</w:t>
      </w:r>
    </w:p>
    <w:p>
      <w:pPr>
        <w:pStyle w:val="ListBullet"/>
        <w:spacing w:after="56"/>
      </w:pPr>
      <w:r>
        <w:t>L2 (Product Docs): Official product documentation, protocol specifications, GitHub repositories</w:t>
      </w:r>
    </w:p>
    <w:p>
      <w:pPr>
        <w:pStyle w:val="ListBullet"/>
        <w:spacing w:after="56"/>
      </w:pPr>
      <w:r>
        <w:t>L3 (Audit Report): Third-party audit reports, academic papers</w:t>
      </w:r>
    </w:p>
    <w:p>
      <w:pPr>
        <w:pStyle w:val="ListBullet"/>
        <w:spacing w:after="56"/>
      </w:pPr>
      <w:r>
        <w:t>L4 (Vendor Claim): Vendor claims, marketing materials</w:t>
      </w:r>
    </w:p>
    <w:p>
      <w:pPr>
        <w:pStyle w:val="ListBullet"/>
        <w:spacing w:after="56"/>
      </w:pPr>
      <w:r>
        <w:t>L5 (Author Inference): Author inference, analytical framework</w:t>
      </w:r>
    </w:p>
    <w:p>
      <w:pPr>
        <w:spacing w:after="56"/>
      </w:pPr>
      <w:r>
        <w:t>What assessments do NOT provide:</w:t>
      </w:r>
    </w:p>
    <w:p>
      <w:pPr>
        <w:pStyle w:val="ListBullet"/>
        <w:spacing w:after="56"/>
      </w:pPr>
      <w:r>
        <w:t>Numerical scores or ordered comparisons</w:t>
      </w:r>
    </w:p>
    <w:p>
      <w:pPr>
        <w:pStyle w:val="ListBullet"/>
        <w:spacing w:after="56"/>
      </w:pPr>
      <w:r>
        <w:t>Composite metrics or weighted averages</w:t>
      </w:r>
    </w:p>
    <w:p>
      <w:pPr>
        <w:pStyle w:val="ListBullet"/>
        <w:spacing w:after="56"/>
      </w:pPr>
      <w:r>
        <w:t>Procurement recommendations or vendor preferences</w:t>
      </w:r>
    </w:p>
    <w:p>
      <w:pPr>
        <w:pStyle w:val="ListBullet"/>
        <w:spacing w:after="56"/>
      </w:pPr>
      <w:r>
        <w:t>Legal compliance proof or certification status</w:t>
      </w:r>
    </w:p>
    <w:p>
      <w:pPr>
        <w:pStyle w:val="ListBullet"/>
        <w:spacing w:after="56"/>
      </w:pPr>
      <w:r>
        <w:t>Regulatory approval or conformity assessment</w:t>
      </w:r>
    </w:p>
    <w:p>
      <w:pPr>
        <w:pStyle w:val="ListBullet"/>
        <w:spacing w:after="56"/>
      </w:pPr>
      <w:r>
        <w:t>Market endorsement or quality ratings</w:t>
      </w:r>
    </w:p>
    <w:p>
      <w:pPr>
        <w:pStyle w:val="ListBullet"/>
        <w:spacing w:after="56"/>
      </w:pPr>
      <w:r>
        <w:t>"Best" or "worst" designations</w:t>
      </w:r>
    </w:p>
    <w:p>
      <w:pPr>
        <w:pStyle w:val="ListBullet"/>
        <w:spacing w:after="56"/>
      </w:pPr>
      <w:r>
        <w:t>Market tier classifications</w:t>
      </w:r>
    </w:p>
    <w:p>
      <w:pPr>
        <w:pStyle w:val="Heading2"/>
      </w:pPr>
      <w:r>
        <w:t>G.2 System Assessment Profiles</w:t>
      </w:r>
    </w:p>
    <w:p>
      <w:pPr>
        <w:pStyle w:val="Heading3"/>
      </w:pPr>
      <w:r>
        <w:t>G.2.1 MPLP (Multi-Agent Lifecycle Protocol)</w:t>
      </w:r>
    </w:p>
    <w:p>
      <w:pPr>
        <w:keepNext/>
      </w:pPr>
      <w:r>
        <w:rPr>
          <w:b/>
          <w:sz w:val="16"/>
        </w:rPr>
        <w:t>Table T-G-01: MPLP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No formal risk assessment framework visible</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 GitHub)</w:t>
            </w:r>
          </w:p>
        </w:tc>
        <w:tc>
          <w:tcPr>
            <w:tcW w:type="dxa" w:w="1704"/>
          </w:tcPr>
          <w:p>
            <w:pPr>
              <w:spacing w:after="0"/>
            </w:pPr>
            <w:r>
              <w:rPr>
                <w:rFonts w:ascii="Arial" w:hAnsi="Arial"/>
                <w:b w:val="0"/>
                <w:sz w:val="12"/>
              </w:rPr>
              <w:t>Protocol documentation strong; implementation documentation varies</w:t>
            </w:r>
          </w:p>
        </w:tc>
        <w:tc>
          <w:tcPr>
            <w:tcW w:type="dxa" w:w="1704"/>
          </w:tcPr>
          <w:p>
            <w:pPr>
              <w:spacing w:after="0"/>
            </w:pPr>
            <w:r>
              <w:rPr>
                <w:rFonts w:ascii="Arial" w:hAnsi="Arial"/>
                <w:b w:val="0"/>
                <w:sz w:val="12"/>
              </w:rPr>
              <w:t>source-bound at entry-point level; implementation examples remain deployment-context dependent</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Evidence pack structure visible; export/retention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Human-role-to-MAS mapping visible in protocol;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Security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Responsibility mapping visible in protocol; tracking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Contestability primitives not protocol-level;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mapping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boundary visible;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distinction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outcome tracking visible; compliance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liability tracking visible; boundary enforcement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transfer tracking visible; implementation varies</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Drift detection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Protocol-level evidence partitioning visible; storage/retrieval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Reuse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Privacy-preserving validation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Minimization primitives require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Rights-retention conflict resolution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Processor chain tracking not protocol-level; requires implementer integration</w:t>
            </w:r>
          </w:p>
        </w:tc>
        <w:tc>
          <w:tcPr>
            <w:tcW w:type="dxa" w:w="1704"/>
          </w:tcPr>
          <w:p>
            <w:pPr>
              <w:spacing w:after="0"/>
            </w:pPr>
            <w:r>
              <w:rPr>
                <w:rFonts w:ascii="Arial" w:hAnsi="Arial"/>
                <w:b w:val="0"/>
                <w:sz w:val="12"/>
              </w:rPr>
              <w:t>source-bound at entry-point level; implementation conformance unresolved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(Protocol spec)</w:t>
            </w:r>
          </w:p>
        </w:tc>
        <w:tc>
          <w:tcPr>
            <w:tcW w:type="dxa" w:w="1704"/>
          </w:tcPr>
          <w:p>
            <w:pPr>
              <w:spacing w:after="0"/>
            </w:pPr>
            <w:r>
              <w:rPr>
                <w:rFonts w:ascii="Arial" w:hAnsi="Arial"/>
                <w:b w:val="0"/>
                <w:sz w:val="12"/>
              </w:rPr>
              <w:t>Substitution conformance tracking requires implementer integration</w:t>
            </w:r>
          </w:p>
        </w:tc>
        <w:tc>
          <w:tcPr>
            <w:tcW w:type="dxa" w:w="1704"/>
          </w:tcPr>
          <w:p>
            <w:pPr>
              <w:spacing w:after="0"/>
            </w:pPr>
            <w:r>
              <w:rPr>
                <w:rFonts w:ascii="Arial" w:hAnsi="Arial"/>
                <w:b w:val="0"/>
                <w:sz w:val="12"/>
              </w:rPr>
              <w:t>source-bound at entry-point level; implementation conformance unresolved</w:t>
            </w:r>
          </w:p>
        </w:tc>
      </w:tr>
    </w:tbl>
    <w:p>
      <w:pPr>
        <w:spacing w:after="56"/>
      </w:pPr>
      <w:r>
        <w:t>MPLP Boundary Note:</w:t>
      </w:r>
    </w:p>
    <w:p>
      <w:pPr>
        <w:spacing w:after="56"/>
      </w:pPr>
      <w:r>
        <w:t>MPLP is positioned as a lifecycle protocol path with strong provisional ALCS semantic alignment at the protocol specification level. Protocol fit does not prove implementation conformance, legal compliance, enterprise readiness, adoption, or operational effectiveness. MPLP is not required, not exclusive, not certified, and not regulator-approved. Organizations may use MPLP, alternative protocols, or implementer-built solutions based on their requirements.</w:t>
      </w:r>
    </w:p>
    <w:p>
      <w:pPr>
        <w:spacing w:after="56"/>
      </w:pPr>
      <w:r>
        <w:t>Provisional Status: REVALIDATED PROVISIONAL — Official MPLP documentation entry point located. Protocol identity is L2-supported; protocol-to-MRO/ALCS mapping remains L5 analytical interpretation unless directly stated in protocol text. Implementation conformance remains unresolved.</w:t>
      </w:r>
    </w:p>
    <w:p>
      <w:pPr>
        <w:pStyle w:val="Heading3"/>
      </w:pPr>
      <w:r>
        <w:t>G.2.2 IBM watsonx.governance</w:t>
      </w:r>
    </w:p>
    <w:p>
      <w:pPr>
        <w:keepNext/>
      </w:pPr>
      <w:r>
        <w:rPr>
          <w:b/>
          <w:sz w:val="16"/>
        </w:rPr>
        <w:t>Table T-G-02: IBM watsonx.governance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assessment framework visible; AI-specific risk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framework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cards and factsheets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Explainability tools visible; interpretability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Approval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responsibility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Dispute resolution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definitions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Liability boundary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Transfer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Reuse compliance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minimization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subject rights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substitution visible;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IBM source entry points located. RCCS-adjacent AI governance claims are L2-supported at source-entry level; ALCS-specific lifecycle responsibility-object claims remain L5 unless exact IBM documentation directly supports the object.</w:t>
      </w:r>
    </w:p>
    <w:p>
      <w:pPr>
        <w:pStyle w:val="Heading3"/>
      </w:pPr>
      <w:r>
        <w:t>G.2.3 Microsoft Azure AI Foundry</w:t>
      </w:r>
    </w:p>
    <w:p>
      <w:pPr>
        <w:keepNext/>
      </w:pPr>
      <w:r>
        <w:rPr>
          <w:b/>
          <w:sz w:val="16"/>
        </w:rPr>
        <w:t>Table T-G-03: Microsoft Azure AI Foundry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Risk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Transparency tools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oversight workflows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Enterprise security controls visible; AI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assignment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Escalation workflows visible; formal contestability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Monitoring and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Authority controls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Role distinction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Workflow handoff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partitioning visible; MAS-specific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Microsoft source entry points located. Cloud AI platform, agent, tracing, evaluation, and monitoring claims are L2-supported at source-entry level; ALCS-specific lifecycle responsibility-object claims remain L5 unless exact Microsoft documentation directly supports the object.</w:t>
      </w:r>
    </w:p>
    <w:p>
      <w:pPr>
        <w:pStyle w:val="Heading3"/>
      </w:pPr>
      <w:r>
        <w:t>G.2.4 AWS Bedrock / Guardrails / AgentCore</w:t>
      </w:r>
    </w:p>
    <w:p>
      <w:pPr>
        <w:keepNext/>
      </w:pPr>
      <w:r>
        <w:rPr>
          <w:b/>
          <w:sz w:val="16"/>
        </w:rPr>
        <w:t>Table T-G-04: AWS Bedrock / Guardrails / AgentCore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AWS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Trace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approval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CloudWatch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Guardrails for outcome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Action group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CloudWatch logs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AWS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AWS source entry points located for Bedrock, Guardrails, and AgentCore. Guardrail, runtime, security, and observability claims are L2-supported at source-entry level; ALCS-specific lifecycle responsibility-object claims remain L5 unless exact AWS documentation directly supports the object.</w:t>
      </w:r>
    </w:p>
    <w:p>
      <w:pPr>
        <w:pStyle w:val="Heading3"/>
      </w:pPr>
      <w:r>
        <w:t>G.2.5 Google Vertex AI / ADK / Model Armor</w:t>
      </w:r>
    </w:p>
    <w:p>
      <w:pPr>
        <w:keepNext/>
      </w:pPr>
      <w:r>
        <w:rPr>
          <w:b/>
          <w:sz w:val="16"/>
        </w:rPr>
        <w:t>Table T-G-05: Google Vertex AI / ADK / Model Armor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governance controls visible; lifecycle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Google Cloud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Logging and audit records visible; evidence export capability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Conversation logs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Human handoff visible;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integration and encryption visible;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roles visible;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Cloud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IAM role mapping visible; MAS responsibility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permissions visible;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definitions and IAM roles visible;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Response validation visible;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Tool definitions visible;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orchestration visible;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Per-agent Cloud Logging visible;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Agent versioning visible;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compliance controls visible;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Log filtering visible; evidence minimization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Retention policies visible;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Google Cloud shared responsibility model visible; processor chain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and versioning visible;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Google source entry points located for Vertex AI, ADK, and Model Armor. Agent-development, model safety, evaluation, and platform claims are L2-supported at source-entry level; ALCS-specific lifecycle responsibility-object claims remain L5 unless exact Google documentation directly supports the object.</w:t>
      </w:r>
    </w:p>
    <w:p>
      <w:pPr>
        <w:pStyle w:val="Heading3"/>
      </w:pPr>
      <w:r>
        <w:t>G.2.6 LangGraph / LangSmith</w:t>
      </w:r>
    </w:p>
    <w:p>
      <w:pPr>
        <w:keepNext/>
      </w:pPr>
      <w:r>
        <w:rPr>
          <w:b/>
          <w:sz w:val="16"/>
        </w:rPr>
        <w:t>Table T-G-06: LangGraph / LangSmith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Callback mechanisms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loaders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Extensive 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tracing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visualization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Human-in-the-loop via interrupts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key management visible; formal security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monitoring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definitions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Node types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Tool definitions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edges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LangSmith per-node tracing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Graph serialization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abstraction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LangGraph and LangSmith source entry points located. Orchestration, persistence, human-in-the-loop, tracing, and evaluation/observability claims are L2-supported at source-entry level; ALCS-specific lifecycle responsibility-object claims remain L5 unless exact documentation directly supports the object.</w:t>
      </w:r>
    </w:p>
    <w:p>
      <w:pPr>
        <w:pStyle w:val="Heading3"/>
      </w:pPr>
      <w:r>
        <w:t>G.2.7 OpenAI Agents SDK</w:t>
      </w:r>
    </w:p>
    <w:p>
      <w:pPr>
        <w:keepNext/>
      </w:pPr>
      <w:r>
        <w:rPr>
          <w:b/>
          <w:sz w:val="16"/>
        </w:rPr>
        <w:t>Table T-G-07: OpenAI Agents SDK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monitoring visible; formal risk assessment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File management visible; formal data governance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Strong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Extensive API documentation and model cards visible;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history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Run steps visible; explainability integration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approval patterns visible; formal oversight framework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API key management and SOC 2 compliance visible; formal AI lifecycle security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naming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Usage metrics visible; drift detection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definitions visible; formal boundary enforcement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Assistant/user message distinction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Output validation visible; formal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Function calling visible; formal liability boundary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Thread management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Per-thread history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Assistant definitions visible; formal reuse compliance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retention controls visible; formal GDPR lifecycle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Data deletion visible; formal conflict resolution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w:t>
            </w:r>
          </w:p>
        </w:tc>
        <w:tc>
          <w:tcPr>
            <w:tcW w:type="dxa" w:w="1704"/>
          </w:tcPr>
          <w:p>
            <w:pPr>
              <w:spacing w:after="0"/>
            </w:pPr>
            <w:r>
              <w:rPr>
                <w:rFonts w:ascii="Arial" w:hAnsi="Arial"/>
                <w:b w:val="0"/>
                <w:sz w:val="12"/>
              </w:rPr>
              <w:t>Model selection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OpenAI Agents SDK source entry point located, with platform docs requiring final citation rendering/access check where applicable. Agent execution, tools, handoffs, guardrails, sessions, and tracing claims are L2-supported at source-entry level; ALCS-specific lifecycle responsibility-object claims remain L5 unless exact documentation directly supports the object.</w:t>
      </w:r>
    </w:p>
    <w:p>
      <w:pPr>
        <w:pStyle w:val="Heading3"/>
      </w:pPr>
      <w:r>
        <w:t>G.2.8 CrewAI</w:t>
      </w:r>
    </w:p>
    <w:p>
      <w:pPr>
        <w:keepNext/>
      </w:pPr>
      <w:r>
        <w:rPr>
          <w:b/>
          <w:sz w:val="16"/>
        </w:rPr>
        <w:t>Table T-G-08: CrewAI Expanded Assessment</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Assessment Area</w:t>
            </w:r>
          </w:p>
        </w:tc>
        <w:tc>
          <w:tcPr>
            <w:tcW w:type="dxa" w:w="1704"/>
          </w:tcPr>
          <w:p>
            <w:pPr>
              <w:spacing w:after="0"/>
            </w:pPr>
            <w:r>
              <w:rPr>
                <w:rFonts w:ascii="Arial" w:hAnsi="Arial"/>
                <w:b/>
                <w:sz w:val="12"/>
              </w:rPr>
              <w:t>Provisional RCCS Posture</w:t>
            </w:r>
          </w:p>
        </w:tc>
        <w:tc>
          <w:tcPr>
            <w:tcW w:type="dxa" w:w="1704"/>
          </w:tcPr>
          <w:p>
            <w:pPr>
              <w:spacing w:after="0"/>
            </w:pPr>
            <w:r>
              <w:rPr>
                <w:rFonts w:ascii="Arial" w:hAnsi="Arial"/>
                <w:b/>
                <w:sz w:val="12"/>
              </w:rPr>
              <w:t>Provisional ALCS Posture</w:t>
            </w:r>
          </w:p>
        </w:tc>
        <w:tc>
          <w:tcPr>
            <w:tcW w:type="dxa" w:w="1704"/>
          </w:tcPr>
          <w:p>
            <w:pPr>
              <w:spacing w:after="0"/>
            </w:pPr>
            <w:r>
              <w:rPr>
                <w:rFonts w:ascii="Arial" w:hAnsi="Arial"/>
                <w:b/>
                <w:sz w:val="12"/>
              </w:rPr>
              <w:t>Visible Evidence Type</w:t>
            </w:r>
          </w:p>
        </w:tc>
        <w:tc>
          <w:tcPr>
            <w:tcW w:type="dxa" w:w="1704"/>
          </w:tcPr>
          <w:p>
            <w:pPr>
              <w:spacing w:after="0"/>
            </w:pPr>
            <w:r>
              <w:rPr>
                <w:rFonts w:ascii="Arial" w:hAnsi="Arial"/>
                <w:b/>
                <w:sz w:val="12"/>
              </w:rPr>
              <w:t>Main Lifecycle Gap</w:t>
            </w:r>
          </w:p>
        </w:tc>
        <w:tc>
          <w:tcPr>
            <w:tcW w:type="dxa" w:w="1704"/>
          </w:tcPr>
          <w:p>
            <w:pPr>
              <w:spacing w:after="0"/>
            </w:pPr>
            <w:r>
              <w:rPr>
                <w:rFonts w:ascii="Arial" w:hAnsi="Arial"/>
                <w:b/>
                <w:sz w:val="12"/>
              </w:rPr>
              <w:t>Claim-Level Support Status</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Risk management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Data governance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Moderate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API documentation visible; model cards and system cards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Record-Keeping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execution logs visible; formal audit trail and evidence export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Transparency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Transparency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Human oversight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Security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Security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Accountability</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assignment visible; formal accountability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Contestability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Contestability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Monitoring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Monitoring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Human-Role-to-MAS Mapping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roles and task delegation visible; formal human-role-to-MAS mapping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Delegated Authority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Authority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Agent-Human Role Distinction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Agent role definitions visible; formal distinction mechanisms require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Accepted Outcome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Outcome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Tool-Action Liability Boundary</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Liability boundary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Responsibility Transfer</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Task delegation across agents visible; formal responsibility transfer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Authority Drift Detection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Drift detection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MAS Evidence Partitioning</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Per-agent task logs visible; formal MAS evidence partitioning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Cross-Project Reuse Compliance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Reuse compliance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Privacy/GDPR Lifecycle Mapping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Privacy/GDPR lifecycle mapping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Privacy-Preserving Validation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Privacy-preserving validation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Evidence Minimization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Evidence minimization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Data Subject Rights vs Retention</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Rights-retention conflict resolution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Processor Chain Tracking</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Weak / implementer-built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Processor chain tracking primitives require implementer integration</w:t>
            </w:r>
          </w:p>
        </w:tc>
        <w:tc>
          <w:tcPr>
            <w:tcW w:type="dxa" w:w="1704"/>
          </w:tcPr>
          <w:p>
            <w:pPr>
              <w:spacing w:after="0"/>
            </w:pPr>
            <w:r>
              <w:rPr>
                <w:rFonts w:ascii="Arial" w:hAnsi="Arial"/>
                <w:b w:val="0"/>
                <w:sz w:val="12"/>
              </w:rPr>
              <w:t>source-bound at entry-point level; exact lifecycle-object support not visible unless directly stated</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Partial provisional posture</w:t>
            </w:r>
          </w:p>
        </w:tc>
        <w:tc>
          <w:tcPr>
            <w:tcW w:type="dxa" w:w="1704"/>
          </w:tcPr>
          <w:p>
            <w:pPr>
              <w:spacing w:after="0"/>
            </w:pPr>
            <w:r>
              <w:rPr>
                <w:rFonts w:ascii="Arial" w:hAnsi="Arial"/>
                <w:b w:val="0"/>
                <w:sz w:val="12"/>
              </w:rPr>
              <w:t>L2 (Product docs, GitHub)</w:t>
            </w:r>
          </w:p>
        </w:tc>
        <w:tc>
          <w:tcPr>
            <w:tcW w:type="dxa" w:w="1704"/>
          </w:tcPr>
          <w:p>
            <w:pPr>
              <w:spacing w:after="0"/>
            </w:pPr>
            <w:r>
              <w:rPr>
                <w:rFonts w:ascii="Arial" w:hAnsi="Arial"/>
                <w:b w:val="0"/>
                <w:sz w:val="12"/>
              </w:rPr>
              <w:t>Model configuration visible; formal substitution conformance tracking requires validation</w:t>
            </w:r>
          </w:p>
        </w:tc>
        <w:tc>
          <w:tcPr>
            <w:tcW w:type="dxa" w:w="1704"/>
          </w:tcPr>
          <w:p>
            <w:pPr>
              <w:spacing w:after="0"/>
            </w:pPr>
            <w:r>
              <w:rPr>
                <w:rFonts w:ascii="Arial" w:hAnsi="Arial"/>
                <w:b w:val="0"/>
                <w:sz w:val="12"/>
              </w:rPr>
              <w:t>source-bound at entry-point level; exact lifecycle-object support not visible unless directly stated</w:t>
            </w:r>
          </w:p>
        </w:tc>
      </w:tr>
    </w:tbl>
    <w:p>
      <w:pPr>
        <w:spacing w:after="56"/>
      </w:pPr>
      <w:r>
        <w:t>Provisional Status: REVALIDATED PROVISIONAL — Official CrewAI documentation and repository entry points located. Agent, task, crew/flow, tool, and orchestration claims are L2-supported at source-entry level; ALCS-specific lifecycle responsibility-object claims remain L5 unless exact CrewAI documentation directly supports the object.</w:t>
      </w:r>
    </w:p>
    <w:p>
      <w:pPr>
        <w:pStyle w:val="Heading2"/>
      </w:pPr>
      <w:r>
        <w:t>G.3 Cross-System Pattern Summary</w:t>
      </w:r>
    </w:p>
    <w:p>
      <w:pPr>
        <w:keepNext/>
      </w:pPr>
      <w:r>
        <w:rPr>
          <w:b/>
          <w:sz w:val="16"/>
        </w:rPr>
        <w:t>Table T-G-09: Cross-System Pattern Summary</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Pattern Area</w:t>
            </w:r>
          </w:p>
        </w:tc>
        <w:tc>
          <w:tcPr>
            <w:tcW w:type="dxa" w:w="2045"/>
          </w:tcPr>
          <w:p>
            <w:pPr>
              <w:spacing w:after="0"/>
            </w:pPr>
            <w:r>
              <w:rPr>
                <w:rFonts w:ascii="Arial" w:hAnsi="Arial"/>
                <w:b/>
                <w:sz w:val="14"/>
              </w:rPr>
              <w:t>Observed Pattern</w:t>
            </w:r>
          </w:p>
        </w:tc>
        <w:tc>
          <w:tcPr>
            <w:tcW w:type="dxa" w:w="2045"/>
          </w:tcPr>
          <w:p>
            <w:pPr>
              <w:spacing w:after="0"/>
            </w:pPr>
            <w:r>
              <w:rPr>
                <w:rFonts w:ascii="Arial" w:hAnsi="Arial"/>
                <w:b/>
                <w:sz w:val="14"/>
              </w:rPr>
              <w:t>Systems with More Visible Posture</w:t>
            </w:r>
          </w:p>
        </w:tc>
        <w:tc>
          <w:tcPr>
            <w:tcW w:type="dxa" w:w="2045"/>
          </w:tcPr>
          <w:p>
            <w:pPr>
              <w:spacing w:after="0"/>
            </w:pPr>
            <w:r>
              <w:rPr>
                <w:rFonts w:ascii="Arial" w:hAnsi="Arial"/>
                <w:b/>
                <w:sz w:val="14"/>
              </w:rPr>
              <w:t>Systems with More Limited Visible Posture</w:t>
            </w:r>
          </w:p>
        </w:tc>
        <w:tc>
          <w:tcPr>
            <w:tcW w:type="dxa" w:w="2045"/>
          </w:tcPr>
          <w:p>
            <w:pPr>
              <w:spacing w:after="0"/>
            </w:pPr>
            <w:r>
              <w:rPr>
                <w:rFonts w:ascii="Arial" w:hAnsi="Arial"/>
                <w:b/>
                <w:sz w:val="14"/>
              </w:rPr>
              <w:t>Claim-Level Support Status</w:t>
            </w:r>
          </w:p>
        </w:tc>
      </w:tr>
      <w:tr>
        <w:tc>
          <w:tcPr>
            <w:tcW w:type="dxa" w:w="2045"/>
          </w:tcPr>
          <w:p>
            <w:pPr>
              <w:spacing w:after="0"/>
            </w:pPr>
            <w:r>
              <w:rPr>
                <w:rFonts w:ascii="Arial" w:hAnsi="Arial"/>
                <w:b w:val="0"/>
                <w:sz w:val="14"/>
              </w:rPr>
              <w:t>RCCS Coverage</w:t>
            </w:r>
          </w:p>
        </w:tc>
        <w:tc>
          <w:tcPr>
            <w:tcW w:type="dxa" w:w="2045"/>
          </w:tcPr>
          <w:p>
            <w:pPr>
              <w:spacing w:after="0"/>
            </w:pPr>
            <w:r>
              <w:rPr>
                <w:rFonts w:ascii="Arial" w:hAnsi="Arial"/>
                <w:b w:val="0"/>
                <w:sz w:val="14"/>
              </w:rPr>
              <w:t>Enterprise cloud platforms show stronger RCCS provisional posture due to integrated monitoring, logging, security, and governance controls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integration support remains deployment-context dependent</w:t>
            </w:r>
          </w:p>
        </w:tc>
      </w:tr>
      <w:tr>
        <w:tc>
          <w:tcPr>
            <w:tcW w:type="dxa" w:w="2045"/>
          </w:tcPr>
          <w:p>
            <w:pPr>
              <w:spacing w:after="0"/>
            </w:pPr>
            <w:r>
              <w:rPr>
                <w:rFonts w:ascii="Arial" w:hAnsi="Arial"/>
                <w:b w:val="0"/>
                <w:sz w:val="14"/>
              </w:rPr>
              <w:t>ALCS Coverage</w:t>
            </w:r>
          </w:p>
        </w:tc>
        <w:tc>
          <w:tcPr>
            <w:tcW w:type="dxa" w:w="2045"/>
          </w:tcPr>
          <w:p>
            <w:pPr>
              <w:spacing w:after="0"/>
            </w:pPr>
            <w:r>
              <w:rPr>
                <w:rFonts w:ascii="Arial" w:hAnsi="Arial"/>
                <w:b w:val="0"/>
                <w:sz w:val="14"/>
              </w:rPr>
              <w:t>MPLP shows stronger visible ALCS provisional posture at protocol specification level; enterprise platforms show moderate visible posture; open-source frameworks show more limited visible posture</w:t>
            </w:r>
          </w:p>
        </w:tc>
        <w:tc>
          <w:tcPr>
            <w:tcW w:type="dxa" w:w="2045"/>
          </w:tcPr>
          <w:p>
            <w:pPr>
              <w:spacing w:after="0"/>
            </w:pPr>
            <w:r>
              <w:rPr>
                <w:rFonts w:ascii="Arial" w:hAnsi="Arial"/>
                <w:b w:val="0"/>
                <w:sz w:val="14"/>
              </w:rPr>
              <w:t>MPLP (protocol-level), Microsoft Azure AI Foundry, AWS Bedrock, Google Vertex AI</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ALCS implementation conformance unresolved</w:t>
            </w:r>
          </w:p>
        </w:tc>
      </w:tr>
      <w:tr>
        <w:tc>
          <w:tcPr>
            <w:tcW w:type="dxa" w:w="2045"/>
          </w:tcPr>
          <w:p>
            <w:pPr>
              <w:spacing w:after="0"/>
            </w:pPr>
            <w:r>
              <w:rPr>
                <w:rFonts w:ascii="Arial" w:hAnsi="Arial"/>
                <w:b w:val="0"/>
                <w:sz w:val="14"/>
              </w:rPr>
              <w:t>Documentation</w:t>
            </w:r>
          </w:p>
        </w:tc>
        <w:tc>
          <w:tcPr>
            <w:tcW w:type="dxa" w:w="2045"/>
          </w:tcPr>
          <w:p>
            <w:pPr>
              <w:spacing w:after="0"/>
            </w:pPr>
            <w:r>
              <w:rPr>
                <w:rFonts w:ascii="Arial" w:hAnsi="Arial"/>
                <w:b w:val="0"/>
                <w:sz w:val="14"/>
              </w:rPr>
              <w:t>All systems show strong to moderate documentation provisional posture; model cards and system cards require validation across all systems</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system-card support remains product- and deployment-dependent</w:t>
            </w:r>
          </w:p>
        </w:tc>
      </w:tr>
      <w:tr>
        <w:tc>
          <w:tcPr>
            <w:tcW w:type="dxa" w:w="2045"/>
          </w:tcPr>
          <w:p>
            <w:pPr>
              <w:spacing w:after="0"/>
            </w:pPr>
            <w:r>
              <w:rPr>
                <w:rFonts w:ascii="Arial" w:hAnsi="Arial"/>
                <w:b w:val="0"/>
                <w:sz w:val="14"/>
              </w:rPr>
              <w:t>Record-Keeping</w:t>
            </w:r>
          </w:p>
        </w:tc>
        <w:tc>
          <w:tcPr>
            <w:tcW w:type="dxa" w:w="2045"/>
          </w:tcPr>
          <w:p>
            <w:pPr>
              <w:spacing w:after="0"/>
            </w:pPr>
            <w:r>
              <w:rPr>
                <w:rFonts w:ascii="Arial" w:hAnsi="Arial"/>
                <w:b w:val="0"/>
                <w:sz w:val="14"/>
              </w:rPr>
              <w:t>Enterprise platforms show strong record-keeping provisional posture with cloud logging integration; open-source frameworks show partial to moderate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w:t>
            </w:r>
          </w:p>
        </w:tc>
        <w:tc>
          <w:tcPr>
            <w:tcW w:type="dxa" w:w="2045"/>
          </w:tcPr>
          <w:p>
            <w:pPr>
              <w:spacing w:after="0"/>
            </w:pPr>
            <w:r>
              <w:rPr>
                <w:rFonts w:ascii="Arial" w:hAnsi="Arial"/>
                <w:b w:val="0"/>
                <w:sz w:val="14"/>
              </w:rPr>
              <w:t>source-bound at entry-point level; evidence export support remains deployment-context dependent</w:t>
            </w:r>
          </w:p>
        </w:tc>
      </w:tr>
      <w:tr>
        <w:tc>
          <w:tcPr>
            <w:tcW w:type="dxa" w:w="2045"/>
          </w:tcPr>
          <w:p>
            <w:pPr>
              <w:spacing w:after="0"/>
            </w:pPr>
            <w:r>
              <w:rPr>
                <w:rFonts w:ascii="Arial" w:hAnsi="Arial"/>
                <w:b w:val="0"/>
                <w:sz w:val="14"/>
              </w:rPr>
              <w:t>Human Oversight</w:t>
            </w:r>
          </w:p>
        </w:tc>
        <w:tc>
          <w:tcPr>
            <w:tcW w:type="dxa" w:w="2045"/>
          </w:tcPr>
          <w:p>
            <w:pPr>
              <w:spacing w:after="0"/>
            </w:pPr>
            <w:r>
              <w:rPr>
                <w:rFonts w:ascii="Arial" w:hAnsi="Arial"/>
                <w:b w:val="0"/>
                <w:sz w:val="14"/>
              </w:rPr>
              <w:t>Microsoft Azure AI Foundry shows stronger visible human oversight provisional posture; MPLP shows strong protocol-level posture; other systems show moderate to more limited visible posture</w:t>
            </w:r>
          </w:p>
        </w:tc>
        <w:tc>
          <w:tcPr>
            <w:tcW w:type="dxa" w:w="2045"/>
          </w:tcPr>
          <w:p>
            <w:pPr>
              <w:spacing w:after="0"/>
            </w:pPr>
            <w:r>
              <w:rPr>
                <w:rFonts w:ascii="Arial" w:hAnsi="Arial"/>
                <w:b w:val="0"/>
                <w:sz w:val="14"/>
              </w:rPr>
              <w:t>Microsoft Azure AI Foundry, MPLP (protocol-level)</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lifecycle responsibility-object support remains L5 unless directly stated</w:t>
            </w:r>
          </w:p>
        </w:tc>
      </w:tr>
      <w:tr>
        <w:tc>
          <w:tcPr>
            <w:tcW w:type="dxa" w:w="2045"/>
          </w:tcPr>
          <w:p>
            <w:pPr>
              <w:spacing w:after="0"/>
            </w:pPr>
            <w:r>
              <w:rPr>
                <w:rFonts w:ascii="Arial" w:hAnsi="Arial"/>
                <w:b w:val="0"/>
                <w:sz w:val="14"/>
              </w:rPr>
              <w:t>Security</w:t>
            </w:r>
          </w:p>
        </w:tc>
        <w:tc>
          <w:tcPr>
            <w:tcW w:type="dxa" w:w="2045"/>
          </w:tcPr>
          <w:p>
            <w:pPr>
              <w:spacing w:after="0"/>
            </w:pPr>
            <w:r>
              <w:rPr>
                <w:rFonts w:ascii="Arial" w:hAnsi="Arial"/>
                <w:b w:val="0"/>
                <w:sz w:val="14"/>
              </w:rPr>
              <w:t>Enterprise platforms show strong security provisional posture with IAM integration; open-source frameworks show weak to partial posture</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AI lifecycle security integration remains deployment-context dependent</w:t>
            </w:r>
          </w:p>
        </w:tc>
      </w:tr>
      <w:tr>
        <w:tc>
          <w:tcPr>
            <w:tcW w:type="dxa" w:w="2045"/>
          </w:tcPr>
          <w:p>
            <w:pPr>
              <w:spacing w:after="0"/>
            </w:pPr>
            <w:r>
              <w:rPr>
                <w:rFonts w:ascii="Arial" w:hAnsi="Arial"/>
                <w:b w:val="0"/>
                <w:sz w:val="14"/>
              </w:rPr>
              <w:t>Accountability</w:t>
            </w:r>
          </w:p>
        </w:tc>
        <w:tc>
          <w:tcPr>
            <w:tcW w:type="dxa" w:w="2045"/>
          </w:tcPr>
          <w:p>
            <w:pPr>
              <w:spacing w:after="0"/>
            </w:pPr>
            <w:r>
              <w:rPr>
                <w:rFonts w:ascii="Arial" w:hAnsi="Arial"/>
                <w:b w:val="0"/>
                <w:sz w:val="14"/>
              </w:rPr>
              <w:t>All systems show partial to moderate accountability provisional posture; formal accountability tracking requires validation across all systems</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source-bound at entry-point level; accountability tracking remains L5 unless directly stated</w:t>
            </w:r>
          </w:p>
        </w:tc>
      </w:tr>
      <w:tr>
        <w:tc>
          <w:tcPr>
            <w:tcW w:type="dxa" w:w="2045"/>
          </w:tcPr>
          <w:p>
            <w:pPr>
              <w:spacing w:after="0"/>
            </w:pPr>
            <w:r>
              <w:rPr>
                <w:rFonts w:ascii="Arial" w:hAnsi="Arial"/>
                <w:b w:val="0"/>
                <w:sz w:val="14"/>
              </w:rPr>
              <w:t>Contestability</w:t>
            </w:r>
          </w:p>
        </w:tc>
        <w:tc>
          <w:tcPr>
            <w:tcW w:type="dxa" w:w="2045"/>
          </w:tcPr>
          <w:p>
            <w:pPr>
              <w:spacing w:after="0"/>
            </w:pPr>
            <w:r>
              <w:rPr>
                <w:rFonts w:ascii="Arial" w:hAnsi="Arial"/>
                <w:b w:val="0"/>
                <w:sz w:val="14"/>
              </w:rPr>
              <w:t>All systems show weak to partial contestability provisional posture; contestability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contestability support remains implementation-context dependent</w:t>
            </w:r>
          </w:p>
        </w:tc>
      </w:tr>
      <w:tr>
        <w:tc>
          <w:tcPr>
            <w:tcW w:type="dxa" w:w="2045"/>
          </w:tcPr>
          <w:p>
            <w:pPr>
              <w:spacing w:after="0"/>
            </w:pPr>
            <w:r>
              <w:rPr>
                <w:rFonts w:ascii="Arial" w:hAnsi="Arial"/>
                <w:b w:val="0"/>
                <w:sz w:val="14"/>
              </w:rPr>
              <w:t>Authority Drift Detection</w:t>
            </w:r>
          </w:p>
        </w:tc>
        <w:tc>
          <w:tcPr>
            <w:tcW w:type="dxa" w:w="2045"/>
          </w:tcPr>
          <w:p>
            <w:pPr>
              <w:spacing w:after="0"/>
            </w:pPr>
            <w:r>
              <w:rPr>
                <w:rFonts w:ascii="Arial" w:hAnsi="Arial"/>
                <w:b w:val="0"/>
                <w:sz w:val="14"/>
              </w:rPr>
              <w:t>All systems show weak to partial authority drift detection provisional posture; drift detection primitives require implementer integration or validation</w:t>
            </w:r>
          </w:p>
        </w:tc>
        <w:tc>
          <w:tcPr>
            <w:tcW w:type="dxa" w:w="2045"/>
          </w:tcPr>
          <w:p>
            <w:pPr>
              <w:spacing w:after="0"/>
            </w:pPr>
            <w:r>
              <w:rPr>
                <w:rFonts w:ascii="Arial" w:hAnsi="Arial"/>
                <w:b w:val="0"/>
                <w:sz w:val="14"/>
              </w:rPr>
              <w:t>None</w:t>
            </w:r>
          </w:p>
        </w:tc>
        <w:tc>
          <w:tcPr>
            <w:tcW w:type="dxa" w:w="2045"/>
          </w:tcPr>
          <w:p>
            <w:pPr>
              <w:spacing w:after="0"/>
            </w:pPr>
            <w:r>
              <w:rPr>
                <w:rFonts w:ascii="Arial" w:hAnsi="Arial"/>
                <w:b w:val="0"/>
                <w:sz w:val="14"/>
              </w:rPr>
              <w:t>All systems</w:t>
            </w:r>
          </w:p>
        </w:tc>
        <w:tc>
          <w:tcPr>
            <w:tcW w:type="dxa" w:w="2045"/>
          </w:tcPr>
          <w:p>
            <w:pPr>
              <w:spacing w:after="0"/>
            </w:pPr>
            <w:r>
              <w:rPr>
                <w:rFonts w:ascii="Arial" w:hAnsi="Arial"/>
                <w:b w:val="0"/>
                <w:sz w:val="14"/>
              </w:rPr>
              <w:t>source-bound at entry-point level; authority drift support remains L5 unless directly stated</w:t>
            </w:r>
          </w:p>
        </w:tc>
      </w:tr>
      <w:tr>
        <w:tc>
          <w:tcPr>
            <w:tcW w:type="dxa" w:w="2045"/>
          </w:tcPr>
          <w:p>
            <w:pPr>
              <w:spacing w:after="0"/>
            </w:pPr>
            <w:r>
              <w:rPr>
                <w:rFonts w:ascii="Arial" w:hAnsi="Arial"/>
                <w:b w:val="0"/>
                <w:sz w:val="14"/>
              </w:rPr>
              <w:t>Privacy/GDPR Lifecycle Mapping</w:t>
            </w:r>
          </w:p>
        </w:tc>
        <w:tc>
          <w:tcPr>
            <w:tcW w:type="dxa" w:w="2045"/>
          </w:tcPr>
          <w:p>
            <w:pPr>
              <w:spacing w:after="0"/>
            </w:pPr>
            <w:r>
              <w:rPr>
                <w:rFonts w:ascii="Arial" w:hAnsi="Arial"/>
                <w:b w:val="0"/>
                <w:sz w:val="14"/>
              </w:rPr>
              <w:t>Enterprise platforms show moderate privacy provisional posture; open-source frameworks show more limited visible posture; formal GDPR lifecycle mapping requires validation</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 OpenAI Agents SDK</w:t>
            </w:r>
          </w:p>
        </w:tc>
        <w:tc>
          <w:tcPr>
            <w:tcW w:type="dxa" w:w="2045"/>
          </w:tcPr>
          <w:p>
            <w:pPr>
              <w:spacing w:after="0"/>
            </w:pPr>
            <w:r>
              <w:rPr>
                <w:rFonts w:ascii="Arial" w:hAnsi="Arial"/>
                <w:b w:val="0"/>
                <w:sz w:val="14"/>
              </w:rPr>
              <w:t>source-bound at entry-point level; GDPR lifecycle-object support remains L5 unless directly stated</w:t>
            </w:r>
          </w:p>
        </w:tc>
      </w:tr>
      <w:tr>
        <w:tc>
          <w:tcPr>
            <w:tcW w:type="dxa" w:w="2045"/>
          </w:tcPr>
          <w:p>
            <w:pPr>
              <w:spacing w:after="0"/>
            </w:pPr>
            <w:r>
              <w:rPr>
                <w:rFonts w:ascii="Arial" w:hAnsi="Arial"/>
                <w:b w:val="0"/>
                <w:sz w:val="14"/>
              </w:rPr>
              <w:t>Implementer-Built Gap</w:t>
            </w:r>
          </w:p>
        </w:tc>
        <w:tc>
          <w:tcPr>
            <w:tcW w:type="dxa" w:w="2045"/>
          </w:tcPr>
          <w:p>
            <w:pPr>
              <w:spacing w:after="0"/>
            </w:pPr>
            <w:r>
              <w:rPr>
                <w:rFonts w:ascii="Arial" w:hAnsi="Arial"/>
                <w:b w:val="0"/>
                <w:sz w:val="14"/>
              </w:rPr>
              <w:t>Open-source frameworks (CrewAI, LangGraph/LangSmith) show significant implementer-built gaps across multiple assessment areas; enterprise platforms show fewer gaps</w:t>
            </w:r>
          </w:p>
        </w:tc>
        <w:tc>
          <w:tcPr>
            <w:tcW w:type="dxa" w:w="2045"/>
          </w:tcPr>
          <w:p>
            <w:pPr>
              <w:spacing w:after="0"/>
            </w:pPr>
            <w:r>
              <w:rPr>
                <w:rFonts w:ascii="Arial" w:hAnsi="Arial"/>
                <w:b w:val="0"/>
                <w:sz w:val="14"/>
              </w:rPr>
              <w:t>Microsoft Azure AI Foundry, AWS Bedrock, Google Vertex AI, IBM watsonx.governance</w:t>
            </w:r>
          </w:p>
        </w:tc>
        <w:tc>
          <w:tcPr>
            <w:tcW w:type="dxa" w:w="2045"/>
          </w:tcPr>
          <w:p>
            <w:pPr>
              <w:spacing w:after="0"/>
            </w:pPr>
            <w:r>
              <w:rPr>
                <w:rFonts w:ascii="Arial" w:hAnsi="Arial"/>
                <w:b w:val="0"/>
                <w:sz w:val="14"/>
              </w:rPr>
              <w:t>CrewAI, LangGraph/LangSmith</w:t>
            </w:r>
          </w:p>
        </w:tc>
        <w:tc>
          <w:tcPr>
            <w:tcW w:type="dxa" w:w="2045"/>
          </w:tcPr>
          <w:p>
            <w:pPr>
              <w:spacing w:after="0"/>
            </w:pPr>
            <w:r>
              <w:rPr>
                <w:rFonts w:ascii="Arial" w:hAnsi="Arial"/>
                <w:b w:val="0"/>
                <w:sz w:val="14"/>
              </w:rPr>
              <w:t>source-bound at entry-point level; platform-provided primitive boundaries remain provisional</w:t>
            </w:r>
          </w:p>
        </w:tc>
      </w:tr>
    </w:tbl>
    <w:p>
      <w:pPr>
        <w:spacing w:after="56"/>
      </w:pPr>
      <w:r>
        <w:t>Key Observations (Provisional):</w:t>
      </w:r>
    </w:p>
    <w:p>
      <w:pPr>
        <w:pStyle w:val="ListNumber"/>
        <w:spacing w:after="56"/>
      </w:pPr>
      <w:r>
        <w:t>Enterprise platforms show stronger RCCS provisional posture due to integrated cloud platform capabilities (monitoring, logging, security, governance)</w:t>
      </w:r>
    </w:p>
    <w:p>
      <w:pPr>
        <w:pStyle w:val="ListNumber"/>
        <w:spacing w:after="56"/>
      </w:pPr>
      <w:r>
        <w:t>MPLP shows stronger visible ALCS provisional posture at protocol specification level but requires implementer integration for operational deployment</w:t>
      </w:r>
    </w:p>
    <w:p>
      <w:pPr>
        <w:pStyle w:val="ListNumber"/>
        <w:spacing w:after="56"/>
      </w:pPr>
      <w:r>
        <w:t>All systems show gaps in contestability and authority drift detection indicating industry-wide gaps in these capability primitives</w:t>
      </w:r>
    </w:p>
    <w:p>
      <w:pPr>
        <w:pStyle w:val="ListNumber"/>
        <w:spacing w:after="56"/>
      </w:pPr>
      <w:r>
        <w:t>Open-source frameworks show significant implementer-built gaps requiring organizations to build additional governance layers</w:t>
      </w:r>
    </w:p>
    <w:p>
      <w:pPr>
        <w:pStyle w:val="ListNumber"/>
        <w:spacing w:after="56"/>
      </w:pPr>
      <w:r>
        <w:t>All assessments are provisional after Phase 1C source binding and require final publication proofing before any finalized assessment posture</w:t>
      </w:r>
    </w:p>
    <w:p>
      <w:pPr>
        <w:spacing w:after="56"/>
      </w:pPr>
      <w:r>
        <w:t>CRITICAL REMINDER: These patterns are provisional observations after Phase 1C claim-level source binding. They are not final assessment postures, product ordering, procurement recommendations, or certification.</w:t>
      </w:r>
    </w:p>
    <w:p>
      <w:pPr>
        <w:pStyle w:val="Heading2"/>
      </w:pPr>
      <w:r>
        <w:t>G.4 Claim-Level Source Support Note</w:t>
      </w:r>
    </w:p>
    <w:p>
      <w:pPr>
        <w:spacing w:after="56"/>
      </w:pPr>
      <w:r>
        <w:t>Appendix G has completed Phase 1C claim-level source binding and remains revalidated provisional.</w:t>
      </w:r>
    </w:p>
    <w:p>
      <w:pPr>
        <w:spacing w:after="56"/>
      </w:pPr>
      <w:r>
        <w:t>Remaining finalization scope:</w:t>
      </w:r>
    </w:p>
    <w:p>
      <w:pPr>
        <w:pStyle w:val="ListNumber"/>
        <w:spacing w:after="56"/>
      </w:pPr>
      <w:r>
        <w:t>Pin exact source pages for each source-bound claim — Source entry points have been located, but some claims still need exact page-level citation pinning.</w:t>
      </w:r>
    </w:p>
    <w:p>
      <w:pPr>
        <w:pStyle w:val="ListNumber"/>
        <w:spacing w:after="56"/>
      </w:pPr>
      <w:r>
        <w:t>Preserve L5 mapping discipline — Product documentation supporting adjacent platform features must not be treated as direct ALCS lifecycle responsibility-object proof.</w:t>
      </w:r>
    </w:p>
    <w:p>
      <w:pPr>
        <w:pStyle w:val="ListNumber"/>
        <w:spacing w:after="56"/>
      </w:pPr>
      <w:r>
        <w:t>Retain no-score/no-ranking posture — Qualitative postures remain analytical and provisional.</w:t>
      </w:r>
    </w:p>
    <w:p>
      <w:pPr>
        <w:pStyle w:val="ListNumber"/>
        <w:spacing w:after="56"/>
      </w:pPr>
      <w:r>
        <w:t>Perform final citation rendering QA in Phase 1D — No DOCX/PDF citation rendering has been generated in this phase.</w:t>
      </w:r>
    </w:p>
    <w:p>
      <w:pPr>
        <w:spacing w:after="56"/>
      </w:pPr>
      <w:r>
        <w:t>Systems not assessed in Appendix G:</w:t>
      </w:r>
    </w:p>
    <w:p>
      <w:pPr>
        <w:spacing w:after="56"/>
      </w:pPr>
      <w:r>
        <w:t>The following systems were mentioned in earlier phases but are not assessed in Appendix G. They may be considered for future versions:</w:t>
      </w:r>
    </w:p>
    <w:p>
      <w:pPr>
        <w:pStyle w:val="ListBullet"/>
        <w:spacing w:after="56"/>
      </w:pPr>
      <w:r>
        <w:t>LangChain (standalone framework; LangGraph/LangSmith assessed instead as representative LangChain ecosystem system)</w:t>
      </w:r>
    </w:p>
    <w:p>
      <w:pPr>
        <w:pStyle w:val="ListBullet"/>
        <w:spacing w:after="56"/>
      </w:pPr>
      <w:r>
        <w:t>AutoGen (not included in representative system set)</w:t>
      </w:r>
    </w:p>
    <w:p>
      <w:pPr>
        <w:pStyle w:val="ListBullet"/>
        <w:spacing w:after="56"/>
      </w:pPr>
      <w:r>
        <w:t>Semantic Kernel (not included in representative system set)</w:t>
      </w:r>
    </w:p>
    <w:p>
      <w:pPr>
        <w:pStyle w:val="ListBullet"/>
        <w:spacing w:after="56"/>
      </w:pPr>
      <w:r>
        <w:t>Microsoft Copilot Studio (Microsoft Azure AI Foundry assessed instead as representative Microsoft system)</w:t>
      </w:r>
    </w:p>
    <w:p>
      <w:pPr>
        <w:pStyle w:val="ListBullet"/>
        <w:spacing w:after="56"/>
      </w:pPr>
      <w:r>
        <w:t>Anthropic Claude API (not included in representative system set)</w:t>
      </w:r>
    </w:p>
    <w:p>
      <w:pPr>
        <w:pStyle w:val="ListBullet"/>
        <w:spacing w:after="56"/>
      </w:pPr>
      <w:r>
        <w:t>OpenAI Assistants API (OpenAI Agents SDK assessed instead as representative OpenAI system)</w:t>
      </w:r>
    </w:p>
    <w:p>
      <w:pPr>
        <w:pStyle w:val="ListBullet"/>
        <w:spacing w:after="56"/>
      </w:pPr>
      <w:r>
        <w:t>Amazon Bedrock Agents (AWS Bedrock / Guardrails / AgentCore assessed instead as comprehensive AWS system)</w:t>
      </w:r>
    </w:p>
    <w:p>
      <w:pPr>
        <w:pStyle w:val="ListBullet"/>
        <w:spacing w:after="56"/>
      </w:pPr>
      <w:r>
        <w:t>Google Vertex AI Agent Builder (Google Vertex AI / ADK / Model Armor assessed instead as comprehensive Google system)</w:t>
      </w:r>
    </w:p>
    <w:p>
      <w:pPr>
        <w:spacing w:after="56"/>
      </w:pPr>
      <w:r>
        <w:t>Validation Lab Note:</w:t>
      </w:r>
    </w:p>
    <w:p>
      <w:pPr>
        <w:spacing w:after="56"/>
      </w:pPr>
      <w:r>
        <w:t>Validation Lab is mentioned in Chapter 14 as a non-certifying evidence adjudication example. It is not assessed in Appendix G as it is not positioned as a required, exclusive, or certified validation path. Organizations may use Validation Lab, alternative validation approaches, or implementer-built validation solutions based on their requirements.</w:t>
      </w:r>
    </w:p>
    <w:p>
      <w:pPr>
        <w:pStyle w:val="Heading1"/>
      </w:pPr>
      <w:r>
        <w:t>Appendix H — Enterprise Procurement Scorecard</w:t>
      </w:r>
    </w:p>
    <w:p>
      <w:pPr>
        <w:spacing w:after="56"/>
      </w:pPr>
      <w:r>
        <w:t>Version: v0.3.2-FRC-R3</w:t>
      </w:r>
    </w:p>
    <w:p>
      <w:pPr>
        <w:pStyle w:val="Heading2"/>
      </w:pPr>
      <w:r>
        <w:t>H.0 Procurement Boundary</w:t>
      </w:r>
    </w:p>
    <w:p>
      <w:pPr>
        <w:spacing w:after="56"/>
      </w:pPr>
      <w:r>
        <w:t>This appendix provides an enterprise procurement-oriented checklist and scorecard template for evaluating agentic AI systems using RCCS, ALCS, and lifecycle governance requirements.</w:t>
      </w:r>
    </w:p>
    <w:p>
      <w:pPr>
        <w:spacing w:after="56"/>
      </w:pPr>
      <w:r>
        <w:t>This appendix is a buyer diligence aid. It is not a procurement recommendation, vendor ranking, legal compliance determination, certification checklist, market endorsement, or substitute for human review. It helps enterprise buyers ask better governance questions before adopting agentic AI systems.</w:t>
      </w:r>
    </w:p>
    <w:p>
      <w:pPr>
        <w:spacing w:after="56"/>
      </w:pPr>
      <w:r>
        <w:t>The scorecard may reference RCCS and ALCS dimensions as analytical prompts. It must not be read as proof that a vendor, platform, protocol, or implementation is legally compliant, operationally effective, enterprise-ready, certified, or regulator-approved.</w:t>
      </w:r>
    </w:p>
    <w:p>
      <w:pPr>
        <w:spacing w:after="56"/>
      </w:pPr>
      <w:r>
        <w:t>Appendix G may be used only as an example of qualitative provisional assessment categories. Appendix G provisional postures must not be reused as vendor selection advice without enterprise-specific review, page-level citation support, and accountable buyer judgment.</w:t>
      </w:r>
    </w:p>
    <w:p>
      <w:pPr>
        <w:pStyle w:val="Heading2"/>
      </w:pPr>
      <w:r>
        <w:t>H.1 How Enterprises Should Use This Scorecard</w:t>
      </w:r>
    </w:p>
    <w:p>
      <w:pPr>
        <w:spacing w:after="56"/>
      </w:pPr>
      <w:r>
        <w:t>Enterprises should use this scorecard during early diligence, request-for-information review, request-for-proposal design, architecture review, and internal governance review. The scorecard is intended to structure questions, evidence requests, and review boundaries.</w:t>
      </w:r>
    </w:p>
    <w:p>
      <w:pPr>
        <w:spacing w:after="56"/>
      </w:pPr>
      <w:r>
        <w:t>Recommended use sequence:</w:t>
      </w:r>
    </w:p>
    <w:p>
      <w:pPr>
        <w:pStyle w:val="ListNumber"/>
        <w:spacing w:after="56"/>
      </w:pPr>
      <w:r>
        <w:t>Identify the intended agentic AI use case, deployment context, and lifecycle risk profile.</w:t>
      </w:r>
    </w:p>
    <w:p>
      <w:pPr>
        <w:pStyle w:val="ListNumber"/>
        <w:spacing w:after="56"/>
      </w:pPr>
      <w:r>
        <w:t>Select the relevant RCCS and ALCS dimensions for that use case.</w:t>
      </w:r>
    </w:p>
    <w:p>
      <w:pPr>
        <w:pStyle w:val="ListNumber"/>
        <w:spacing w:after="56"/>
      </w:pPr>
      <w:r>
        <w:t>Request evidence from vendors or implementation teams using the evidence request template.</w:t>
      </w:r>
    </w:p>
    <w:p>
      <w:pPr>
        <w:pStyle w:val="ListNumber"/>
        <w:spacing w:after="56"/>
      </w:pPr>
      <w:r>
        <w:t>Record gaps, red flags, and unresolved assumptions.</w:t>
      </w:r>
    </w:p>
    <w:p>
      <w:pPr>
        <w:pStyle w:val="ListNumber"/>
        <w:spacing w:after="56"/>
      </w:pPr>
      <w:r>
        <w:t>Escalate material gaps to legal, security, privacy, risk, procurement, and business owners.</w:t>
      </w:r>
    </w:p>
    <w:p>
      <w:pPr>
        <w:pStyle w:val="ListNumber"/>
        <w:spacing w:after="56"/>
      </w:pPr>
      <w:r>
        <w:t>Defer final evidence interpretation to publication / enterprise review.</w:t>
      </w:r>
    </w:p>
    <w:p>
      <w:pPr>
        <w:spacing w:after="56"/>
      </w:pPr>
      <w:r>
        <w:t>This appendix does not tell an enterprise which system to buy. It supports disciplined questioning and evidence collection.</w:t>
      </w:r>
    </w:p>
    <w:p>
      <w:pPr>
        <w:pStyle w:val="Heading2"/>
      </w:pPr>
      <w:r>
        <w:t>H.2 Procurement Due Diligence Questions</w:t>
      </w:r>
    </w:p>
    <w:p>
      <w:pPr>
        <w:keepNext/>
      </w:pPr>
      <w:r>
        <w:rPr>
          <w:b/>
          <w:sz w:val="16"/>
        </w:rPr>
        <w:t>Table T-H-01: Enterprise Procurement Scorecard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Area</w:t>
            </w:r>
          </w:p>
        </w:tc>
        <w:tc>
          <w:tcPr>
            <w:tcW w:type="dxa" w:w="1704"/>
          </w:tcPr>
          <w:p>
            <w:pPr>
              <w:spacing w:after="0"/>
            </w:pPr>
            <w:r>
              <w:rPr>
                <w:rFonts w:ascii="Arial" w:hAnsi="Arial"/>
                <w:b/>
                <w:sz w:val="12"/>
              </w:rPr>
              <w:t>Procurement Question</w:t>
            </w:r>
          </w:p>
        </w:tc>
        <w:tc>
          <w:tcPr>
            <w:tcW w:type="dxa" w:w="1704"/>
          </w:tcPr>
          <w:p>
            <w:pPr>
              <w:spacing w:after="0"/>
            </w:pPr>
            <w:r>
              <w:rPr>
                <w:rFonts w:ascii="Arial" w:hAnsi="Arial"/>
                <w:b/>
                <w:sz w:val="12"/>
              </w:rPr>
              <w:t>Related RCCS/ALCS</w:t>
            </w:r>
          </w:p>
        </w:tc>
        <w:tc>
          <w:tcPr>
            <w:tcW w:type="dxa" w:w="1704"/>
          </w:tcPr>
          <w:p>
            <w:pPr>
              <w:spacing w:after="0"/>
            </w:pPr>
            <w:r>
              <w:rPr>
                <w:rFonts w:ascii="Arial" w:hAnsi="Arial"/>
                <w:b/>
                <w:sz w:val="12"/>
              </w:rPr>
              <w:t>Required Vendor Evidence</w:t>
            </w:r>
          </w:p>
        </w:tc>
        <w:tc>
          <w:tcPr>
            <w:tcW w:type="dxa" w:w="1704"/>
          </w:tcPr>
          <w:p>
            <w:pPr>
              <w:spacing w:after="0"/>
            </w:pPr>
            <w:r>
              <w:rPr>
                <w:rFonts w:ascii="Arial" w:hAnsi="Arial"/>
                <w:b/>
                <w:sz w:val="12"/>
              </w:rPr>
              <w:t>Red Flag</w:t>
            </w:r>
          </w:p>
        </w:tc>
        <w:tc>
          <w:tcPr>
            <w:tcW w:type="dxa" w:w="1704"/>
          </w:tcPr>
          <w:p>
            <w:pPr>
              <w:spacing w:after="0"/>
            </w:pPr>
            <w:r>
              <w:rPr>
                <w:rFonts w:ascii="Arial" w:hAnsi="Arial"/>
                <w:b/>
                <w:sz w:val="12"/>
              </w:rPr>
              <w:t>Buyer Note</w:t>
            </w:r>
          </w:p>
        </w:tc>
      </w:tr>
      <w:tr>
        <w:tc>
          <w:tcPr>
            <w:tcW w:type="dxa" w:w="1704"/>
          </w:tcPr>
          <w:p>
            <w:pPr>
              <w:spacing w:after="0"/>
            </w:pPr>
            <w:r>
              <w:rPr>
                <w:rFonts w:ascii="Arial" w:hAnsi="Arial"/>
                <w:b w:val="0"/>
                <w:sz w:val="12"/>
              </w:rPr>
              <w:t>Governance scope</w:t>
            </w:r>
          </w:p>
        </w:tc>
        <w:tc>
          <w:tcPr>
            <w:tcW w:type="dxa" w:w="1704"/>
          </w:tcPr>
          <w:p>
            <w:pPr>
              <w:spacing w:after="0"/>
            </w:pPr>
            <w:r>
              <w:rPr>
                <w:rFonts w:ascii="Arial" w:hAnsi="Arial"/>
                <w:b w:val="0"/>
                <w:sz w:val="12"/>
              </w:rPr>
              <w:t>What agentic workflows, tools, models, and runtime components are covered by the governance controls?</w:t>
            </w:r>
          </w:p>
        </w:tc>
        <w:tc>
          <w:tcPr>
            <w:tcW w:type="dxa" w:w="1704"/>
          </w:tcPr>
          <w:p>
            <w:pPr>
              <w:spacing w:after="0"/>
            </w:pPr>
            <w:r>
              <w:rPr>
                <w:rFonts w:ascii="Arial" w:hAnsi="Arial"/>
                <w:b w:val="0"/>
                <w:sz w:val="12"/>
              </w:rPr>
              <w:t>RCCS-03, ALCS-15</w:t>
            </w:r>
          </w:p>
        </w:tc>
        <w:tc>
          <w:tcPr>
            <w:tcW w:type="dxa" w:w="1704"/>
          </w:tcPr>
          <w:p>
            <w:pPr>
              <w:spacing w:after="0"/>
            </w:pPr>
            <w:r>
              <w:rPr>
                <w:rFonts w:ascii="Arial" w:hAnsi="Arial"/>
                <w:b w:val="0"/>
                <w:sz w:val="12"/>
              </w:rPr>
              <w:t>Scope statement, architecture diagram, runtime inventory</w:t>
            </w:r>
          </w:p>
        </w:tc>
        <w:tc>
          <w:tcPr>
            <w:tcW w:type="dxa" w:w="1704"/>
          </w:tcPr>
          <w:p>
            <w:pPr>
              <w:spacing w:after="0"/>
            </w:pPr>
            <w:r>
              <w:rPr>
                <w:rFonts w:ascii="Arial" w:hAnsi="Arial"/>
                <w:b w:val="0"/>
                <w:sz w:val="12"/>
              </w:rPr>
              <w:t>Governance claims cover only model behavior while agent workflow remains undefined</w:t>
            </w:r>
          </w:p>
        </w:tc>
        <w:tc>
          <w:tcPr>
            <w:tcW w:type="dxa" w:w="1704"/>
          </w:tcPr>
          <w:p>
            <w:pPr>
              <w:spacing w:after="0"/>
            </w:pPr>
            <w:r>
              <w:rPr>
                <w:rFonts w:ascii="Arial" w:hAnsi="Arial"/>
                <w:b w:val="0"/>
                <w:sz w:val="12"/>
              </w:rPr>
              <w:t>Confirm whether controls apply to the full lifecycle, not only model invocation</w:t>
            </w:r>
          </w:p>
        </w:tc>
      </w:tr>
      <w:tr>
        <w:tc>
          <w:tcPr>
            <w:tcW w:type="dxa" w:w="1704"/>
          </w:tcPr>
          <w:p>
            <w:pPr>
              <w:spacing w:after="0"/>
            </w:pPr>
            <w:r>
              <w:rPr>
                <w:rFonts w:ascii="Arial" w:hAnsi="Arial"/>
                <w:b w:val="0"/>
                <w:sz w:val="12"/>
              </w:rPr>
              <w:t>Risk management</w:t>
            </w:r>
          </w:p>
        </w:tc>
        <w:tc>
          <w:tcPr>
            <w:tcW w:type="dxa" w:w="1704"/>
          </w:tcPr>
          <w:p>
            <w:pPr>
              <w:spacing w:after="0"/>
            </w:pPr>
            <w:r>
              <w:rPr>
                <w:rFonts w:ascii="Arial" w:hAnsi="Arial"/>
                <w:b w:val="0"/>
                <w:sz w:val="12"/>
              </w:rPr>
              <w:t>How are agentic risks identified, assessed, mitigated, and monitored over time?</w:t>
            </w:r>
          </w:p>
        </w:tc>
        <w:tc>
          <w:tcPr>
            <w:tcW w:type="dxa" w:w="1704"/>
          </w:tcPr>
          <w:p>
            <w:pPr>
              <w:spacing w:after="0"/>
            </w:pPr>
            <w:r>
              <w:rPr>
                <w:rFonts w:ascii="Arial" w:hAnsi="Arial"/>
                <w:b w:val="0"/>
                <w:sz w:val="12"/>
              </w:rPr>
              <w:t>RCCS-01, RCCS-10</w:t>
            </w:r>
          </w:p>
        </w:tc>
        <w:tc>
          <w:tcPr>
            <w:tcW w:type="dxa" w:w="1704"/>
          </w:tcPr>
          <w:p>
            <w:pPr>
              <w:spacing w:after="0"/>
            </w:pPr>
            <w:r>
              <w:rPr>
                <w:rFonts w:ascii="Arial" w:hAnsi="Arial"/>
                <w:b w:val="0"/>
                <w:sz w:val="12"/>
              </w:rPr>
              <w:t>Risk register template, monitoring policy, escalation workflow</w:t>
            </w:r>
          </w:p>
        </w:tc>
        <w:tc>
          <w:tcPr>
            <w:tcW w:type="dxa" w:w="1704"/>
          </w:tcPr>
          <w:p>
            <w:pPr>
              <w:spacing w:after="0"/>
            </w:pPr>
            <w:r>
              <w:rPr>
                <w:rFonts w:ascii="Arial" w:hAnsi="Arial"/>
                <w:b w:val="0"/>
                <w:sz w:val="12"/>
              </w:rPr>
              <w:t>Risk management is described only as a general platform feature</w:t>
            </w:r>
          </w:p>
        </w:tc>
        <w:tc>
          <w:tcPr>
            <w:tcW w:type="dxa" w:w="1704"/>
          </w:tcPr>
          <w:p>
            <w:pPr>
              <w:spacing w:after="0"/>
            </w:pPr>
            <w:r>
              <w:rPr>
                <w:rFonts w:ascii="Arial" w:hAnsi="Arial"/>
                <w:b w:val="0"/>
                <w:sz w:val="12"/>
              </w:rPr>
              <w:t>Require AI-agent-specific risk handling evidence</w:t>
            </w:r>
          </w:p>
        </w:tc>
      </w:tr>
      <w:tr>
        <w:tc>
          <w:tcPr>
            <w:tcW w:type="dxa" w:w="1704"/>
          </w:tcPr>
          <w:p>
            <w:pPr>
              <w:spacing w:after="0"/>
            </w:pPr>
            <w:r>
              <w:rPr>
                <w:rFonts w:ascii="Arial" w:hAnsi="Arial"/>
                <w:b w:val="0"/>
                <w:sz w:val="12"/>
              </w:rPr>
              <w:t>Data governance</w:t>
            </w:r>
          </w:p>
        </w:tc>
        <w:tc>
          <w:tcPr>
            <w:tcW w:type="dxa" w:w="1704"/>
          </w:tcPr>
          <w:p>
            <w:pPr>
              <w:spacing w:after="0"/>
            </w:pPr>
            <w:r>
              <w:rPr>
                <w:rFonts w:ascii="Arial" w:hAnsi="Arial"/>
                <w:b w:val="0"/>
                <w:sz w:val="12"/>
              </w:rPr>
              <w:t>How are input data, context data, generated evidence, and retained records governed?</w:t>
            </w:r>
          </w:p>
        </w:tc>
        <w:tc>
          <w:tcPr>
            <w:tcW w:type="dxa" w:w="1704"/>
          </w:tcPr>
          <w:p>
            <w:pPr>
              <w:spacing w:after="0"/>
            </w:pPr>
            <w:r>
              <w:rPr>
                <w:rFonts w:ascii="Arial" w:hAnsi="Arial"/>
                <w:b w:val="0"/>
                <w:sz w:val="12"/>
              </w:rPr>
              <w:t>RCCS-02, ALCS-10, ALCS-13</w:t>
            </w:r>
          </w:p>
        </w:tc>
        <w:tc>
          <w:tcPr>
            <w:tcW w:type="dxa" w:w="1704"/>
          </w:tcPr>
          <w:p>
            <w:pPr>
              <w:spacing w:after="0"/>
            </w:pPr>
            <w:r>
              <w:rPr>
                <w:rFonts w:ascii="Arial" w:hAnsi="Arial"/>
                <w:b w:val="0"/>
                <w:sz w:val="12"/>
              </w:rPr>
              <w:t>Data flow map, retention policy, access control description</w:t>
            </w:r>
          </w:p>
        </w:tc>
        <w:tc>
          <w:tcPr>
            <w:tcW w:type="dxa" w:w="1704"/>
          </w:tcPr>
          <w:p>
            <w:pPr>
              <w:spacing w:after="0"/>
            </w:pPr>
            <w:r>
              <w:rPr>
                <w:rFonts w:ascii="Arial" w:hAnsi="Arial"/>
                <w:b w:val="0"/>
                <w:sz w:val="12"/>
              </w:rPr>
              <w:t>Retention and deletion duties are described without lifecycle evidence handling</w:t>
            </w:r>
          </w:p>
        </w:tc>
        <w:tc>
          <w:tcPr>
            <w:tcW w:type="dxa" w:w="1704"/>
          </w:tcPr>
          <w:p>
            <w:pPr>
              <w:spacing w:after="0"/>
            </w:pPr>
            <w:r>
              <w:rPr>
                <w:rFonts w:ascii="Arial" w:hAnsi="Arial"/>
                <w:b w:val="0"/>
                <w:sz w:val="12"/>
              </w:rPr>
              <w:t>Verify privacy and retention conflicts during publication / enterprise review</w:t>
            </w:r>
          </w:p>
        </w:tc>
      </w:tr>
      <w:tr>
        <w:tc>
          <w:tcPr>
            <w:tcW w:type="dxa" w:w="1704"/>
          </w:tcPr>
          <w:p>
            <w:pPr>
              <w:spacing w:after="0"/>
            </w:pPr>
            <w:r>
              <w:rPr>
                <w:rFonts w:ascii="Arial" w:hAnsi="Arial"/>
                <w:b w:val="0"/>
                <w:sz w:val="12"/>
              </w:rPr>
              <w:t>Documentation</w:t>
            </w:r>
          </w:p>
        </w:tc>
        <w:tc>
          <w:tcPr>
            <w:tcW w:type="dxa" w:w="1704"/>
          </w:tcPr>
          <w:p>
            <w:pPr>
              <w:spacing w:after="0"/>
            </w:pPr>
            <w:r>
              <w:rPr>
                <w:rFonts w:ascii="Arial" w:hAnsi="Arial"/>
                <w:b w:val="0"/>
                <w:sz w:val="12"/>
              </w:rPr>
              <w:t>What documentation exists for model use, agent role, tool access, and deployment configuration?</w:t>
            </w:r>
          </w:p>
        </w:tc>
        <w:tc>
          <w:tcPr>
            <w:tcW w:type="dxa" w:w="1704"/>
          </w:tcPr>
          <w:p>
            <w:pPr>
              <w:spacing w:after="0"/>
            </w:pPr>
            <w:r>
              <w:rPr>
                <w:rFonts w:ascii="Arial" w:hAnsi="Arial"/>
                <w:b w:val="0"/>
                <w:sz w:val="12"/>
              </w:rPr>
              <w:t>RCCS-03, ALCS-03, ALCS-15</w:t>
            </w:r>
          </w:p>
        </w:tc>
        <w:tc>
          <w:tcPr>
            <w:tcW w:type="dxa" w:w="1704"/>
          </w:tcPr>
          <w:p>
            <w:pPr>
              <w:spacing w:after="0"/>
            </w:pPr>
            <w:r>
              <w:rPr>
                <w:rFonts w:ascii="Arial" w:hAnsi="Arial"/>
                <w:b w:val="0"/>
                <w:sz w:val="12"/>
              </w:rPr>
              <w:t>System card, model card, deployment record, configuration manifest</w:t>
            </w:r>
          </w:p>
        </w:tc>
        <w:tc>
          <w:tcPr>
            <w:tcW w:type="dxa" w:w="1704"/>
          </w:tcPr>
          <w:p>
            <w:pPr>
              <w:spacing w:after="0"/>
            </w:pPr>
            <w:r>
              <w:rPr>
                <w:rFonts w:ascii="Arial" w:hAnsi="Arial"/>
                <w:b w:val="0"/>
                <w:sz w:val="12"/>
              </w:rPr>
              <w:t>Documentation exists for models but not agents or tool actions</w:t>
            </w:r>
          </w:p>
        </w:tc>
        <w:tc>
          <w:tcPr>
            <w:tcW w:type="dxa" w:w="1704"/>
          </w:tcPr>
          <w:p>
            <w:pPr>
              <w:spacing w:after="0"/>
            </w:pPr>
            <w:r>
              <w:rPr>
                <w:rFonts w:ascii="Arial" w:hAnsi="Arial"/>
                <w:b w:val="0"/>
                <w:sz w:val="12"/>
              </w:rPr>
              <w:t>Separate model documentation from agent lifecycle documentation</w:t>
            </w:r>
          </w:p>
        </w:tc>
      </w:tr>
      <w:tr>
        <w:tc>
          <w:tcPr>
            <w:tcW w:type="dxa" w:w="1704"/>
          </w:tcPr>
          <w:p>
            <w:pPr>
              <w:spacing w:after="0"/>
            </w:pPr>
            <w:r>
              <w:rPr>
                <w:rFonts w:ascii="Arial" w:hAnsi="Arial"/>
                <w:b w:val="0"/>
                <w:sz w:val="12"/>
              </w:rPr>
              <w:t>Record keeping</w:t>
            </w:r>
          </w:p>
        </w:tc>
        <w:tc>
          <w:tcPr>
            <w:tcW w:type="dxa" w:w="1704"/>
          </w:tcPr>
          <w:p>
            <w:pPr>
              <w:spacing w:after="0"/>
            </w:pPr>
            <w:r>
              <w:rPr>
                <w:rFonts w:ascii="Arial" w:hAnsi="Arial"/>
                <w:b w:val="0"/>
                <w:sz w:val="12"/>
              </w:rPr>
              <w:t>What records are created for plans, tool actions, authority grants, evidence packs, reviews, and accepted outcomes?</w:t>
            </w:r>
          </w:p>
        </w:tc>
        <w:tc>
          <w:tcPr>
            <w:tcW w:type="dxa" w:w="1704"/>
          </w:tcPr>
          <w:p>
            <w:pPr>
              <w:spacing w:after="0"/>
            </w:pPr>
            <w:r>
              <w:rPr>
                <w:rFonts w:ascii="Arial" w:hAnsi="Arial"/>
                <w:b w:val="0"/>
                <w:sz w:val="12"/>
              </w:rPr>
              <w:t>RCCS-04, ALCS-08, ALCS-12</w:t>
            </w:r>
          </w:p>
        </w:tc>
        <w:tc>
          <w:tcPr>
            <w:tcW w:type="dxa" w:w="1704"/>
          </w:tcPr>
          <w:p>
            <w:pPr>
              <w:spacing w:after="0"/>
            </w:pPr>
            <w:r>
              <w:rPr>
                <w:rFonts w:ascii="Arial" w:hAnsi="Arial"/>
                <w:b w:val="0"/>
                <w:sz w:val="12"/>
              </w:rPr>
              <w:t>Log schema, evidence export sample, retention rule</w:t>
            </w:r>
          </w:p>
        </w:tc>
        <w:tc>
          <w:tcPr>
            <w:tcW w:type="dxa" w:w="1704"/>
          </w:tcPr>
          <w:p>
            <w:pPr>
              <w:spacing w:after="0"/>
            </w:pPr>
            <w:r>
              <w:rPr>
                <w:rFonts w:ascii="Arial" w:hAnsi="Arial"/>
                <w:b w:val="0"/>
                <w:sz w:val="12"/>
              </w:rPr>
              <w:t>Logs cannot be connected to lifecycle responsibility objects</w:t>
            </w:r>
          </w:p>
        </w:tc>
        <w:tc>
          <w:tcPr>
            <w:tcW w:type="dxa" w:w="1704"/>
          </w:tcPr>
          <w:p>
            <w:pPr>
              <w:spacing w:after="0"/>
            </w:pPr>
            <w:r>
              <w:rPr>
                <w:rFonts w:ascii="Arial" w:hAnsi="Arial"/>
                <w:b w:val="0"/>
                <w:sz w:val="12"/>
              </w:rPr>
              <w:t>Ask whether records are exportable and reviewable</w:t>
            </w:r>
          </w:p>
        </w:tc>
      </w:tr>
      <w:tr>
        <w:tc>
          <w:tcPr>
            <w:tcW w:type="dxa" w:w="1704"/>
          </w:tcPr>
          <w:p>
            <w:pPr>
              <w:spacing w:after="0"/>
            </w:pPr>
            <w:r>
              <w:rPr>
                <w:rFonts w:ascii="Arial" w:hAnsi="Arial"/>
                <w:b w:val="0"/>
                <w:sz w:val="12"/>
              </w:rPr>
              <w:t>Human oversight</w:t>
            </w:r>
          </w:p>
        </w:tc>
        <w:tc>
          <w:tcPr>
            <w:tcW w:type="dxa" w:w="1704"/>
          </w:tcPr>
          <w:p>
            <w:pPr>
              <w:spacing w:after="0"/>
            </w:pPr>
            <w:r>
              <w:rPr>
                <w:rFonts w:ascii="Arial" w:hAnsi="Arial"/>
                <w:b w:val="0"/>
                <w:sz w:val="12"/>
              </w:rPr>
              <w:t>How are human roles mapped to agent responsibilities, review points, and escalation authority?</w:t>
            </w:r>
          </w:p>
        </w:tc>
        <w:tc>
          <w:tcPr>
            <w:tcW w:type="dxa" w:w="1704"/>
          </w:tcPr>
          <w:p>
            <w:pPr>
              <w:spacing w:after="0"/>
            </w:pPr>
            <w:r>
              <w:rPr>
                <w:rFonts w:ascii="Arial" w:hAnsi="Arial"/>
                <w:b w:val="0"/>
                <w:sz w:val="12"/>
              </w:rPr>
              <w:t>RCCS-06, ALCS-01, ALCS-02</w:t>
            </w:r>
          </w:p>
        </w:tc>
        <w:tc>
          <w:tcPr>
            <w:tcW w:type="dxa" w:w="1704"/>
          </w:tcPr>
          <w:p>
            <w:pPr>
              <w:spacing w:after="0"/>
            </w:pPr>
            <w:r>
              <w:rPr>
                <w:rFonts w:ascii="Arial" w:hAnsi="Arial"/>
                <w:b w:val="0"/>
                <w:sz w:val="12"/>
              </w:rPr>
              <w:t>Responsibility matrix, review workflow, escalation rule</w:t>
            </w:r>
          </w:p>
        </w:tc>
        <w:tc>
          <w:tcPr>
            <w:tcW w:type="dxa" w:w="1704"/>
          </w:tcPr>
          <w:p>
            <w:pPr>
              <w:spacing w:after="0"/>
            </w:pPr>
            <w:r>
              <w:rPr>
                <w:rFonts w:ascii="Arial" w:hAnsi="Arial"/>
                <w:b w:val="0"/>
                <w:sz w:val="12"/>
              </w:rPr>
              <w:t>Human oversight is described as a generic approval button</w:t>
            </w:r>
          </w:p>
        </w:tc>
        <w:tc>
          <w:tcPr>
            <w:tcW w:type="dxa" w:w="1704"/>
          </w:tcPr>
          <w:p>
            <w:pPr>
              <w:spacing w:after="0"/>
            </w:pPr>
            <w:r>
              <w:rPr>
                <w:rFonts w:ascii="Arial" w:hAnsi="Arial"/>
                <w:b w:val="0"/>
                <w:sz w:val="12"/>
              </w:rPr>
              <w:t>Require role-to-responsibility mapping</w:t>
            </w:r>
          </w:p>
        </w:tc>
      </w:tr>
      <w:tr>
        <w:tc>
          <w:tcPr>
            <w:tcW w:type="dxa" w:w="1704"/>
          </w:tcPr>
          <w:p>
            <w:pPr>
              <w:spacing w:after="0"/>
            </w:pPr>
            <w:r>
              <w:rPr>
                <w:rFonts w:ascii="Arial" w:hAnsi="Arial"/>
                <w:b w:val="0"/>
                <w:sz w:val="12"/>
              </w:rPr>
              <w:t>Authority boundaries</w:t>
            </w:r>
          </w:p>
        </w:tc>
        <w:tc>
          <w:tcPr>
            <w:tcW w:type="dxa" w:w="1704"/>
          </w:tcPr>
          <w:p>
            <w:pPr>
              <w:spacing w:after="0"/>
            </w:pPr>
            <w:r>
              <w:rPr>
                <w:rFonts w:ascii="Arial" w:hAnsi="Arial"/>
                <w:b w:val="0"/>
                <w:sz w:val="12"/>
              </w:rPr>
              <w:t>How are delegated authority limits defined, enforced, and changed?</w:t>
            </w:r>
          </w:p>
        </w:tc>
        <w:tc>
          <w:tcPr>
            <w:tcW w:type="dxa" w:w="1704"/>
          </w:tcPr>
          <w:p>
            <w:pPr>
              <w:spacing w:after="0"/>
            </w:pPr>
            <w:r>
              <w:rPr>
                <w:rFonts w:ascii="Arial" w:hAnsi="Arial"/>
                <w:b w:val="0"/>
                <w:sz w:val="12"/>
              </w:rPr>
              <w:t>ALCS-02, ALCS-07</w:t>
            </w:r>
          </w:p>
        </w:tc>
        <w:tc>
          <w:tcPr>
            <w:tcW w:type="dxa" w:w="1704"/>
          </w:tcPr>
          <w:p>
            <w:pPr>
              <w:spacing w:after="0"/>
            </w:pPr>
            <w:r>
              <w:rPr>
                <w:rFonts w:ascii="Arial" w:hAnsi="Arial"/>
                <w:b w:val="0"/>
                <w:sz w:val="12"/>
              </w:rPr>
              <w:t>Authority policy, change log, exception workflow</w:t>
            </w:r>
          </w:p>
        </w:tc>
        <w:tc>
          <w:tcPr>
            <w:tcW w:type="dxa" w:w="1704"/>
          </w:tcPr>
          <w:p>
            <w:pPr>
              <w:spacing w:after="0"/>
            </w:pPr>
            <w:r>
              <w:rPr>
                <w:rFonts w:ascii="Arial" w:hAnsi="Arial"/>
                <w:b w:val="0"/>
                <w:sz w:val="12"/>
              </w:rPr>
              <w:t>Agents can acquire or use tools without visible authority boundaries</w:t>
            </w:r>
          </w:p>
        </w:tc>
        <w:tc>
          <w:tcPr>
            <w:tcW w:type="dxa" w:w="1704"/>
          </w:tcPr>
          <w:p>
            <w:pPr>
              <w:spacing w:after="0"/>
            </w:pPr>
            <w:r>
              <w:rPr>
                <w:rFonts w:ascii="Arial" w:hAnsi="Arial"/>
                <w:b w:val="0"/>
                <w:sz w:val="12"/>
              </w:rPr>
              <w:t>Require authority drift review before deployment</w:t>
            </w:r>
          </w:p>
        </w:tc>
      </w:tr>
      <w:tr>
        <w:tc>
          <w:tcPr>
            <w:tcW w:type="dxa" w:w="1704"/>
          </w:tcPr>
          <w:p>
            <w:pPr>
              <w:spacing w:after="0"/>
            </w:pPr>
            <w:r>
              <w:rPr>
                <w:rFonts w:ascii="Arial" w:hAnsi="Arial"/>
                <w:b w:val="0"/>
                <w:sz w:val="12"/>
              </w:rPr>
              <w:t>Tool action liability</w:t>
            </w:r>
          </w:p>
        </w:tc>
        <w:tc>
          <w:tcPr>
            <w:tcW w:type="dxa" w:w="1704"/>
          </w:tcPr>
          <w:p>
            <w:pPr>
              <w:spacing w:after="0"/>
            </w:pPr>
            <w:r>
              <w:rPr>
                <w:rFonts w:ascii="Arial" w:hAnsi="Arial"/>
                <w:b w:val="0"/>
                <w:sz w:val="12"/>
              </w:rPr>
              <w:t>How are tool calls, side effects, and responsibility transfers recorded?</w:t>
            </w:r>
          </w:p>
        </w:tc>
        <w:tc>
          <w:tcPr>
            <w:tcW w:type="dxa" w:w="1704"/>
          </w:tcPr>
          <w:p>
            <w:pPr>
              <w:spacing w:after="0"/>
            </w:pPr>
            <w:r>
              <w:rPr>
                <w:rFonts w:ascii="Arial" w:hAnsi="Arial"/>
                <w:b w:val="0"/>
                <w:sz w:val="12"/>
              </w:rPr>
              <w:t>ALCS-05, ALCS-06</w:t>
            </w:r>
          </w:p>
        </w:tc>
        <w:tc>
          <w:tcPr>
            <w:tcW w:type="dxa" w:w="1704"/>
          </w:tcPr>
          <w:p>
            <w:pPr>
              <w:spacing w:after="0"/>
            </w:pPr>
            <w:r>
              <w:rPr>
                <w:rFonts w:ascii="Arial" w:hAnsi="Arial"/>
                <w:b w:val="0"/>
                <w:sz w:val="12"/>
              </w:rPr>
              <w:t>Tool registry, action log schema, handoff record</w:t>
            </w:r>
          </w:p>
        </w:tc>
        <w:tc>
          <w:tcPr>
            <w:tcW w:type="dxa" w:w="1704"/>
          </w:tcPr>
          <w:p>
            <w:pPr>
              <w:spacing w:after="0"/>
            </w:pPr>
            <w:r>
              <w:rPr>
                <w:rFonts w:ascii="Arial" w:hAnsi="Arial"/>
                <w:b w:val="0"/>
                <w:sz w:val="12"/>
              </w:rPr>
              <w:t>Tool execution is visible but responsibility assignment is not</w:t>
            </w:r>
          </w:p>
        </w:tc>
        <w:tc>
          <w:tcPr>
            <w:tcW w:type="dxa" w:w="1704"/>
          </w:tcPr>
          <w:p>
            <w:pPr>
              <w:spacing w:after="0"/>
            </w:pPr>
            <w:r>
              <w:rPr>
                <w:rFonts w:ascii="Arial" w:hAnsi="Arial"/>
                <w:b w:val="0"/>
                <w:sz w:val="12"/>
              </w:rPr>
              <w:t>Require traceability from tool action to accountable review owner</w:t>
            </w:r>
          </w:p>
        </w:tc>
      </w:tr>
      <w:tr>
        <w:tc>
          <w:tcPr>
            <w:tcW w:type="dxa" w:w="1704"/>
          </w:tcPr>
          <w:p>
            <w:pPr>
              <w:spacing w:after="0"/>
            </w:pPr>
            <w:r>
              <w:rPr>
                <w:rFonts w:ascii="Arial" w:hAnsi="Arial"/>
                <w:b w:val="0"/>
                <w:sz w:val="12"/>
              </w:rPr>
              <w:t>Contestability and remediation</w:t>
            </w:r>
          </w:p>
        </w:tc>
        <w:tc>
          <w:tcPr>
            <w:tcW w:type="dxa" w:w="1704"/>
          </w:tcPr>
          <w:p>
            <w:pPr>
              <w:spacing w:after="0"/>
            </w:pPr>
            <w:r>
              <w:rPr>
                <w:rFonts w:ascii="Arial" w:hAnsi="Arial"/>
                <w:b w:val="0"/>
                <w:sz w:val="12"/>
              </w:rPr>
              <w:t>How can contested outputs, incidents, and remediation actions be recorded and closed?</w:t>
            </w:r>
          </w:p>
        </w:tc>
        <w:tc>
          <w:tcPr>
            <w:tcW w:type="dxa" w:w="1704"/>
          </w:tcPr>
          <w:p>
            <w:pPr>
              <w:spacing w:after="0"/>
            </w:pPr>
            <w:r>
              <w:rPr>
                <w:rFonts w:ascii="Arial" w:hAnsi="Arial"/>
                <w:b w:val="0"/>
                <w:sz w:val="12"/>
              </w:rPr>
              <w:t>RCCS-09, MRO-16</w:t>
            </w:r>
          </w:p>
        </w:tc>
        <w:tc>
          <w:tcPr>
            <w:tcW w:type="dxa" w:w="1704"/>
          </w:tcPr>
          <w:p>
            <w:pPr>
              <w:spacing w:after="0"/>
            </w:pPr>
            <w:r>
              <w:rPr>
                <w:rFonts w:ascii="Arial" w:hAnsi="Arial"/>
                <w:b w:val="0"/>
                <w:sz w:val="12"/>
              </w:rPr>
              <w:t>Dispute workflow, incident record, remediation closure template</w:t>
            </w:r>
          </w:p>
        </w:tc>
        <w:tc>
          <w:tcPr>
            <w:tcW w:type="dxa" w:w="1704"/>
          </w:tcPr>
          <w:p>
            <w:pPr>
              <w:spacing w:after="0"/>
            </w:pPr>
            <w:r>
              <w:rPr>
                <w:rFonts w:ascii="Arial" w:hAnsi="Arial"/>
                <w:b w:val="0"/>
                <w:sz w:val="12"/>
              </w:rPr>
              <w:t>No clear path for dispute intake or closure evidence</w:t>
            </w:r>
          </w:p>
        </w:tc>
        <w:tc>
          <w:tcPr>
            <w:tcW w:type="dxa" w:w="1704"/>
          </w:tcPr>
          <w:p>
            <w:pPr>
              <w:spacing w:after="0"/>
            </w:pPr>
            <w:r>
              <w:rPr>
                <w:rFonts w:ascii="Arial" w:hAnsi="Arial"/>
                <w:b w:val="0"/>
                <w:sz w:val="12"/>
              </w:rPr>
              <w:t>Align with enterprise incident and dispute processes</w:t>
            </w:r>
          </w:p>
        </w:tc>
      </w:tr>
      <w:tr>
        <w:tc>
          <w:tcPr>
            <w:tcW w:type="dxa" w:w="1704"/>
          </w:tcPr>
          <w:p>
            <w:pPr>
              <w:spacing w:after="0"/>
            </w:pPr>
            <w:r>
              <w:rPr>
                <w:rFonts w:ascii="Arial" w:hAnsi="Arial"/>
                <w:b w:val="0"/>
                <w:sz w:val="12"/>
              </w:rPr>
              <w:t>Vendor/model/runtime substitution</w:t>
            </w:r>
          </w:p>
        </w:tc>
        <w:tc>
          <w:tcPr>
            <w:tcW w:type="dxa" w:w="1704"/>
          </w:tcPr>
          <w:p>
            <w:pPr>
              <w:spacing w:after="0"/>
            </w:pPr>
            <w:r>
              <w:rPr>
                <w:rFonts w:ascii="Arial" w:hAnsi="Arial"/>
                <w:b w:val="0"/>
                <w:sz w:val="12"/>
              </w:rPr>
              <w:t>How are model, tool, vendor, and runtime changes evaluated before reuse or substitution?</w:t>
            </w:r>
          </w:p>
        </w:tc>
        <w:tc>
          <w:tcPr>
            <w:tcW w:type="dxa" w:w="1704"/>
          </w:tcPr>
          <w:p>
            <w:pPr>
              <w:spacing w:after="0"/>
            </w:pPr>
            <w:r>
              <w:rPr>
                <w:rFonts w:ascii="Arial" w:hAnsi="Arial"/>
                <w:b w:val="0"/>
                <w:sz w:val="12"/>
              </w:rPr>
              <w:t>ALCS-09, ALCS-15</w:t>
            </w:r>
          </w:p>
        </w:tc>
        <w:tc>
          <w:tcPr>
            <w:tcW w:type="dxa" w:w="1704"/>
          </w:tcPr>
          <w:p>
            <w:pPr>
              <w:spacing w:after="0"/>
            </w:pPr>
            <w:r>
              <w:rPr>
                <w:rFonts w:ascii="Arial" w:hAnsi="Arial"/>
                <w:b w:val="0"/>
                <w:sz w:val="12"/>
              </w:rPr>
              <w:t>Change approval record, substitution policy, version manifest</w:t>
            </w:r>
          </w:p>
        </w:tc>
        <w:tc>
          <w:tcPr>
            <w:tcW w:type="dxa" w:w="1704"/>
          </w:tcPr>
          <w:p>
            <w:pPr>
              <w:spacing w:after="0"/>
            </w:pPr>
            <w:r>
              <w:rPr>
                <w:rFonts w:ascii="Arial" w:hAnsi="Arial"/>
                <w:b w:val="0"/>
                <w:sz w:val="12"/>
              </w:rPr>
              <w:t>Substitution can occur without lifecycle impact review</w:t>
            </w:r>
          </w:p>
        </w:tc>
        <w:tc>
          <w:tcPr>
            <w:tcW w:type="dxa" w:w="1704"/>
          </w:tcPr>
          <w:p>
            <w:pPr>
              <w:spacing w:after="0"/>
            </w:pPr>
            <w:r>
              <w:rPr>
                <w:rFonts w:ascii="Arial" w:hAnsi="Arial"/>
                <w:b w:val="0"/>
                <w:sz w:val="12"/>
              </w:rPr>
              <w:t>Require substitution conformance evidence</w:t>
            </w:r>
          </w:p>
        </w:tc>
      </w:tr>
    </w:tbl>
    <w:p>
      <w:pPr>
        <w:pStyle w:val="Heading2"/>
      </w:pPr>
      <w:r>
        <w:t>H.3 Lifecycle Governance Procurement Checklist</w:t>
      </w:r>
    </w:p>
    <w:p>
      <w:pPr>
        <w:spacing w:after="56"/>
      </w:pPr>
      <w:r>
        <w:t>The following checklist organizes lifecycle governance diligence. Buyers may adapt the checklist for internal approval gates, but should preserve the distinction between evidence request, evidence review, and final enterprise decision.</w:t>
      </w:r>
    </w:p>
    <w:p>
      <w:pPr>
        <w:spacing w:after="56"/>
      </w:pPr>
      <w:r>
        <w:t>Checklist areas:</w:t>
      </w:r>
    </w:p>
    <w:p>
      <w:pPr>
        <w:pStyle w:val="ListNumber"/>
        <w:spacing w:after="56"/>
      </w:pPr>
      <w:r>
        <w:t>Lifecycle scope and system boundary</w:t>
      </w:r>
    </w:p>
    <w:p>
      <w:pPr>
        <w:pStyle w:val="ListNumber"/>
        <w:spacing w:after="56"/>
      </w:pPr>
      <w:r>
        <w:t>Human role and responsibility mapping</w:t>
      </w:r>
    </w:p>
    <w:p>
      <w:pPr>
        <w:pStyle w:val="ListNumber"/>
        <w:spacing w:after="56"/>
      </w:pPr>
      <w:r>
        <w:t>Delegated authority and tool boundary</w:t>
      </w:r>
    </w:p>
    <w:p>
      <w:pPr>
        <w:pStyle w:val="ListNumber"/>
        <w:spacing w:after="56"/>
      </w:pPr>
      <w:r>
        <w:t>Evidence creation, retention, minimization, and export</w:t>
      </w:r>
    </w:p>
    <w:p>
      <w:pPr>
        <w:pStyle w:val="ListNumber"/>
        <w:spacing w:after="56"/>
      </w:pPr>
      <w:r>
        <w:t>Privacy and data subject rights handling</w:t>
      </w:r>
    </w:p>
    <w:p>
      <w:pPr>
        <w:pStyle w:val="ListNumber"/>
        <w:spacing w:after="56"/>
      </w:pPr>
      <w:r>
        <w:t>Monitoring, incident, dispute, and remediation closure</w:t>
      </w:r>
    </w:p>
    <w:p>
      <w:pPr>
        <w:pStyle w:val="ListNumber"/>
        <w:spacing w:after="56"/>
      </w:pPr>
      <w:r>
        <w:t>Vendor, model, tool, and runtime substitution control</w:t>
      </w:r>
    </w:p>
    <w:p>
      <w:pPr>
        <w:pStyle w:val="ListNumber"/>
        <w:spacing w:after="56"/>
      </w:pPr>
      <w:r>
        <w:t>Evidence level and source quality review</w:t>
      </w:r>
    </w:p>
    <w:p>
      <w:pPr>
        <w:spacing w:after="56"/>
      </w:pPr>
      <w:r>
        <w:t>The checklist should be completed by a cross-functional review group. Procurement alone should not decide lifecycle governance sufficiency.</w:t>
      </w:r>
    </w:p>
    <w:p>
      <w:pPr>
        <w:pStyle w:val="Heading2"/>
      </w:pPr>
      <w:r>
        <w:t>H.4 Evidence Request Template</w:t>
      </w:r>
    </w:p>
    <w:p>
      <w:pPr>
        <w:keepNext/>
      </w:pPr>
      <w:r>
        <w:rPr>
          <w:b/>
          <w:sz w:val="16"/>
        </w:rPr>
        <w:t>Table T-H-02: Vendor Evidence Request Template</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Evidence Area</w:t>
            </w:r>
          </w:p>
        </w:tc>
        <w:tc>
          <w:tcPr>
            <w:tcW w:type="dxa" w:w="2045"/>
          </w:tcPr>
          <w:p>
            <w:pPr>
              <w:spacing w:after="0"/>
            </w:pPr>
            <w:r>
              <w:rPr>
                <w:rFonts w:ascii="Arial" w:hAnsi="Arial"/>
                <w:b/>
                <w:sz w:val="14"/>
              </w:rPr>
              <w:t>Requested Artifact</w:t>
            </w:r>
          </w:p>
        </w:tc>
        <w:tc>
          <w:tcPr>
            <w:tcW w:type="dxa" w:w="2045"/>
          </w:tcPr>
          <w:p>
            <w:pPr>
              <w:spacing w:after="0"/>
            </w:pPr>
            <w:r>
              <w:rPr>
                <w:rFonts w:ascii="Arial" w:hAnsi="Arial"/>
                <w:b/>
                <w:sz w:val="14"/>
              </w:rPr>
              <w:t>Minimum Acceptable Evidence</w:t>
            </w:r>
          </w:p>
        </w:tc>
        <w:tc>
          <w:tcPr>
            <w:tcW w:type="dxa" w:w="2045"/>
          </w:tcPr>
          <w:p>
            <w:pPr>
              <w:spacing w:after="0"/>
            </w:pPr>
            <w:r>
              <w:rPr>
                <w:rFonts w:ascii="Arial" w:hAnsi="Arial"/>
                <w:b/>
                <w:sz w:val="14"/>
              </w:rPr>
              <w:t>Preferred Evidence</w:t>
            </w:r>
          </w:p>
        </w:tc>
        <w:tc>
          <w:tcPr>
            <w:tcW w:type="dxa" w:w="2045"/>
          </w:tcPr>
          <w:p>
            <w:pPr>
              <w:spacing w:after="0"/>
            </w:pPr>
            <w:r>
              <w:rPr>
                <w:rFonts w:ascii="Arial" w:hAnsi="Arial"/>
                <w:b/>
                <w:sz w:val="14"/>
              </w:rPr>
              <w:t>Publication / Enterprise Review Note</w:t>
            </w:r>
          </w:p>
        </w:tc>
      </w:tr>
      <w:tr>
        <w:tc>
          <w:tcPr>
            <w:tcW w:type="dxa" w:w="2045"/>
          </w:tcPr>
          <w:p>
            <w:pPr>
              <w:spacing w:after="0"/>
            </w:pPr>
            <w:r>
              <w:rPr>
                <w:rFonts w:ascii="Arial" w:hAnsi="Arial"/>
                <w:b w:val="0"/>
                <w:sz w:val="14"/>
              </w:rPr>
              <w:t>System boundary</w:t>
            </w:r>
          </w:p>
        </w:tc>
        <w:tc>
          <w:tcPr>
            <w:tcW w:type="dxa" w:w="2045"/>
          </w:tcPr>
          <w:p>
            <w:pPr>
              <w:spacing w:after="0"/>
            </w:pPr>
            <w:r>
              <w:rPr>
                <w:rFonts w:ascii="Arial" w:hAnsi="Arial"/>
                <w:b w:val="0"/>
                <w:sz w:val="14"/>
              </w:rPr>
              <w:t>Product scope statement and deployment architecture</w:t>
            </w:r>
          </w:p>
        </w:tc>
        <w:tc>
          <w:tcPr>
            <w:tcW w:type="dxa" w:w="2045"/>
          </w:tcPr>
          <w:p>
            <w:pPr>
              <w:spacing w:after="0"/>
            </w:pPr>
            <w:r>
              <w:rPr>
                <w:rFonts w:ascii="Arial" w:hAnsi="Arial"/>
                <w:b w:val="0"/>
                <w:sz w:val="14"/>
              </w:rPr>
              <w:t>Official documentation or implementation description</w:t>
            </w:r>
          </w:p>
        </w:tc>
        <w:tc>
          <w:tcPr>
            <w:tcW w:type="dxa" w:w="2045"/>
          </w:tcPr>
          <w:p>
            <w:pPr>
              <w:spacing w:after="0"/>
            </w:pPr>
            <w:r>
              <w:rPr>
                <w:rFonts w:ascii="Arial" w:hAnsi="Arial"/>
                <w:b w:val="0"/>
                <w:sz w:val="14"/>
              </w:rPr>
              <w:t>Versioned architecture record tied to deployed configuration</w:t>
            </w:r>
          </w:p>
        </w:tc>
        <w:tc>
          <w:tcPr>
            <w:tcW w:type="dxa" w:w="2045"/>
          </w:tcPr>
          <w:p>
            <w:pPr>
              <w:spacing w:after="0"/>
            </w:pPr>
            <w:r>
              <w:rPr>
                <w:rFonts w:ascii="Arial" w:hAnsi="Arial"/>
                <w:b w:val="0"/>
                <w:sz w:val="14"/>
              </w:rPr>
              <w:t>Review documentation currency before publication or adoption</w:t>
            </w:r>
          </w:p>
        </w:tc>
      </w:tr>
      <w:tr>
        <w:tc>
          <w:tcPr>
            <w:tcW w:type="dxa" w:w="2045"/>
          </w:tcPr>
          <w:p>
            <w:pPr>
              <w:spacing w:after="0"/>
            </w:pPr>
            <w:r>
              <w:rPr>
                <w:rFonts w:ascii="Arial" w:hAnsi="Arial"/>
                <w:b w:val="0"/>
                <w:sz w:val="14"/>
              </w:rPr>
              <w:t>Human responsibility</w:t>
            </w:r>
          </w:p>
        </w:tc>
        <w:tc>
          <w:tcPr>
            <w:tcW w:type="dxa" w:w="2045"/>
          </w:tcPr>
          <w:p>
            <w:pPr>
              <w:spacing w:after="0"/>
            </w:pPr>
            <w:r>
              <w:rPr>
                <w:rFonts w:ascii="Arial" w:hAnsi="Arial"/>
                <w:b w:val="0"/>
                <w:sz w:val="14"/>
              </w:rPr>
              <w:t>Role-to-responsibility mapping</w:t>
            </w:r>
          </w:p>
        </w:tc>
        <w:tc>
          <w:tcPr>
            <w:tcW w:type="dxa" w:w="2045"/>
          </w:tcPr>
          <w:p>
            <w:pPr>
              <w:spacing w:after="0"/>
            </w:pPr>
            <w:r>
              <w:rPr>
                <w:rFonts w:ascii="Arial" w:hAnsi="Arial"/>
                <w:b w:val="0"/>
                <w:sz w:val="14"/>
              </w:rPr>
              <w:t>Documented workflow or responsibility matrix</w:t>
            </w:r>
          </w:p>
        </w:tc>
        <w:tc>
          <w:tcPr>
            <w:tcW w:type="dxa" w:w="2045"/>
          </w:tcPr>
          <w:p>
            <w:pPr>
              <w:spacing w:after="0"/>
            </w:pPr>
            <w:r>
              <w:rPr>
                <w:rFonts w:ascii="Arial" w:hAnsi="Arial"/>
                <w:b w:val="0"/>
                <w:sz w:val="14"/>
              </w:rPr>
              <w:t>Evidence of review workflow execution and exception handling</w:t>
            </w:r>
          </w:p>
        </w:tc>
        <w:tc>
          <w:tcPr>
            <w:tcW w:type="dxa" w:w="2045"/>
          </w:tcPr>
          <w:p>
            <w:pPr>
              <w:spacing w:after="0"/>
            </w:pPr>
            <w:r>
              <w:rPr>
                <w:rFonts w:ascii="Arial" w:hAnsi="Arial"/>
                <w:b w:val="0"/>
                <w:sz w:val="14"/>
              </w:rPr>
              <w:t>Confirm mapping against active enterprise roles</w:t>
            </w:r>
          </w:p>
        </w:tc>
      </w:tr>
      <w:tr>
        <w:tc>
          <w:tcPr>
            <w:tcW w:type="dxa" w:w="2045"/>
          </w:tcPr>
          <w:p>
            <w:pPr>
              <w:spacing w:after="0"/>
            </w:pPr>
            <w:r>
              <w:rPr>
                <w:rFonts w:ascii="Arial" w:hAnsi="Arial"/>
                <w:b w:val="0"/>
                <w:sz w:val="14"/>
              </w:rPr>
              <w:t>Delegated authority</w:t>
            </w:r>
          </w:p>
        </w:tc>
        <w:tc>
          <w:tcPr>
            <w:tcW w:type="dxa" w:w="2045"/>
          </w:tcPr>
          <w:p>
            <w:pPr>
              <w:spacing w:after="0"/>
            </w:pPr>
            <w:r>
              <w:rPr>
                <w:rFonts w:ascii="Arial" w:hAnsi="Arial"/>
                <w:b w:val="0"/>
                <w:sz w:val="14"/>
              </w:rPr>
              <w:t>Authority policy and enforcement description</w:t>
            </w:r>
          </w:p>
        </w:tc>
        <w:tc>
          <w:tcPr>
            <w:tcW w:type="dxa" w:w="2045"/>
          </w:tcPr>
          <w:p>
            <w:pPr>
              <w:spacing w:after="0"/>
            </w:pPr>
            <w:r>
              <w:rPr>
                <w:rFonts w:ascii="Arial" w:hAnsi="Arial"/>
                <w:b w:val="0"/>
                <w:sz w:val="14"/>
              </w:rPr>
              <w:t>Product documentation or implementation policy</w:t>
            </w:r>
          </w:p>
        </w:tc>
        <w:tc>
          <w:tcPr>
            <w:tcW w:type="dxa" w:w="2045"/>
          </w:tcPr>
          <w:p>
            <w:pPr>
              <w:spacing w:after="0"/>
            </w:pPr>
            <w:r>
              <w:rPr>
                <w:rFonts w:ascii="Arial" w:hAnsi="Arial"/>
                <w:b w:val="0"/>
                <w:sz w:val="14"/>
              </w:rPr>
              <w:t>Validated operational artifact showing grant, denial, and change handling</w:t>
            </w:r>
          </w:p>
        </w:tc>
        <w:tc>
          <w:tcPr>
            <w:tcW w:type="dxa" w:w="2045"/>
          </w:tcPr>
          <w:p>
            <w:pPr>
              <w:spacing w:after="0"/>
            </w:pPr>
            <w:r>
              <w:rPr>
                <w:rFonts w:ascii="Arial" w:hAnsi="Arial"/>
                <w:b w:val="0"/>
                <w:sz w:val="14"/>
              </w:rPr>
              <w:t>Verify whether enforcement is built-in or implementer-defined</w:t>
            </w:r>
          </w:p>
        </w:tc>
      </w:tr>
      <w:tr>
        <w:tc>
          <w:tcPr>
            <w:tcW w:type="dxa" w:w="2045"/>
          </w:tcPr>
          <w:p>
            <w:pPr>
              <w:spacing w:after="0"/>
            </w:pPr>
            <w:r>
              <w:rPr>
                <w:rFonts w:ascii="Arial" w:hAnsi="Arial"/>
                <w:b w:val="0"/>
                <w:sz w:val="14"/>
              </w:rPr>
              <w:t>Tool actions</w:t>
            </w:r>
          </w:p>
        </w:tc>
        <w:tc>
          <w:tcPr>
            <w:tcW w:type="dxa" w:w="2045"/>
          </w:tcPr>
          <w:p>
            <w:pPr>
              <w:spacing w:after="0"/>
            </w:pPr>
            <w:r>
              <w:rPr>
                <w:rFonts w:ascii="Arial" w:hAnsi="Arial"/>
                <w:b w:val="0"/>
                <w:sz w:val="14"/>
              </w:rPr>
              <w:t>Tool registry and action record schema</w:t>
            </w:r>
          </w:p>
        </w:tc>
        <w:tc>
          <w:tcPr>
            <w:tcW w:type="dxa" w:w="2045"/>
          </w:tcPr>
          <w:p>
            <w:pPr>
              <w:spacing w:after="0"/>
            </w:pPr>
            <w:r>
              <w:rPr>
                <w:rFonts w:ascii="Arial" w:hAnsi="Arial"/>
                <w:b w:val="0"/>
                <w:sz w:val="14"/>
              </w:rPr>
              <w:t>Tool list and logging description</w:t>
            </w:r>
          </w:p>
        </w:tc>
        <w:tc>
          <w:tcPr>
            <w:tcW w:type="dxa" w:w="2045"/>
          </w:tcPr>
          <w:p>
            <w:pPr>
              <w:spacing w:after="0"/>
            </w:pPr>
            <w:r>
              <w:rPr>
                <w:rFonts w:ascii="Arial" w:hAnsi="Arial"/>
                <w:b w:val="0"/>
                <w:sz w:val="14"/>
              </w:rPr>
              <w:t>Exportable action records with accountability linkage</w:t>
            </w:r>
          </w:p>
        </w:tc>
        <w:tc>
          <w:tcPr>
            <w:tcW w:type="dxa" w:w="2045"/>
          </w:tcPr>
          <w:p>
            <w:pPr>
              <w:spacing w:after="0"/>
            </w:pPr>
            <w:r>
              <w:rPr>
                <w:rFonts w:ascii="Arial" w:hAnsi="Arial"/>
                <w:b w:val="0"/>
                <w:sz w:val="14"/>
              </w:rPr>
              <w:t>Validate record completeness before publication or adoption</w:t>
            </w:r>
          </w:p>
        </w:tc>
      </w:tr>
      <w:tr>
        <w:tc>
          <w:tcPr>
            <w:tcW w:type="dxa" w:w="2045"/>
          </w:tcPr>
          <w:p>
            <w:pPr>
              <w:spacing w:after="0"/>
            </w:pPr>
            <w:r>
              <w:rPr>
                <w:rFonts w:ascii="Arial" w:hAnsi="Arial"/>
                <w:b w:val="0"/>
                <w:sz w:val="14"/>
              </w:rPr>
              <w:t>Evidence handling</w:t>
            </w:r>
          </w:p>
        </w:tc>
        <w:tc>
          <w:tcPr>
            <w:tcW w:type="dxa" w:w="2045"/>
          </w:tcPr>
          <w:p>
            <w:pPr>
              <w:spacing w:after="0"/>
            </w:pPr>
            <w:r>
              <w:rPr>
                <w:rFonts w:ascii="Arial" w:hAnsi="Arial"/>
                <w:b w:val="0"/>
                <w:sz w:val="14"/>
              </w:rPr>
              <w:t>Evidence pack, log export, or audit record sample</w:t>
            </w:r>
          </w:p>
        </w:tc>
        <w:tc>
          <w:tcPr>
            <w:tcW w:type="dxa" w:w="2045"/>
          </w:tcPr>
          <w:p>
            <w:pPr>
              <w:spacing w:after="0"/>
            </w:pPr>
            <w:r>
              <w:rPr>
                <w:rFonts w:ascii="Arial" w:hAnsi="Arial"/>
                <w:b w:val="0"/>
                <w:sz w:val="14"/>
              </w:rPr>
              <w:t>Sample artifact with field definitions</w:t>
            </w:r>
          </w:p>
        </w:tc>
        <w:tc>
          <w:tcPr>
            <w:tcW w:type="dxa" w:w="2045"/>
          </w:tcPr>
          <w:p>
            <w:pPr>
              <w:spacing w:after="0"/>
            </w:pPr>
            <w:r>
              <w:rPr>
                <w:rFonts w:ascii="Arial" w:hAnsi="Arial"/>
                <w:b w:val="0"/>
                <w:sz w:val="14"/>
              </w:rPr>
              <w:t>Hashable or reviewable evidence artifact with minimization controls</w:t>
            </w:r>
          </w:p>
        </w:tc>
        <w:tc>
          <w:tcPr>
            <w:tcW w:type="dxa" w:w="2045"/>
          </w:tcPr>
          <w:p>
            <w:pPr>
              <w:spacing w:after="0"/>
            </w:pPr>
            <w:r>
              <w:rPr>
                <w:rFonts w:ascii="Arial" w:hAnsi="Arial"/>
                <w:b w:val="0"/>
                <w:sz w:val="14"/>
              </w:rPr>
              <w:t>Confirm no sensitive evidence over-disclosure</w:t>
            </w:r>
          </w:p>
        </w:tc>
      </w:tr>
      <w:tr>
        <w:tc>
          <w:tcPr>
            <w:tcW w:type="dxa" w:w="2045"/>
          </w:tcPr>
          <w:p>
            <w:pPr>
              <w:spacing w:after="0"/>
            </w:pPr>
            <w:r>
              <w:rPr>
                <w:rFonts w:ascii="Arial" w:hAnsi="Arial"/>
                <w:b w:val="0"/>
                <w:sz w:val="14"/>
              </w:rPr>
              <w:t>Privacy lifecycle</w:t>
            </w:r>
          </w:p>
        </w:tc>
        <w:tc>
          <w:tcPr>
            <w:tcW w:type="dxa" w:w="2045"/>
          </w:tcPr>
          <w:p>
            <w:pPr>
              <w:spacing w:after="0"/>
            </w:pPr>
            <w:r>
              <w:rPr>
                <w:rFonts w:ascii="Arial" w:hAnsi="Arial"/>
                <w:b w:val="0"/>
                <w:sz w:val="14"/>
              </w:rPr>
              <w:t>Data flow, retention, and deletion policy</w:t>
            </w:r>
          </w:p>
        </w:tc>
        <w:tc>
          <w:tcPr>
            <w:tcW w:type="dxa" w:w="2045"/>
          </w:tcPr>
          <w:p>
            <w:pPr>
              <w:spacing w:after="0"/>
            </w:pPr>
            <w:r>
              <w:rPr>
                <w:rFonts w:ascii="Arial" w:hAnsi="Arial"/>
                <w:b w:val="0"/>
                <w:sz w:val="14"/>
              </w:rPr>
              <w:t>Privacy documentation and retention statement</w:t>
            </w:r>
          </w:p>
        </w:tc>
        <w:tc>
          <w:tcPr>
            <w:tcW w:type="dxa" w:w="2045"/>
          </w:tcPr>
          <w:p>
            <w:pPr>
              <w:spacing w:after="0"/>
            </w:pPr>
            <w:r>
              <w:rPr>
                <w:rFonts w:ascii="Arial" w:hAnsi="Arial"/>
                <w:b w:val="0"/>
                <w:sz w:val="14"/>
              </w:rPr>
              <w:t>Mapped workflow for retention conflict and data subject request handling</w:t>
            </w:r>
          </w:p>
        </w:tc>
        <w:tc>
          <w:tcPr>
            <w:tcW w:type="dxa" w:w="2045"/>
          </w:tcPr>
          <w:p>
            <w:pPr>
              <w:spacing w:after="0"/>
            </w:pPr>
            <w:r>
              <w:rPr>
                <w:rFonts w:ascii="Arial" w:hAnsi="Arial"/>
                <w:b w:val="0"/>
                <w:sz w:val="14"/>
              </w:rPr>
              <w:t>Review against current privacy requirements before publication or adoption</w:t>
            </w:r>
          </w:p>
        </w:tc>
      </w:tr>
      <w:tr>
        <w:tc>
          <w:tcPr>
            <w:tcW w:type="dxa" w:w="2045"/>
          </w:tcPr>
          <w:p>
            <w:pPr>
              <w:spacing w:after="0"/>
            </w:pPr>
            <w:r>
              <w:rPr>
                <w:rFonts w:ascii="Arial" w:hAnsi="Arial"/>
                <w:b w:val="0"/>
                <w:sz w:val="14"/>
              </w:rPr>
              <w:t>Monitoring</w:t>
            </w:r>
          </w:p>
        </w:tc>
        <w:tc>
          <w:tcPr>
            <w:tcW w:type="dxa" w:w="2045"/>
          </w:tcPr>
          <w:p>
            <w:pPr>
              <w:spacing w:after="0"/>
            </w:pPr>
            <w:r>
              <w:rPr>
                <w:rFonts w:ascii="Arial" w:hAnsi="Arial"/>
                <w:b w:val="0"/>
                <w:sz w:val="14"/>
              </w:rPr>
              <w:t>Monitoring dashboard or alert workflow</w:t>
            </w:r>
          </w:p>
        </w:tc>
        <w:tc>
          <w:tcPr>
            <w:tcW w:type="dxa" w:w="2045"/>
          </w:tcPr>
          <w:p>
            <w:pPr>
              <w:spacing w:after="0"/>
            </w:pPr>
            <w:r>
              <w:rPr>
                <w:rFonts w:ascii="Arial" w:hAnsi="Arial"/>
                <w:b w:val="0"/>
                <w:sz w:val="14"/>
              </w:rPr>
              <w:t>Monitoring documentation</w:t>
            </w:r>
          </w:p>
        </w:tc>
        <w:tc>
          <w:tcPr>
            <w:tcW w:type="dxa" w:w="2045"/>
          </w:tcPr>
          <w:p>
            <w:pPr>
              <w:spacing w:after="0"/>
            </w:pPr>
            <w:r>
              <w:rPr>
                <w:rFonts w:ascii="Arial" w:hAnsi="Arial"/>
                <w:b w:val="0"/>
                <w:sz w:val="14"/>
              </w:rPr>
              <w:t>Operational monitoring artifact tied to lifecycle risk events</w:t>
            </w:r>
          </w:p>
        </w:tc>
        <w:tc>
          <w:tcPr>
            <w:tcW w:type="dxa" w:w="2045"/>
          </w:tcPr>
          <w:p>
            <w:pPr>
              <w:spacing w:after="0"/>
            </w:pPr>
            <w:r>
              <w:rPr>
                <w:rFonts w:ascii="Arial" w:hAnsi="Arial"/>
                <w:b w:val="0"/>
                <w:sz w:val="14"/>
              </w:rPr>
              <w:t>Confirm monitoring covers agent lifecycle, not only model metrics</w:t>
            </w:r>
          </w:p>
        </w:tc>
      </w:tr>
      <w:tr>
        <w:tc>
          <w:tcPr>
            <w:tcW w:type="dxa" w:w="2045"/>
          </w:tcPr>
          <w:p>
            <w:pPr>
              <w:spacing w:after="0"/>
            </w:pPr>
            <w:r>
              <w:rPr>
                <w:rFonts w:ascii="Arial" w:hAnsi="Arial"/>
                <w:b w:val="0"/>
                <w:sz w:val="14"/>
              </w:rPr>
              <w:t>Substitution control</w:t>
            </w:r>
          </w:p>
        </w:tc>
        <w:tc>
          <w:tcPr>
            <w:tcW w:type="dxa" w:w="2045"/>
          </w:tcPr>
          <w:p>
            <w:pPr>
              <w:spacing w:after="0"/>
            </w:pPr>
            <w:r>
              <w:rPr>
                <w:rFonts w:ascii="Arial" w:hAnsi="Arial"/>
                <w:b w:val="0"/>
                <w:sz w:val="14"/>
              </w:rPr>
              <w:t>Versioning and change approval record</w:t>
            </w:r>
          </w:p>
        </w:tc>
        <w:tc>
          <w:tcPr>
            <w:tcW w:type="dxa" w:w="2045"/>
          </w:tcPr>
          <w:p>
            <w:pPr>
              <w:spacing w:after="0"/>
            </w:pPr>
            <w:r>
              <w:rPr>
                <w:rFonts w:ascii="Arial" w:hAnsi="Arial"/>
                <w:b w:val="0"/>
                <w:sz w:val="14"/>
              </w:rPr>
              <w:t>Change management description</w:t>
            </w:r>
          </w:p>
        </w:tc>
        <w:tc>
          <w:tcPr>
            <w:tcW w:type="dxa" w:w="2045"/>
          </w:tcPr>
          <w:p>
            <w:pPr>
              <w:spacing w:after="0"/>
            </w:pPr>
            <w:r>
              <w:rPr>
                <w:rFonts w:ascii="Arial" w:hAnsi="Arial"/>
                <w:b w:val="0"/>
                <w:sz w:val="14"/>
              </w:rPr>
              <w:t>Substitution review artifact covering vendor, model, runtime, and tool changes</w:t>
            </w:r>
          </w:p>
        </w:tc>
        <w:tc>
          <w:tcPr>
            <w:tcW w:type="dxa" w:w="2045"/>
          </w:tcPr>
          <w:p>
            <w:pPr>
              <w:spacing w:after="0"/>
            </w:pPr>
            <w:r>
              <w:rPr>
                <w:rFonts w:ascii="Arial" w:hAnsi="Arial"/>
                <w:b w:val="0"/>
                <w:sz w:val="14"/>
              </w:rPr>
              <w:t>Review version history and current product state</w:t>
            </w:r>
          </w:p>
        </w:tc>
      </w:tr>
    </w:tbl>
    <w:p>
      <w:pPr>
        <w:pStyle w:val="Heading2"/>
      </w:pPr>
      <w:r>
        <w:t>H.5 Red Flag and Negative Control Checklist</w:t>
      </w:r>
    </w:p>
    <w:p>
      <w:pPr>
        <w:keepNext/>
      </w:pPr>
      <w:r>
        <w:rPr>
          <w:b/>
          <w:sz w:val="16"/>
        </w:rPr>
        <w:t>Table T-H-03: Procurement Red Flag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Red Flag</w:t>
            </w:r>
          </w:p>
        </w:tc>
        <w:tc>
          <w:tcPr>
            <w:tcW w:type="dxa" w:w="2045"/>
          </w:tcPr>
          <w:p>
            <w:pPr>
              <w:spacing w:after="0"/>
            </w:pPr>
            <w:r>
              <w:rPr>
                <w:rFonts w:ascii="Arial" w:hAnsi="Arial"/>
                <w:b/>
                <w:sz w:val="14"/>
              </w:rPr>
              <w:t>Why It Matters</w:t>
            </w:r>
          </w:p>
        </w:tc>
        <w:tc>
          <w:tcPr>
            <w:tcW w:type="dxa" w:w="2045"/>
          </w:tcPr>
          <w:p>
            <w:pPr>
              <w:spacing w:after="0"/>
            </w:pPr>
            <w:r>
              <w:rPr>
                <w:rFonts w:ascii="Arial" w:hAnsi="Arial"/>
                <w:b/>
                <w:sz w:val="14"/>
              </w:rPr>
              <w:t>Related Lifecycle Risk</w:t>
            </w:r>
          </w:p>
        </w:tc>
        <w:tc>
          <w:tcPr>
            <w:tcW w:type="dxa" w:w="2045"/>
          </w:tcPr>
          <w:p>
            <w:pPr>
              <w:spacing w:after="0"/>
            </w:pPr>
            <w:r>
              <w:rPr>
                <w:rFonts w:ascii="Arial" w:hAnsi="Arial"/>
                <w:b/>
                <w:sz w:val="14"/>
              </w:rPr>
              <w:t>Required Clarification</w:t>
            </w:r>
          </w:p>
        </w:tc>
        <w:tc>
          <w:tcPr>
            <w:tcW w:type="dxa" w:w="2045"/>
          </w:tcPr>
          <w:p>
            <w:pPr>
              <w:spacing w:after="0"/>
            </w:pPr>
            <w:r>
              <w:rPr>
                <w:rFonts w:ascii="Arial" w:hAnsi="Arial"/>
                <w:b/>
                <w:sz w:val="14"/>
              </w:rPr>
              <w:t>Boundary</w:t>
            </w:r>
          </w:p>
        </w:tc>
      </w:tr>
      <w:tr>
        <w:tc>
          <w:tcPr>
            <w:tcW w:type="dxa" w:w="2045"/>
          </w:tcPr>
          <w:p>
            <w:pPr>
              <w:spacing w:after="0"/>
            </w:pPr>
            <w:r>
              <w:rPr>
                <w:rFonts w:ascii="Arial" w:hAnsi="Arial"/>
                <w:b w:val="0"/>
                <w:sz w:val="14"/>
              </w:rPr>
              <w:t>Governance evidence covers only model output</w:t>
            </w:r>
          </w:p>
        </w:tc>
        <w:tc>
          <w:tcPr>
            <w:tcW w:type="dxa" w:w="2045"/>
          </w:tcPr>
          <w:p>
            <w:pPr>
              <w:spacing w:after="0"/>
            </w:pPr>
            <w:r>
              <w:rPr>
                <w:rFonts w:ascii="Arial" w:hAnsi="Arial"/>
                <w:b w:val="0"/>
                <w:sz w:val="14"/>
              </w:rPr>
              <w:t>Agentic failures can arise from planning, delegation, tool use, or handoff</w:t>
            </w:r>
          </w:p>
        </w:tc>
        <w:tc>
          <w:tcPr>
            <w:tcW w:type="dxa" w:w="2045"/>
          </w:tcPr>
          <w:p>
            <w:pPr>
              <w:spacing w:after="0"/>
            </w:pPr>
            <w:r>
              <w:rPr>
                <w:rFonts w:ascii="Arial" w:hAnsi="Arial"/>
                <w:b w:val="0"/>
                <w:sz w:val="14"/>
              </w:rPr>
              <w:t>Model-centric review misses lifecycle responsibility gaps</w:t>
            </w:r>
          </w:p>
        </w:tc>
        <w:tc>
          <w:tcPr>
            <w:tcW w:type="dxa" w:w="2045"/>
          </w:tcPr>
          <w:p>
            <w:pPr>
              <w:spacing w:after="0"/>
            </w:pPr>
            <w:r>
              <w:rPr>
                <w:rFonts w:ascii="Arial" w:hAnsi="Arial"/>
                <w:b w:val="0"/>
                <w:sz w:val="14"/>
              </w:rPr>
              <w:t>Clarify whether lifecycle events are governed</w:t>
            </w:r>
          </w:p>
        </w:tc>
        <w:tc>
          <w:tcPr>
            <w:tcW w:type="dxa" w:w="2045"/>
          </w:tcPr>
          <w:p>
            <w:pPr>
              <w:spacing w:after="0"/>
            </w:pPr>
            <w:r>
              <w:rPr>
                <w:rFonts w:ascii="Arial" w:hAnsi="Arial"/>
                <w:b w:val="0"/>
                <w:sz w:val="14"/>
              </w:rPr>
              <w:t>Red flag does not prove non-compliance</w:t>
            </w:r>
          </w:p>
        </w:tc>
      </w:tr>
      <w:tr>
        <w:tc>
          <w:tcPr>
            <w:tcW w:type="dxa" w:w="2045"/>
          </w:tcPr>
          <w:p>
            <w:pPr>
              <w:spacing w:after="0"/>
            </w:pPr>
            <w:r>
              <w:rPr>
                <w:rFonts w:ascii="Arial" w:hAnsi="Arial"/>
                <w:b w:val="0"/>
                <w:sz w:val="14"/>
              </w:rPr>
              <w:t>Human oversight is described without role mapping</w:t>
            </w:r>
          </w:p>
        </w:tc>
        <w:tc>
          <w:tcPr>
            <w:tcW w:type="dxa" w:w="2045"/>
          </w:tcPr>
          <w:p>
            <w:pPr>
              <w:spacing w:after="0"/>
            </w:pPr>
            <w:r>
              <w:rPr>
                <w:rFonts w:ascii="Arial" w:hAnsi="Arial"/>
                <w:b w:val="0"/>
                <w:sz w:val="14"/>
              </w:rPr>
              <w:t>Oversight without responsibility mapping may not support accountability</w:t>
            </w:r>
          </w:p>
        </w:tc>
        <w:tc>
          <w:tcPr>
            <w:tcW w:type="dxa" w:w="2045"/>
          </w:tcPr>
          <w:p>
            <w:pPr>
              <w:spacing w:after="0"/>
            </w:pPr>
            <w:r>
              <w:rPr>
                <w:rFonts w:ascii="Arial" w:hAnsi="Arial"/>
                <w:b w:val="0"/>
                <w:sz w:val="14"/>
              </w:rPr>
              <w:t>Review duty unclear after agent action</w:t>
            </w:r>
          </w:p>
        </w:tc>
        <w:tc>
          <w:tcPr>
            <w:tcW w:type="dxa" w:w="2045"/>
          </w:tcPr>
          <w:p>
            <w:pPr>
              <w:spacing w:after="0"/>
            </w:pPr>
            <w:r>
              <w:rPr>
                <w:rFonts w:ascii="Arial" w:hAnsi="Arial"/>
                <w:b w:val="0"/>
                <w:sz w:val="14"/>
              </w:rPr>
              <w:t>Request role-to-responsibility artifact</w:t>
            </w:r>
          </w:p>
        </w:tc>
        <w:tc>
          <w:tcPr>
            <w:tcW w:type="dxa" w:w="2045"/>
          </w:tcPr>
          <w:p>
            <w:pPr>
              <w:spacing w:after="0"/>
            </w:pPr>
            <w:r>
              <w:rPr>
                <w:rFonts w:ascii="Arial" w:hAnsi="Arial"/>
                <w:b w:val="0"/>
                <w:sz w:val="14"/>
              </w:rPr>
              <w:t>Requires enterprise context review</w:t>
            </w:r>
          </w:p>
        </w:tc>
      </w:tr>
      <w:tr>
        <w:tc>
          <w:tcPr>
            <w:tcW w:type="dxa" w:w="2045"/>
          </w:tcPr>
          <w:p>
            <w:pPr>
              <w:spacing w:after="0"/>
            </w:pPr>
            <w:r>
              <w:rPr>
                <w:rFonts w:ascii="Arial" w:hAnsi="Arial"/>
                <w:b w:val="0"/>
                <w:sz w:val="14"/>
              </w:rPr>
              <w:t>Authority limits are not visible</w:t>
            </w:r>
          </w:p>
        </w:tc>
        <w:tc>
          <w:tcPr>
            <w:tcW w:type="dxa" w:w="2045"/>
          </w:tcPr>
          <w:p>
            <w:pPr>
              <w:spacing w:after="0"/>
            </w:pPr>
            <w:r>
              <w:rPr>
                <w:rFonts w:ascii="Arial" w:hAnsi="Arial"/>
                <w:b w:val="0"/>
                <w:sz w:val="14"/>
              </w:rPr>
              <w:t>Agents may operate beyond intended delegated scope</w:t>
            </w:r>
          </w:p>
        </w:tc>
        <w:tc>
          <w:tcPr>
            <w:tcW w:type="dxa" w:w="2045"/>
          </w:tcPr>
          <w:p>
            <w:pPr>
              <w:spacing w:after="0"/>
            </w:pPr>
            <w:r>
              <w:rPr>
                <w:rFonts w:ascii="Arial" w:hAnsi="Arial"/>
                <w:b w:val="0"/>
                <w:sz w:val="14"/>
              </w:rPr>
              <w:t>Authority drift and unauthorized tool use</w:t>
            </w:r>
          </w:p>
        </w:tc>
        <w:tc>
          <w:tcPr>
            <w:tcW w:type="dxa" w:w="2045"/>
          </w:tcPr>
          <w:p>
            <w:pPr>
              <w:spacing w:after="0"/>
            </w:pPr>
            <w:r>
              <w:rPr>
                <w:rFonts w:ascii="Arial" w:hAnsi="Arial"/>
                <w:b w:val="0"/>
                <w:sz w:val="14"/>
              </w:rPr>
              <w:t>Request authority boundary and enforcement evidence</w:t>
            </w:r>
          </w:p>
        </w:tc>
        <w:tc>
          <w:tcPr>
            <w:tcW w:type="dxa" w:w="2045"/>
          </w:tcPr>
          <w:p>
            <w:pPr>
              <w:spacing w:after="0"/>
            </w:pPr>
            <w:r>
              <w:rPr>
                <w:rFonts w:ascii="Arial" w:hAnsi="Arial"/>
                <w:b w:val="0"/>
                <w:sz w:val="14"/>
              </w:rPr>
              <w:t>Absence in public docs does not prove absence in product</w:t>
            </w:r>
          </w:p>
        </w:tc>
      </w:tr>
      <w:tr>
        <w:tc>
          <w:tcPr>
            <w:tcW w:type="dxa" w:w="2045"/>
          </w:tcPr>
          <w:p>
            <w:pPr>
              <w:spacing w:after="0"/>
            </w:pPr>
            <w:r>
              <w:rPr>
                <w:rFonts w:ascii="Arial" w:hAnsi="Arial"/>
                <w:b w:val="0"/>
                <w:sz w:val="14"/>
              </w:rPr>
              <w:t>Logs are not exportable or interpretable</w:t>
            </w:r>
          </w:p>
        </w:tc>
        <w:tc>
          <w:tcPr>
            <w:tcW w:type="dxa" w:w="2045"/>
          </w:tcPr>
          <w:p>
            <w:pPr>
              <w:spacing w:after="0"/>
            </w:pPr>
            <w:r>
              <w:rPr>
                <w:rFonts w:ascii="Arial" w:hAnsi="Arial"/>
                <w:b w:val="0"/>
                <w:sz w:val="14"/>
              </w:rPr>
              <w:t>Evidence may not support review, audit, or incident reconstruction</w:t>
            </w:r>
          </w:p>
        </w:tc>
        <w:tc>
          <w:tcPr>
            <w:tcW w:type="dxa" w:w="2045"/>
          </w:tcPr>
          <w:p>
            <w:pPr>
              <w:spacing w:after="0"/>
            </w:pPr>
            <w:r>
              <w:rPr>
                <w:rFonts w:ascii="Arial" w:hAnsi="Arial"/>
                <w:b w:val="0"/>
                <w:sz w:val="14"/>
              </w:rPr>
              <w:t>Evidence gap during dispute or remediation</w:t>
            </w:r>
          </w:p>
        </w:tc>
        <w:tc>
          <w:tcPr>
            <w:tcW w:type="dxa" w:w="2045"/>
          </w:tcPr>
          <w:p>
            <w:pPr>
              <w:spacing w:after="0"/>
            </w:pPr>
            <w:r>
              <w:rPr>
                <w:rFonts w:ascii="Arial" w:hAnsi="Arial"/>
                <w:b w:val="0"/>
                <w:sz w:val="14"/>
              </w:rPr>
              <w:t>Request export format and retention rule</w:t>
            </w:r>
          </w:p>
        </w:tc>
        <w:tc>
          <w:tcPr>
            <w:tcW w:type="dxa" w:w="2045"/>
          </w:tcPr>
          <w:p>
            <w:pPr>
              <w:spacing w:after="0"/>
            </w:pPr>
            <w:r>
              <w:rPr>
                <w:rFonts w:ascii="Arial" w:hAnsi="Arial"/>
                <w:b w:val="0"/>
                <w:sz w:val="14"/>
              </w:rPr>
              <w:t>Exportability must be tested in implementation context</w:t>
            </w:r>
          </w:p>
        </w:tc>
      </w:tr>
      <w:tr>
        <w:tc>
          <w:tcPr>
            <w:tcW w:type="dxa" w:w="2045"/>
          </w:tcPr>
          <w:p>
            <w:pPr>
              <w:spacing w:after="0"/>
            </w:pPr>
            <w:r>
              <w:rPr>
                <w:rFonts w:ascii="Arial" w:hAnsi="Arial"/>
                <w:b w:val="0"/>
                <w:sz w:val="14"/>
              </w:rPr>
              <w:t>Privacy retention conflict is not addressed</w:t>
            </w:r>
          </w:p>
        </w:tc>
        <w:tc>
          <w:tcPr>
            <w:tcW w:type="dxa" w:w="2045"/>
          </w:tcPr>
          <w:p>
            <w:pPr>
              <w:spacing w:after="0"/>
            </w:pPr>
            <w:r>
              <w:rPr>
                <w:rFonts w:ascii="Arial" w:hAnsi="Arial"/>
                <w:b w:val="0"/>
                <w:sz w:val="14"/>
              </w:rPr>
              <w:t>Evidence retention may conflict with privacy obligations</w:t>
            </w:r>
          </w:p>
        </w:tc>
        <w:tc>
          <w:tcPr>
            <w:tcW w:type="dxa" w:w="2045"/>
          </w:tcPr>
          <w:p>
            <w:pPr>
              <w:spacing w:after="0"/>
            </w:pPr>
            <w:r>
              <w:rPr>
                <w:rFonts w:ascii="Arial" w:hAnsi="Arial"/>
                <w:b w:val="0"/>
                <w:sz w:val="14"/>
              </w:rPr>
              <w:t>Data subject rights vs evidence retention conflict</w:t>
            </w:r>
          </w:p>
        </w:tc>
        <w:tc>
          <w:tcPr>
            <w:tcW w:type="dxa" w:w="2045"/>
          </w:tcPr>
          <w:p>
            <w:pPr>
              <w:spacing w:after="0"/>
            </w:pPr>
            <w:r>
              <w:rPr>
                <w:rFonts w:ascii="Arial" w:hAnsi="Arial"/>
                <w:b w:val="0"/>
                <w:sz w:val="14"/>
              </w:rPr>
              <w:t>Request retention conflict workflow</w:t>
            </w:r>
          </w:p>
        </w:tc>
        <w:tc>
          <w:tcPr>
            <w:tcW w:type="dxa" w:w="2045"/>
          </w:tcPr>
          <w:p>
            <w:pPr>
              <w:spacing w:after="0"/>
            </w:pPr>
            <w:r>
              <w:rPr>
                <w:rFonts w:ascii="Arial" w:hAnsi="Arial"/>
                <w:b w:val="0"/>
                <w:sz w:val="14"/>
              </w:rPr>
              <w:t>Legal interpretation remains outside this appendix</w:t>
            </w:r>
          </w:p>
        </w:tc>
      </w:tr>
      <w:tr>
        <w:tc>
          <w:tcPr>
            <w:tcW w:type="dxa" w:w="2045"/>
          </w:tcPr>
          <w:p>
            <w:pPr>
              <w:spacing w:after="0"/>
            </w:pPr>
            <w:r>
              <w:rPr>
                <w:rFonts w:ascii="Arial" w:hAnsi="Arial"/>
                <w:b w:val="0"/>
                <w:sz w:val="14"/>
              </w:rPr>
              <w:t>Vendor substitution lacks impact review</w:t>
            </w:r>
          </w:p>
        </w:tc>
        <w:tc>
          <w:tcPr>
            <w:tcW w:type="dxa" w:w="2045"/>
          </w:tcPr>
          <w:p>
            <w:pPr>
              <w:spacing w:after="0"/>
            </w:pPr>
            <w:r>
              <w:rPr>
                <w:rFonts w:ascii="Arial" w:hAnsi="Arial"/>
                <w:b w:val="0"/>
                <w:sz w:val="14"/>
              </w:rPr>
              <w:t>Model or runtime changes may change lifecycle risk</w:t>
            </w:r>
          </w:p>
        </w:tc>
        <w:tc>
          <w:tcPr>
            <w:tcW w:type="dxa" w:w="2045"/>
          </w:tcPr>
          <w:p>
            <w:pPr>
              <w:spacing w:after="0"/>
            </w:pPr>
            <w:r>
              <w:rPr>
                <w:rFonts w:ascii="Arial" w:hAnsi="Arial"/>
                <w:b w:val="0"/>
                <w:sz w:val="14"/>
              </w:rPr>
              <w:t>Reuse and substitution conformance gap</w:t>
            </w:r>
          </w:p>
        </w:tc>
        <w:tc>
          <w:tcPr>
            <w:tcW w:type="dxa" w:w="2045"/>
          </w:tcPr>
          <w:p>
            <w:pPr>
              <w:spacing w:after="0"/>
            </w:pPr>
            <w:r>
              <w:rPr>
                <w:rFonts w:ascii="Arial" w:hAnsi="Arial"/>
                <w:b w:val="0"/>
                <w:sz w:val="14"/>
              </w:rPr>
              <w:t>Request change review template</w:t>
            </w:r>
          </w:p>
        </w:tc>
        <w:tc>
          <w:tcPr>
            <w:tcW w:type="dxa" w:w="2045"/>
          </w:tcPr>
          <w:p>
            <w:pPr>
              <w:spacing w:after="0"/>
            </w:pPr>
            <w:r>
              <w:rPr>
                <w:rFonts w:ascii="Arial" w:hAnsi="Arial"/>
                <w:b w:val="0"/>
                <w:sz w:val="14"/>
              </w:rPr>
              <w:t>This checklist does not approve substitutions</w:t>
            </w:r>
          </w:p>
        </w:tc>
      </w:tr>
      <w:tr>
        <w:tc>
          <w:tcPr>
            <w:tcW w:type="dxa" w:w="2045"/>
          </w:tcPr>
          <w:p>
            <w:pPr>
              <w:spacing w:after="0"/>
            </w:pPr>
            <w:r>
              <w:rPr>
                <w:rFonts w:ascii="Arial" w:hAnsi="Arial"/>
                <w:b w:val="0"/>
                <w:sz w:val="14"/>
              </w:rPr>
              <w:t>Claims rely only on marketing material</w:t>
            </w:r>
          </w:p>
        </w:tc>
        <w:tc>
          <w:tcPr>
            <w:tcW w:type="dxa" w:w="2045"/>
          </w:tcPr>
          <w:p>
            <w:pPr>
              <w:spacing w:after="0"/>
            </w:pPr>
            <w:r>
              <w:rPr>
                <w:rFonts w:ascii="Arial" w:hAnsi="Arial"/>
                <w:b w:val="0"/>
                <w:sz w:val="14"/>
              </w:rPr>
              <w:t>Evidence confidence is lower than product docs or validated artifacts</w:t>
            </w:r>
          </w:p>
        </w:tc>
        <w:tc>
          <w:tcPr>
            <w:tcW w:type="dxa" w:w="2045"/>
          </w:tcPr>
          <w:p>
            <w:pPr>
              <w:spacing w:after="0"/>
            </w:pPr>
            <w:r>
              <w:rPr>
                <w:rFonts w:ascii="Arial" w:hAnsi="Arial"/>
                <w:b w:val="0"/>
                <w:sz w:val="14"/>
              </w:rPr>
              <w:t>Overstated capability posture</w:t>
            </w:r>
          </w:p>
        </w:tc>
        <w:tc>
          <w:tcPr>
            <w:tcW w:type="dxa" w:w="2045"/>
          </w:tcPr>
          <w:p>
            <w:pPr>
              <w:spacing w:after="0"/>
            </w:pPr>
            <w:r>
              <w:rPr>
                <w:rFonts w:ascii="Arial" w:hAnsi="Arial"/>
                <w:b w:val="0"/>
                <w:sz w:val="14"/>
              </w:rPr>
              <w:t>Request higher-confidence evidence</w:t>
            </w:r>
          </w:p>
        </w:tc>
        <w:tc>
          <w:tcPr>
            <w:tcW w:type="dxa" w:w="2045"/>
          </w:tcPr>
          <w:p>
            <w:pPr>
              <w:spacing w:after="0"/>
            </w:pPr>
            <w:r>
              <w:rPr>
                <w:rFonts w:ascii="Arial" w:hAnsi="Arial"/>
                <w:b w:val="0"/>
                <w:sz w:val="14"/>
              </w:rPr>
              <w:t>Evidence level must be recorded explicitly</w:t>
            </w:r>
          </w:p>
        </w:tc>
      </w:tr>
      <w:tr>
        <w:tc>
          <w:tcPr>
            <w:tcW w:type="dxa" w:w="2045"/>
          </w:tcPr>
          <w:p>
            <w:pPr>
              <w:spacing w:after="0"/>
            </w:pPr>
            <w:r>
              <w:rPr>
                <w:rFonts w:ascii="Arial" w:hAnsi="Arial"/>
                <w:b w:val="0"/>
                <w:sz w:val="14"/>
              </w:rPr>
              <w:t>Appendix G posture is treated as a purchase conclusion</w:t>
            </w:r>
          </w:p>
        </w:tc>
        <w:tc>
          <w:tcPr>
            <w:tcW w:type="dxa" w:w="2045"/>
          </w:tcPr>
          <w:p>
            <w:pPr>
              <w:spacing w:after="0"/>
            </w:pPr>
            <w:r>
              <w:rPr>
                <w:rFonts w:ascii="Arial" w:hAnsi="Arial"/>
                <w:b w:val="0"/>
                <w:sz w:val="14"/>
              </w:rPr>
              <w:t>Appendix G is provisional and not procurement advice</w:t>
            </w:r>
          </w:p>
        </w:tc>
        <w:tc>
          <w:tcPr>
            <w:tcW w:type="dxa" w:w="2045"/>
          </w:tcPr>
          <w:p>
            <w:pPr>
              <w:spacing w:after="0"/>
            </w:pPr>
            <w:r>
              <w:rPr>
                <w:rFonts w:ascii="Arial" w:hAnsi="Arial"/>
                <w:b w:val="0"/>
                <w:sz w:val="14"/>
              </w:rPr>
              <w:t>Premature selection based on provisional source posture</w:t>
            </w:r>
          </w:p>
        </w:tc>
        <w:tc>
          <w:tcPr>
            <w:tcW w:type="dxa" w:w="2045"/>
          </w:tcPr>
          <w:p>
            <w:pPr>
              <w:spacing w:after="0"/>
            </w:pPr>
            <w:r>
              <w:rPr>
                <w:rFonts w:ascii="Arial" w:hAnsi="Arial"/>
                <w:b w:val="0"/>
                <w:sz w:val="14"/>
              </w:rPr>
              <w:t>Require enterprise-specific review, page-level citation support, and accountable buyer judgment before final use</w:t>
            </w:r>
          </w:p>
        </w:tc>
        <w:tc>
          <w:tcPr>
            <w:tcW w:type="dxa" w:w="2045"/>
          </w:tcPr>
          <w:p>
            <w:pPr>
              <w:spacing w:after="0"/>
            </w:pPr>
            <w:r>
              <w:rPr>
                <w:rFonts w:ascii="Arial" w:hAnsi="Arial"/>
                <w:b w:val="0"/>
                <w:sz w:val="14"/>
              </w:rPr>
              <w:t>Appendix G categories are illustrative only</w:t>
            </w:r>
          </w:p>
        </w:tc>
      </w:tr>
    </w:tbl>
    <w:p>
      <w:pPr>
        <w:pStyle w:val="Heading2"/>
      </w:pPr>
      <w:r>
        <w:t>H.6 Procurement Decision Boundary</w:t>
      </w:r>
    </w:p>
    <w:p>
      <w:pPr>
        <w:keepNext/>
      </w:pPr>
      <w:r>
        <w:rPr>
          <w:b/>
          <w:sz w:val="16"/>
        </w:rPr>
        <w:t>Table T-H-04: Buyer Interpretation Boundary</w:t>
      </w:r>
    </w:p>
    <w:tbl>
      <w:tblPr>
        <w:tblStyle w:val="TableGrid"/>
        <w:tblW w:type="auto" w:w="0"/>
        <w:tblLayout w:type="autofit"/>
        <w:tblLook w:firstColumn="1" w:firstRow="1" w:lastColumn="0" w:lastRow="0" w:noHBand="0" w:noVBand="1" w:val="04A0"/>
      </w:tblPr>
      <w:tblGrid>
        <w:gridCol w:w="2556"/>
        <w:gridCol w:w="2556"/>
        <w:gridCol w:w="2556"/>
        <w:gridCol w:w="2556"/>
      </w:tblGrid>
      <w:tr>
        <w:tc>
          <w:tcPr>
            <w:tcW w:type="dxa" w:w="2556"/>
          </w:tcPr>
          <w:p>
            <w:pPr>
              <w:spacing w:after="0"/>
            </w:pPr>
            <w:r>
              <w:rPr>
                <w:rFonts w:ascii="Arial" w:hAnsi="Arial"/>
                <w:b/>
                <w:sz w:val="14"/>
              </w:rPr>
              <w:t>Procurement Use</w:t>
            </w:r>
          </w:p>
        </w:tc>
        <w:tc>
          <w:tcPr>
            <w:tcW w:type="dxa" w:w="2556"/>
          </w:tcPr>
          <w:p>
            <w:pPr>
              <w:spacing w:after="0"/>
            </w:pPr>
            <w:r>
              <w:rPr>
                <w:rFonts w:ascii="Arial" w:hAnsi="Arial"/>
                <w:b/>
                <w:sz w:val="14"/>
              </w:rPr>
              <w:t>What This Scorecard Supports</w:t>
            </w:r>
          </w:p>
        </w:tc>
        <w:tc>
          <w:tcPr>
            <w:tcW w:type="dxa" w:w="2556"/>
          </w:tcPr>
          <w:p>
            <w:pPr>
              <w:spacing w:after="0"/>
            </w:pPr>
            <w:r>
              <w:rPr>
                <w:rFonts w:ascii="Arial" w:hAnsi="Arial"/>
                <w:b/>
                <w:sz w:val="14"/>
              </w:rPr>
              <w:t>What It Does Not Support</w:t>
            </w:r>
          </w:p>
        </w:tc>
        <w:tc>
          <w:tcPr>
            <w:tcW w:type="dxa" w:w="2556"/>
          </w:tcPr>
          <w:p>
            <w:pPr>
              <w:spacing w:after="0"/>
            </w:pPr>
            <w:r>
              <w:rPr>
                <w:rFonts w:ascii="Arial" w:hAnsi="Arial"/>
                <w:b/>
                <w:sz w:val="14"/>
              </w:rPr>
              <w:t>Required Human Review</w:t>
            </w:r>
          </w:p>
        </w:tc>
      </w:tr>
      <w:tr>
        <w:tc>
          <w:tcPr>
            <w:tcW w:type="dxa" w:w="2556"/>
          </w:tcPr>
          <w:p>
            <w:pPr>
              <w:spacing w:after="0"/>
            </w:pPr>
            <w:r>
              <w:rPr>
                <w:rFonts w:ascii="Arial" w:hAnsi="Arial"/>
                <w:b w:val="0"/>
                <w:sz w:val="14"/>
              </w:rPr>
              <w:t>RFI/RFP design</w:t>
            </w:r>
          </w:p>
        </w:tc>
        <w:tc>
          <w:tcPr>
            <w:tcW w:type="dxa" w:w="2556"/>
          </w:tcPr>
          <w:p>
            <w:pPr>
              <w:spacing w:after="0"/>
            </w:pPr>
            <w:r>
              <w:rPr>
                <w:rFonts w:ascii="Arial" w:hAnsi="Arial"/>
                <w:b w:val="0"/>
                <w:sz w:val="14"/>
              </w:rPr>
              <w:t>Structured governance questions and evidence requests</w:t>
            </w:r>
          </w:p>
        </w:tc>
        <w:tc>
          <w:tcPr>
            <w:tcW w:type="dxa" w:w="2556"/>
          </w:tcPr>
          <w:p>
            <w:pPr>
              <w:spacing w:after="0"/>
            </w:pPr>
            <w:r>
              <w:rPr>
                <w:rFonts w:ascii="Arial" w:hAnsi="Arial"/>
                <w:b w:val="0"/>
                <w:sz w:val="14"/>
              </w:rPr>
              <w:t>Automatic vendor filtering or vendor ordering</w:t>
            </w:r>
          </w:p>
        </w:tc>
        <w:tc>
          <w:tcPr>
            <w:tcW w:type="dxa" w:w="2556"/>
          </w:tcPr>
          <w:p>
            <w:pPr>
              <w:spacing w:after="0"/>
            </w:pPr>
            <w:r>
              <w:rPr>
                <w:rFonts w:ascii="Arial" w:hAnsi="Arial"/>
                <w:b w:val="0"/>
                <w:sz w:val="14"/>
              </w:rPr>
              <w:t>Procurement, risk, legal, privacy, security</w:t>
            </w:r>
          </w:p>
        </w:tc>
      </w:tr>
      <w:tr>
        <w:tc>
          <w:tcPr>
            <w:tcW w:type="dxa" w:w="2556"/>
          </w:tcPr>
          <w:p>
            <w:pPr>
              <w:spacing w:after="0"/>
            </w:pPr>
            <w:r>
              <w:rPr>
                <w:rFonts w:ascii="Arial" w:hAnsi="Arial"/>
                <w:b w:val="0"/>
                <w:sz w:val="14"/>
              </w:rPr>
              <w:t>Architecture review</w:t>
            </w:r>
          </w:p>
        </w:tc>
        <w:tc>
          <w:tcPr>
            <w:tcW w:type="dxa" w:w="2556"/>
          </w:tcPr>
          <w:p>
            <w:pPr>
              <w:spacing w:after="0"/>
            </w:pPr>
            <w:r>
              <w:rPr>
                <w:rFonts w:ascii="Arial" w:hAnsi="Arial"/>
                <w:b w:val="0"/>
                <w:sz w:val="14"/>
              </w:rPr>
              <w:t>Identification of lifecycle governance evidence gaps</w:t>
            </w:r>
          </w:p>
        </w:tc>
        <w:tc>
          <w:tcPr>
            <w:tcW w:type="dxa" w:w="2556"/>
          </w:tcPr>
          <w:p>
            <w:pPr>
              <w:spacing w:after="0"/>
            </w:pPr>
            <w:r>
              <w:rPr>
                <w:rFonts w:ascii="Arial" w:hAnsi="Arial"/>
                <w:b w:val="0"/>
                <w:sz w:val="14"/>
              </w:rPr>
              <w:t>Proof of production readiness</w:t>
            </w:r>
          </w:p>
        </w:tc>
        <w:tc>
          <w:tcPr>
            <w:tcW w:type="dxa" w:w="2556"/>
          </w:tcPr>
          <w:p>
            <w:pPr>
              <w:spacing w:after="0"/>
            </w:pPr>
            <w:r>
              <w:rPr>
                <w:rFonts w:ascii="Arial" w:hAnsi="Arial"/>
                <w:b w:val="0"/>
                <w:sz w:val="14"/>
              </w:rPr>
              <w:t>Architecture, security, platform owner</w:t>
            </w:r>
          </w:p>
        </w:tc>
      </w:tr>
      <w:tr>
        <w:tc>
          <w:tcPr>
            <w:tcW w:type="dxa" w:w="2556"/>
          </w:tcPr>
          <w:p>
            <w:pPr>
              <w:spacing w:after="0"/>
            </w:pPr>
            <w:r>
              <w:rPr>
                <w:rFonts w:ascii="Arial" w:hAnsi="Arial"/>
                <w:b w:val="0"/>
                <w:sz w:val="14"/>
              </w:rPr>
              <w:t>Risk review</w:t>
            </w:r>
          </w:p>
        </w:tc>
        <w:tc>
          <w:tcPr>
            <w:tcW w:type="dxa" w:w="2556"/>
          </w:tcPr>
          <w:p>
            <w:pPr>
              <w:spacing w:after="0"/>
            </w:pPr>
            <w:r>
              <w:rPr>
                <w:rFonts w:ascii="Arial" w:hAnsi="Arial"/>
                <w:b w:val="0"/>
                <w:sz w:val="14"/>
              </w:rPr>
              <w:t>Mapping of visible evidence to RCCS/ALCS prompts</w:t>
            </w:r>
          </w:p>
        </w:tc>
        <w:tc>
          <w:tcPr>
            <w:tcW w:type="dxa" w:w="2556"/>
          </w:tcPr>
          <w:p>
            <w:pPr>
              <w:spacing w:after="0"/>
            </w:pPr>
            <w:r>
              <w:rPr>
                <w:rFonts w:ascii="Arial" w:hAnsi="Arial"/>
                <w:b w:val="0"/>
                <w:sz w:val="14"/>
              </w:rPr>
              <w:t>Legal compliance determination</w:t>
            </w:r>
          </w:p>
        </w:tc>
        <w:tc>
          <w:tcPr>
            <w:tcW w:type="dxa" w:w="2556"/>
          </w:tcPr>
          <w:p>
            <w:pPr>
              <w:spacing w:after="0"/>
            </w:pPr>
            <w:r>
              <w:rPr>
                <w:rFonts w:ascii="Arial" w:hAnsi="Arial"/>
                <w:b w:val="0"/>
                <w:sz w:val="14"/>
              </w:rPr>
              <w:t>Risk, legal, compliance</w:t>
            </w:r>
          </w:p>
        </w:tc>
      </w:tr>
      <w:tr>
        <w:tc>
          <w:tcPr>
            <w:tcW w:type="dxa" w:w="2556"/>
          </w:tcPr>
          <w:p>
            <w:pPr>
              <w:spacing w:after="0"/>
            </w:pPr>
            <w:r>
              <w:rPr>
                <w:rFonts w:ascii="Arial" w:hAnsi="Arial"/>
                <w:b w:val="0"/>
                <w:sz w:val="14"/>
              </w:rPr>
              <w:t>Privacy review</w:t>
            </w:r>
          </w:p>
        </w:tc>
        <w:tc>
          <w:tcPr>
            <w:tcW w:type="dxa" w:w="2556"/>
          </w:tcPr>
          <w:p>
            <w:pPr>
              <w:spacing w:after="0"/>
            </w:pPr>
            <w:r>
              <w:rPr>
                <w:rFonts w:ascii="Arial" w:hAnsi="Arial"/>
                <w:b w:val="0"/>
                <w:sz w:val="14"/>
              </w:rPr>
              <w:t>Identification of retention and data subject rights questions</w:t>
            </w:r>
          </w:p>
        </w:tc>
        <w:tc>
          <w:tcPr>
            <w:tcW w:type="dxa" w:w="2556"/>
          </w:tcPr>
          <w:p>
            <w:pPr>
              <w:spacing w:after="0"/>
            </w:pPr>
            <w:r>
              <w:rPr>
                <w:rFonts w:ascii="Arial" w:hAnsi="Arial"/>
                <w:b w:val="0"/>
                <w:sz w:val="14"/>
              </w:rPr>
              <w:t>Privacy law conclusion</w:t>
            </w:r>
          </w:p>
        </w:tc>
        <w:tc>
          <w:tcPr>
            <w:tcW w:type="dxa" w:w="2556"/>
          </w:tcPr>
          <w:p>
            <w:pPr>
              <w:spacing w:after="0"/>
            </w:pPr>
            <w:r>
              <w:rPr>
                <w:rFonts w:ascii="Arial" w:hAnsi="Arial"/>
                <w:b w:val="0"/>
                <w:sz w:val="14"/>
              </w:rPr>
              <w:t>Privacy, legal, data governance</w:t>
            </w:r>
          </w:p>
        </w:tc>
      </w:tr>
      <w:tr>
        <w:tc>
          <w:tcPr>
            <w:tcW w:type="dxa" w:w="2556"/>
          </w:tcPr>
          <w:p>
            <w:pPr>
              <w:spacing w:after="0"/>
            </w:pPr>
            <w:r>
              <w:rPr>
                <w:rFonts w:ascii="Arial" w:hAnsi="Arial"/>
                <w:b w:val="0"/>
                <w:sz w:val="14"/>
              </w:rPr>
              <w:t>Contract negotiation</w:t>
            </w:r>
          </w:p>
        </w:tc>
        <w:tc>
          <w:tcPr>
            <w:tcW w:type="dxa" w:w="2556"/>
          </w:tcPr>
          <w:p>
            <w:pPr>
              <w:spacing w:after="0"/>
            </w:pPr>
            <w:r>
              <w:rPr>
                <w:rFonts w:ascii="Arial" w:hAnsi="Arial"/>
                <w:b w:val="0"/>
                <w:sz w:val="14"/>
              </w:rPr>
              <w:t>Evidence requirements and control expectations</w:t>
            </w:r>
          </w:p>
        </w:tc>
        <w:tc>
          <w:tcPr>
            <w:tcW w:type="dxa" w:w="2556"/>
          </w:tcPr>
          <w:p>
            <w:pPr>
              <w:spacing w:after="0"/>
            </w:pPr>
            <w:r>
              <w:rPr>
                <w:rFonts w:ascii="Arial" w:hAnsi="Arial"/>
                <w:b w:val="0"/>
                <w:sz w:val="14"/>
              </w:rPr>
              <w:t>Contract sufficiency determination</w:t>
            </w:r>
          </w:p>
        </w:tc>
        <w:tc>
          <w:tcPr>
            <w:tcW w:type="dxa" w:w="2556"/>
          </w:tcPr>
          <w:p>
            <w:pPr>
              <w:spacing w:after="0"/>
            </w:pPr>
            <w:r>
              <w:rPr>
                <w:rFonts w:ascii="Arial" w:hAnsi="Arial"/>
                <w:b w:val="0"/>
                <w:sz w:val="14"/>
              </w:rPr>
              <w:t>Legal, procurement, business owner</w:t>
            </w:r>
          </w:p>
        </w:tc>
      </w:tr>
      <w:tr>
        <w:tc>
          <w:tcPr>
            <w:tcW w:type="dxa" w:w="2556"/>
          </w:tcPr>
          <w:p>
            <w:pPr>
              <w:spacing w:after="0"/>
            </w:pPr>
            <w:r>
              <w:rPr>
                <w:rFonts w:ascii="Arial" w:hAnsi="Arial"/>
                <w:b w:val="0"/>
                <w:sz w:val="14"/>
              </w:rPr>
              <w:t>Deployment gate</w:t>
            </w:r>
          </w:p>
        </w:tc>
        <w:tc>
          <w:tcPr>
            <w:tcW w:type="dxa" w:w="2556"/>
          </w:tcPr>
          <w:p>
            <w:pPr>
              <w:spacing w:after="0"/>
            </w:pPr>
            <w:r>
              <w:rPr>
                <w:rFonts w:ascii="Arial" w:hAnsi="Arial"/>
                <w:b w:val="0"/>
                <w:sz w:val="14"/>
              </w:rPr>
              <w:t>Checklist for unresolved assumptions</w:t>
            </w:r>
          </w:p>
        </w:tc>
        <w:tc>
          <w:tcPr>
            <w:tcW w:type="dxa" w:w="2556"/>
          </w:tcPr>
          <w:p>
            <w:pPr>
              <w:spacing w:after="0"/>
            </w:pPr>
            <w:r>
              <w:rPr>
                <w:rFonts w:ascii="Arial" w:hAnsi="Arial"/>
                <w:b w:val="0"/>
                <w:sz w:val="14"/>
              </w:rPr>
              <w:t>Certification or approval</w:t>
            </w:r>
          </w:p>
        </w:tc>
        <w:tc>
          <w:tcPr>
            <w:tcW w:type="dxa" w:w="2556"/>
          </w:tcPr>
          <w:p>
            <w:pPr>
              <w:spacing w:after="0"/>
            </w:pPr>
            <w:r>
              <w:rPr>
                <w:rFonts w:ascii="Arial" w:hAnsi="Arial"/>
                <w:b w:val="0"/>
                <w:sz w:val="14"/>
              </w:rPr>
              <w:t>Enterprise governance board or equivalent owner</w:t>
            </w:r>
          </w:p>
        </w:tc>
      </w:tr>
    </w:tbl>
    <w:p>
      <w:pPr>
        <w:spacing w:after="56"/>
      </w:pPr>
      <w:r>
        <w:t>Procurement decisions remain enterprise decisions. This appendix helps buyers ask better questions; it does not replace accountable human judgment.</w:t>
      </w:r>
    </w:p>
    <w:p>
      <w:pPr>
        <w:pStyle w:val="Heading1"/>
      </w:pPr>
      <w:r>
        <w:t>Appendix I — Source Audit and Revalidation Register</w:t>
      </w:r>
    </w:p>
    <w:p>
      <w:pPr>
        <w:spacing w:after="56"/>
      </w:pPr>
      <w:r>
        <w:t>Version: v0.3.2-FRC-R3</w:t>
      </w:r>
    </w:p>
    <w:p>
      <w:pPr>
        <w:pStyle w:val="Heading2"/>
      </w:pPr>
      <w:r>
        <w:t>I.0 Source Audit Boundary</w:t>
      </w:r>
    </w:p>
    <w:p>
      <w:pPr>
        <w:spacing w:after="56"/>
      </w:pPr>
      <w:r>
        <w:t>This appendix provides a source audit register for the completed Phase 1C source review record and Phase 1D publication handoff. It tracks source classes, citation status, evidence level, claim-binding status, and required publication follow-up actions.</w:t>
      </w:r>
    </w:p>
    <w:p>
      <w:pPr>
        <w:spacing w:after="56"/>
      </w:pPr>
      <w:r>
        <w:t>This appendix was created before Phase 1C as a revalidation workflow. Phase 1C cleanup updated the citation inventory and source coverage matrix with URL/entry-point review status. Phase 1C follow-up then added the claim evidence register and reviewed high-risk product/protocol claims at claim level. Appendix G is now revalidated provisional, not final.</w:t>
      </w:r>
    </w:p>
    <w:p>
      <w:pPr>
        <w:spacing w:after="56"/>
      </w:pPr>
      <w:r>
        <w:t>Source audit work in this appendix is procedural. Phase 1C follow-up completed source-entry and claim-disposition review; final publication still requires page-level citation pinning and DOCX/PDF citation rendering checks.</w:t>
      </w:r>
    </w:p>
    <w:p>
      <w:pPr>
        <w:pStyle w:val="Heading2"/>
      </w:pPr>
      <w:r>
        <w:t>I.1 Source Classes and Evidence Levels</w:t>
      </w:r>
    </w:p>
    <w:p>
      <w:pPr>
        <w:spacing w:after="56"/>
      </w:pPr>
      <w:r>
        <w:t>The source audit register uses the canonical evidence levels:</w:t>
      </w:r>
    </w:p>
    <w:p>
      <w:pPr>
        <w:pStyle w:val="ListBullet"/>
        <w:spacing w:after="56"/>
      </w:pPr>
      <w:r>
        <w:t>L1 (Binding Legal Text): 1.00</w:t>
      </w:r>
    </w:p>
    <w:p>
      <w:pPr>
        <w:pStyle w:val="ListBullet"/>
        <w:spacing w:after="56"/>
      </w:pPr>
      <w:r>
        <w:t>L2 (Product Docs): 0.85</w:t>
      </w:r>
    </w:p>
    <w:p>
      <w:pPr>
        <w:pStyle w:val="ListBullet"/>
        <w:spacing w:after="56"/>
      </w:pPr>
      <w:r>
        <w:t>L3 (Audit Report): 0.75</w:t>
      </w:r>
    </w:p>
    <w:p>
      <w:pPr>
        <w:pStyle w:val="ListBullet"/>
        <w:spacing w:after="56"/>
      </w:pPr>
      <w:r>
        <w:t>L4 (Vendor Claim): 0.55</w:t>
      </w:r>
    </w:p>
    <w:p>
      <w:pPr>
        <w:pStyle w:val="ListBullet"/>
        <w:spacing w:after="56"/>
      </w:pPr>
      <w:r>
        <w:t>L5 (Author Inference): 0.35</w:t>
      </w:r>
    </w:p>
    <w:p>
      <w:pPr>
        <w:spacing w:after="56"/>
      </w:pPr>
      <w:r>
        <w:t>Evidence levels describe source confidence for analytical scoring. They do not make a source legally sufficient, current, complete, or operationally validated. Evidence levels may change if source type, source currency, or claim support changes during future source review.</w:t>
      </w:r>
    </w:p>
    <w:p>
      <w:pPr>
        <w:pStyle w:val="Heading2"/>
      </w:pPr>
      <w:r>
        <w:t>I.2 Source Audit Register</w:t>
      </w:r>
    </w:p>
    <w:p>
      <w:pPr>
        <w:keepNext/>
      </w:pPr>
      <w:r>
        <w:rPr>
          <w:b/>
          <w:sz w:val="16"/>
        </w:rPr>
        <w:t>Table T-I-01: Source Audit Register</w:t>
      </w:r>
    </w:p>
    <w:tbl>
      <w:tblPr>
        <w:tblStyle w:val="TableGrid"/>
        <w:tblW w:type="auto" w:w="0"/>
        <w:tblLayout w:type="autofit"/>
        <w:tblLook w:firstColumn="1" w:firstRow="1" w:lastColumn="0" w:lastRow="0" w:noHBand="0" w:noVBand="1" w:val="04A0"/>
      </w:tblPr>
      <w:tblGrid>
        <w:gridCol w:w="1461"/>
        <w:gridCol w:w="1461"/>
        <w:gridCol w:w="1461"/>
        <w:gridCol w:w="1461"/>
        <w:gridCol w:w="1461"/>
        <w:gridCol w:w="1461"/>
        <w:gridCol w:w="1461"/>
      </w:tblGrid>
      <w:tr>
        <w:tc>
          <w:tcPr>
            <w:tcW w:type="dxa" w:w="1461"/>
          </w:tcPr>
          <w:p>
            <w:pPr>
              <w:spacing w:after="0"/>
            </w:pPr>
            <w:r>
              <w:rPr>
                <w:rFonts w:ascii="Arial" w:hAnsi="Arial"/>
                <w:b/>
                <w:sz w:val="12"/>
              </w:rPr>
              <w:t>Source ID</w:t>
            </w:r>
          </w:p>
        </w:tc>
        <w:tc>
          <w:tcPr>
            <w:tcW w:type="dxa" w:w="1461"/>
          </w:tcPr>
          <w:p>
            <w:pPr>
              <w:spacing w:after="0"/>
            </w:pPr>
            <w:r>
              <w:rPr>
                <w:rFonts w:ascii="Arial" w:hAnsi="Arial"/>
                <w:b/>
                <w:sz w:val="12"/>
              </w:rPr>
              <w:t>Source Name</w:t>
            </w:r>
          </w:p>
        </w:tc>
        <w:tc>
          <w:tcPr>
            <w:tcW w:type="dxa" w:w="1461"/>
          </w:tcPr>
          <w:p>
            <w:pPr>
              <w:spacing w:after="0"/>
            </w:pPr>
            <w:r>
              <w:rPr>
                <w:rFonts w:ascii="Arial" w:hAnsi="Arial"/>
                <w:b/>
                <w:sz w:val="12"/>
              </w:rPr>
              <w:t>Source Class</w:t>
            </w:r>
          </w:p>
        </w:tc>
        <w:tc>
          <w:tcPr>
            <w:tcW w:type="dxa" w:w="1461"/>
          </w:tcPr>
          <w:p>
            <w:pPr>
              <w:spacing w:after="0"/>
            </w:pPr>
            <w:r>
              <w:rPr>
                <w:rFonts w:ascii="Arial" w:hAnsi="Arial"/>
                <w:b/>
                <w:sz w:val="12"/>
              </w:rPr>
              <w:t>Evidence Level</w:t>
            </w:r>
          </w:p>
        </w:tc>
        <w:tc>
          <w:tcPr>
            <w:tcW w:type="dxa" w:w="1461"/>
          </w:tcPr>
          <w:p>
            <w:pPr>
              <w:spacing w:after="0"/>
            </w:pPr>
            <w:r>
              <w:rPr>
                <w:rFonts w:ascii="Arial" w:hAnsi="Arial"/>
                <w:b/>
                <w:sz w:val="12"/>
              </w:rPr>
              <w:t>Used In</w:t>
            </w:r>
          </w:p>
        </w:tc>
        <w:tc>
          <w:tcPr>
            <w:tcW w:type="dxa" w:w="1461"/>
          </w:tcPr>
          <w:p>
            <w:pPr>
              <w:spacing w:after="0"/>
            </w:pPr>
            <w:r>
              <w:rPr>
                <w:rFonts w:ascii="Arial" w:hAnsi="Arial"/>
                <w:b/>
                <w:sz w:val="12"/>
              </w:rPr>
              <w:t>Current Status</w:t>
            </w:r>
          </w:p>
        </w:tc>
        <w:tc>
          <w:tcPr>
            <w:tcW w:type="dxa" w:w="1461"/>
          </w:tcPr>
          <w:p>
            <w:pPr>
              <w:spacing w:after="0"/>
            </w:pPr>
            <w:r>
              <w:rPr>
                <w:rFonts w:ascii="Arial" w:hAnsi="Arial"/>
                <w:b/>
                <w:sz w:val="12"/>
              </w:rPr>
              <w:t>Publication Follow-up Action</w:t>
            </w:r>
          </w:p>
        </w:tc>
      </w:tr>
      <w:tr>
        <w:tc>
          <w:tcPr>
            <w:tcW w:type="dxa" w:w="1461"/>
          </w:tcPr>
          <w:p>
            <w:pPr>
              <w:spacing w:after="0"/>
            </w:pPr>
            <w:r>
              <w:rPr>
                <w:rFonts w:ascii="Arial" w:hAnsi="Arial"/>
                <w:b w:val="0"/>
                <w:sz w:val="12"/>
              </w:rPr>
              <w:t>EU-AI-ACT</w:t>
            </w:r>
          </w:p>
        </w:tc>
        <w:tc>
          <w:tcPr>
            <w:tcW w:type="dxa" w:w="1461"/>
          </w:tcPr>
          <w:p>
            <w:pPr>
              <w:spacing w:after="0"/>
            </w:pPr>
            <w:r>
              <w:rPr>
                <w:rFonts w:ascii="Arial" w:hAnsi="Arial"/>
                <w:b w:val="0"/>
                <w:sz w:val="12"/>
              </w:rPr>
              <w:t>EU AI Act articles referenced in baseline chapters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7,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citation formatting</w:t>
            </w:r>
          </w:p>
        </w:tc>
      </w:tr>
      <w:tr>
        <w:tc>
          <w:tcPr>
            <w:tcW w:type="dxa" w:w="1461"/>
          </w:tcPr>
          <w:p>
            <w:pPr>
              <w:spacing w:after="0"/>
            </w:pPr>
            <w:r>
              <w:rPr>
                <w:rFonts w:ascii="Arial" w:hAnsi="Arial"/>
                <w:b w:val="0"/>
                <w:sz w:val="12"/>
              </w:rPr>
              <w:t>GDPR</w:t>
            </w:r>
          </w:p>
        </w:tc>
        <w:tc>
          <w:tcPr>
            <w:tcW w:type="dxa" w:w="1461"/>
          </w:tcPr>
          <w:p>
            <w:pPr>
              <w:spacing w:after="0"/>
            </w:pPr>
            <w:r>
              <w:rPr>
                <w:rFonts w:ascii="Arial" w:hAnsi="Arial"/>
                <w:b w:val="0"/>
                <w:sz w:val="12"/>
              </w:rPr>
              <w:t>GDPR articles referenced in privacy and data governance sections</w:t>
            </w:r>
          </w:p>
        </w:tc>
        <w:tc>
          <w:tcPr>
            <w:tcW w:type="dxa" w:w="1461"/>
          </w:tcPr>
          <w:p>
            <w:pPr>
              <w:spacing w:after="0"/>
            </w:pPr>
            <w:r>
              <w:rPr>
                <w:rFonts w:ascii="Arial" w:hAnsi="Arial"/>
                <w:b w:val="0"/>
                <w:sz w:val="12"/>
              </w:rPr>
              <w:t>Legal / regulatory text</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Chapters 4, 6, 8, Appendices E/F</w:t>
            </w:r>
          </w:p>
        </w:tc>
        <w:tc>
          <w:tcPr>
            <w:tcW w:type="dxa" w:w="1461"/>
          </w:tcPr>
          <w:p>
            <w:pPr>
              <w:spacing w:after="0"/>
            </w:pPr>
            <w:r>
              <w:rPr>
                <w:rFonts w:ascii="Arial" w:hAnsi="Arial"/>
                <w:b w:val="0"/>
                <w:sz w:val="12"/>
              </w:rPr>
              <w:t>Referenced; citation rendering pending global check</w:t>
            </w:r>
          </w:p>
        </w:tc>
        <w:tc>
          <w:tcPr>
            <w:tcW w:type="dxa" w:w="1461"/>
          </w:tcPr>
          <w:p>
            <w:pPr>
              <w:spacing w:after="0"/>
            </w:pPr>
            <w:r>
              <w:rPr>
                <w:rFonts w:ascii="Arial" w:hAnsi="Arial"/>
                <w:b w:val="0"/>
                <w:sz w:val="12"/>
              </w:rPr>
              <w:t>Verify article references and privacy mapping language</w:t>
            </w:r>
          </w:p>
        </w:tc>
      </w:tr>
      <w:tr>
        <w:tc>
          <w:tcPr>
            <w:tcW w:type="dxa" w:w="1461"/>
          </w:tcPr>
          <w:p>
            <w:pPr>
              <w:spacing w:after="0"/>
            </w:pPr>
            <w:r>
              <w:rPr>
                <w:rFonts w:ascii="Arial" w:hAnsi="Arial"/>
                <w:b w:val="0"/>
                <w:sz w:val="12"/>
              </w:rPr>
              <w:t>NIST-AI-RMF</w:t>
            </w:r>
          </w:p>
        </w:tc>
        <w:tc>
          <w:tcPr>
            <w:tcW w:type="dxa" w:w="1461"/>
          </w:tcPr>
          <w:p>
            <w:pPr>
              <w:spacing w:after="0"/>
            </w:pPr>
            <w:r>
              <w:rPr>
                <w:rFonts w:ascii="Arial" w:hAnsi="Arial"/>
                <w:b w:val="0"/>
                <w:sz w:val="12"/>
              </w:rPr>
              <w:t>NIST AI RMF 1.0</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RCCS security/risk mapping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ISO-IEC-42001</w:t>
            </w:r>
          </w:p>
        </w:tc>
        <w:tc>
          <w:tcPr>
            <w:tcW w:type="dxa" w:w="1461"/>
          </w:tcPr>
          <w:p>
            <w:pPr>
              <w:spacing w:after="0"/>
            </w:pPr>
            <w:r>
              <w:rPr>
                <w:rFonts w:ascii="Arial" w:hAnsi="Arial"/>
                <w:b w:val="0"/>
                <w:sz w:val="12"/>
              </w:rPr>
              <w:t>ISO/IEC 42001</w:t>
            </w:r>
          </w:p>
        </w:tc>
        <w:tc>
          <w:tcPr>
            <w:tcW w:type="dxa" w:w="1461"/>
          </w:tcPr>
          <w:p>
            <w:pPr>
              <w:spacing w:after="0"/>
            </w:pPr>
            <w:r>
              <w:rPr>
                <w:rFonts w:ascii="Arial" w:hAnsi="Arial"/>
                <w:b w:val="0"/>
                <w:sz w:val="12"/>
              </w:rPr>
              <w:t>Formal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management system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source coverage and citation formatting</w:t>
            </w:r>
          </w:p>
        </w:tc>
      </w:tr>
      <w:tr>
        <w:tc>
          <w:tcPr>
            <w:tcW w:type="dxa" w:w="1461"/>
          </w:tcPr>
          <w:p>
            <w:pPr>
              <w:spacing w:after="0"/>
            </w:pPr>
            <w:r>
              <w:rPr>
                <w:rFonts w:ascii="Arial" w:hAnsi="Arial"/>
                <w:b w:val="0"/>
                <w:sz w:val="12"/>
              </w:rPr>
              <w:t>IMDA-AGENTIC-AI</w:t>
            </w:r>
          </w:p>
        </w:tc>
        <w:tc>
          <w:tcPr>
            <w:tcW w:type="dxa" w:w="1461"/>
          </w:tcPr>
          <w:p>
            <w:pPr>
              <w:spacing w:after="0"/>
            </w:pPr>
            <w:r>
              <w:rPr>
                <w:rFonts w:ascii="Arial" w:hAnsi="Arial"/>
                <w:b w:val="0"/>
                <w:sz w:val="12"/>
              </w:rPr>
              <w:t>Singapore IMDA Model AI Governance Framework for Agentic AI</w:t>
            </w:r>
          </w:p>
        </w:tc>
        <w:tc>
          <w:tcPr>
            <w:tcW w:type="dxa" w:w="1461"/>
          </w:tcPr>
          <w:p>
            <w:pPr>
              <w:spacing w:after="0"/>
            </w:pPr>
            <w:r>
              <w:rPr>
                <w:rFonts w:ascii="Arial" w:hAnsi="Arial"/>
                <w:b w:val="0"/>
                <w:sz w:val="12"/>
              </w:rPr>
              <w:t>Formal governance framework</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and comparative baseline</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framework naming</w:t>
            </w:r>
          </w:p>
        </w:tc>
      </w:tr>
      <w:tr>
        <w:tc>
          <w:tcPr>
            <w:tcW w:type="dxa" w:w="1461"/>
          </w:tcPr>
          <w:p>
            <w:pPr>
              <w:spacing w:after="0"/>
            </w:pPr>
            <w:r>
              <w:rPr>
                <w:rFonts w:ascii="Arial" w:hAnsi="Arial"/>
                <w:b w:val="0"/>
                <w:sz w:val="12"/>
              </w:rPr>
              <w:t>W3C-PROV</w:t>
            </w:r>
          </w:p>
        </w:tc>
        <w:tc>
          <w:tcPr>
            <w:tcW w:type="dxa" w:w="1461"/>
          </w:tcPr>
          <w:p>
            <w:pPr>
              <w:spacing w:after="0"/>
            </w:pPr>
            <w:r>
              <w:rPr>
                <w:rFonts w:ascii="Arial" w:hAnsi="Arial"/>
                <w:b w:val="0"/>
                <w:sz w:val="12"/>
              </w:rPr>
              <w:t>W3C PROV</w:t>
            </w:r>
          </w:p>
        </w:tc>
        <w:tc>
          <w:tcPr>
            <w:tcW w:type="dxa" w:w="1461"/>
          </w:tcPr>
          <w:p>
            <w:pPr>
              <w:spacing w:after="0"/>
            </w:pPr>
            <w:r>
              <w:rPr>
                <w:rFonts w:ascii="Arial" w:hAnsi="Arial"/>
                <w:b w:val="0"/>
                <w:sz w:val="12"/>
              </w:rPr>
              <w:t>Protocol / provenance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evidence/provenance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W3C-VC</w:t>
            </w:r>
          </w:p>
        </w:tc>
        <w:tc>
          <w:tcPr>
            <w:tcW w:type="dxa" w:w="1461"/>
          </w:tcPr>
          <w:p>
            <w:pPr>
              <w:spacing w:after="0"/>
            </w:pPr>
            <w:r>
              <w:rPr>
                <w:rFonts w:ascii="Arial" w:hAnsi="Arial"/>
                <w:b w:val="0"/>
                <w:sz w:val="12"/>
              </w:rPr>
              <w:t>W3C Verifiable Credentials</w:t>
            </w:r>
          </w:p>
        </w:tc>
        <w:tc>
          <w:tcPr>
            <w:tcW w:type="dxa" w:w="1461"/>
          </w:tcPr>
          <w:p>
            <w:pPr>
              <w:spacing w:after="0"/>
            </w:pPr>
            <w:r>
              <w:rPr>
                <w:rFonts w:ascii="Arial" w:hAnsi="Arial"/>
                <w:b w:val="0"/>
                <w:sz w:val="12"/>
              </w:rPr>
              <w:t>Protocol / evidence standard</w:t>
            </w:r>
          </w:p>
        </w:tc>
        <w:tc>
          <w:tcPr>
            <w:tcW w:type="dxa" w:w="1461"/>
          </w:tcPr>
          <w:p>
            <w:pPr>
              <w:spacing w:after="0"/>
            </w:pPr>
            <w:r>
              <w:rPr>
                <w:rFonts w:ascii="Arial" w:hAnsi="Arial"/>
                <w:b w:val="0"/>
                <w:sz w:val="12"/>
              </w:rPr>
              <w:t>L1</w:t>
            </w:r>
          </w:p>
        </w:tc>
        <w:tc>
          <w:tcPr>
            <w:tcW w:type="dxa" w:w="1461"/>
          </w:tcPr>
          <w:p>
            <w:pPr>
              <w:spacing w:after="0"/>
            </w:pPr>
            <w:r>
              <w:rPr>
                <w:rFonts w:ascii="Arial" w:hAnsi="Arial"/>
                <w:b w:val="0"/>
                <w:sz w:val="12"/>
              </w:rPr>
              <w:t>Chapter 4, evidence framing</w:t>
            </w:r>
          </w:p>
        </w:tc>
        <w:tc>
          <w:tcPr>
            <w:tcW w:type="dxa" w:w="1461"/>
          </w:tcPr>
          <w:p>
            <w:pPr>
              <w:spacing w:after="0"/>
            </w:pPr>
            <w:r>
              <w:rPr>
                <w:rFonts w:ascii="Arial" w:hAnsi="Arial"/>
                <w:b w:val="0"/>
                <w:sz w:val="12"/>
              </w:rPr>
              <w:t>Referenced; final citation check pending</w:t>
            </w:r>
          </w:p>
        </w:tc>
        <w:tc>
          <w:tcPr>
            <w:tcW w:type="dxa" w:w="1461"/>
          </w:tcPr>
          <w:p>
            <w:pPr>
              <w:spacing w:after="0"/>
            </w:pPr>
            <w:r>
              <w:rPr>
                <w:rFonts w:ascii="Arial" w:hAnsi="Arial"/>
                <w:b w:val="0"/>
                <w:sz w:val="12"/>
              </w:rPr>
              <w:t>Verify citation details and relevance language</w:t>
            </w:r>
          </w:p>
        </w:tc>
      </w:tr>
      <w:tr>
        <w:tc>
          <w:tcPr>
            <w:tcW w:type="dxa" w:w="1461"/>
          </w:tcPr>
          <w:p>
            <w:pPr>
              <w:spacing w:after="0"/>
            </w:pPr>
            <w:r>
              <w:rPr>
                <w:rFonts w:ascii="Arial" w:hAnsi="Arial"/>
                <w:b w:val="0"/>
                <w:sz w:val="12"/>
              </w:rPr>
              <w:t>MPLP-DOCS</w:t>
            </w:r>
          </w:p>
        </w:tc>
        <w:tc>
          <w:tcPr>
            <w:tcW w:type="dxa" w:w="1461"/>
          </w:tcPr>
          <w:p>
            <w:pPr>
              <w:spacing w:after="0"/>
            </w:pPr>
            <w:r>
              <w:rPr>
                <w:rFonts w:ascii="Arial" w:hAnsi="Arial"/>
                <w:b w:val="0"/>
                <w:sz w:val="12"/>
              </w:rPr>
              <w:t>MPLP documentation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Official docs entry point located; mapping remains analytical</w:t>
            </w:r>
          </w:p>
        </w:tc>
        <w:tc>
          <w:tcPr>
            <w:tcW w:type="dxa" w:w="1461"/>
          </w:tcPr>
          <w:p>
            <w:pPr>
              <w:spacing w:after="0"/>
            </w:pPr>
            <w:r>
              <w:rPr>
                <w:rFonts w:ascii="Arial" w:hAnsi="Arial"/>
                <w:b w:val="0"/>
                <w:sz w:val="12"/>
              </w:rPr>
              <w:t>Keep exact URL pinned; do not treat mapping as implementation proof</w:t>
            </w:r>
          </w:p>
        </w:tc>
      </w:tr>
      <w:tr>
        <w:tc>
          <w:tcPr>
            <w:tcW w:type="dxa" w:w="1461"/>
          </w:tcPr>
          <w:p>
            <w:pPr>
              <w:spacing w:after="0"/>
            </w:pPr>
            <w:r>
              <w:rPr>
                <w:rFonts w:ascii="Arial" w:hAnsi="Arial"/>
                <w:b w:val="0"/>
                <w:sz w:val="12"/>
              </w:rPr>
              <w:t>MPLP-SPEC</w:t>
            </w:r>
          </w:p>
        </w:tc>
        <w:tc>
          <w:tcPr>
            <w:tcW w:type="dxa" w:w="1461"/>
          </w:tcPr>
          <w:p>
            <w:pPr>
              <w:spacing w:after="0"/>
            </w:pPr>
            <w:r>
              <w:rPr>
                <w:rFonts w:ascii="Arial" w:hAnsi="Arial"/>
                <w:b w:val="0"/>
                <w:sz w:val="12"/>
              </w:rPr>
              <w:t>MPLP protocol specification</w:t>
            </w:r>
          </w:p>
        </w:tc>
        <w:tc>
          <w:tcPr>
            <w:tcW w:type="dxa" w:w="1461"/>
          </w:tcPr>
          <w:p>
            <w:pPr>
              <w:spacing w:after="0"/>
            </w:pPr>
            <w:r>
              <w:rPr>
                <w:rFonts w:ascii="Arial" w:hAnsi="Arial"/>
                <w:b w:val="0"/>
                <w:sz w:val="12"/>
              </w:rPr>
              <w:t>Protocol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12, 13, Appendix G, claim register</w:t>
            </w:r>
          </w:p>
        </w:tc>
        <w:tc>
          <w:tcPr>
            <w:tcW w:type="dxa" w:w="1461"/>
          </w:tcPr>
          <w:p>
            <w:pPr>
              <w:spacing w:after="0"/>
            </w:pPr>
            <w:r>
              <w:rPr>
                <w:rFonts w:ascii="Arial" w:hAnsi="Arial"/>
                <w:b w:val="0"/>
                <w:sz w:val="12"/>
              </w:rPr>
              <w:t>Source-bound through MPLP docs entry point</w:t>
            </w:r>
          </w:p>
        </w:tc>
        <w:tc>
          <w:tcPr>
            <w:tcW w:type="dxa" w:w="1461"/>
          </w:tcPr>
          <w:p>
            <w:pPr>
              <w:spacing w:after="0"/>
            </w:pPr>
            <w:r>
              <w:rPr>
                <w:rFonts w:ascii="Arial" w:hAnsi="Arial"/>
                <w:b w:val="0"/>
                <w:sz w:val="12"/>
              </w:rPr>
              <w:t>Validate version/citation rendering during publication-candidate QA</w:t>
            </w:r>
          </w:p>
        </w:tc>
      </w:tr>
      <w:tr>
        <w:tc>
          <w:tcPr>
            <w:tcW w:type="dxa" w:w="1461"/>
          </w:tcPr>
          <w:p>
            <w:pPr>
              <w:spacing w:after="0"/>
            </w:pPr>
            <w:r>
              <w:rPr>
                <w:rFonts w:ascii="Arial" w:hAnsi="Arial"/>
                <w:b w:val="0"/>
                <w:sz w:val="12"/>
              </w:rPr>
              <w:t>VALIDATION-LAB</w:t>
            </w:r>
          </w:p>
        </w:tc>
        <w:tc>
          <w:tcPr>
            <w:tcW w:type="dxa" w:w="1461"/>
          </w:tcPr>
          <w:p>
            <w:pPr>
              <w:spacing w:after="0"/>
            </w:pPr>
            <w:r>
              <w:rPr>
                <w:rFonts w:ascii="Arial" w:hAnsi="Arial"/>
                <w:b w:val="0"/>
                <w:sz w:val="12"/>
              </w:rPr>
              <w:t>Validation Lab methodology / public surface</w:t>
            </w:r>
          </w:p>
        </w:tc>
        <w:tc>
          <w:tcPr>
            <w:tcW w:type="dxa" w:w="1461"/>
          </w:tcPr>
          <w:p>
            <w:pPr>
              <w:spacing w:after="0"/>
            </w:pPr>
            <w:r>
              <w:rPr>
                <w:rFonts w:ascii="Arial" w:hAnsi="Arial"/>
                <w:b w:val="0"/>
                <w:sz w:val="12"/>
              </w:rPr>
              <w:t>Validation methodology source</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 14, Appendix K, claim register</w:t>
            </w:r>
          </w:p>
        </w:tc>
        <w:tc>
          <w:tcPr>
            <w:tcW w:type="dxa" w:w="1461"/>
          </w:tcPr>
          <w:p>
            <w:pPr>
              <w:spacing w:after="0"/>
            </w:pPr>
            <w:r>
              <w:rPr>
                <w:rFonts w:ascii="Arial" w:hAnsi="Arial"/>
                <w:b w:val="0"/>
                <w:sz w:val="12"/>
              </w:rPr>
              <w:t>Public entry point located; methodology-specific support remains limited</w:t>
            </w:r>
          </w:p>
        </w:tc>
        <w:tc>
          <w:tcPr>
            <w:tcW w:type="dxa" w:w="1461"/>
          </w:tcPr>
          <w:p>
            <w:pPr>
              <w:spacing w:after="0"/>
            </w:pPr>
            <w:r>
              <w:rPr>
                <w:rFonts w:ascii="Arial" w:hAnsi="Arial"/>
                <w:b w:val="0"/>
                <w:sz w:val="12"/>
              </w:rPr>
              <w:t>Keep non-certifying boundary; add methodology-specific citation if available</w:t>
            </w:r>
          </w:p>
        </w:tc>
      </w:tr>
      <w:tr>
        <w:tc>
          <w:tcPr>
            <w:tcW w:type="dxa" w:w="1461"/>
          </w:tcPr>
          <w:p>
            <w:pPr>
              <w:spacing w:after="0"/>
            </w:pPr>
            <w:r>
              <w:rPr>
                <w:rFonts w:ascii="Arial" w:hAnsi="Arial"/>
                <w:b w:val="0"/>
                <w:sz w:val="12"/>
              </w:rPr>
              <w:t>IBM-WATSONX-GOV</w:t>
            </w:r>
          </w:p>
        </w:tc>
        <w:tc>
          <w:tcPr>
            <w:tcW w:type="dxa" w:w="1461"/>
          </w:tcPr>
          <w:p>
            <w:pPr>
              <w:spacing w:after="0"/>
            </w:pPr>
            <w:r>
              <w:rPr>
                <w:rFonts w:ascii="Arial" w:hAnsi="Arial"/>
                <w:b w:val="0"/>
                <w:sz w:val="12"/>
              </w:rPr>
              <w:t>IBM watsonx.governance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docs pages for final citation</w:t>
            </w:r>
          </w:p>
        </w:tc>
      </w:tr>
      <w:tr>
        <w:tc>
          <w:tcPr>
            <w:tcW w:type="dxa" w:w="1461"/>
          </w:tcPr>
          <w:p>
            <w:pPr>
              <w:spacing w:after="0"/>
            </w:pPr>
            <w:r>
              <w:rPr>
                <w:rFonts w:ascii="Arial" w:hAnsi="Arial"/>
                <w:b w:val="0"/>
                <w:sz w:val="12"/>
              </w:rPr>
              <w:t>MS-AZURE-FOUNDRY</w:t>
            </w:r>
          </w:p>
        </w:tc>
        <w:tc>
          <w:tcPr>
            <w:tcW w:type="dxa" w:w="1461"/>
          </w:tcPr>
          <w:p>
            <w:pPr>
              <w:spacing w:after="0"/>
            </w:pPr>
            <w:r>
              <w:rPr>
                <w:rFonts w:ascii="Arial" w:hAnsi="Arial"/>
                <w:b w:val="0"/>
                <w:sz w:val="12"/>
              </w:rPr>
              <w:t>Microsoft Azure AI Foundry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 located; ALCS mappings remain L5 where not directly documented</w:t>
            </w:r>
          </w:p>
        </w:tc>
        <w:tc>
          <w:tcPr>
            <w:tcW w:type="dxa" w:w="1461"/>
          </w:tcPr>
          <w:p>
            <w:pPr>
              <w:spacing w:after="0"/>
            </w:pPr>
            <w:r>
              <w:rPr>
                <w:rFonts w:ascii="Arial" w:hAnsi="Arial"/>
                <w:b w:val="0"/>
                <w:sz w:val="12"/>
              </w:rPr>
              <w:t>Pin exact Microsoft Learn pages for final citation</w:t>
            </w:r>
          </w:p>
        </w:tc>
      </w:tr>
      <w:tr>
        <w:tc>
          <w:tcPr>
            <w:tcW w:type="dxa" w:w="1461"/>
          </w:tcPr>
          <w:p>
            <w:pPr>
              <w:spacing w:after="0"/>
            </w:pPr>
            <w:r>
              <w:rPr>
                <w:rFonts w:ascii="Arial" w:hAnsi="Arial"/>
                <w:b w:val="0"/>
                <w:sz w:val="12"/>
              </w:rPr>
              <w:t>AWS-BEDROCK-STACK</w:t>
            </w:r>
          </w:p>
        </w:tc>
        <w:tc>
          <w:tcPr>
            <w:tcW w:type="dxa" w:w="1461"/>
          </w:tcPr>
          <w:p>
            <w:pPr>
              <w:spacing w:after="0"/>
            </w:pPr>
            <w:r>
              <w:rPr>
                <w:rFonts w:ascii="Arial" w:hAnsi="Arial"/>
                <w:b w:val="0"/>
                <w:sz w:val="12"/>
              </w:rPr>
              <w:t>AWS Bedrock / Guardrails / AgentCore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AWS pages for final citation</w:t>
            </w:r>
          </w:p>
        </w:tc>
      </w:tr>
      <w:tr>
        <w:tc>
          <w:tcPr>
            <w:tcW w:type="dxa" w:w="1461"/>
          </w:tcPr>
          <w:p>
            <w:pPr>
              <w:spacing w:after="0"/>
            </w:pPr>
            <w:r>
              <w:rPr>
                <w:rFonts w:ascii="Arial" w:hAnsi="Arial"/>
                <w:b w:val="0"/>
                <w:sz w:val="12"/>
              </w:rPr>
              <w:t>GOOGLE-VERTEX-STACK</w:t>
            </w:r>
          </w:p>
        </w:tc>
        <w:tc>
          <w:tcPr>
            <w:tcW w:type="dxa" w:w="1461"/>
          </w:tcPr>
          <w:p>
            <w:pPr>
              <w:spacing w:after="0"/>
            </w:pPr>
            <w:r>
              <w:rPr>
                <w:rFonts w:ascii="Arial" w:hAnsi="Arial"/>
                <w:b w:val="0"/>
                <w:sz w:val="12"/>
              </w:rPr>
              <w:t>Google Vertex AI / ADK / Model Armor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Google pages for final citation</w:t>
            </w:r>
          </w:p>
        </w:tc>
      </w:tr>
      <w:tr>
        <w:tc>
          <w:tcPr>
            <w:tcW w:type="dxa" w:w="1461"/>
          </w:tcPr>
          <w:p>
            <w:pPr>
              <w:spacing w:after="0"/>
            </w:pPr>
            <w:r>
              <w:rPr>
                <w:rFonts w:ascii="Arial" w:hAnsi="Arial"/>
                <w:b w:val="0"/>
                <w:sz w:val="12"/>
              </w:rPr>
              <w:t>LANGGRAPH-LANGSMITH</w:t>
            </w:r>
          </w:p>
        </w:tc>
        <w:tc>
          <w:tcPr>
            <w:tcW w:type="dxa" w:w="1461"/>
          </w:tcPr>
          <w:p>
            <w:pPr>
              <w:spacing w:after="0"/>
            </w:pPr>
            <w:r>
              <w:rPr>
                <w:rFonts w:ascii="Arial" w:hAnsi="Arial"/>
                <w:b w:val="0"/>
                <w:sz w:val="12"/>
              </w:rPr>
              <w:t>LangGraph / LangSmith documentation</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entry points located; ALCS mappings remain L5 where not directly documented</w:t>
            </w:r>
          </w:p>
        </w:tc>
        <w:tc>
          <w:tcPr>
            <w:tcW w:type="dxa" w:w="1461"/>
          </w:tcPr>
          <w:p>
            <w:pPr>
              <w:spacing w:after="0"/>
            </w:pPr>
            <w:r>
              <w:rPr>
                <w:rFonts w:ascii="Arial" w:hAnsi="Arial"/>
                <w:b w:val="0"/>
                <w:sz w:val="12"/>
              </w:rPr>
              <w:t>Pin exact LangChain docs pages for final citation</w:t>
            </w:r>
          </w:p>
        </w:tc>
      </w:tr>
      <w:tr>
        <w:tc>
          <w:tcPr>
            <w:tcW w:type="dxa" w:w="1461"/>
          </w:tcPr>
          <w:p>
            <w:pPr>
              <w:spacing w:after="0"/>
            </w:pPr>
            <w:r>
              <w:rPr>
                <w:rFonts w:ascii="Arial" w:hAnsi="Arial"/>
                <w:b w:val="0"/>
                <w:sz w:val="12"/>
              </w:rPr>
              <w:t>OPENAI-AGENTS-SDK</w:t>
            </w:r>
          </w:p>
        </w:tc>
        <w:tc>
          <w:tcPr>
            <w:tcW w:type="dxa" w:w="1461"/>
          </w:tcPr>
          <w:p>
            <w:pPr>
              <w:spacing w:after="0"/>
            </w:pPr>
            <w:r>
              <w:rPr>
                <w:rFonts w:ascii="Arial" w:hAnsi="Arial"/>
                <w:b w:val="0"/>
                <w:sz w:val="12"/>
              </w:rPr>
              <w:t>OpenAI Agents SDK documentation</w:t>
            </w:r>
          </w:p>
        </w:tc>
        <w:tc>
          <w:tcPr>
            <w:tcW w:type="dxa" w:w="1461"/>
          </w:tcPr>
          <w:p>
            <w:pPr>
              <w:spacing w:after="0"/>
            </w:pPr>
            <w:r>
              <w:rPr>
                <w:rFonts w:ascii="Arial" w:hAnsi="Arial"/>
                <w:b w:val="0"/>
                <w:sz w:val="12"/>
              </w:rPr>
              <w:t>Product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SDK docs entry point located; platform guide access/rendering needs final check</w:t>
            </w:r>
          </w:p>
        </w:tc>
        <w:tc>
          <w:tcPr>
            <w:tcW w:type="dxa" w:w="1461"/>
          </w:tcPr>
          <w:p>
            <w:pPr>
              <w:spacing w:after="0"/>
            </w:pPr>
            <w:r>
              <w:rPr>
                <w:rFonts w:ascii="Arial" w:hAnsi="Arial"/>
                <w:b w:val="0"/>
                <w:sz w:val="12"/>
              </w:rPr>
              <w:t>Use accessible official SDK docs and perform final citation rendering check</w:t>
            </w:r>
          </w:p>
        </w:tc>
      </w:tr>
      <w:tr>
        <w:tc>
          <w:tcPr>
            <w:tcW w:type="dxa" w:w="1461"/>
          </w:tcPr>
          <w:p>
            <w:pPr>
              <w:spacing w:after="0"/>
            </w:pPr>
            <w:r>
              <w:rPr>
                <w:rFonts w:ascii="Arial" w:hAnsi="Arial"/>
                <w:b w:val="0"/>
                <w:sz w:val="12"/>
              </w:rPr>
              <w:t>CREWAI-DOCS</w:t>
            </w:r>
          </w:p>
        </w:tc>
        <w:tc>
          <w:tcPr>
            <w:tcW w:type="dxa" w:w="1461"/>
          </w:tcPr>
          <w:p>
            <w:pPr>
              <w:spacing w:after="0"/>
            </w:pPr>
            <w:r>
              <w:rPr>
                <w:rFonts w:ascii="Arial" w:hAnsi="Arial"/>
                <w:b w:val="0"/>
                <w:sz w:val="12"/>
              </w:rPr>
              <w:t>CrewAI documentation and repository references</w:t>
            </w:r>
          </w:p>
        </w:tc>
        <w:tc>
          <w:tcPr>
            <w:tcW w:type="dxa" w:w="1461"/>
          </w:tcPr>
          <w:p>
            <w:pPr>
              <w:spacing w:after="0"/>
            </w:pPr>
            <w:r>
              <w:rPr>
                <w:rFonts w:ascii="Arial" w:hAnsi="Arial"/>
                <w:b w:val="0"/>
                <w:sz w:val="12"/>
              </w:rPr>
              <w:t>Product documentation / repository documentation</w:t>
            </w:r>
          </w:p>
        </w:tc>
        <w:tc>
          <w:tcPr>
            <w:tcW w:type="dxa" w:w="1461"/>
          </w:tcPr>
          <w:p>
            <w:pPr>
              <w:spacing w:after="0"/>
            </w:pPr>
            <w:r>
              <w:rPr>
                <w:rFonts w:ascii="Arial" w:hAnsi="Arial"/>
                <w:b w:val="0"/>
                <w:sz w:val="12"/>
              </w:rPr>
              <w:t>L2/L5</w:t>
            </w:r>
          </w:p>
        </w:tc>
        <w:tc>
          <w:tcPr>
            <w:tcW w:type="dxa" w:w="1461"/>
          </w:tcPr>
          <w:p>
            <w:pPr>
              <w:spacing w:after="0"/>
            </w:pPr>
            <w:r>
              <w:rPr>
                <w:rFonts w:ascii="Arial" w:hAnsi="Arial"/>
                <w:b w:val="0"/>
                <w:sz w:val="12"/>
              </w:rPr>
              <w:t>Chapters 11, 12, Appendix G, claim register</w:t>
            </w:r>
          </w:p>
        </w:tc>
        <w:tc>
          <w:tcPr>
            <w:tcW w:type="dxa" w:w="1461"/>
          </w:tcPr>
          <w:p>
            <w:pPr>
              <w:spacing w:after="0"/>
            </w:pPr>
            <w:r>
              <w:rPr>
                <w:rFonts w:ascii="Arial" w:hAnsi="Arial"/>
                <w:b w:val="0"/>
                <w:sz w:val="12"/>
              </w:rPr>
              <w:t>Official docs and repository entry points located; ALCS mappings remain L5 where not directly documented</w:t>
            </w:r>
          </w:p>
        </w:tc>
        <w:tc>
          <w:tcPr>
            <w:tcW w:type="dxa" w:w="1461"/>
          </w:tcPr>
          <w:p>
            <w:pPr>
              <w:spacing w:after="0"/>
            </w:pPr>
            <w:r>
              <w:rPr>
                <w:rFonts w:ascii="Arial" w:hAnsi="Arial"/>
                <w:b w:val="0"/>
                <w:sz w:val="12"/>
              </w:rPr>
              <w:t>Pin exact CrewAI docs pages for final citation</w:t>
            </w:r>
          </w:p>
        </w:tc>
      </w:tr>
      <w:tr>
        <w:tc>
          <w:tcPr>
            <w:tcW w:type="dxa" w:w="1461"/>
          </w:tcPr>
          <w:p>
            <w:pPr>
              <w:spacing w:after="0"/>
            </w:pPr>
            <w:r>
              <w:rPr>
                <w:rFonts w:ascii="Arial" w:hAnsi="Arial"/>
                <w:b w:val="0"/>
                <w:sz w:val="12"/>
              </w:rPr>
              <w:t>CLAIM-EVIDENCE-REGISTER</w:t>
            </w:r>
          </w:p>
        </w:tc>
        <w:tc>
          <w:tcPr>
            <w:tcW w:type="dxa" w:w="1461"/>
          </w:tcPr>
          <w:p>
            <w:pPr>
              <w:spacing w:after="0"/>
            </w:pPr>
            <w:r>
              <w:rPr>
                <w:rFonts w:ascii="Arial" w:hAnsi="Arial"/>
                <w:b w:val="0"/>
                <w:sz w:val="12"/>
              </w:rPr>
              <w:t>Claim evidence register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Phase 1C follow-up</w:t>
            </w:r>
          </w:p>
        </w:tc>
        <w:tc>
          <w:tcPr>
            <w:tcW w:type="dxa" w:w="1461"/>
          </w:tcPr>
          <w:p>
            <w:pPr>
              <w:spacing w:after="0"/>
            </w:pPr>
            <w:r>
              <w:rPr>
                <w:rFonts w:ascii="Arial" w:hAnsi="Arial"/>
                <w:b w:val="0"/>
                <w:sz w:val="12"/>
              </w:rPr>
              <w:t>PHASE 1C CLAIM-LEVEL REVIEW COMPLETE — PROVISIONAL SOURCE BINDING</w:t>
            </w:r>
          </w:p>
        </w:tc>
        <w:tc>
          <w:tcPr>
            <w:tcW w:type="dxa" w:w="1461"/>
          </w:tcPr>
          <w:p>
            <w:pPr>
              <w:spacing w:after="0"/>
            </w:pPr>
            <w:r>
              <w:rPr>
                <w:rFonts w:ascii="Arial" w:hAnsi="Arial"/>
                <w:b w:val="0"/>
                <w:sz w:val="12"/>
              </w:rPr>
              <w:t>Maintain as source-to-claim audit ledger</w:t>
            </w:r>
          </w:p>
        </w:tc>
      </w:tr>
      <w:tr>
        <w:tc>
          <w:tcPr>
            <w:tcW w:type="dxa" w:w="1461"/>
          </w:tcPr>
          <w:p>
            <w:pPr>
              <w:spacing w:after="0"/>
            </w:pPr>
            <w:r>
              <w:rPr>
                <w:rFonts w:ascii="Arial" w:hAnsi="Arial"/>
                <w:b w:val="0"/>
                <w:sz w:val="12"/>
              </w:rPr>
              <w:t>CITATION-INVENTORY</w:t>
            </w:r>
          </w:p>
        </w:tc>
        <w:tc>
          <w:tcPr>
            <w:tcW w:type="dxa" w:w="1461"/>
          </w:tcPr>
          <w:p>
            <w:pPr>
              <w:spacing w:after="0"/>
            </w:pPr>
            <w:r>
              <w:rPr>
                <w:rFonts w:ascii="Arial" w:hAnsi="Arial"/>
                <w:b w:val="0"/>
                <w:sz w:val="12"/>
              </w:rPr>
              <w:t>Citation inventory ledger</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C, Appendix I</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page-level citation pinning remains before publication-candidate release</w:t>
            </w:r>
          </w:p>
        </w:tc>
      </w:tr>
      <w:tr>
        <w:tc>
          <w:tcPr>
            <w:tcW w:type="dxa" w:w="1461"/>
          </w:tcPr>
          <w:p>
            <w:pPr>
              <w:spacing w:after="0"/>
            </w:pPr>
            <w:r>
              <w:rPr>
                <w:rFonts w:ascii="Arial" w:hAnsi="Arial"/>
                <w:b w:val="0"/>
                <w:sz w:val="12"/>
              </w:rPr>
              <w:t>SOURCE-COVERAGE-MATRIX</w:t>
            </w:r>
          </w:p>
        </w:tc>
        <w:tc>
          <w:tcPr>
            <w:tcW w:type="dxa" w:w="1461"/>
          </w:tcPr>
          <w:p>
            <w:pPr>
              <w:spacing w:after="0"/>
            </w:pPr>
            <w:r>
              <w:rPr>
                <w:rFonts w:ascii="Arial" w:hAnsi="Arial"/>
                <w:b w:val="0"/>
                <w:sz w:val="12"/>
              </w:rPr>
              <w:t>Source coverage matrix</w:t>
            </w:r>
          </w:p>
        </w:tc>
        <w:tc>
          <w:tcPr>
            <w:tcW w:type="dxa" w:w="1461"/>
          </w:tcPr>
          <w:p>
            <w:pPr>
              <w:spacing w:after="0"/>
            </w:pPr>
            <w:r>
              <w:rPr>
                <w:rFonts w:ascii="Arial" w:hAnsi="Arial"/>
                <w:b w:val="0"/>
                <w:sz w:val="12"/>
              </w:rPr>
              <w:t>Internal governance ledger</w:t>
            </w:r>
          </w:p>
        </w:tc>
        <w:tc>
          <w:tcPr>
            <w:tcW w:type="dxa" w:w="1461"/>
          </w:tcPr>
          <w:p>
            <w:pPr>
              <w:spacing w:after="0"/>
            </w:pPr>
            <w:r>
              <w:rPr>
                <w:rFonts w:ascii="Arial" w:hAnsi="Arial"/>
                <w:b w:val="0"/>
                <w:sz w:val="12"/>
              </w:rPr>
              <w:t>L5</w:t>
            </w:r>
          </w:p>
        </w:tc>
        <w:tc>
          <w:tcPr>
            <w:tcW w:type="dxa" w:w="1461"/>
          </w:tcPr>
          <w:p>
            <w:pPr>
              <w:spacing w:after="0"/>
            </w:pPr>
            <w:r>
              <w:rPr>
                <w:rFonts w:ascii="Arial" w:hAnsi="Arial"/>
                <w:b w:val="0"/>
                <w:sz w:val="12"/>
              </w:rPr>
              <w:t>Appendix I, Phase 1C carryover</w:t>
            </w:r>
          </w:p>
        </w:tc>
        <w:tc>
          <w:tcPr>
            <w:tcW w:type="dxa" w:w="1461"/>
          </w:tcPr>
          <w:p>
            <w:pPr>
              <w:spacing w:after="0"/>
            </w:pPr>
            <w:r>
              <w:rPr>
                <w:rFonts w:ascii="Arial" w:hAnsi="Arial"/>
                <w:b w:val="0"/>
                <w:sz w:val="12"/>
              </w:rPr>
              <w:t>PHASE 1C CLAIM-LEVEL REVIEWED — PROVISIONAL SOURCE BINDING COMPLETE</w:t>
            </w:r>
          </w:p>
        </w:tc>
        <w:tc>
          <w:tcPr>
            <w:tcW w:type="dxa" w:w="1461"/>
          </w:tcPr>
          <w:p>
            <w:pPr>
              <w:spacing w:after="0"/>
            </w:pPr>
            <w:r>
              <w:rPr>
                <w:rFonts w:ascii="Arial" w:hAnsi="Arial"/>
                <w:b w:val="0"/>
                <w:sz w:val="12"/>
              </w:rPr>
              <w:t>Final citation rendering and page-level source pinning remain before publication-candidate release</w:t>
            </w:r>
          </w:p>
        </w:tc>
      </w:tr>
    </w:tbl>
    <w:p>
      <w:pPr>
        <w:pStyle w:val="Heading2"/>
      </w:pPr>
      <w:r>
        <w:t>I.3 Source Review and Publication Handoff Workflow</w:t>
      </w:r>
    </w:p>
    <w:p>
      <w:pPr>
        <w:spacing w:after="56"/>
      </w:pPr>
      <w:r>
        <w:t>Source review and publication handoff should follow a controlled workflow:</w:t>
      </w:r>
    </w:p>
    <w:p>
      <w:pPr>
        <w:pStyle w:val="ListNumber"/>
        <w:spacing w:after="56"/>
      </w:pPr>
      <w:r>
        <w:t>Freeze the active Markdown source set for validation.</w:t>
      </w:r>
    </w:p>
    <w:p>
      <w:pPr>
        <w:pStyle w:val="ListNumber"/>
        <w:spacing w:after="56"/>
      </w:pPr>
      <w:r>
        <w:t>Confirm the citation inventory status and source coverage matrix status.</w:t>
      </w:r>
    </w:p>
    <w:p>
      <w:pPr>
        <w:pStyle w:val="ListNumber"/>
        <w:spacing w:after="56"/>
      </w:pPr>
      <w:r>
        <w:t>Verify each L1 legal or standards citation for citation rendering and relevance.</w:t>
      </w:r>
    </w:p>
    <w:p>
      <w:pPr>
        <w:pStyle w:val="ListNumber"/>
        <w:spacing w:after="56"/>
      </w:pPr>
      <w:r>
        <w:t>Revalidate every L2 product documentation source for currency, scope, and claim support.</w:t>
      </w:r>
    </w:p>
    <w:p>
      <w:pPr>
        <w:pStyle w:val="ListNumber"/>
        <w:spacing w:after="56"/>
      </w:pPr>
      <w:r>
        <w:t>Confirm MPLP documentation and Validation Lab URL/source pointers.</w:t>
      </w:r>
    </w:p>
    <w:p>
      <w:pPr>
        <w:pStyle w:val="ListNumber"/>
        <w:spacing w:after="56"/>
      </w:pPr>
      <w:r>
        <w:t>Reclassify evidence levels only when documentation supports the change.</w:t>
      </w:r>
    </w:p>
    <w:p>
      <w:pPr>
        <w:pStyle w:val="ListNumber"/>
        <w:spacing w:after="56"/>
      </w:pPr>
      <w:r>
        <w:t>Record all source changes and unresolved gaps in Appendix I or a publication QA report.</w:t>
      </w:r>
    </w:p>
    <w:p>
      <w:pPr>
        <w:spacing w:after="56"/>
      </w:pPr>
      <w:r>
        <w:t>Phase 1C follow-up completed the claim-level review path at source-entry and claim-disposition level. It did not convert L2 documentation into audit proof or final vendor assessment evidence.</w:t>
      </w:r>
    </w:p>
    <w:p>
      <w:pPr>
        <w:pStyle w:val="Heading2"/>
      </w:pPr>
      <w:r>
        <w:t>I.4 URL and Citation Verification Queue</w:t>
      </w:r>
    </w:p>
    <w:p>
      <w:pPr>
        <w:keepNext/>
      </w:pPr>
      <w:r>
        <w:rPr>
          <w:b/>
          <w:sz w:val="16"/>
        </w:rPr>
        <w:t>Table T-I-02: URL Verification Queue</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Source ID</w:t>
            </w:r>
          </w:p>
        </w:tc>
        <w:tc>
          <w:tcPr>
            <w:tcW w:type="dxa" w:w="1704"/>
          </w:tcPr>
          <w:p>
            <w:pPr>
              <w:spacing w:after="0"/>
            </w:pPr>
            <w:r>
              <w:rPr>
                <w:rFonts w:ascii="Arial" w:hAnsi="Arial"/>
                <w:b/>
                <w:sz w:val="12"/>
              </w:rPr>
              <w:t>URL / Source Pointer</w:t>
            </w:r>
          </w:p>
        </w:tc>
        <w:tc>
          <w:tcPr>
            <w:tcW w:type="dxa" w:w="1704"/>
          </w:tcPr>
          <w:p>
            <w:pPr>
              <w:spacing w:after="0"/>
            </w:pPr>
            <w:r>
              <w:rPr>
                <w:rFonts w:ascii="Arial" w:hAnsi="Arial"/>
                <w:b/>
                <w:sz w:val="12"/>
              </w:rPr>
              <w:t>Used In</w:t>
            </w:r>
          </w:p>
        </w:tc>
        <w:tc>
          <w:tcPr>
            <w:tcW w:type="dxa" w:w="1704"/>
          </w:tcPr>
          <w:p>
            <w:pPr>
              <w:spacing w:after="0"/>
            </w:pPr>
            <w:r>
              <w:rPr>
                <w:rFonts w:ascii="Arial" w:hAnsi="Arial"/>
                <w:b/>
                <w:sz w:val="12"/>
              </w:rPr>
              <w:t>Verification Need</w:t>
            </w:r>
          </w:p>
        </w:tc>
        <w:tc>
          <w:tcPr>
            <w:tcW w:type="dxa" w:w="1704"/>
          </w:tcPr>
          <w:p>
            <w:pPr>
              <w:spacing w:after="0"/>
            </w:pPr>
            <w:r>
              <w:rPr>
                <w:rFonts w:ascii="Arial" w:hAnsi="Arial"/>
                <w:b/>
                <w:sz w:val="12"/>
              </w:rPr>
              <w:t>Priority</w:t>
            </w:r>
          </w:p>
        </w:tc>
        <w:tc>
          <w:tcPr>
            <w:tcW w:type="dxa" w:w="1704"/>
          </w:tcPr>
          <w:p>
            <w:pPr>
              <w:spacing w:after="0"/>
            </w:pPr>
            <w:r>
              <w:rPr>
                <w:rFonts w:ascii="Arial" w:hAnsi="Arial"/>
                <w:b/>
                <w:sz w:val="12"/>
              </w:rPr>
              <w:t>Notes</w:t>
            </w:r>
          </w:p>
        </w:tc>
      </w:tr>
      <w:tr>
        <w:tc>
          <w:tcPr>
            <w:tcW w:type="dxa" w:w="1704"/>
          </w:tcPr>
          <w:p>
            <w:pPr>
              <w:spacing w:after="0"/>
            </w:pPr>
            <w:r>
              <w:rPr>
                <w:rFonts w:ascii="Arial" w:hAnsi="Arial"/>
                <w:b w:val="0"/>
                <w:sz w:val="12"/>
              </w:rPr>
              <w:t>MPLP-DOCS</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Validate URL, source currency, and protocol documentation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Canonical Phase 1C carryover item</w:t>
            </w:r>
          </w:p>
        </w:tc>
      </w:tr>
      <w:tr>
        <w:tc>
          <w:tcPr>
            <w:tcW w:type="dxa" w:w="1704"/>
          </w:tcPr>
          <w:p>
            <w:pPr>
              <w:spacing w:after="0"/>
            </w:pPr>
            <w:r>
              <w:rPr>
                <w:rFonts w:ascii="Arial" w:hAnsi="Arial"/>
                <w:b w:val="0"/>
                <w:sz w:val="12"/>
              </w:rPr>
              <w:t>MPLP-SPEC</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12, 13, Appendix G</w:t>
            </w:r>
          </w:p>
        </w:tc>
        <w:tc>
          <w:tcPr>
            <w:tcW w:type="dxa" w:w="1704"/>
          </w:tcPr>
          <w:p>
            <w:pPr>
              <w:spacing w:after="0"/>
            </w:pPr>
            <w:r>
              <w:rPr>
                <w:rFonts w:ascii="Arial" w:hAnsi="Arial"/>
                <w:b w:val="0"/>
                <w:sz w:val="12"/>
              </w:rPr>
              <w:t>Validate specification URL and version</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Do not treat protocol mapping as implementation proof</w:t>
            </w:r>
          </w:p>
        </w:tc>
      </w:tr>
      <w:tr>
        <w:tc>
          <w:tcPr>
            <w:tcW w:type="dxa" w:w="1704"/>
          </w:tcPr>
          <w:p>
            <w:pPr>
              <w:spacing w:after="0"/>
            </w:pPr>
            <w:r>
              <w:rPr>
                <w:rFonts w:ascii="Arial" w:hAnsi="Arial"/>
                <w:b w:val="0"/>
                <w:sz w:val="12"/>
              </w:rPr>
              <w:t>VALIDATION-LAB</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 14, Appendix K</w:t>
            </w:r>
          </w:p>
        </w:tc>
        <w:tc>
          <w:tcPr>
            <w:tcW w:type="dxa" w:w="1704"/>
          </w:tcPr>
          <w:p>
            <w:pPr>
              <w:spacing w:after="0"/>
            </w:pPr>
            <w:r>
              <w:rPr>
                <w:rFonts w:ascii="Arial" w:hAnsi="Arial"/>
                <w:b w:val="0"/>
                <w:sz w:val="12"/>
              </w:rPr>
              <w:t>Validate URL and non-certifying methodology boundary</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Canonical Phase 1C carryover item</w:t>
            </w:r>
          </w:p>
        </w:tc>
      </w:tr>
      <w:tr>
        <w:tc>
          <w:tcPr>
            <w:tcW w:type="dxa" w:w="1704"/>
          </w:tcPr>
          <w:p>
            <w:pPr>
              <w:spacing w:after="0"/>
            </w:pPr>
            <w:r>
              <w:rPr>
                <w:rFonts w:ascii="Arial" w:hAnsi="Arial"/>
                <w:b w:val="0"/>
                <w:sz w:val="12"/>
              </w:rPr>
              <w:t>IBM-WATSONX-GOV</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L2 product docs remain provisional</w:t>
            </w:r>
          </w:p>
        </w:tc>
      </w:tr>
      <w:tr>
        <w:tc>
          <w:tcPr>
            <w:tcW w:type="dxa" w:w="1704"/>
          </w:tcPr>
          <w:p>
            <w:pPr>
              <w:spacing w:after="0"/>
            </w:pPr>
            <w:r>
              <w:rPr>
                <w:rFonts w:ascii="Arial" w:hAnsi="Arial"/>
                <w:b w:val="0"/>
                <w:sz w:val="12"/>
              </w:rPr>
              <w:t>MS-AZURE-FOUNDRY</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L2 product docs remain provisional</w:t>
            </w:r>
          </w:p>
        </w:tc>
      </w:tr>
      <w:tr>
        <w:tc>
          <w:tcPr>
            <w:tcW w:type="dxa" w:w="1704"/>
          </w:tcPr>
          <w:p>
            <w:pPr>
              <w:spacing w:after="0"/>
            </w:pPr>
            <w:r>
              <w:rPr>
                <w:rFonts w:ascii="Arial" w:hAnsi="Arial"/>
                <w:b w:val="0"/>
                <w:sz w:val="12"/>
              </w:rPr>
              <w:t>AWS-BEDROCK-STACK</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URLs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Includes Bedrock, Guardrails, and AgentCore references</w:t>
            </w:r>
          </w:p>
        </w:tc>
      </w:tr>
      <w:tr>
        <w:tc>
          <w:tcPr>
            <w:tcW w:type="dxa" w:w="1704"/>
          </w:tcPr>
          <w:p>
            <w:pPr>
              <w:spacing w:after="0"/>
            </w:pPr>
            <w:r>
              <w:rPr>
                <w:rFonts w:ascii="Arial" w:hAnsi="Arial"/>
                <w:b w:val="0"/>
                <w:sz w:val="12"/>
              </w:rPr>
              <w:t>GOOGLE-VERTEX-STACK</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URLs and current product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Includes Vertex AI, ADK, and Model Armor references</w:t>
            </w:r>
          </w:p>
        </w:tc>
      </w:tr>
      <w:tr>
        <w:tc>
          <w:tcPr>
            <w:tcW w:type="dxa" w:w="1704"/>
          </w:tcPr>
          <w:p>
            <w:pPr>
              <w:spacing w:after="0"/>
            </w:pPr>
            <w:r>
              <w:rPr>
                <w:rFonts w:ascii="Arial" w:hAnsi="Arial"/>
                <w:b w:val="0"/>
                <w:sz w:val="12"/>
              </w:rPr>
              <w:t>LANGGRAPH-LANGSMITH</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documentation and repository references</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Confirm current framework/documentation names</w:t>
            </w:r>
          </w:p>
        </w:tc>
      </w:tr>
      <w:tr>
        <w:tc>
          <w:tcPr>
            <w:tcW w:type="dxa" w:w="1704"/>
          </w:tcPr>
          <w:p>
            <w:pPr>
              <w:spacing w:after="0"/>
            </w:pPr>
            <w:r>
              <w:rPr>
                <w:rFonts w:ascii="Arial" w:hAnsi="Arial"/>
                <w:b w:val="0"/>
                <w:sz w:val="12"/>
              </w:rPr>
              <w:t>OPENAI-AGENTS-SDK</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official documentation URL and current SDK scope</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Do not add new product claims during verification</w:t>
            </w:r>
          </w:p>
        </w:tc>
      </w:tr>
      <w:tr>
        <w:tc>
          <w:tcPr>
            <w:tcW w:type="dxa" w:w="1704"/>
          </w:tcPr>
          <w:p>
            <w:pPr>
              <w:spacing w:after="0"/>
            </w:pPr>
            <w:r>
              <w:rPr>
                <w:rFonts w:ascii="Arial" w:hAnsi="Arial"/>
                <w:b w:val="0"/>
                <w:sz w:val="12"/>
              </w:rPr>
              <w:t>CREWAI-DOCS</w:t>
            </w:r>
          </w:p>
        </w:tc>
        <w:tc>
          <w:tcPr>
            <w:tcW w:type="dxa" w:w="1704"/>
          </w:tcPr>
          <w:p>
            <w:pPr>
              <w:spacing w:after="0"/>
            </w:pPr>
            <w:r>
              <w:rPr>
                <w:rFonts w:ascii="Arial" w:hAnsi="Arial"/>
                <w:b w:val="0"/>
                <w:sz w:val="12"/>
              </w:rPr>
              <w:t>Citation inventory source pointer</w:t>
            </w:r>
          </w:p>
        </w:tc>
        <w:tc>
          <w:tcPr>
            <w:tcW w:type="dxa" w:w="1704"/>
          </w:tcPr>
          <w:p>
            <w:pPr>
              <w:spacing w:after="0"/>
            </w:pPr>
            <w:r>
              <w:rPr>
                <w:rFonts w:ascii="Arial" w:hAnsi="Arial"/>
                <w:b w:val="0"/>
                <w:sz w:val="12"/>
              </w:rPr>
              <w:t>Chapters 11, 12, Appendix G</w:t>
            </w:r>
          </w:p>
        </w:tc>
        <w:tc>
          <w:tcPr>
            <w:tcW w:type="dxa" w:w="1704"/>
          </w:tcPr>
          <w:p>
            <w:pPr>
              <w:spacing w:after="0"/>
            </w:pPr>
            <w:r>
              <w:rPr>
                <w:rFonts w:ascii="Arial" w:hAnsi="Arial"/>
                <w:b w:val="0"/>
                <w:sz w:val="12"/>
              </w:rPr>
              <w:t>Validate documentation and repository references</w:t>
            </w:r>
          </w:p>
        </w:tc>
        <w:tc>
          <w:tcPr>
            <w:tcW w:type="dxa" w:w="1704"/>
          </w:tcPr>
          <w:p>
            <w:pPr>
              <w:spacing w:after="0"/>
            </w:pPr>
            <w:r>
              <w:rPr>
                <w:rFonts w:ascii="Arial" w:hAnsi="Arial"/>
                <w:b w:val="0"/>
                <w:sz w:val="12"/>
              </w:rPr>
              <w:t>High</w:t>
            </w:r>
          </w:p>
        </w:tc>
        <w:tc>
          <w:tcPr>
            <w:tcW w:type="dxa" w:w="1704"/>
          </w:tcPr>
          <w:p>
            <w:pPr>
              <w:spacing w:after="0"/>
            </w:pPr>
            <w:r>
              <w:rPr>
                <w:rFonts w:ascii="Arial" w:hAnsi="Arial"/>
                <w:b w:val="0"/>
                <w:sz w:val="12"/>
              </w:rPr>
              <w:t>Confirm current documentation scope</w:t>
            </w:r>
          </w:p>
        </w:tc>
      </w:tr>
      <w:tr>
        <w:tc>
          <w:tcPr>
            <w:tcW w:type="dxa" w:w="1704"/>
          </w:tcPr>
          <w:p>
            <w:pPr>
              <w:spacing w:after="0"/>
            </w:pPr>
            <w:r>
              <w:rPr>
                <w:rFonts w:ascii="Arial" w:hAnsi="Arial"/>
                <w:b w:val="0"/>
                <w:sz w:val="12"/>
              </w:rPr>
              <w:t>L1-LEGAL-STANDARDS</w:t>
            </w:r>
          </w:p>
        </w:tc>
        <w:tc>
          <w:tcPr>
            <w:tcW w:type="dxa" w:w="1704"/>
          </w:tcPr>
          <w:p>
            <w:pPr>
              <w:spacing w:after="0"/>
            </w:pPr>
            <w:r>
              <w:rPr>
                <w:rFonts w:ascii="Arial" w:hAnsi="Arial"/>
                <w:b w:val="0"/>
                <w:sz w:val="12"/>
              </w:rPr>
              <w:t>Citation source pointers / reference notes</w:t>
            </w:r>
          </w:p>
        </w:tc>
        <w:tc>
          <w:tcPr>
            <w:tcW w:type="dxa" w:w="1704"/>
          </w:tcPr>
          <w:p>
            <w:pPr>
              <w:spacing w:after="0"/>
            </w:pPr>
            <w:r>
              <w:rPr>
                <w:rFonts w:ascii="Arial" w:hAnsi="Arial"/>
                <w:b w:val="0"/>
                <w:sz w:val="12"/>
              </w:rPr>
              <w:t>Chapters 4, 7, 8, Appendices E/F</w:t>
            </w:r>
          </w:p>
        </w:tc>
        <w:tc>
          <w:tcPr>
            <w:tcW w:type="dxa" w:w="1704"/>
          </w:tcPr>
          <w:p>
            <w:pPr>
              <w:spacing w:after="0"/>
            </w:pPr>
            <w:r>
              <w:rPr>
                <w:rFonts w:ascii="Arial" w:hAnsi="Arial"/>
                <w:b w:val="0"/>
                <w:sz w:val="12"/>
              </w:rPr>
              <w:t>Verify citation rendering and article/standard references</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Does not change legal interpretation</w:t>
            </w:r>
          </w:p>
        </w:tc>
      </w:tr>
      <w:tr>
        <w:tc>
          <w:tcPr>
            <w:tcW w:type="dxa" w:w="1704"/>
          </w:tcPr>
          <w:p>
            <w:pPr>
              <w:spacing w:after="0"/>
            </w:pPr>
            <w:r>
              <w:rPr>
                <w:rFonts w:ascii="Arial" w:hAnsi="Arial"/>
                <w:b w:val="0"/>
                <w:sz w:val="12"/>
              </w:rPr>
              <w:t>FIGURE-TABLE-REFERENCES</w:t>
            </w:r>
          </w:p>
        </w:tc>
        <w:tc>
          <w:tcPr>
            <w:tcW w:type="dxa" w:w="1704"/>
          </w:tcPr>
          <w:p>
            <w:pPr>
              <w:spacing w:after="0"/>
            </w:pPr>
            <w:r>
              <w:rPr>
                <w:rFonts w:ascii="Arial" w:hAnsi="Arial"/>
                <w:b w:val="0"/>
                <w:sz w:val="12"/>
              </w:rPr>
              <w:t>Internal references</w:t>
            </w:r>
          </w:p>
        </w:tc>
        <w:tc>
          <w:tcPr>
            <w:tcW w:type="dxa" w:w="1704"/>
          </w:tcPr>
          <w:p>
            <w:pPr>
              <w:spacing w:after="0"/>
            </w:pPr>
            <w:r>
              <w:rPr>
                <w:rFonts w:ascii="Arial" w:hAnsi="Arial"/>
                <w:b w:val="0"/>
                <w:sz w:val="12"/>
              </w:rPr>
              <w:t>Entire source</w:t>
            </w:r>
          </w:p>
        </w:tc>
        <w:tc>
          <w:tcPr>
            <w:tcW w:type="dxa" w:w="1704"/>
          </w:tcPr>
          <w:p>
            <w:pPr>
              <w:spacing w:after="0"/>
            </w:pPr>
            <w:r>
              <w:rPr>
                <w:rFonts w:ascii="Arial" w:hAnsi="Arial"/>
                <w:b w:val="0"/>
                <w:sz w:val="12"/>
              </w:rPr>
              <w:t>Verify table and figure references render correctly</w:t>
            </w:r>
          </w:p>
        </w:tc>
        <w:tc>
          <w:tcPr>
            <w:tcW w:type="dxa" w:w="1704"/>
          </w:tcPr>
          <w:p>
            <w:pPr>
              <w:spacing w:after="0"/>
            </w:pPr>
            <w:r>
              <w:rPr>
                <w:rFonts w:ascii="Arial" w:hAnsi="Arial"/>
                <w:b w:val="0"/>
                <w:sz w:val="12"/>
              </w:rPr>
              <w:t>Medium</w:t>
            </w:r>
          </w:p>
        </w:tc>
        <w:tc>
          <w:tcPr>
            <w:tcW w:type="dxa" w:w="1704"/>
          </w:tcPr>
          <w:p>
            <w:pPr>
              <w:spacing w:after="0"/>
            </w:pPr>
            <w:r>
              <w:rPr>
                <w:rFonts w:ascii="Arial" w:hAnsi="Arial"/>
                <w:b w:val="0"/>
                <w:sz w:val="12"/>
              </w:rPr>
              <w:t>Coordinate with Phase 1D layout QA</w:t>
            </w:r>
          </w:p>
        </w:tc>
      </w:tr>
    </w:tbl>
    <w:p>
      <w:pPr>
        <w:spacing w:after="56"/>
      </w:pPr>
      <w:r>
        <w:t>Phase 1C follow-up located or validated official source entry points for the high-priority L2 groups. Final page-level citation pinning and DOCX/PDF citation rendering remain Phase 1D/publication-candidate tasks.</w:t>
      </w:r>
    </w:p>
    <w:p>
      <w:pPr>
        <w:pStyle w:val="Heading2"/>
      </w:pPr>
      <w:r>
        <w:t>I.5 Evidence Level Reclassification Rules</w:t>
      </w:r>
    </w:p>
    <w:p>
      <w:pPr>
        <w:keepNext/>
      </w:pPr>
      <w:r>
        <w:rPr>
          <w:b/>
          <w:sz w:val="16"/>
        </w:rPr>
        <w:t>Table T-I-03: Evidence Level Reclassification Rules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Current Level</w:t>
            </w:r>
          </w:p>
        </w:tc>
        <w:tc>
          <w:tcPr>
            <w:tcW w:type="dxa" w:w="2045"/>
          </w:tcPr>
          <w:p>
            <w:pPr>
              <w:spacing w:after="0"/>
            </w:pPr>
            <w:r>
              <w:rPr>
                <w:rFonts w:ascii="Arial" w:hAnsi="Arial"/>
                <w:b/>
                <w:sz w:val="14"/>
              </w:rPr>
              <w:t>Trigger for Reclassification</w:t>
            </w:r>
          </w:p>
        </w:tc>
        <w:tc>
          <w:tcPr>
            <w:tcW w:type="dxa" w:w="2045"/>
          </w:tcPr>
          <w:p>
            <w:pPr>
              <w:spacing w:after="0"/>
            </w:pPr>
            <w:r>
              <w:rPr>
                <w:rFonts w:ascii="Arial" w:hAnsi="Arial"/>
                <w:b/>
                <w:sz w:val="14"/>
              </w:rPr>
              <w:t>New Level</w:t>
            </w:r>
          </w:p>
        </w:tc>
        <w:tc>
          <w:tcPr>
            <w:tcW w:type="dxa" w:w="2045"/>
          </w:tcPr>
          <w:p>
            <w:pPr>
              <w:spacing w:after="0"/>
            </w:pPr>
            <w:r>
              <w:rPr>
                <w:rFonts w:ascii="Arial" w:hAnsi="Arial"/>
                <w:b/>
                <w:sz w:val="14"/>
              </w:rPr>
              <w:t>Required Documentation</w:t>
            </w:r>
          </w:p>
        </w:tc>
        <w:tc>
          <w:tcPr>
            <w:tcW w:type="dxa" w:w="2045"/>
          </w:tcPr>
          <w:p>
            <w:pPr>
              <w:spacing w:after="0"/>
            </w:pPr>
            <w:r>
              <w:rPr>
                <w:rFonts w:ascii="Arial" w:hAnsi="Arial"/>
                <w:b/>
                <w:sz w:val="14"/>
              </w:rPr>
              <w:t>Reviewer Note</w:t>
            </w:r>
          </w:p>
        </w:tc>
      </w:tr>
      <w:tr>
        <w:tc>
          <w:tcPr>
            <w:tcW w:type="dxa" w:w="2045"/>
          </w:tcPr>
          <w:p>
            <w:pPr>
              <w:spacing w:after="0"/>
            </w:pPr>
            <w:r>
              <w:rPr>
                <w:rFonts w:ascii="Arial" w:hAnsi="Arial"/>
                <w:b w:val="0"/>
                <w:sz w:val="14"/>
              </w:rPr>
              <w:t>L5 author inference</w:t>
            </w:r>
          </w:p>
        </w:tc>
        <w:tc>
          <w:tcPr>
            <w:tcW w:type="dxa" w:w="2045"/>
          </w:tcPr>
          <w:p>
            <w:pPr>
              <w:spacing w:after="0"/>
            </w:pPr>
            <w:r>
              <w:rPr>
                <w:rFonts w:ascii="Arial" w:hAnsi="Arial"/>
                <w:b w:val="0"/>
                <w:sz w:val="14"/>
              </w:rPr>
              <w:t>Official product documentation directly supports the claim</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Source URL, publication/access date, quoted claim summary, mapped claim location</w:t>
            </w:r>
          </w:p>
        </w:tc>
        <w:tc>
          <w:tcPr>
            <w:tcW w:type="dxa" w:w="2045"/>
          </w:tcPr>
          <w:p>
            <w:pPr>
              <w:spacing w:after="0"/>
            </w:pPr>
            <w:r>
              <w:rPr>
                <w:rFonts w:ascii="Arial" w:hAnsi="Arial"/>
                <w:b w:val="0"/>
                <w:sz w:val="14"/>
              </w:rPr>
              <w:t>Do not reclassify based on assumption</w:t>
            </w:r>
          </w:p>
        </w:tc>
      </w:tr>
      <w:tr>
        <w:tc>
          <w:tcPr>
            <w:tcW w:type="dxa" w:w="2045"/>
          </w:tcPr>
          <w:p>
            <w:pPr>
              <w:spacing w:after="0"/>
            </w:pPr>
            <w:r>
              <w:rPr>
                <w:rFonts w:ascii="Arial" w:hAnsi="Arial"/>
                <w:b w:val="0"/>
                <w:sz w:val="14"/>
              </w:rPr>
              <w:t>L4 vendor claim</w:t>
            </w:r>
          </w:p>
        </w:tc>
        <w:tc>
          <w:tcPr>
            <w:tcW w:type="dxa" w:w="2045"/>
          </w:tcPr>
          <w:p>
            <w:pPr>
              <w:spacing w:after="0"/>
            </w:pPr>
            <w:r>
              <w:rPr>
                <w:rFonts w:ascii="Arial" w:hAnsi="Arial"/>
                <w:b w:val="0"/>
                <w:sz w:val="14"/>
              </w:rPr>
              <w:t>Claim is found in official technical documentation with implementation detail</w:t>
            </w:r>
          </w:p>
        </w:tc>
        <w:tc>
          <w:tcPr>
            <w:tcW w:type="dxa" w:w="2045"/>
          </w:tcPr>
          <w:p>
            <w:pPr>
              <w:spacing w:after="0"/>
            </w:pPr>
            <w:r>
              <w:rPr>
                <w:rFonts w:ascii="Arial" w:hAnsi="Arial"/>
                <w:b w:val="0"/>
                <w:sz w:val="14"/>
              </w:rPr>
              <w:t>L2</w:t>
            </w:r>
          </w:p>
        </w:tc>
        <w:tc>
          <w:tcPr>
            <w:tcW w:type="dxa" w:w="2045"/>
          </w:tcPr>
          <w:p>
            <w:pPr>
              <w:spacing w:after="0"/>
            </w:pPr>
            <w:r>
              <w:rPr>
                <w:rFonts w:ascii="Arial" w:hAnsi="Arial"/>
                <w:b w:val="0"/>
                <w:sz w:val="14"/>
              </w:rPr>
              <w:t>Official documentation reference and implementation detail</w:t>
            </w:r>
          </w:p>
        </w:tc>
        <w:tc>
          <w:tcPr>
            <w:tcW w:type="dxa" w:w="2045"/>
          </w:tcPr>
          <w:p>
            <w:pPr>
              <w:spacing w:after="0"/>
            </w:pPr>
            <w:r>
              <w:rPr>
                <w:rFonts w:ascii="Arial" w:hAnsi="Arial"/>
                <w:b w:val="0"/>
                <w:sz w:val="14"/>
              </w:rPr>
              <w:t>Marketing-only material remains L4</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Documentation no longer exists, changed materially, or no longer supports the claim</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Change note, archived pointer if available, unsupported claim record</w:t>
            </w:r>
          </w:p>
        </w:tc>
        <w:tc>
          <w:tcPr>
            <w:tcW w:type="dxa" w:w="2045"/>
          </w:tcPr>
          <w:p>
            <w:pPr>
              <w:spacing w:after="0"/>
            </w:pPr>
            <w:r>
              <w:rPr>
                <w:rFonts w:ascii="Arial" w:hAnsi="Arial"/>
                <w:b w:val="0"/>
                <w:sz w:val="14"/>
              </w:rPr>
              <w:t>Downgrade evidence rather than preserving stale confidence</w:t>
            </w:r>
          </w:p>
        </w:tc>
      </w:tr>
      <w:tr>
        <w:tc>
          <w:tcPr>
            <w:tcW w:type="dxa" w:w="2045"/>
          </w:tcPr>
          <w:p>
            <w:pPr>
              <w:spacing w:after="0"/>
            </w:pPr>
            <w:r>
              <w:rPr>
                <w:rFonts w:ascii="Arial" w:hAnsi="Arial"/>
                <w:b w:val="0"/>
                <w:sz w:val="14"/>
              </w:rPr>
              <w:t>L2 product documentation</w:t>
            </w:r>
          </w:p>
        </w:tc>
        <w:tc>
          <w:tcPr>
            <w:tcW w:type="dxa" w:w="2045"/>
          </w:tcPr>
          <w:p>
            <w:pPr>
              <w:spacing w:after="0"/>
            </w:pPr>
            <w:r>
              <w:rPr>
                <w:rFonts w:ascii="Arial" w:hAnsi="Arial"/>
                <w:b w:val="0"/>
                <w:sz w:val="14"/>
              </w:rPr>
              <w:t>Third-party audit report validates implementation detail</w:t>
            </w:r>
          </w:p>
        </w:tc>
        <w:tc>
          <w:tcPr>
            <w:tcW w:type="dxa" w:w="2045"/>
          </w:tcPr>
          <w:p>
            <w:pPr>
              <w:spacing w:after="0"/>
            </w:pPr>
            <w:r>
              <w:rPr>
                <w:rFonts w:ascii="Arial" w:hAnsi="Arial"/>
                <w:b w:val="0"/>
                <w:sz w:val="14"/>
              </w:rPr>
              <w:t>L3</w:t>
            </w:r>
          </w:p>
        </w:tc>
        <w:tc>
          <w:tcPr>
            <w:tcW w:type="dxa" w:w="2045"/>
          </w:tcPr>
          <w:p>
            <w:pPr>
              <w:spacing w:after="0"/>
            </w:pPr>
            <w:r>
              <w:rPr>
                <w:rFonts w:ascii="Arial" w:hAnsi="Arial"/>
                <w:b w:val="0"/>
                <w:sz w:val="14"/>
              </w:rPr>
              <w:t>Audit report reference, scope, date, and control mapping</w:t>
            </w:r>
          </w:p>
        </w:tc>
        <w:tc>
          <w:tcPr>
            <w:tcW w:type="dxa" w:w="2045"/>
          </w:tcPr>
          <w:p>
            <w:pPr>
              <w:spacing w:after="0"/>
            </w:pPr>
            <w:r>
              <w:rPr>
                <w:rFonts w:ascii="Arial" w:hAnsi="Arial"/>
                <w:b w:val="0"/>
                <w:sz w:val="14"/>
              </w:rPr>
              <w:t>Audit scope must match claim scope</w:t>
            </w:r>
          </w:p>
        </w:tc>
      </w:tr>
      <w:tr>
        <w:tc>
          <w:tcPr>
            <w:tcW w:type="dxa" w:w="2045"/>
          </w:tcPr>
          <w:p>
            <w:pPr>
              <w:spacing w:after="0"/>
            </w:pPr>
            <w:r>
              <w:rPr>
                <w:rFonts w:ascii="Arial" w:hAnsi="Arial"/>
                <w:b w:val="0"/>
                <w:sz w:val="14"/>
              </w:rPr>
              <w:t>L3 audit report</w:t>
            </w:r>
          </w:p>
        </w:tc>
        <w:tc>
          <w:tcPr>
            <w:tcW w:type="dxa" w:w="2045"/>
          </w:tcPr>
          <w:p>
            <w:pPr>
              <w:spacing w:after="0"/>
            </w:pPr>
            <w:r>
              <w:rPr>
                <w:rFonts w:ascii="Arial" w:hAnsi="Arial"/>
                <w:b w:val="0"/>
                <w:sz w:val="14"/>
              </w:rPr>
              <w:t>Audit scope does not cover the claim or is not accessible</w:t>
            </w:r>
          </w:p>
        </w:tc>
        <w:tc>
          <w:tcPr>
            <w:tcW w:type="dxa" w:w="2045"/>
          </w:tcPr>
          <w:p>
            <w:pPr>
              <w:spacing w:after="0"/>
            </w:pPr>
            <w:r>
              <w:rPr>
                <w:rFonts w:ascii="Arial" w:hAnsi="Arial"/>
                <w:b w:val="0"/>
                <w:sz w:val="14"/>
              </w:rPr>
              <w:t>L4 or L5</w:t>
            </w:r>
          </w:p>
        </w:tc>
        <w:tc>
          <w:tcPr>
            <w:tcW w:type="dxa" w:w="2045"/>
          </w:tcPr>
          <w:p>
            <w:pPr>
              <w:spacing w:after="0"/>
            </w:pPr>
            <w:r>
              <w:rPr>
                <w:rFonts w:ascii="Arial" w:hAnsi="Arial"/>
                <w:b w:val="0"/>
                <w:sz w:val="14"/>
              </w:rPr>
              <w:t>Gap explanation and reviewer note</w:t>
            </w:r>
          </w:p>
        </w:tc>
        <w:tc>
          <w:tcPr>
            <w:tcW w:type="dxa" w:w="2045"/>
          </w:tcPr>
          <w:p>
            <w:pPr>
              <w:spacing w:after="0"/>
            </w:pPr>
            <w:r>
              <w:rPr>
                <w:rFonts w:ascii="Arial" w:hAnsi="Arial"/>
                <w:b w:val="0"/>
                <w:sz w:val="14"/>
              </w:rPr>
              <w:t>Do not infer coverage from report existence</w:t>
            </w:r>
          </w:p>
        </w:tc>
      </w:tr>
      <w:tr>
        <w:tc>
          <w:tcPr>
            <w:tcW w:type="dxa" w:w="2045"/>
          </w:tcPr>
          <w:p>
            <w:pPr>
              <w:spacing w:after="0"/>
            </w:pPr>
            <w:r>
              <w:rPr>
                <w:rFonts w:ascii="Arial" w:hAnsi="Arial"/>
                <w:b w:val="0"/>
                <w:sz w:val="14"/>
              </w:rPr>
              <w:t>L1 legal text</w:t>
            </w:r>
          </w:p>
        </w:tc>
        <w:tc>
          <w:tcPr>
            <w:tcW w:type="dxa" w:w="2045"/>
          </w:tcPr>
          <w:p>
            <w:pPr>
              <w:spacing w:after="0"/>
            </w:pPr>
            <w:r>
              <w:rPr>
                <w:rFonts w:ascii="Arial" w:hAnsi="Arial"/>
                <w:b w:val="0"/>
                <w:sz w:val="14"/>
              </w:rPr>
              <w:t>Legal text establishes regulatory baseline but not system implementation</w:t>
            </w:r>
          </w:p>
        </w:tc>
        <w:tc>
          <w:tcPr>
            <w:tcW w:type="dxa" w:w="2045"/>
          </w:tcPr>
          <w:p>
            <w:pPr>
              <w:spacing w:after="0"/>
            </w:pPr>
            <w:r>
              <w:rPr>
                <w:rFonts w:ascii="Arial" w:hAnsi="Arial"/>
                <w:b w:val="0"/>
                <w:sz w:val="14"/>
              </w:rPr>
              <w:t>L1 for baseline only</w:t>
            </w:r>
          </w:p>
        </w:tc>
        <w:tc>
          <w:tcPr>
            <w:tcW w:type="dxa" w:w="2045"/>
          </w:tcPr>
          <w:p>
            <w:pPr>
              <w:spacing w:after="0"/>
            </w:pPr>
            <w:r>
              <w:rPr>
                <w:rFonts w:ascii="Arial" w:hAnsi="Arial"/>
                <w:b w:val="0"/>
                <w:sz w:val="14"/>
              </w:rPr>
              <w:t>Citation and claim boundary note</w:t>
            </w:r>
          </w:p>
        </w:tc>
        <w:tc>
          <w:tcPr>
            <w:tcW w:type="dxa" w:w="2045"/>
          </w:tcPr>
          <w:p>
            <w:pPr>
              <w:spacing w:after="0"/>
            </w:pPr>
            <w:r>
              <w:rPr>
                <w:rFonts w:ascii="Arial" w:hAnsi="Arial"/>
                <w:b w:val="0"/>
                <w:sz w:val="14"/>
              </w:rPr>
              <w:t>Do not use legal text alone as implementation evidence</w:t>
            </w:r>
          </w:p>
        </w:tc>
      </w:tr>
      <w:tr>
        <w:tc>
          <w:tcPr>
            <w:tcW w:type="dxa" w:w="2045"/>
          </w:tcPr>
          <w:p>
            <w:pPr>
              <w:spacing w:after="0"/>
            </w:pPr>
            <w:r>
              <w:rPr>
                <w:rFonts w:ascii="Arial" w:hAnsi="Arial"/>
                <w:b w:val="0"/>
                <w:sz w:val="14"/>
              </w:rPr>
              <w:t>Any level</w:t>
            </w:r>
          </w:p>
        </w:tc>
        <w:tc>
          <w:tcPr>
            <w:tcW w:type="dxa" w:w="2045"/>
          </w:tcPr>
          <w:p>
            <w:pPr>
              <w:spacing w:after="0"/>
            </w:pPr>
            <w:r>
              <w:rPr>
                <w:rFonts w:ascii="Arial" w:hAnsi="Arial"/>
                <w:b w:val="0"/>
                <w:sz w:val="14"/>
              </w:rPr>
              <w:t>Source is unverifiable during source review</w:t>
            </w:r>
          </w:p>
        </w:tc>
        <w:tc>
          <w:tcPr>
            <w:tcW w:type="dxa" w:w="2045"/>
          </w:tcPr>
          <w:p>
            <w:pPr>
              <w:spacing w:after="0"/>
            </w:pPr>
            <w:r>
              <w:rPr>
                <w:rFonts w:ascii="Arial" w:hAnsi="Arial"/>
                <w:b w:val="0"/>
                <w:sz w:val="14"/>
              </w:rPr>
              <w:t>Lower confidence level or unresolved</w:t>
            </w:r>
          </w:p>
        </w:tc>
        <w:tc>
          <w:tcPr>
            <w:tcW w:type="dxa" w:w="2045"/>
          </w:tcPr>
          <w:p>
            <w:pPr>
              <w:spacing w:after="0"/>
            </w:pPr>
            <w:r>
              <w:rPr>
                <w:rFonts w:ascii="Arial" w:hAnsi="Arial"/>
                <w:b w:val="0"/>
                <w:sz w:val="14"/>
              </w:rPr>
              <w:t>Verification attempt log and unresolved issue record</w:t>
            </w:r>
          </w:p>
        </w:tc>
        <w:tc>
          <w:tcPr>
            <w:tcW w:type="dxa" w:w="2045"/>
          </w:tcPr>
          <w:p>
            <w:pPr>
              <w:spacing w:after="0"/>
            </w:pPr>
            <w:r>
              <w:rPr>
                <w:rFonts w:ascii="Arial" w:hAnsi="Arial"/>
                <w:b w:val="0"/>
                <w:sz w:val="14"/>
              </w:rPr>
              <w:t>Preserve uncertainty explicitly</w:t>
            </w:r>
          </w:p>
        </w:tc>
      </w:tr>
    </w:tbl>
    <w:p>
      <w:pPr>
        <w:pStyle w:val="Heading2"/>
      </w:pPr>
      <w:r>
        <w:t>I.6 Source Coverage Matrix Validation Note</w:t>
      </w:r>
    </w:p>
    <w:p>
      <w:pPr>
        <w:keepNext/>
      </w:pPr>
      <w:r>
        <w:rPr>
          <w:b/>
          <w:sz w:val="16"/>
        </w:rPr>
        <w:t>Table T-I-04: Source Coverage Matrix Validation Checklist</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Coverage Area</w:t>
            </w:r>
          </w:p>
        </w:tc>
        <w:tc>
          <w:tcPr>
            <w:tcW w:type="dxa" w:w="2045"/>
          </w:tcPr>
          <w:p>
            <w:pPr>
              <w:spacing w:after="0"/>
            </w:pPr>
            <w:r>
              <w:rPr>
                <w:rFonts w:ascii="Arial" w:hAnsi="Arial"/>
                <w:b/>
                <w:sz w:val="14"/>
              </w:rPr>
              <w:t>Expected Source Type</w:t>
            </w:r>
          </w:p>
        </w:tc>
        <w:tc>
          <w:tcPr>
            <w:tcW w:type="dxa" w:w="2045"/>
          </w:tcPr>
          <w:p>
            <w:pPr>
              <w:spacing w:after="0"/>
            </w:pPr>
            <w:r>
              <w:rPr>
                <w:rFonts w:ascii="Arial" w:hAnsi="Arial"/>
                <w:b/>
                <w:sz w:val="14"/>
              </w:rPr>
              <w:t>Current Status</w:t>
            </w:r>
          </w:p>
        </w:tc>
        <w:tc>
          <w:tcPr>
            <w:tcW w:type="dxa" w:w="2045"/>
          </w:tcPr>
          <w:p>
            <w:pPr>
              <w:spacing w:after="0"/>
            </w:pPr>
            <w:r>
              <w:rPr>
                <w:rFonts w:ascii="Arial" w:hAnsi="Arial"/>
                <w:b/>
                <w:sz w:val="14"/>
              </w:rPr>
              <w:t>Gap</w:t>
            </w:r>
          </w:p>
        </w:tc>
        <w:tc>
          <w:tcPr>
            <w:tcW w:type="dxa" w:w="2045"/>
          </w:tcPr>
          <w:p>
            <w:pPr>
              <w:spacing w:after="0"/>
            </w:pPr>
            <w:r>
              <w:rPr>
                <w:rFonts w:ascii="Arial" w:hAnsi="Arial"/>
                <w:b/>
                <w:sz w:val="14"/>
              </w:rPr>
              <w:t>Publication Follow-up Action</w:t>
            </w:r>
          </w:p>
        </w:tc>
      </w:tr>
      <w:tr>
        <w:tc>
          <w:tcPr>
            <w:tcW w:type="dxa" w:w="2045"/>
          </w:tcPr>
          <w:p>
            <w:pPr>
              <w:spacing w:after="0"/>
            </w:pPr>
            <w:r>
              <w:rPr>
                <w:rFonts w:ascii="Arial" w:hAnsi="Arial"/>
                <w:b w:val="0"/>
                <w:sz w:val="14"/>
              </w:rPr>
              <w:t>Legal baseline claims</w:t>
            </w:r>
          </w:p>
        </w:tc>
        <w:tc>
          <w:tcPr>
            <w:tcW w:type="dxa" w:w="2045"/>
          </w:tcPr>
          <w:p>
            <w:pPr>
              <w:spacing w:after="0"/>
            </w:pPr>
            <w:r>
              <w:rPr>
                <w:rFonts w:ascii="Arial" w:hAnsi="Arial"/>
                <w:b w:val="0"/>
                <w:sz w:val="14"/>
              </w:rPr>
              <w:t>L1 legal / regulatory text</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article mapping not globally validated</w:t>
            </w:r>
          </w:p>
        </w:tc>
        <w:tc>
          <w:tcPr>
            <w:tcW w:type="dxa" w:w="2045"/>
          </w:tcPr>
          <w:p>
            <w:pPr>
              <w:spacing w:after="0"/>
            </w:pPr>
            <w:r>
              <w:rPr>
                <w:rFonts w:ascii="Arial" w:hAnsi="Arial"/>
                <w:b w:val="0"/>
                <w:sz w:val="14"/>
              </w:rPr>
              <w:t>Verify all legal citations and claim boundaries</w:t>
            </w:r>
          </w:p>
        </w:tc>
      </w:tr>
      <w:tr>
        <w:tc>
          <w:tcPr>
            <w:tcW w:type="dxa" w:w="2045"/>
          </w:tcPr>
          <w:p>
            <w:pPr>
              <w:spacing w:after="0"/>
            </w:pPr>
            <w:r>
              <w:rPr>
                <w:rFonts w:ascii="Arial" w:hAnsi="Arial"/>
                <w:b w:val="0"/>
                <w:sz w:val="14"/>
              </w:rPr>
              <w:t>Standards baseline claims</w:t>
            </w:r>
          </w:p>
        </w:tc>
        <w:tc>
          <w:tcPr>
            <w:tcW w:type="dxa" w:w="2045"/>
          </w:tcPr>
          <w:p>
            <w:pPr>
              <w:spacing w:after="0"/>
            </w:pPr>
            <w:r>
              <w:rPr>
                <w:rFonts w:ascii="Arial" w:hAnsi="Arial"/>
                <w:b w:val="0"/>
                <w:sz w:val="14"/>
              </w:rPr>
              <w:t>L1 formal standards</w:t>
            </w:r>
          </w:p>
        </w:tc>
        <w:tc>
          <w:tcPr>
            <w:tcW w:type="dxa" w:w="2045"/>
          </w:tcPr>
          <w:p>
            <w:pPr>
              <w:spacing w:after="0"/>
            </w:pPr>
            <w:r>
              <w:rPr>
                <w:rFonts w:ascii="Arial" w:hAnsi="Arial"/>
                <w:b w:val="0"/>
                <w:sz w:val="14"/>
              </w:rPr>
              <w:t>Referenced in baseline chapters</w:t>
            </w:r>
          </w:p>
        </w:tc>
        <w:tc>
          <w:tcPr>
            <w:tcW w:type="dxa" w:w="2045"/>
          </w:tcPr>
          <w:p>
            <w:pPr>
              <w:spacing w:after="0"/>
            </w:pPr>
            <w:r>
              <w:rPr>
                <w:rFonts w:ascii="Arial" w:hAnsi="Arial"/>
                <w:b w:val="0"/>
                <w:sz w:val="14"/>
              </w:rPr>
              <w:t>Citation rendering and standard references not globally validated</w:t>
            </w:r>
          </w:p>
        </w:tc>
        <w:tc>
          <w:tcPr>
            <w:tcW w:type="dxa" w:w="2045"/>
          </w:tcPr>
          <w:p>
            <w:pPr>
              <w:spacing w:after="0"/>
            </w:pPr>
            <w:r>
              <w:rPr>
                <w:rFonts w:ascii="Arial" w:hAnsi="Arial"/>
                <w:b w:val="0"/>
                <w:sz w:val="14"/>
              </w:rPr>
              <w:t>Verify all standards citations</w:t>
            </w:r>
          </w:p>
        </w:tc>
      </w:tr>
      <w:tr>
        <w:tc>
          <w:tcPr>
            <w:tcW w:type="dxa" w:w="2045"/>
          </w:tcPr>
          <w:p>
            <w:pPr>
              <w:spacing w:after="0"/>
            </w:pPr>
            <w:r>
              <w:rPr>
                <w:rFonts w:ascii="Arial" w:hAnsi="Arial"/>
                <w:b w:val="0"/>
                <w:sz w:val="14"/>
              </w:rPr>
              <w:t>Product capability claims</w:t>
            </w:r>
          </w:p>
        </w:tc>
        <w:tc>
          <w:tcPr>
            <w:tcW w:type="dxa" w:w="2045"/>
          </w:tcPr>
          <w:p>
            <w:pPr>
              <w:spacing w:after="0"/>
            </w:pPr>
            <w:r>
              <w:rPr>
                <w:rFonts w:ascii="Arial" w:hAnsi="Arial"/>
                <w:b w:val="0"/>
                <w:sz w:val="14"/>
              </w:rPr>
              <w:t>L2 product documentation plus L5 mapping where needed</w:t>
            </w:r>
          </w:p>
        </w:tc>
        <w:tc>
          <w:tcPr>
            <w:tcW w:type="dxa" w:w="2045"/>
          </w:tcPr>
          <w:p>
            <w:pPr>
              <w:spacing w:after="0"/>
            </w:pPr>
            <w:r>
              <w:rPr>
                <w:rFonts w:ascii="Arial" w:hAnsi="Arial"/>
                <w:b w:val="0"/>
                <w:sz w:val="14"/>
              </w:rPr>
              <w:t>Claim-level source binding applied</w:t>
            </w:r>
          </w:p>
        </w:tc>
        <w:tc>
          <w:tcPr>
            <w:tcW w:type="dxa" w:w="2045"/>
          </w:tcPr>
          <w:p>
            <w:pPr>
              <w:spacing w:after="0"/>
            </w:pPr>
            <w:r>
              <w:rPr>
                <w:rFonts w:ascii="Arial" w:hAnsi="Arial"/>
                <w:b w:val="0"/>
                <w:sz w:val="14"/>
              </w:rPr>
              <w:t>Exact page-level citation pinning remains for publication-candidate QA</w:t>
            </w:r>
          </w:p>
        </w:tc>
        <w:tc>
          <w:tcPr>
            <w:tcW w:type="dxa" w:w="2045"/>
          </w:tcPr>
          <w:p>
            <w:pPr>
              <w:spacing w:after="0"/>
            </w:pPr>
            <w:r>
              <w:rPr>
                <w:rFonts w:ascii="Arial" w:hAnsi="Arial"/>
                <w:b w:val="0"/>
                <w:sz w:val="14"/>
              </w:rPr>
              <w:t>Preserve narrowed claims and L5 downgrades during publication QA</w:t>
            </w:r>
          </w:p>
        </w:tc>
      </w:tr>
      <w:tr>
        <w:tc>
          <w:tcPr>
            <w:tcW w:type="dxa" w:w="2045"/>
          </w:tcPr>
          <w:p>
            <w:pPr>
              <w:spacing w:after="0"/>
            </w:pPr>
            <w:r>
              <w:rPr>
                <w:rFonts w:ascii="Arial" w:hAnsi="Arial"/>
                <w:b w:val="0"/>
                <w:sz w:val="14"/>
              </w:rPr>
              <w:t>MPLP protocol mapping</w:t>
            </w:r>
          </w:p>
        </w:tc>
        <w:tc>
          <w:tcPr>
            <w:tcW w:type="dxa" w:w="2045"/>
          </w:tcPr>
          <w:p>
            <w:pPr>
              <w:spacing w:after="0"/>
            </w:pPr>
            <w:r>
              <w:rPr>
                <w:rFonts w:ascii="Arial" w:hAnsi="Arial"/>
                <w:b w:val="0"/>
                <w:sz w:val="14"/>
              </w:rPr>
              <w:t>L2 protocol docs plus disclosed author relationship</w:t>
            </w:r>
          </w:p>
        </w:tc>
        <w:tc>
          <w:tcPr>
            <w:tcW w:type="dxa" w:w="2045"/>
          </w:tcPr>
          <w:p>
            <w:pPr>
              <w:spacing w:after="0"/>
            </w:pPr>
            <w:r>
              <w:rPr>
                <w:rFonts w:ascii="Arial" w:hAnsi="Arial"/>
                <w:b w:val="0"/>
                <w:sz w:val="14"/>
              </w:rPr>
              <w:t>Official docs entry point located; mapping remains L2 + L5</w:t>
            </w:r>
          </w:p>
        </w:tc>
        <w:tc>
          <w:tcPr>
            <w:tcW w:type="dxa" w:w="2045"/>
          </w:tcPr>
          <w:p>
            <w:pPr>
              <w:spacing w:after="0"/>
            </w:pPr>
            <w:r>
              <w:rPr>
                <w:rFonts w:ascii="Arial" w:hAnsi="Arial"/>
                <w:b w:val="0"/>
                <w:sz w:val="14"/>
              </w:rPr>
              <w:t>Version/citation rendering still requires final proofing</w:t>
            </w:r>
          </w:p>
        </w:tc>
        <w:tc>
          <w:tcPr>
            <w:tcW w:type="dxa" w:w="2045"/>
          </w:tcPr>
          <w:p>
            <w:pPr>
              <w:spacing w:after="0"/>
            </w:pPr>
            <w:r>
              <w:rPr>
                <w:rFonts w:ascii="Arial" w:hAnsi="Arial"/>
                <w:b w:val="0"/>
                <w:sz w:val="14"/>
              </w:rPr>
              <w:t>Preserve conflict-of-interest and implementation-proof boundary</w:t>
            </w:r>
          </w:p>
        </w:tc>
      </w:tr>
      <w:tr>
        <w:tc>
          <w:tcPr>
            <w:tcW w:type="dxa" w:w="2045"/>
          </w:tcPr>
          <w:p>
            <w:pPr>
              <w:spacing w:after="0"/>
            </w:pPr>
            <w:r>
              <w:rPr>
                <w:rFonts w:ascii="Arial" w:hAnsi="Arial"/>
                <w:b w:val="0"/>
                <w:sz w:val="14"/>
              </w:rPr>
              <w:t>Validation Lab discussion</w:t>
            </w:r>
          </w:p>
        </w:tc>
        <w:tc>
          <w:tcPr>
            <w:tcW w:type="dxa" w:w="2045"/>
          </w:tcPr>
          <w:p>
            <w:pPr>
              <w:spacing w:after="0"/>
            </w:pPr>
            <w:r>
              <w:rPr>
                <w:rFonts w:ascii="Arial" w:hAnsi="Arial"/>
                <w:b w:val="0"/>
                <w:sz w:val="14"/>
              </w:rPr>
              <w:t>L2 public entry point plus L5 methodology interpretation</w:t>
            </w:r>
          </w:p>
        </w:tc>
        <w:tc>
          <w:tcPr>
            <w:tcW w:type="dxa" w:w="2045"/>
          </w:tcPr>
          <w:p>
            <w:pPr>
              <w:spacing w:after="0"/>
            </w:pPr>
            <w:r>
              <w:rPr>
                <w:rFonts w:ascii="Arial" w:hAnsi="Arial"/>
                <w:b w:val="0"/>
                <w:sz w:val="14"/>
              </w:rPr>
              <w:t>Public entry point located; methodology-specific support remains boundary-limited</w:t>
            </w:r>
          </w:p>
        </w:tc>
        <w:tc>
          <w:tcPr>
            <w:tcW w:type="dxa" w:w="2045"/>
          </w:tcPr>
          <w:p>
            <w:pPr>
              <w:spacing w:after="0"/>
            </w:pPr>
            <w:r>
              <w:rPr>
                <w:rFonts w:ascii="Arial" w:hAnsi="Arial"/>
                <w:b w:val="0"/>
                <w:sz w:val="14"/>
              </w:rPr>
              <w:t>Exact methodology citation may remain unresolved</w:t>
            </w:r>
          </w:p>
        </w:tc>
        <w:tc>
          <w:tcPr>
            <w:tcW w:type="dxa" w:w="2045"/>
          </w:tcPr>
          <w:p>
            <w:pPr>
              <w:spacing w:after="0"/>
            </w:pPr>
            <w:r>
              <w:rPr>
                <w:rFonts w:ascii="Arial" w:hAnsi="Arial"/>
                <w:b w:val="0"/>
                <w:sz w:val="14"/>
              </w:rPr>
              <w:t>Keep non-certifying boundary and do not promote methodology claims</w:t>
            </w:r>
          </w:p>
        </w:tc>
      </w:tr>
      <w:tr>
        <w:tc>
          <w:tcPr>
            <w:tcW w:type="dxa" w:w="2045"/>
          </w:tcPr>
          <w:p>
            <w:pPr>
              <w:spacing w:after="0"/>
            </w:pPr>
            <w:r>
              <w:rPr>
                <w:rFonts w:ascii="Arial" w:hAnsi="Arial"/>
                <w:b w:val="0"/>
                <w:sz w:val="14"/>
              </w:rPr>
              <w:t>Appendix G provisional assessments</w:t>
            </w:r>
          </w:p>
        </w:tc>
        <w:tc>
          <w:tcPr>
            <w:tcW w:type="dxa" w:w="2045"/>
          </w:tcPr>
          <w:p>
            <w:pPr>
              <w:spacing w:after="0"/>
            </w:pPr>
            <w:r>
              <w:rPr>
                <w:rFonts w:ascii="Arial" w:hAnsi="Arial"/>
                <w:b w:val="0"/>
                <w:sz w:val="14"/>
              </w:rPr>
              <w:t>L2 product docs and L5 inference</w:t>
            </w:r>
          </w:p>
        </w:tc>
        <w:tc>
          <w:tcPr>
            <w:tcW w:type="dxa" w:w="2045"/>
          </w:tcPr>
          <w:p>
            <w:pPr>
              <w:spacing w:after="0"/>
            </w:pPr>
            <w:r>
              <w:rPr>
                <w:rFonts w:ascii="Arial" w:hAnsi="Arial"/>
                <w:b w:val="0"/>
                <w:sz w:val="14"/>
              </w:rPr>
              <w:t>Revalidated provisional</w:t>
            </w:r>
          </w:p>
        </w:tc>
        <w:tc>
          <w:tcPr>
            <w:tcW w:type="dxa" w:w="2045"/>
          </w:tcPr>
          <w:p>
            <w:pPr>
              <w:spacing w:after="0"/>
            </w:pPr>
            <w:r>
              <w:rPr>
                <w:rFonts w:ascii="Arial" w:hAnsi="Arial"/>
                <w:b w:val="0"/>
                <w:sz w:val="14"/>
              </w:rPr>
              <w:t>Final assessment remains non-final and non-ranking</w:t>
            </w:r>
          </w:p>
        </w:tc>
        <w:tc>
          <w:tcPr>
            <w:tcW w:type="dxa" w:w="2045"/>
          </w:tcPr>
          <w:p>
            <w:pPr>
              <w:spacing w:after="0"/>
            </w:pPr>
            <w:r>
              <w:rPr>
                <w:rFonts w:ascii="Arial" w:hAnsi="Arial"/>
                <w:b w:val="0"/>
                <w:sz w:val="14"/>
              </w:rPr>
              <w:t>Preserve no-score/no-ranking posture and page-level citation needs</w:t>
            </w:r>
          </w:p>
        </w:tc>
      </w:tr>
      <w:tr>
        <w:tc>
          <w:tcPr>
            <w:tcW w:type="dxa" w:w="2045"/>
          </w:tcPr>
          <w:p>
            <w:pPr>
              <w:spacing w:after="0"/>
            </w:pPr>
            <w:r>
              <w:rPr>
                <w:rFonts w:ascii="Arial" w:hAnsi="Arial"/>
                <w:b w:val="0"/>
                <w:sz w:val="14"/>
              </w:rPr>
              <w:t>Citation inventory</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1C CLAIM-LEVEL REVIEWED — PROVISIONAL SOURCE BINDING COMPLETE</w:t>
            </w:r>
          </w:p>
        </w:tc>
        <w:tc>
          <w:tcPr>
            <w:tcW w:type="dxa" w:w="2045"/>
          </w:tcPr>
          <w:p>
            <w:pPr>
              <w:spacing w:after="0"/>
            </w:pPr>
            <w:r>
              <w:rPr>
                <w:rFonts w:ascii="Arial" w:hAnsi="Arial"/>
                <w:b w:val="0"/>
                <w:sz w:val="14"/>
              </w:rPr>
              <w:t>Exact citation pages and rendering not yet verified</w:t>
            </w:r>
          </w:p>
        </w:tc>
        <w:tc>
          <w:tcPr>
            <w:tcW w:type="dxa" w:w="2045"/>
          </w:tcPr>
          <w:p>
            <w:pPr>
              <w:spacing w:after="0"/>
            </w:pPr>
            <w:r>
              <w:rPr>
                <w:rFonts w:ascii="Arial" w:hAnsi="Arial"/>
                <w:b w:val="0"/>
                <w:sz w:val="14"/>
              </w:rPr>
              <w:t>Pin page-level citations before publication candidate</w:t>
            </w:r>
          </w:p>
        </w:tc>
      </w:tr>
      <w:tr>
        <w:tc>
          <w:tcPr>
            <w:tcW w:type="dxa" w:w="2045"/>
          </w:tcPr>
          <w:p>
            <w:pPr>
              <w:spacing w:after="0"/>
            </w:pPr>
            <w:r>
              <w:rPr>
                <w:rFonts w:ascii="Arial" w:hAnsi="Arial"/>
                <w:b w:val="0"/>
                <w:sz w:val="14"/>
              </w:rPr>
              <w:t>Source coverage matrix</w:t>
            </w:r>
          </w:p>
        </w:tc>
        <w:tc>
          <w:tcPr>
            <w:tcW w:type="dxa" w:w="2045"/>
          </w:tcPr>
          <w:p>
            <w:pPr>
              <w:spacing w:after="0"/>
            </w:pPr>
            <w:r>
              <w:rPr>
                <w:rFonts w:ascii="Arial" w:hAnsi="Arial"/>
                <w:b w:val="0"/>
                <w:sz w:val="14"/>
              </w:rPr>
              <w:t>Internal ledger</w:t>
            </w:r>
          </w:p>
        </w:tc>
        <w:tc>
          <w:tcPr>
            <w:tcW w:type="dxa" w:w="2045"/>
          </w:tcPr>
          <w:p>
            <w:pPr>
              <w:spacing w:after="0"/>
            </w:pPr>
            <w:r>
              <w:rPr>
                <w:rFonts w:ascii="Arial" w:hAnsi="Arial"/>
                <w:b w:val="0"/>
                <w:sz w:val="14"/>
              </w:rPr>
              <w:t>PHASE 1C CLAIM-LEVEL REVIEWED — PROVISIONAL SOURCE BINDING COMPLETE</w:t>
            </w:r>
          </w:p>
        </w:tc>
        <w:tc>
          <w:tcPr>
            <w:tcW w:type="dxa" w:w="2045"/>
          </w:tcPr>
          <w:p>
            <w:pPr>
              <w:spacing w:after="0"/>
            </w:pPr>
            <w:r>
              <w:rPr>
                <w:rFonts w:ascii="Arial" w:hAnsi="Arial"/>
                <w:b w:val="0"/>
                <w:sz w:val="14"/>
              </w:rPr>
              <w:t>Citation rendering and claim-label preservation not yet verified</w:t>
            </w:r>
          </w:p>
        </w:tc>
        <w:tc>
          <w:tcPr>
            <w:tcW w:type="dxa" w:w="2045"/>
          </w:tcPr>
          <w:p>
            <w:pPr>
              <w:spacing w:after="0"/>
            </w:pPr>
            <w:r>
              <w:rPr>
                <w:rFonts w:ascii="Arial" w:hAnsi="Arial"/>
                <w:b w:val="0"/>
                <w:sz w:val="14"/>
              </w:rPr>
              <w:t>Verify source labels during Phase 1D/publication QA</w:t>
            </w:r>
          </w:p>
        </w:tc>
      </w:tr>
    </w:tbl>
    <w:p>
      <w:pPr>
        <w:spacing w:after="56"/>
      </w:pPr>
      <w:r>
        <w:t>The source coverage matrix has been updated during Phase 1C as a coverage ledger and during Phase 1C follow-up as a claim-level source-binding ledger. Publication-candidate QA still requires page-level citation pinning and rendering checks. Appendix G remains revalidated provisional, not final.</w:t>
      </w:r>
    </w:p>
    <w:p>
      <w:pPr>
        <w:pStyle w:val="Heading1"/>
      </w:pPr>
      <w:r>
        <w:t>Appendix J — v0.3.2 Gap Closure Coverage Matrix</w:t>
      </w:r>
    </w:p>
    <w:p>
      <w:pPr>
        <w:spacing w:after="56"/>
      </w:pPr>
      <w:r>
        <w:t>Version: v0.3.2-FRC-R3</w:t>
      </w:r>
    </w:p>
    <w:p>
      <w:pPr>
        <w:pStyle w:val="Heading2"/>
      </w:pPr>
      <w:r>
        <w:t>J.0 Gap Closure Boundary</w:t>
      </w:r>
    </w:p>
    <w:p>
      <w:pPr>
        <w:spacing w:after="56"/>
      </w:pPr>
      <w:r>
        <w:t>This appendix provides a governance closure matrix showing how known v0.3.1/v0.3.2 reconstruction gaps were addressed, structurally closed, corrected by later patch, historically deferred to Phase 1C, or deferred to Phase 1D publication QA.</w:t>
      </w:r>
    </w:p>
    <w:p>
      <w:pPr>
        <w:spacing w:after="56"/>
      </w:pPr>
      <w:r>
        <w:t>This appendix does not claim that all issues are fully resolved. It distinguishes content closure from source validation, editorial cleanup, and publication layout QA.</w:t>
      </w:r>
    </w:p>
    <w:p>
      <w:pPr>
        <w:spacing w:after="56"/>
      </w:pPr>
      <w:r>
        <w:t>Closure status values:</w:t>
      </w:r>
    </w:p>
    <w:p>
      <w:pPr>
        <w:pStyle w:val="ListBullet"/>
        <w:spacing w:after="56"/>
      </w:pPr>
      <w:r>
        <w:t>Closed</w:t>
      </w:r>
    </w:p>
    <w:p>
      <w:pPr>
        <w:pStyle w:val="ListBullet"/>
        <w:spacing w:after="56"/>
      </w:pPr>
      <w:r>
        <w:t>Structurally Closed</w:t>
      </w:r>
    </w:p>
    <w:p>
      <w:pPr>
        <w:pStyle w:val="ListBullet"/>
        <w:spacing w:after="56"/>
      </w:pPr>
      <w:r>
        <w:t>Corrected by Later Patch</w:t>
      </w:r>
    </w:p>
    <w:p>
      <w:pPr>
        <w:pStyle w:val="ListBullet"/>
        <w:spacing w:after="56"/>
      </w:pPr>
      <w:r>
        <w:t>Formerly Deferred to Phase 1C — Closed / Superseded by Phase 1C follow-up</w:t>
      </w:r>
    </w:p>
    <w:p>
      <w:pPr>
        <w:pStyle w:val="ListBullet"/>
        <w:spacing w:after="56"/>
      </w:pPr>
      <w:r>
        <w:t>Deferred to Phase 1D</w:t>
      </w:r>
    </w:p>
    <w:p>
      <w:pPr>
        <w:pStyle w:val="ListBullet"/>
        <w:spacing w:after="56"/>
      </w:pPr>
      <w:r>
        <w:t>Candidate Issue to Verify</w:t>
      </w:r>
    </w:p>
    <w:p>
      <w:pPr>
        <w:pStyle w:val="Heading2"/>
      </w:pPr>
      <w:r>
        <w:t>J.1 Gap Categories</w:t>
      </w:r>
    </w:p>
    <w:p>
      <w:pPr>
        <w:spacing w:after="56"/>
      </w:pPr>
      <w:r>
        <w:t>Gap categories used in this appendix:</w:t>
      </w:r>
    </w:p>
    <w:p>
      <w:pPr>
        <w:pStyle w:val="ListNumber"/>
        <w:spacing w:after="56"/>
      </w:pPr>
      <w:r>
        <w:t>Content reconstruction gaps: Missing chapters, appendices, tables, or required sections.</w:t>
      </w:r>
    </w:p>
    <w:p>
      <w:pPr>
        <w:pStyle w:val="ListNumber"/>
        <w:spacing w:after="56"/>
      </w:pPr>
      <w:r>
        <w:t>Methodology consistency gaps: Evidence multipliers, scoring formulas, score-5 wording, and composite weights.</w:t>
      </w:r>
    </w:p>
    <w:p>
      <w:pPr>
        <w:pStyle w:val="ListNumber"/>
        <w:spacing w:after="56"/>
      </w:pPr>
      <w:r>
        <w:t>Boundary discipline gaps: Overclaim risk, vendor ordering, certification implication, legal compliance implication, and procurement misuse.</w:t>
      </w:r>
    </w:p>
    <w:p>
      <w:pPr>
        <w:pStyle w:val="ListNumber"/>
        <w:spacing w:after="56"/>
      </w:pPr>
      <w:r>
        <w:t>Source governance gaps: Citation inventory status, L2 documentation revalidation, evidence level annotation, URL validation, and source coverage matrix validation.</w:t>
      </w:r>
    </w:p>
    <w:p>
      <w:pPr>
        <w:pStyle w:val="ListNumber"/>
        <w:spacing w:after="56"/>
      </w:pPr>
      <w:r>
        <w:t>Layout and publication gaps: Wide-table handling, figure numbering, captions, page breaks, and final DOCX/PDF QA.</w:t>
      </w:r>
    </w:p>
    <w:p>
      <w:pPr>
        <w:pStyle w:val="Heading2"/>
      </w:pPr>
      <w:r>
        <w:t>J.2 Phase 1B Gap Closure Matrix</w:t>
      </w:r>
    </w:p>
    <w:p>
      <w:pPr>
        <w:keepNext/>
      </w:pPr>
      <w:r>
        <w:rPr>
          <w:b/>
          <w:sz w:val="16"/>
        </w:rPr>
        <w:t>Table T-J-01: v0.3.2 Gap Closure Coverage Matrix</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Gap ID</w:t>
            </w:r>
          </w:p>
        </w:tc>
        <w:tc>
          <w:tcPr>
            <w:tcW w:type="dxa" w:w="1704"/>
          </w:tcPr>
          <w:p>
            <w:pPr>
              <w:spacing w:after="0"/>
            </w:pPr>
            <w:r>
              <w:rPr>
                <w:rFonts w:ascii="Arial" w:hAnsi="Arial"/>
                <w:b/>
                <w:sz w:val="12"/>
              </w:rPr>
              <w:t>Gap Description</w:t>
            </w:r>
          </w:p>
        </w:tc>
        <w:tc>
          <w:tcPr>
            <w:tcW w:type="dxa" w:w="1704"/>
          </w:tcPr>
          <w:p>
            <w:pPr>
              <w:spacing w:after="0"/>
            </w:pPr>
            <w:r>
              <w:rPr>
                <w:rFonts w:ascii="Arial" w:hAnsi="Arial"/>
                <w:b/>
                <w:sz w:val="12"/>
              </w:rPr>
              <w:t>Origin Phase</w:t>
            </w:r>
          </w:p>
        </w:tc>
        <w:tc>
          <w:tcPr>
            <w:tcW w:type="dxa" w:w="1704"/>
          </w:tcPr>
          <w:p>
            <w:pPr>
              <w:spacing w:after="0"/>
            </w:pPr>
            <w:r>
              <w:rPr>
                <w:rFonts w:ascii="Arial" w:hAnsi="Arial"/>
                <w:b/>
                <w:sz w:val="12"/>
              </w:rPr>
              <w:t>Closure Status</w:t>
            </w:r>
          </w:p>
        </w:tc>
        <w:tc>
          <w:tcPr>
            <w:tcW w:type="dxa" w:w="1704"/>
          </w:tcPr>
          <w:p>
            <w:pPr>
              <w:spacing w:after="0"/>
            </w:pPr>
            <w:r>
              <w:rPr>
                <w:rFonts w:ascii="Arial" w:hAnsi="Arial"/>
                <w:b/>
                <w:sz w:val="12"/>
              </w:rPr>
              <w:t>Closure Evidence</w:t>
            </w:r>
          </w:p>
        </w:tc>
        <w:tc>
          <w:tcPr>
            <w:tcW w:type="dxa" w:w="1704"/>
          </w:tcPr>
          <w:p>
            <w:pPr>
              <w:spacing w:after="0"/>
            </w:pPr>
            <w:r>
              <w:rPr>
                <w:rFonts w:ascii="Arial" w:hAnsi="Arial"/>
                <w:b/>
                <w:sz w:val="12"/>
              </w:rPr>
              <w:t>Remaining Action</w:t>
            </w:r>
          </w:p>
        </w:tc>
      </w:tr>
      <w:tr>
        <w:tc>
          <w:tcPr>
            <w:tcW w:type="dxa" w:w="1704"/>
          </w:tcPr>
          <w:p>
            <w:pPr>
              <w:spacing w:after="0"/>
            </w:pPr>
            <w:r>
              <w:rPr>
                <w:rFonts w:ascii="Arial" w:hAnsi="Arial"/>
                <w:b w:val="0"/>
                <w:sz w:val="12"/>
              </w:rPr>
              <w:t>G-J-01</w:t>
            </w:r>
          </w:p>
        </w:tc>
        <w:tc>
          <w:tcPr>
            <w:tcW w:type="dxa" w:w="1704"/>
          </w:tcPr>
          <w:p>
            <w:pPr>
              <w:spacing w:after="0"/>
            </w:pPr>
            <w:r>
              <w:rPr>
                <w:rFonts w:ascii="Arial" w:hAnsi="Arial"/>
                <w:b w:val="0"/>
                <w:sz w:val="12"/>
              </w:rPr>
              <w:t>R2 PDF/DOCX reconstruction introduced layout and extraction instability</w:t>
            </w:r>
          </w:p>
        </w:tc>
        <w:tc>
          <w:tcPr>
            <w:tcW w:type="dxa" w:w="1704"/>
          </w:tcPr>
          <w:p>
            <w:pPr>
              <w:spacing w:after="0"/>
            </w:pPr>
            <w:r>
              <w:rPr>
                <w:rFonts w:ascii="Arial" w:hAnsi="Arial"/>
                <w:b w:val="0"/>
                <w:sz w:val="12"/>
              </w:rPr>
              <w:t>R2 carryover</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Markdown-first reconstruction strategy adopted in Phase 1A</w:t>
            </w:r>
          </w:p>
        </w:tc>
        <w:tc>
          <w:tcPr>
            <w:tcW w:type="dxa" w:w="1704"/>
          </w:tcPr>
          <w:p>
            <w:pPr>
              <w:spacing w:after="0"/>
            </w:pPr>
            <w:r>
              <w:rPr>
                <w:rFonts w:ascii="Arial" w:hAnsi="Arial"/>
                <w:b w:val="0"/>
                <w:sz w:val="12"/>
              </w:rPr>
              <w:t>Phase 1D publication QA remains</w:t>
            </w:r>
          </w:p>
        </w:tc>
      </w:tr>
      <w:tr>
        <w:tc>
          <w:tcPr>
            <w:tcW w:type="dxa" w:w="1704"/>
          </w:tcPr>
          <w:p>
            <w:pPr>
              <w:spacing w:after="0"/>
            </w:pPr>
            <w:r>
              <w:rPr>
                <w:rFonts w:ascii="Arial" w:hAnsi="Arial"/>
                <w:b w:val="0"/>
                <w:sz w:val="12"/>
              </w:rPr>
              <w:t>G-J-02</w:t>
            </w:r>
          </w:p>
        </w:tc>
        <w:tc>
          <w:tcPr>
            <w:tcW w:type="dxa" w:w="1704"/>
          </w:tcPr>
          <w:p>
            <w:pPr>
              <w:spacing w:after="0"/>
            </w:pPr>
            <w:r>
              <w:rPr>
                <w:rFonts w:ascii="Arial" w:hAnsi="Arial"/>
                <w:b w:val="0"/>
                <w:sz w:val="12"/>
              </w:rPr>
              <w:t>Body chapters 1-18 incomplete in clean source</w:t>
            </w:r>
          </w:p>
        </w:tc>
        <w:tc>
          <w:tcPr>
            <w:tcW w:type="dxa" w:w="1704"/>
          </w:tcPr>
          <w:p>
            <w:pPr>
              <w:spacing w:after="0"/>
            </w:pPr>
            <w:r>
              <w:rPr>
                <w:rFonts w:ascii="Arial" w:hAnsi="Arial"/>
                <w:b w:val="0"/>
                <w:sz w:val="12"/>
              </w:rPr>
              <w:t>Phase 1A/1B</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Chapters 1-18 filled across Phase 1A and Phase 1B-1 through 1B-7</w:t>
            </w:r>
          </w:p>
        </w:tc>
        <w:tc>
          <w:tcPr>
            <w:tcW w:type="dxa" w:w="1704"/>
          </w:tcPr>
          <w:p>
            <w:pPr>
              <w:spacing w:after="0"/>
            </w:pPr>
            <w:r>
              <w:rPr>
                <w:rFonts w:ascii="Arial" w:hAnsi="Arial"/>
                <w:b w:val="0"/>
                <w:sz w:val="12"/>
              </w:rPr>
              <w:t>Phase 1C editorial consistency check completed; final proof remains</w:t>
            </w:r>
          </w:p>
        </w:tc>
      </w:tr>
      <w:tr>
        <w:tc>
          <w:tcPr>
            <w:tcW w:type="dxa" w:w="1704"/>
          </w:tcPr>
          <w:p>
            <w:pPr>
              <w:spacing w:after="0"/>
            </w:pPr>
            <w:r>
              <w:rPr>
                <w:rFonts w:ascii="Arial" w:hAnsi="Arial"/>
                <w:b w:val="0"/>
                <w:sz w:val="12"/>
              </w:rPr>
              <w:t>G-J-03</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Appendices A-D filled and corrected by Phase 1B-8C</w:t>
            </w:r>
          </w:p>
        </w:tc>
        <w:tc>
          <w:tcPr>
            <w:tcW w:type="dxa" w:w="1704"/>
          </w:tcPr>
          <w:p>
            <w:pPr>
              <w:spacing w:after="0"/>
            </w:pPr>
            <w:r>
              <w:rPr>
                <w:rFonts w:ascii="Arial" w:hAnsi="Arial"/>
                <w:b w:val="0"/>
                <w:sz w:val="12"/>
              </w:rPr>
              <w:t>Phase 1C source review completed; Phase 1D layout QA remains</w:t>
            </w:r>
          </w:p>
        </w:tc>
      </w:tr>
      <w:tr>
        <w:tc>
          <w:tcPr>
            <w:tcW w:type="dxa" w:w="1704"/>
          </w:tcPr>
          <w:p>
            <w:pPr>
              <w:spacing w:after="0"/>
            </w:pPr>
            <w:r>
              <w:rPr>
                <w:rFonts w:ascii="Arial" w:hAnsi="Arial"/>
                <w:b w:val="0"/>
                <w:sz w:val="12"/>
              </w:rPr>
              <w:t>G-J-04</w:t>
            </w:r>
          </w:p>
        </w:tc>
        <w:tc>
          <w:tcPr>
            <w:tcW w:type="dxa" w:w="1704"/>
          </w:tcPr>
          <w:p>
            <w:pPr>
              <w:spacing w:after="0"/>
            </w:pPr>
            <w:r>
              <w:rPr>
                <w:rFonts w:ascii="Arial" w:hAnsi="Arial"/>
                <w:b w:val="0"/>
                <w:sz w:val="12"/>
              </w:rPr>
              <w:t>Appendix B evidence multipliers and composite weights inconsistent with canonical method</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methodology correction</w:t>
            </w:r>
          </w:p>
        </w:tc>
        <w:tc>
          <w:tcPr>
            <w:tcW w:type="dxa" w:w="1704"/>
          </w:tcPr>
          <w:p>
            <w:pPr>
              <w:spacing w:after="0"/>
            </w:pPr>
            <w:r>
              <w:rPr>
                <w:rFonts w:ascii="Arial" w:hAnsi="Arial"/>
                <w:b w:val="0"/>
                <w:sz w:val="12"/>
              </w:rPr>
              <w:t>Verified in Phase 1C global consistency pass; final proof remains</w:t>
            </w:r>
          </w:p>
        </w:tc>
      </w:tr>
      <w:tr>
        <w:tc>
          <w:tcPr>
            <w:tcW w:type="dxa" w:w="1704"/>
          </w:tcPr>
          <w:p>
            <w:pPr>
              <w:spacing w:after="0"/>
            </w:pPr>
            <w:r>
              <w:rPr>
                <w:rFonts w:ascii="Arial" w:hAnsi="Arial"/>
                <w:b w:val="0"/>
                <w:sz w:val="12"/>
              </w:rPr>
              <w:t>G-J-05</w:t>
            </w:r>
          </w:p>
        </w:tc>
        <w:tc>
          <w:tcPr>
            <w:tcW w:type="dxa" w:w="1704"/>
          </w:tcPr>
          <w:p>
            <w:pPr>
              <w:spacing w:after="0"/>
            </w:pPr>
            <w:r>
              <w:rPr>
                <w:rFonts w:ascii="Arial" w:hAnsi="Arial"/>
                <w:b w:val="0"/>
                <w:sz w:val="12"/>
              </w:rPr>
              <w:t>Appendix A compliance-sounding field values risked overclaim</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neutralized field values</w:t>
            </w:r>
          </w:p>
        </w:tc>
        <w:tc>
          <w:tcPr>
            <w:tcW w:type="dxa" w:w="1704"/>
          </w:tcPr>
          <w:p>
            <w:pPr>
              <w:spacing w:after="0"/>
            </w:pPr>
            <w:r>
              <w:rPr>
                <w:rFonts w:ascii="Arial" w:hAnsi="Arial"/>
                <w:b w:val="0"/>
                <w:sz w:val="12"/>
              </w:rPr>
              <w:t>Phase 1C template review completed; final proof remains</w:t>
            </w:r>
          </w:p>
        </w:tc>
      </w:tr>
      <w:tr>
        <w:tc>
          <w:tcPr>
            <w:tcW w:type="dxa" w:w="1704"/>
          </w:tcPr>
          <w:p>
            <w:pPr>
              <w:spacing w:after="0"/>
            </w:pPr>
            <w:r>
              <w:rPr>
                <w:rFonts w:ascii="Arial" w:hAnsi="Arial"/>
                <w:b w:val="0"/>
                <w:sz w:val="12"/>
              </w:rPr>
              <w:t>G-J-06</w:t>
            </w:r>
          </w:p>
        </w:tc>
        <w:tc>
          <w:tcPr>
            <w:tcW w:type="dxa" w:w="1704"/>
          </w:tcPr>
          <w:p>
            <w:pPr>
              <w:spacing w:after="0"/>
            </w:pPr>
            <w:r>
              <w:rPr>
                <w:rFonts w:ascii="Arial" w:hAnsi="Arial"/>
                <w:b w:val="0"/>
                <w:sz w:val="12"/>
              </w:rPr>
              <w:t>Appendix D vendor mappings needed provisional language</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1B-8C provisional mapping language</w:t>
            </w:r>
          </w:p>
        </w:tc>
        <w:tc>
          <w:tcPr>
            <w:tcW w:type="dxa" w:w="1704"/>
          </w:tcPr>
          <w:p>
            <w:pPr>
              <w:spacing w:after="0"/>
            </w:pPr>
            <w:r>
              <w:rPr>
                <w:rFonts w:ascii="Arial" w:hAnsi="Arial"/>
                <w:b w:val="0"/>
                <w:sz w:val="12"/>
              </w:rPr>
              <w:t>L2 docs reviewed at claim level; page-level citation pinning remains</w:t>
            </w:r>
          </w:p>
        </w:tc>
      </w:tr>
      <w:tr>
        <w:tc>
          <w:tcPr>
            <w:tcW w:type="dxa" w:w="1704"/>
          </w:tcPr>
          <w:p>
            <w:pPr>
              <w:spacing w:after="0"/>
            </w:pPr>
            <w:r>
              <w:rPr>
                <w:rFonts w:ascii="Arial" w:hAnsi="Arial"/>
                <w:b w:val="0"/>
                <w:sz w:val="12"/>
              </w:rPr>
              <w:t>G-J-07</w:t>
            </w:r>
          </w:p>
        </w:tc>
        <w:tc>
          <w:tcPr>
            <w:tcW w:type="dxa" w:w="1704"/>
          </w:tcPr>
          <w:p>
            <w:pPr>
              <w:spacing w:after="0"/>
            </w:pPr>
            <w:r>
              <w:rPr>
                <w:rFonts w:ascii="Arial" w:hAnsi="Arial"/>
                <w:b w:val="0"/>
                <w:sz w:val="12"/>
              </w:rPr>
              <w:t>Appendices E/F/G initially needed detailed rubrics and system assessments</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Structurally Closed</w:t>
            </w:r>
          </w:p>
        </w:tc>
        <w:tc>
          <w:tcPr>
            <w:tcW w:type="dxa" w:w="1704"/>
          </w:tcPr>
          <w:p>
            <w:pPr>
              <w:spacing w:after="0"/>
            </w:pPr>
            <w:r>
              <w:rPr>
                <w:rFonts w:ascii="Arial" w:hAnsi="Arial"/>
                <w:b w:val="0"/>
                <w:sz w:val="12"/>
              </w:rPr>
              <w:t>Appendices E-G filled; E/F rubrics and G assessments created</w:t>
            </w:r>
          </w:p>
        </w:tc>
        <w:tc>
          <w:tcPr>
            <w:tcW w:type="dxa" w:w="1704"/>
          </w:tcPr>
          <w:p>
            <w:pPr>
              <w:spacing w:after="0"/>
            </w:pPr>
            <w:r>
              <w:rPr>
                <w:rFonts w:ascii="Arial" w:hAnsi="Arial"/>
                <w:b w:val="0"/>
                <w:sz w:val="12"/>
              </w:rPr>
              <w:t>Phase 1C source validation completed; final proof remains</w:t>
            </w:r>
          </w:p>
        </w:tc>
      </w:tr>
      <w:tr>
        <w:tc>
          <w:tcPr>
            <w:tcW w:type="dxa" w:w="1704"/>
          </w:tcPr>
          <w:p>
            <w:pPr>
              <w:spacing w:after="0"/>
            </w:pPr>
            <w:r>
              <w:rPr>
                <w:rFonts w:ascii="Arial" w:hAnsi="Arial"/>
                <w:b w:val="0"/>
                <w:sz w:val="12"/>
              </w:rPr>
              <w:t>G-J-08</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G corrected to 8 representative systems plus T-G-09 qualitative summary</w:t>
            </w:r>
          </w:p>
        </w:tc>
        <w:tc>
          <w:tcPr>
            <w:tcW w:type="dxa" w:w="1704"/>
          </w:tcPr>
          <w:p>
            <w:pPr>
              <w:spacing w:after="0"/>
            </w:pPr>
            <w:r>
              <w:rPr>
                <w:rFonts w:ascii="Arial" w:hAnsi="Arial"/>
                <w:b w:val="0"/>
                <w:sz w:val="12"/>
              </w:rPr>
              <w:t>Source review completed at claim level; page-level citation pinning remains</w:t>
            </w:r>
          </w:p>
        </w:tc>
      </w:tr>
      <w:tr>
        <w:tc>
          <w:tcPr>
            <w:tcW w:type="dxa" w:w="1704"/>
          </w:tcPr>
          <w:p>
            <w:pPr>
              <w:spacing w:after="0"/>
            </w:pPr>
            <w:r>
              <w:rPr>
                <w:rFonts w:ascii="Arial" w:hAnsi="Arial"/>
                <w:b w:val="0"/>
                <w:sz w:val="12"/>
              </w:rPr>
              <w:t>G-J-09</w:t>
            </w:r>
          </w:p>
        </w:tc>
        <w:tc>
          <w:tcPr>
            <w:tcW w:type="dxa" w:w="1704"/>
          </w:tcPr>
          <w:p>
            <w:pPr>
              <w:spacing w:after="0"/>
            </w:pPr>
            <w:r>
              <w:rPr>
                <w:rFonts w:ascii="Arial" w:hAnsi="Arial"/>
                <w:b w:val="0"/>
                <w:sz w:val="12"/>
              </w:rPr>
              <w:t>Appendix E/F score-5 wording risked implying legal text proves implementation</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Appendix E/F score-5 rows hardened</w:t>
            </w:r>
          </w:p>
        </w:tc>
        <w:tc>
          <w:tcPr>
            <w:tcW w:type="dxa" w:w="1704"/>
          </w:tcPr>
          <w:p>
            <w:pPr>
              <w:spacing w:after="0"/>
            </w:pPr>
            <w:r>
              <w:rPr>
                <w:rFonts w:ascii="Arial" w:hAnsi="Arial"/>
                <w:b w:val="0"/>
                <w:sz w:val="12"/>
              </w:rPr>
              <w:t>Verified in Phase 1C consistency pass; final proof remains</w:t>
            </w:r>
          </w:p>
        </w:tc>
      </w:tr>
      <w:tr>
        <w:tc>
          <w:tcPr>
            <w:tcW w:type="dxa" w:w="1704"/>
          </w:tcPr>
          <w:p>
            <w:pPr>
              <w:spacing w:after="0"/>
            </w:pPr>
            <w:r>
              <w:rPr>
                <w:rFonts w:ascii="Arial" w:hAnsi="Arial"/>
                <w:b w:val="0"/>
                <w:sz w:val="12"/>
              </w:rPr>
              <w:t>G-J-10</w:t>
            </w:r>
          </w:p>
        </w:tc>
        <w:tc>
          <w:tcPr>
            <w:tcW w:type="dxa" w:w="1704"/>
          </w:tcPr>
          <w:p>
            <w:pPr>
              <w:spacing w:after="0"/>
            </w:pPr>
            <w:r>
              <w:rPr>
                <w:rFonts w:ascii="Arial" w:hAnsi="Arial"/>
                <w:b w:val="0"/>
                <w:sz w:val="12"/>
              </w:rPr>
              <w:t>Phase 1B-9D governance ledgers stale after partial patch</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SOURCE MASTER, Appendix G metadata, carryover list, and final report synchronized</w:t>
            </w:r>
          </w:p>
        </w:tc>
        <w:tc>
          <w:tcPr>
            <w:tcW w:type="dxa" w:w="1704"/>
          </w:tcPr>
          <w:p>
            <w:pPr>
              <w:spacing w:after="0"/>
            </w:pPr>
            <w:r>
              <w:rPr>
                <w:rFonts w:ascii="Arial" w:hAnsi="Arial"/>
                <w:b w:val="0"/>
                <w:sz w:val="12"/>
              </w:rPr>
              <w:t>Continue with Phase 1B-10 completion record</w:t>
            </w:r>
          </w:p>
        </w:tc>
      </w:tr>
      <w:tr>
        <w:tc>
          <w:tcPr>
            <w:tcW w:type="dxa" w:w="1704"/>
          </w:tcPr>
          <w:p>
            <w:pPr>
              <w:spacing w:after="0"/>
            </w:pPr>
            <w:r>
              <w:rPr>
                <w:rFonts w:ascii="Arial" w:hAnsi="Arial"/>
                <w:b w:val="0"/>
                <w:sz w:val="12"/>
              </w:rPr>
              <w:t>G-J-11</w:t>
            </w:r>
          </w:p>
        </w:tc>
        <w:tc>
          <w:tcPr>
            <w:tcW w:type="dxa" w:w="1704"/>
          </w:tcPr>
          <w:p>
            <w:pPr>
              <w:spacing w:after="0"/>
            </w:pPr>
            <w:r>
              <w:rPr>
                <w:rFonts w:ascii="Arial" w:hAnsi="Arial"/>
                <w:b w:val="0"/>
                <w:sz w:val="12"/>
              </w:rPr>
              <w:t>Appendices H-K missing from clean source</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Closed</w:t>
            </w:r>
          </w:p>
        </w:tc>
        <w:tc>
          <w:tcPr>
            <w:tcW w:type="dxa" w:w="1704"/>
          </w:tcPr>
          <w:p>
            <w:pPr>
              <w:spacing w:after="0"/>
            </w:pPr>
            <w:r>
              <w:rPr>
                <w:rFonts w:ascii="Arial" w:hAnsi="Arial"/>
                <w:b w:val="0"/>
                <w:sz w:val="12"/>
              </w:rPr>
              <w:t>Appendices H-K filled in Phase 1B-10</w:t>
            </w:r>
          </w:p>
        </w:tc>
        <w:tc>
          <w:tcPr>
            <w:tcW w:type="dxa" w:w="1704"/>
          </w:tcPr>
          <w:p>
            <w:pPr>
              <w:spacing w:after="0"/>
            </w:pPr>
            <w:r>
              <w:rPr>
                <w:rFonts w:ascii="Arial" w:hAnsi="Arial"/>
                <w:b w:val="0"/>
                <w:sz w:val="12"/>
              </w:rPr>
              <w:t>Phase 1C source validation completed; Phase 1D layout QA remains</w:t>
            </w:r>
          </w:p>
        </w:tc>
      </w:tr>
      <w:tr>
        <w:tc>
          <w:tcPr>
            <w:tcW w:type="dxa" w:w="1704"/>
          </w:tcPr>
          <w:p>
            <w:pPr>
              <w:spacing w:after="0"/>
            </w:pPr>
            <w:r>
              <w:rPr>
                <w:rFonts w:ascii="Arial" w:hAnsi="Arial"/>
                <w:b w:val="0"/>
                <w:sz w:val="12"/>
              </w:rPr>
              <w:t>G-J-12</w:t>
            </w:r>
          </w:p>
        </w:tc>
        <w:tc>
          <w:tcPr>
            <w:tcW w:type="dxa" w:w="1704"/>
          </w:tcPr>
          <w:p>
            <w:pPr>
              <w:spacing w:after="0"/>
            </w:pPr>
            <w:r>
              <w:rPr>
                <w:rFonts w:ascii="Arial" w:hAnsi="Arial"/>
                <w:b w:val="0"/>
                <w:sz w:val="12"/>
              </w:rPr>
              <w:t>Citation Inventory remained partial after Phase 1B</w:t>
            </w:r>
          </w:p>
        </w:tc>
        <w:tc>
          <w:tcPr>
            <w:tcW w:type="dxa" w:w="1704"/>
          </w:tcPr>
          <w:p>
            <w:pPr>
              <w:spacing w:after="0"/>
            </w:pPr>
            <w:r>
              <w:rPr>
                <w:rFonts w:ascii="Arial" w:hAnsi="Arial"/>
                <w:b w:val="0"/>
                <w:sz w:val="12"/>
              </w:rPr>
              <w:t>Phase 1B-3</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cleanup updated citation inventory to URL-reviewed status; Phase 1C follow-up added claim-level source binding and claim register</w:t>
            </w:r>
          </w:p>
        </w:tc>
        <w:tc>
          <w:tcPr>
            <w:tcW w:type="dxa" w:w="1704"/>
          </w:tcPr>
          <w:p>
            <w:pPr>
              <w:spacing w:after="0"/>
            </w:pPr>
            <w:r>
              <w:rPr>
                <w:rFonts w:ascii="Arial" w:hAnsi="Arial"/>
                <w:b w:val="0"/>
                <w:sz w:val="12"/>
              </w:rPr>
              <w:t>Final page-level citation pinning and rendering QA before publication candidate</w:t>
            </w:r>
          </w:p>
        </w:tc>
      </w:tr>
      <w:tr>
        <w:tc>
          <w:tcPr>
            <w:tcW w:type="dxa" w:w="1704"/>
          </w:tcPr>
          <w:p>
            <w:pPr>
              <w:spacing w:after="0"/>
            </w:pPr>
            <w:r>
              <w:rPr>
                <w:rFonts w:ascii="Arial" w:hAnsi="Arial"/>
                <w:b w:val="0"/>
                <w:sz w:val="12"/>
              </w:rPr>
              <w:t>G-J-15</w:t>
            </w:r>
          </w:p>
        </w:tc>
        <w:tc>
          <w:tcPr>
            <w:tcW w:type="dxa" w:w="1704"/>
          </w:tcPr>
          <w:p>
            <w:pPr>
              <w:spacing w:after="0"/>
            </w:pPr>
            <w:r>
              <w:rPr>
                <w:rFonts w:ascii="Arial" w:hAnsi="Arial"/>
                <w:b w:val="0"/>
                <w:sz w:val="12"/>
              </w:rPr>
              <w:t>Claim-level L2 product/protocol source binding remained pending after Phase 1C cleanup</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Claim evidence register created; Appendix G marked revalidated provisional; citation inventory/source coverage matrix updated</w:t>
            </w:r>
          </w:p>
        </w:tc>
        <w:tc>
          <w:tcPr>
            <w:tcW w:type="dxa" w:w="1704"/>
          </w:tcPr>
          <w:p>
            <w:pPr>
              <w:spacing w:after="0"/>
            </w:pPr>
            <w:r>
              <w:rPr>
                <w:rFonts w:ascii="Arial" w:hAnsi="Arial"/>
                <w:b w:val="0"/>
                <w:sz w:val="12"/>
              </w:rPr>
              <w:t>Keep Appendix G provisional; perform page-level citation pinning before publication-candidate release</w:t>
            </w:r>
          </w:p>
        </w:tc>
      </w:tr>
      <w:tr>
        <w:tc>
          <w:tcPr>
            <w:tcW w:type="dxa" w:w="1704"/>
          </w:tcPr>
          <w:p>
            <w:pPr>
              <w:spacing w:after="0"/>
            </w:pPr>
            <w:r>
              <w:rPr>
                <w:rFonts w:ascii="Arial" w:hAnsi="Arial"/>
                <w:b w:val="0"/>
                <w:sz w:val="12"/>
              </w:rPr>
              <w:t>G-J-13</w:t>
            </w:r>
          </w:p>
        </w:tc>
        <w:tc>
          <w:tcPr>
            <w:tcW w:type="dxa" w:w="1704"/>
          </w:tcPr>
          <w:p>
            <w:pPr>
              <w:spacing w:after="0"/>
            </w:pPr>
            <w:r>
              <w:rPr>
                <w:rFonts w:ascii="Arial" w:hAnsi="Arial"/>
                <w:b w:val="0"/>
                <w:sz w:val="12"/>
              </w:rPr>
              <w:t>Wide tables require layout evaluation</w:t>
            </w:r>
          </w:p>
        </w:tc>
        <w:tc>
          <w:tcPr>
            <w:tcW w:type="dxa" w:w="1704"/>
          </w:tcPr>
          <w:p>
            <w:pPr>
              <w:spacing w:after="0"/>
            </w:pPr>
            <w:r>
              <w:rPr>
                <w:rFonts w:ascii="Arial" w:hAnsi="Arial"/>
                <w:b w:val="0"/>
                <w:sz w:val="12"/>
              </w:rPr>
              <w:t>R2 / Phase 1B</w:t>
            </w:r>
          </w:p>
        </w:tc>
        <w:tc>
          <w:tcPr>
            <w:tcW w:type="dxa" w:w="1704"/>
          </w:tcPr>
          <w:p>
            <w:pPr>
              <w:spacing w:after="0"/>
            </w:pPr>
            <w:r>
              <w:rPr>
                <w:rFonts w:ascii="Arial" w:hAnsi="Arial"/>
                <w:b w:val="0"/>
                <w:sz w:val="12"/>
              </w:rPr>
              <w:t>Corrected by Later Patch</w:t>
            </w:r>
          </w:p>
        </w:tc>
        <w:tc>
          <w:tcPr>
            <w:tcW w:type="dxa" w:w="1704"/>
          </w:tcPr>
          <w:p>
            <w:pPr>
              <w:spacing w:after="0"/>
            </w:pPr>
            <w:r>
              <w:rPr>
                <w:rFonts w:ascii="Arial" w:hAnsi="Arial"/>
                <w:b w:val="0"/>
                <w:sz w:val="12"/>
              </w:rPr>
              <w:t>Phase 1C recorded layout risk notes in table inventory</w:t>
            </w:r>
          </w:p>
        </w:tc>
        <w:tc>
          <w:tcPr>
            <w:tcW w:type="dxa" w:w="1704"/>
          </w:tcPr>
          <w:p>
            <w:pPr>
              <w:spacing w:after="0"/>
            </w:pPr>
            <w:r>
              <w:rPr>
                <w:rFonts w:ascii="Arial" w:hAnsi="Arial"/>
                <w:b w:val="0"/>
                <w:sz w:val="12"/>
              </w:rPr>
              <w:t>Render and inspect tables in Phase 1D</w:t>
            </w:r>
          </w:p>
        </w:tc>
      </w:tr>
      <w:tr>
        <w:tc>
          <w:tcPr>
            <w:tcW w:type="dxa" w:w="1704"/>
          </w:tcPr>
          <w:p>
            <w:pPr>
              <w:spacing w:after="0"/>
            </w:pPr>
            <w:r>
              <w:rPr>
                <w:rFonts w:ascii="Arial" w:hAnsi="Arial"/>
                <w:b w:val="0"/>
                <w:sz w:val="12"/>
              </w:rPr>
              <w:t>G-J-14</w:t>
            </w:r>
          </w:p>
        </w:tc>
        <w:tc>
          <w:tcPr>
            <w:tcW w:type="dxa" w:w="1704"/>
          </w:tcPr>
          <w:p>
            <w:pPr>
              <w:spacing w:after="0"/>
            </w:pPr>
            <w:r>
              <w:rPr>
                <w:rFonts w:ascii="Arial" w:hAnsi="Arial"/>
                <w:b w:val="0"/>
                <w:sz w:val="12"/>
              </w:rPr>
              <w:t>DOCX/PDF layout, figures, captions, and page breaks not regenerated</w:t>
            </w:r>
          </w:p>
        </w:tc>
        <w:tc>
          <w:tcPr>
            <w:tcW w:type="dxa" w:w="1704"/>
          </w:tcPr>
          <w:p>
            <w:pPr>
              <w:spacing w:after="0"/>
            </w:pPr>
            <w:r>
              <w:rPr>
                <w:rFonts w:ascii="Arial" w:hAnsi="Arial"/>
                <w:b w:val="0"/>
                <w:sz w:val="12"/>
              </w:rPr>
              <w:t>Phase 1D</w:t>
            </w:r>
          </w:p>
        </w:tc>
        <w:tc>
          <w:tcPr>
            <w:tcW w:type="dxa" w:w="1704"/>
          </w:tcPr>
          <w:p>
            <w:pPr>
              <w:spacing w:after="0"/>
            </w:pPr>
            <w:r>
              <w:rPr>
                <w:rFonts w:ascii="Arial" w:hAnsi="Arial"/>
                <w:b w:val="0"/>
                <w:sz w:val="12"/>
              </w:rPr>
              <w:t>Deferred to Phase 1D</w:t>
            </w:r>
          </w:p>
        </w:tc>
        <w:tc>
          <w:tcPr>
            <w:tcW w:type="dxa" w:w="1704"/>
          </w:tcPr>
          <w:p>
            <w:pPr>
              <w:spacing w:after="0"/>
            </w:pPr>
            <w:r>
              <w:rPr>
                <w:rFonts w:ascii="Arial" w:hAnsi="Arial"/>
                <w:b w:val="0"/>
                <w:sz w:val="12"/>
              </w:rPr>
              <w:t>DOCX/PDF generation intentionally deferred</w:t>
            </w:r>
          </w:p>
        </w:tc>
        <w:tc>
          <w:tcPr>
            <w:tcW w:type="dxa" w:w="1704"/>
          </w:tcPr>
          <w:p>
            <w:pPr>
              <w:spacing w:after="0"/>
            </w:pPr>
            <w:r>
              <w:rPr>
                <w:rFonts w:ascii="Arial" w:hAnsi="Arial"/>
                <w:b w:val="0"/>
                <w:sz w:val="12"/>
              </w:rPr>
              <w:t>Generate and visually QA in Phase 1D</w:t>
            </w:r>
          </w:p>
        </w:tc>
      </w:tr>
    </w:tbl>
    <w:p>
      <w:pPr>
        <w:pStyle w:val="Heading2"/>
      </w:pPr>
      <w:r>
        <w:t>J.3 Phase 1C Items and Current Disposition</w:t>
      </w:r>
    </w:p>
    <w:p>
      <w:pPr>
        <w:keepNext/>
      </w:pPr>
      <w:r>
        <w:rPr>
          <w:b/>
          <w:sz w:val="16"/>
        </w:rPr>
        <w:t>Table T-J-02: Phase 1C Items and Current Disposition</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Reason Deferred</w:t>
            </w:r>
          </w:p>
        </w:tc>
        <w:tc>
          <w:tcPr>
            <w:tcW w:type="dxa" w:w="2045"/>
          </w:tcPr>
          <w:p>
            <w:pPr>
              <w:spacing w:after="0"/>
            </w:pPr>
            <w:r>
              <w:rPr>
                <w:rFonts w:ascii="Arial" w:hAnsi="Arial"/>
                <w:b/>
                <w:sz w:val="14"/>
              </w:rPr>
              <w:t>Required Action</w:t>
            </w:r>
          </w:p>
        </w:tc>
        <w:tc>
          <w:tcPr>
            <w:tcW w:type="dxa" w:w="2045"/>
          </w:tcPr>
          <w:p>
            <w:pPr>
              <w:spacing w:after="0"/>
            </w:pPr>
            <w:r>
              <w:rPr>
                <w:rFonts w:ascii="Arial" w:hAnsi="Arial"/>
                <w:b/>
                <w:sz w:val="14"/>
              </w:rPr>
              <w:t>Blocking Level</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Chapter 14/15 ALCS numbering consistency</w:t>
            </w:r>
          </w:p>
        </w:tc>
        <w:tc>
          <w:tcPr>
            <w:tcW w:type="dxa" w:w="2045"/>
          </w:tcPr>
          <w:p>
            <w:pPr>
              <w:spacing w:after="0"/>
            </w:pPr>
            <w:r>
              <w:rPr>
                <w:rFonts w:ascii="Arial" w:hAnsi="Arial"/>
                <w:b w:val="0"/>
                <w:sz w:val="14"/>
              </w:rPr>
              <w:t>Phase 1C taxonomy pass found naming and scenario mapping drift</w:t>
            </w:r>
          </w:p>
        </w:tc>
        <w:tc>
          <w:tcPr>
            <w:tcW w:type="dxa" w:w="2045"/>
          </w:tcPr>
          <w:p>
            <w:pPr>
              <w:spacing w:after="0"/>
            </w:pPr>
            <w:r>
              <w:rPr>
                <w:rFonts w:ascii="Arial" w:hAnsi="Arial"/>
                <w:b w:val="0"/>
                <w:sz w:val="14"/>
              </w:rPr>
              <w:t>Corrected active-source ALCS/MRO references</w:t>
            </w:r>
          </w:p>
        </w:tc>
        <w:tc>
          <w:tcPr>
            <w:tcW w:type="dxa" w:w="2045"/>
          </w:tcPr>
          <w:p>
            <w:pPr>
              <w:spacing w:after="0"/>
            </w:pPr>
            <w:r>
              <w:rPr>
                <w:rFonts w:ascii="Arial" w:hAnsi="Arial"/>
                <w:b w:val="0"/>
                <w:sz w:val="14"/>
              </w:rPr>
              <w:t>Closed for taxonomy; monitor in final proof</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17 roadmap-count inconsistency</w:t>
            </w:r>
          </w:p>
        </w:tc>
        <w:tc>
          <w:tcPr>
            <w:tcW w:type="dxa" w:w="2045"/>
          </w:tcPr>
          <w:p>
            <w:pPr>
              <w:spacing w:after="0"/>
            </w:pPr>
            <w:r>
              <w:rPr>
                <w:rFonts w:ascii="Arial" w:hAnsi="Arial"/>
                <w:b w:val="0"/>
                <w:sz w:val="14"/>
              </w:rPr>
              <w:t>Body chapter wording did not match Stage 0-to-7 table</w:t>
            </w:r>
          </w:p>
        </w:tc>
        <w:tc>
          <w:tcPr>
            <w:tcW w:type="dxa" w:w="2045"/>
          </w:tcPr>
          <w:p>
            <w:pPr>
              <w:spacing w:after="0"/>
            </w:pPr>
            <w:r>
              <w:rPr>
                <w:rFonts w:ascii="Arial" w:hAnsi="Arial"/>
                <w:b w:val="0"/>
                <w:sz w:val="14"/>
              </w:rPr>
              <w:t>Corrected to Stage 0-to-7 wording</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Chapter 18 contribution-count inconsistency</w:t>
            </w:r>
          </w:p>
        </w:tc>
        <w:tc>
          <w:tcPr>
            <w:tcW w:type="dxa" w:w="2045"/>
          </w:tcPr>
          <w:p>
            <w:pPr>
              <w:spacing w:after="0"/>
            </w:pPr>
            <w:r>
              <w:rPr>
                <w:rFonts w:ascii="Arial" w:hAnsi="Arial"/>
                <w:b w:val="0"/>
                <w:sz w:val="14"/>
              </w:rPr>
              <w:t>Contribution summary did not match T-18-01 row count</w:t>
            </w:r>
          </w:p>
        </w:tc>
        <w:tc>
          <w:tcPr>
            <w:tcW w:type="dxa" w:w="2045"/>
          </w:tcPr>
          <w:p>
            <w:pPr>
              <w:spacing w:after="0"/>
            </w:pPr>
            <w:r>
              <w:rPr>
                <w:rFonts w:ascii="Arial" w:hAnsi="Arial"/>
                <w:b w:val="0"/>
                <w:sz w:val="14"/>
              </w:rPr>
              <w:t>Corrected to eight contributions</w:t>
            </w:r>
          </w:p>
        </w:tc>
        <w:tc>
          <w:tcPr>
            <w:tcW w:type="dxa" w:w="2045"/>
          </w:tcPr>
          <w:p>
            <w:pPr>
              <w:spacing w:after="0"/>
            </w:pPr>
            <w:r>
              <w:rPr>
                <w:rFonts w:ascii="Arial" w:hAnsi="Arial"/>
                <w:b w:val="0"/>
                <w:sz w:val="14"/>
              </w:rPr>
              <w:t>Closed for editorial consistency</w:t>
            </w:r>
          </w:p>
        </w:tc>
        <w:tc>
          <w:tcPr>
            <w:tcW w:type="dxa" w:w="2045"/>
          </w:tcPr>
          <w:p>
            <w:pPr>
              <w:spacing w:after="0"/>
            </w:pPr>
            <w:r>
              <w:rPr>
                <w:rFonts w:ascii="Arial" w:hAnsi="Arial"/>
                <w:b w:val="0"/>
                <w:sz w:val="14"/>
              </w:rPr>
              <w:t>Phase 1C</w:t>
            </w:r>
          </w:p>
        </w:tc>
      </w:tr>
      <w:tr>
        <w:tc>
          <w:tcPr>
            <w:tcW w:type="dxa" w:w="2045"/>
          </w:tcPr>
          <w:p>
            <w:pPr>
              <w:spacing w:after="0"/>
            </w:pPr>
            <w:r>
              <w:rPr>
                <w:rFonts w:ascii="Arial" w:hAnsi="Arial"/>
                <w:b w:val="0"/>
                <w:sz w:val="14"/>
              </w:rPr>
              <w:t>F-09 figure numbering gap</w:t>
            </w:r>
          </w:p>
        </w:tc>
        <w:tc>
          <w:tcPr>
            <w:tcW w:type="dxa" w:w="2045"/>
          </w:tcPr>
          <w:p>
            <w:pPr>
              <w:spacing w:after="0"/>
            </w:pPr>
            <w:r>
              <w:rPr>
                <w:rFonts w:ascii="Arial" w:hAnsi="Arial"/>
                <w:b w:val="0"/>
                <w:sz w:val="14"/>
              </w:rPr>
              <w:t>Figure inventory skipped F-09</w:t>
            </w:r>
          </w:p>
        </w:tc>
        <w:tc>
          <w:tcPr>
            <w:tcW w:type="dxa" w:w="2045"/>
          </w:tcPr>
          <w:p>
            <w:pPr>
              <w:spacing w:after="0"/>
            </w:pPr>
            <w:r>
              <w:rPr>
                <w:rFonts w:ascii="Arial" w:hAnsi="Arial"/>
                <w:b w:val="0"/>
                <w:sz w:val="14"/>
              </w:rPr>
              <w:t>Reserved F-09 to avoid renumbering risk</w:t>
            </w:r>
          </w:p>
        </w:tc>
        <w:tc>
          <w:tcPr>
            <w:tcW w:type="dxa" w:w="2045"/>
          </w:tcPr>
          <w:p>
            <w:pPr>
              <w:spacing w:after="0"/>
            </w:pPr>
            <w:r>
              <w:rPr>
                <w:rFonts w:ascii="Arial" w:hAnsi="Arial"/>
                <w:b w:val="0"/>
                <w:sz w:val="14"/>
              </w:rPr>
              <w:t>Closed for inventory; Phase 1D rendering decision remains</w:t>
            </w:r>
          </w:p>
        </w:tc>
        <w:tc>
          <w:tcPr>
            <w:tcW w:type="dxa" w:w="2045"/>
          </w:tcPr>
          <w:p>
            <w:pPr>
              <w:spacing w:after="0"/>
            </w:pPr>
            <w:r>
              <w:rPr>
                <w:rFonts w:ascii="Arial" w:hAnsi="Arial"/>
                <w:b w:val="0"/>
                <w:sz w:val="14"/>
              </w:rPr>
              <w:t>Phase 1C / 1D</w:t>
            </w:r>
          </w:p>
        </w:tc>
      </w:tr>
      <w:tr>
        <w:tc>
          <w:tcPr>
            <w:tcW w:type="dxa" w:w="2045"/>
          </w:tcPr>
          <w:p>
            <w:pPr>
              <w:spacing w:after="0"/>
            </w:pPr>
            <w:r>
              <w:rPr>
                <w:rFonts w:ascii="Arial" w:hAnsi="Arial"/>
                <w:b w:val="0"/>
                <w:sz w:val="14"/>
              </w:rPr>
              <w:t>Citation inventory pre-cleanup status</w:t>
            </w:r>
          </w:p>
        </w:tc>
        <w:tc>
          <w:tcPr>
            <w:tcW w:type="dxa" w:w="2045"/>
          </w:tcPr>
          <w:p>
            <w:pPr>
              <w:spacing w:after="0"/>
            </w:pPr>
            <w:r>
              <w:rPr>
                <w:rFonts w:ascii="Arial" w:hAnsi="Arial"/>
                <w:b w:val="0"/>
                <w:sz w:val="14"/>
              </w:rPr>
              <w:t>Citation validation belongs to global cleanup</w:t>
            </w:r>
          </w:p>
        </w:tc>
        <w:tc>
          <w:tcPr>
            <w:tcW w:type="dxa" w:w="2045"/>
          </w:tcPr>
          <w:p>
            <w:pPr>
              <w:spacing w:after="0"/>
            </w:pPr>
            <w:r>
              <w:rPr>
                <w:rFonts w:ascii="Arial" w:hAnsi="Arial"/>
                <w:b w:val="0"/>
                <w:sz w:val="14"/>
              </w:rPr>
              <w:t>Updated citation inventory to Phase 1C claim-level reviewed / provisional source binding complete</w:t>
            </w:r>
          </w:p>
        </w:tc>
        <w:tc>
          <w:tcPr>
            <w:tcW w:type="dxa" w:w="2045"/>
          </w:tcPr>
          <w:p>
            <w:pPr>
              <w:spacing w:after="0"/>
            </w:pPr>
            <w:r>
              <w:rPr>
                <w:rFonts w:ascii="Arial" w:hAnsi="Arial"/>
                <w:b w:val="0"/>
                <w:sz w:val="14"/>
              </w:rPr>
              <w:t>Final page-level citation pinning remains</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All L2 product docs required Phase 1C revalidation</w:t>
            </w:r>
          </w:p>
        </w:tc>
        <w:tc>
          <w:tcPr>
            <w:tcW w:type="dxa" w:w="2045"/>
          </w:tcPr>
          <w:p>
            <w:pPr>
              <w:spacing w:after="0"/>
            </w:pPr>
            <w:r>
              <w:rPr>
                <w:rFonts w:ascii="Arial" w:hAnsi="Arial"/>
                <w:b w:val="0"/>
                <w:sz w:val="14"/>
              </w:rPr>
              <w:t>Product docs may have changed and required claim-level review</w:t>
            </w:r>
          </w:p>
        </w:tc>
        <w:tc>
          <w:tcPr>
            <w:tcW w:type="dxa" w:w="2045"/>
          </w:tcPr>
          <w:p>
            <w:pPr>
              <w:spacing w:after="0"/>
            </w:pPr>
            <w:r>
              <w:rPr>
                <w:rFonts w:ascii="Arial" w:hAnsi="Arial"/>
                <w:b w:val="0"/>
                <w:sz w:val="14"/>
              </w:rPr>
              <w:t>Official entry points located; material claims source-bound, narrowed, or downgraded to L5</w:t>
            </w:r>
          </w:p>
        </w:tc>
        <w:tc>
          <w:tcPr>
            <w:tcW w:type="dxa" w:w="2045"/>
          </w:tcPr>
          <w:p>
            <w:pPr>
              <w:spacing w:after="0"/>
            </w:pPr>
            <w:r>
              <w:rPr>
                <w:rFonts w:ascii="Arial" w:hAnsi="Arial"/>
                <w:b w:val="0"/>
                <w:sz w:val="14"/>
              </w:rPr>
              <w:t>Appendix G remains provisional; final page-level citation pinning remains</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T-D-01 required layout evaluation</w:t>
            </w:r>
          </w:p>
        </w:tc>
        <w:tc>
          <w:tcPr>
            <w:tcW w:type="dxa" w:w="2045"/>
          </w:tcPr>
          <w:p>
            <w:pPr>
              <w:spacing w:after="0"/>
            </w:pPr>
            <w:r>
              <w:rPr>
                <w:rFonts w:ascii="Arial" w:hAnsi="Arial"/>
                <w:b w:val="0"/>
                <w:sz w:val="14"/>
              </w:rPr>
              <w:t>Very wide table may require split or landscape handling</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evaluation for T-13/T-14/T-15/T-17/T-18 and Appendix G</w:t>
            </w:r>
          </w:p>
        </w:tc>
        <w:tc>
          <w:tcPr>
            <w:tcW w:type="dxa" w:w="2045"/>
          </w:tcPr>
          <w:p>
            <w:pPr>
              <w:spacing w:after="0"/>
            </w:pPr>
            <w:r>
              <w:rPr>
                <w:rFonts w:ascii="Arial" w:hAnsi="Arial"/>
                <w:b w:val="0"/>
                <w:sz w:val="14"/>
              </w:rPr>
              <w:t>Several wide tables may not render in portrait layout</w:t>
            </w:r>
          </w:p>
        </w:tc>
        <w:tc>
          <w:tcPr>
            <w:tcW w:type="dxa" w:w="2045"/>
          </w:tcPr>
          <w:p>
            <w:pPr>
              <w:spacing w:after="0"/>
            </w:pPr>
            <w:r>
              <w:rPr>
                <w:rFonts w:ascii="Arial" w:hAnsi="Arial"/>
                <w:b w:val="0"/>
                <w:sz w:val="14"/>
              </w:rPr>
              <w:t>Layout risk documented in table inventory</w:t>
            </w:r>
          </w:p>
        </w:tc>
        <w:tc>
          <w:tcPr>
            <w:tcW w:type="dxa" w:w="2045"/>
          </w:tcPr>
          <w:p>
            <w:pPr>
              <w:spacing w:after="0"/>
            </w:pPr>
            <w:r>
              <w:rPr>
                <w:rFonts w:ascii="Arial" w:hAnsi="Arial"/>
                <w:b w:val="0"/>
                <w:sz w:val="14"/>
              </w:rPr>
              <w:t>Render and inspect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MPLP/Validation Lab URL validation</w:t>
            </w:r>
          </w:p>
        </w:tc>
        <w:tc>
          <w:tcPr>
            <w:tcW w:type="dxa" w:w="2045"/>
          </w:tcPr>
          <w:p>
            <w:pPr>
              <w:spacing w:after="0"/>
            </w:pPr>
            <w:r>
              <w:rPr>
                <w:rFonts w:ascii="Arial" w:hAnsi="Arial"/>
                <w:b w:val="0"/>
                <w:sz w:val="14"/>
              </w:rPr>
              <w:t>URLs were not validated in Phase 1B</w:t>
            </w:r>
          </w:p>
        </w:tc>
        <w:tc>
          <w:tcPr>
            <w:tcW w:type="dxa" w:w="2045"/>
          </w:tcPr>
          <w:p>
            <w:pPr>
              <w:spacing w:after="0"/>
            </w:pPr>
            <w:r>
              <w:rPr>
                <w:rFonts w:ascii="Arial" w:hAnsi="Arial"/>
                <w:b w:val="0"/>
                <w:sz w:val="14"/>
              </w:rPr>
              <w:t>MPLP docs and site entry points located; Validation Lab public entry point located</w:t>
            </w:r>
          </w:p>
        </w:tc>
        <w:tc>
          <w:tcPr>
            <w:tcW w:type="dxa" w:w="2045"/>
          </w:tcPr>
          <w:p>
            <w:pPr>
              <w:spacing w:after="0"/>
            </w:pPr>
            <w:r>
              <w:rPr>
                <w:rFonts w:ascii="Arial" w:hAnsi="Arial"/>
                <w:b w:val="0"/>
                <w:sz w:val="14"/>
              </w:rPr>
              <w:t>Methodology-specific Validation Lab support remains boundary-limited</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Evidence level annotation</w:t>
            </w:r>
          </w:p>
        </w:tc>
        <w:tc>
          <w:tcPr>
            <w:tcW w:type="dxa" w:w="2045"/>
          </w:tcPr>
          <w:p>
            <w:pPr>
              <w:spacing w:after="0"/>
            </w:pPr>
            <w:r>
              <w:rPr>
                <w:rFonts w:ascii="Arial" w:hAnsi="Arial"/>
                <w:b w:val="0"/>
                <w:sz w:val="14"/>
              </w:rPr>
              <w:t>Evidence confidence must be visible and consistent</w:t>
            </w:r>
          </w:p>
        </w:tc>
        <w:tc>
          <w:tcPr>
            <w:tcW w:type="dxa" w:w="2045"/>
          </w:tcPr>
          <w:p>
            <w:pPr>
              <w:spacing w:after="0"/>
            </w:pPr>
            <w:r>
              <w:rPr>
                <w:rFonts w:ascii="Arial" w:hAnsi="Arial"/>
                <w:b w:val="0"/>
                <w:sz w:val="14"/>
              </w:rPr>
              <w:t>Claim evidence register added L1-L5 labels and downgrade dispositions</w:t>
            </w:r>
          </w:p>
        </w:tc>
        <w:tc>
          <w:tcPr>
            <w:tcW w:type="dxa" w:w="2045"/>
          </w:tcPr>
          <w:p>
            <w:pPr>
              <w:spacing w:after="0"/>
            </w:pPr>
            <w:r>
              <w:rPr>
                <w:rFonts w:ascii="Arial" w:hAnsi="Arial"/>
                <w:b w:val="0"/>
                <w:sz w:val="14"/>
              </w:rPr>
              <w:t>Verify citations render with evidence labels in Phase 1D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Source coverage matrix validation</w:t>
            </w:r>
          </w:p>
        </w:tc>
        <w:tc>
          <w:tcPr>
            <w:tcW w:type="dxa" w:w="2045"/>
          </w:tcPr>
          <w:p>
            <w:pPr>
              <w:spacing w:after="0"/>
            </w:pPr>
            <w:r>
              <w:rPr>
                <w:rFonts w:ascii="Arial" w:hAnsi="Arial"/>
                <w:b w:val="0"/>
                <w:sz w:val="14"/>
              </w:rPr>
              <w:t>Coverage matrix is a governance ledger requiring global validation</w:t>
            </w:r>
          </w:p>
        </w:tc>
        <w:tc>
          <w:tcPr>
            <w:tcW w:type="dxa" w:w="2045"/>
          </w:tcPr>
          <w:p>
            <w:pPr>
              <w:spacing w:after="0"/>
            </w:pPr>
            <w:r>
              <w:rPr>
                <w:rFonts w:ascii="Arial" w:hAnsi="Arial"/>
                <w:b w:val="0"/>
                <w:sz w:val="14"/>
              </w:rPr>
              <w:t>Matrix expanded and updated to claim-level source-binding status</w:t>
            </w:r>
          </w:p>
        </w:tc>
        <w:tc>
          <w:tcPr>
            <w:tcW w:type="dxa" w:w="2045"/>
          </w:tcPr>
          <w:p>
            <w:pPr>
              <w:spacing w:after="0"/>
            </w:pPr>
            <w:r>
              <w:rPr>
                <w:rFonts w:ascii="Arial" w:hAnsi="Arial"/>
                <w:b w:val="0"/>
                <w:sz w:val="14"/>
              </w:rPr>
              <w:t>Maintain claim register during page-level citation pinning</w:t>
            </w:r>
          </w:p>
        </w:tc>
        <w:tc>
          <w:tcPr>
            <w:tcW w:type="dxa" w:w="2045"/>
          </w:tcPr>
          <w:p>
            <w:pPr>
              <w:spacing w:after="0"/>
            </w:pPr>
            <w:r>
              <w:rPr>
                <w:rFonts w:ascii="Arial" w:hAnsi="Arial"/>
                <w:b w:val="0"/>
                <w:sz w:val="14"/>
              </w:rPr>
              <w:t>Phase 1C follow-up / Phase 1D</w:t>
            </w:r>
          </w:p>
        </w:tc>
      </w:tr>
      <w:tr>
        <w:tc>
          <w:tcPr>
            <w:tcW w:type="dxa" w:w="2045"/>
          </w:tcPr>
          <w:p>
            <w:pPr>
              <w:spacing w:after="0"/>
            </w:pPr>
            <w:r>
              <w:rPr>
                <w:rFonts w:ascii="Arial" w:hAnsi="Arial"/>
                <w:b w:val="0"/>
                <w:sz w:val="14"/>
              </w:rPr>
              <w:t>Appendix G provisional assessments required source revalidation before finalization</w:t>
            </w:r>
          </w:p>
        </w:tc>
        <w:tc>
          <w:tcPr>
            <w:tcW w:type="dxa" w:w="2045"/>
          </w:tcPr>
          <w:p>
            <w:pPr>
              <w:spacing w:after="0"/>
            </w:pPr>
            <w:r>
              <w:rPr>
                <w:rFonts w:ascii="Arial" w:hAnsi="Arial"/>
                <w:b w:val="0"/>
                <w:sz w:val="14"/>
              </w:rPr>
              <w:t>Appendix G uses qualitative provisional posture</w:t>
            </w:r>
          </w:p>
        </w:tc>
        <w:tc>
          <w:tcPr>
            <w:tcW w:type="dxa" w:w="2045"/>
          </w:tcPr>
          <w:p>
            <w:pPr>
              <w:spacing w:after="0"/>
            </w:pPr>
            <w:r>
              <w:rPr>
                <w:rFonts w:ascii="Arial" w:hAnsi="Arial"/>
                <w:b w:val="0"/>
                <w:sz w:val="14"/>
              </w:rPr>
              <w:t>Appendix G marked revalidated provisional; material claims source-bound, narrowed, or downgraded</w:t>
            </w:r>
          </w:p>
        </w:tc>
        <w:tc>
          <w:tcPr>
            <w:tcW w:type="dxa" w:w="2045"/>
          </w:tcPr>
          <w:p>
            <w:pPr>
              <w:spacing w:after="0"/>
            </w:pPr>
            <w:r>
              <w:rPr>
                <w:rFonts w:ascii="Arial" w:hAnsi="Arial"/>
                <w:b w:val="0"/>
                <w:sz w:val="14"/>
              </w:rPr>
              <w:t>Keep provisional until publication approval; no final scores/rankings</w:t>
            </w:r>
          </w:p>
        </w:tc>
        <w:tc>
          <w:tcPr>
            <w:tcW w:type="dxa" w:w="2045"/>
          </w:tcPr>
          <w:p>
            <w:pPr>
              <w:spacing w:after="0"/>
            </w:pPr>
            <w:r>
              <w:rPr>
                <w:rFonts w:ascii="Arial" w:hAnsi="Arial"/>
                <w:b w:val="0"/>
                <w:sz w:val="14"/>
              </w:rPr>
              <w:t>Phase 1C follow-up</w:t>
            </w:r>
          </w:p>
        </w:tc>
      </w:tr>
    </w:tbl>
    <w:p>
      <w:pPr>
        <w:pStyle w:val="Heading2"/>
      </w:pPr>
      <w:r>
        <w:t>J.4 Deferred Phase 1D Items</w:t>
      </w:r>
    </w:p>
    <w:p>
      <w:pPr>
        <w:keepNext/>
      </w:pPr>
      <w:r>
        <w:rPr>
          <w:b/>
          <w:sz w:val="16"/>
        </w:rPr>
        <w:t>Table T-J-03: Phase 1D Layout / Publication Items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Item</w:t>
            </w:r>
          </w:p>
        </w:tc>
        <w:tc>
          <w:tcPr>
            <w:tcW w:type="dxa" w:w="2045"/>
          </w:tcPr>
          <w:p>
            <w:pPr>
              <w:spacing w:after="0"/>
            </w:pPr>
            <w:r>
              <w:rPr>
                <w:rFonts w:ascii="Arial" w:hAnsi="Arial"/>
                <w:b/>
                <w:sz w:val="14"/>
              </w:rPr>
              <w:t>Publication Risk</w:t>
            </w:r>
          </w:p>
        </w:tc>
        <w:tc>
          <w:tcPr>
            <w:tcW w:type="dxa" w:w="2045"/>
          </w:tcPr>
          <w:p>
            <w:pPr>
              <w:spacing w:after="0"/>
            </w:pPr>
            <w:r>
              <w:rPr>
                <w:rFonts w:ascii="Arial" w:hAnsi="Arial"/>
                <w:b/>
                <w:sz w:val="14"/>
              </w:rPr>
              <w:t>Required QA</w:t>
            </w:r>
          </w:p>
        </w:tc>
        <w:tc>
          <w:tcPr>
            <w:tcW w:type="dxa" w:w="2045"/>
          </w:tcPr>
          <w:p>
            <w:pPr>
              <w:spacing w:after="0"/>
            </w:pPr>
            <w:r>
              <w:rPr>
                <w:rFonts w:ascii="Arial" w:hAnsi="Arial"/>
                <w:b/>
                <w:sz w:val="14"/>
              </w:rPr>
              <w:t>Expected Output</w:t>
            </w:r>
          </w:p>
        </w:tc>
        <w:tc>
          <w:tcPr>
            <w:tcW w:type="dxa" w:w="2045"/>
          </w:tcPr>
          <w:p>
            <w:pPr>
              <w:spacing w:after="0"/>
            </w:pPr>
            <w:r>
              <w:rPr>
                <w:rFonts w:ascii="Arial" w:hAnsi="Arial"/>
                <w:b/>
                <w:sz w:val="14"/>
              </w:rPr>
              <w:t>Owner Phase</w:t>
            </w:r>
          </w:p>
        </w:tc>
      </w:tr>
      <w:tr>
        <w:tc>
          <w:tcPr>
            <w:tcW w:type="dxa" w:w="2045"/>
          </w:tcPr>
          <w:p>
            <w:pPr>
              <w:spacing w:after="0"/>
            </w:pPr>
            <w:r>
              <w:rPr>
                <w:rFonts w:ascii="Arial" w:hAnsi="Arial"/>
                <w:b w:val="0"/>
                <w:sz w:val="14"/>
              </w:rPr>
              <w:t>DOCX generation</w:t>
            </w:r>
          </w:p>
        </w:tc>
        <w:tc>
          <w:tcPr>
            <w:tcW w:type="dxa" w:w="2045"/>
          </w:tcPr>
          <w:p>
            <w:pPr>
              <w:spacing w:after="0"/>
            </w:pPr>
            <w:r>
              <w:rPr>
                <w:rFonts w:ascii="Arial" w:hAnsi="Arial"/>
                <w:b w:val="0"/>
                <w:sz w:val="14"/>
              </w:rPr>
              <w:t>Formatting may drift from Markdown source</w:t>
            </w:r>
          </w:p>
        </w:tc>
        <w:tc>
          <w:tcPr>
            <w:tcW w:type="dxa" w:w="2045"/>
          </w:tcPr>
          <w:p>
            <w:pPr>
              <w:spacing w:after="0"/>
            </w:pPr>
            <w:r>
              <w:rPr>
                <w:rFonts w:ascii="Arial" w:hAnsi="Arial"/>
                <w:b w:val="0"/>
                <w:sz w:val="14"/>
              </w:rPr>
              <w:t>Generate DOCX from reviewed source</w:t>
            </w:r>
          </w:p>
        </w:tc>
        <w:tc>
          <w:tcPr>
            <w:tcW w:type="dxa" w:w="2045"/>
          </w:tcPr>
          <w:p>
            <w:pPr>
              <w:spacing w:after="0"/>
            </w:pPr>
            <w:r>
              <w:rPr>
                <w:rFonts w:ascii="Arial" w:hAnsi="Arial"/>
                <w:b w:val="0"/>
                <w:sz w:val="14"/>
              </w:rPr>
              <w:t>Publication candidate DOCX</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PDF generation</w:t>
            </w:r>
          </w:p>
        </w:tc>
        <w:tc>
          <w:tcPr>
            <w:tcW w:type="dxa" w:w="2045"/>
          </w:tcPr>
          <w:p>
            <w:pPr>
              <w:spacing w:after="0"/>
            </w:pPr>
            <w:r>
              <w:rPr>
                <w:rFonts w:ascii="Arial" w:hAnsi="Arial"/>
                <w:b w:val="0"/>
                <w:sz w:val="14"/>
              </w:rPr>
              <w:t>Tables or figures may clip or wrap poorly</w:t>
            </w:r>
          </w:p>
        </w:tc>
        <w:tc>
          <w:tcPr>
            <w:tcW w:type="dxa" w:w="2045"/>
          </w:tcPr>
          <w:p>
            <w:pPr>
              <w:spacing w:after="0"/>
            </w:pPr>
            <w:r>
              <w:rPr>
                <w:rFonts w:ascii="Arial" w:hAnsi="Arial"/>
                <w:b w:val="0"/>
                <w:sz w:val="14"/>
              </w:rPr>
              <w:t>Generate PDF from finalized DOCX/source</w:t>
            </w:r>
          </w:p>
        </w:tc>
        <w:tc>
          <w:tcPr>
            <w:tcW w:type="dxa" w:w="2045"/>
          </w:tcPr>
          <w:p>
            <w:pPr>
              <w:spacing w:after="0"/>
            </w:pPr>
            <w:r>
              <w:rPr>
                <w:rFonts w:ascii="Arial" w:hAnsi="Arial"/>
                <w:b w:val="0"/>
                <w:sz w:val="14"/>
              </w:rPr>
              <w:t>Publication candidate PDF</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Wide table rendering</w:t>
            </w:r>
          </w:p>
        </w:tc>
        <w:tc>
          <w:tcPr>
            <w:tcW w:type="dxa" w:w="2045"/>
          </w:tcPr>
          <w:p>
            <w:pPr>
              <w:spacing w:after="0"/>
            </w:pPr>
            <w:r>
              <w:rPr>
                <w:rFonts w:ascii="Arial" w:hAnsi="Arial"/>
                <w:b w:val="0"/>
                <w:sz w:val="14"/>
              </w:rPr>
              <w:t>Landscape tables may be unreadable or clipped</w:t>
            </w:r>
          </w:p>
        </w:tc>
        <w:tc>
          <w:tcPr>
            <w:tcW w:type="dxa" w:w="2045"/>
          </w:tcPr>
          <w:p>
            <w:pPr>
              <w:spacing w:after="0"/>
            </w:pPr>
            <w:r>
              <w:rPr>
                <w:rFonts w:ascii="Arial" w:hAnsi="Arial"/>
                <w:b w:val="0"/>
                <w:sz w:val="14"/>
              </w:rPr>
              <w:t>Inspect T-D-01, T-13/T-14/T-15/T-17/T-18, Appendix G, H-K tables</w:t>
            </w:r>
          </w:p>
        </w:tc>
        <w:tc>
          <w:tcPr>
            <w:tcW w:type="dxa" w:w="2045"/>
          </w:tcPr>
          <w:p>
            <w:pPr>
              <w:spacing w:after="0"/>
            </w:pPr>
            <w:r>
              <w:rPr>
                <w:rFonts w:ascii="Arial" w:hAnsi="Arial"/>
                <w:b w:val="0"/>
                <w:sz w:val="14"/>
              </w:rPr>
              <w:t>Wide-table remediation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Figure readability</w:t>
            </w:r>
          </w:p>
        </w:tc>
        <w:tc>
          <w:tcPr>
            <w:tcW w:type="dxa" w:w="2045"/>
          </w:tcPr>
          <w:p>
            <w:pPr>
              <w:spacing w:after="0"/>
            </w:pPr>
            <w:r>
              <w:rPr>
                <w:rFonts w:ascii="Arial" w:hAnsi="Arial"/>
                <w:b w:val="0"/>
                <w:sz w:val="14"/>
              </w:rPr>
              <w:t>Figure panels or generated figures may not be publication grade</w:t>
            </w:r>
          </w:p>
        </w:tc>
        <w:tc>
          <w:tcPr>
            <w:tcW w:type="dxa" w:w="2045"/>
          </w:tcPr>
          <w:p>
            <w:pPr>
              <w:spacing w:after="0"/>
            </w:pPr>
            <w:r>
              <w:rPr>
                <w:rFonts w:ascii="Arial" w:hAnsi="Arial"/>
                <w:b w:val="0"/>
                <w:sz w:val="14"/>
              </w:rPr>
              <w:t>Verify figure resolution, labels, captions, and references</w:t>
            </w:r>
          </w:p>
        </w:tc>
        <w:tc>
          <w:tcPr>
            <w:tcW w:type="dxa" w:w="2045"/>
          </w:tcPr>
          <w:p>
            <w:pPr>
              <w:spacing w:after="0"/>
            </w:pPr>
            <w:r>
              <w:rPr>
                <w:rFonts w:ascii="Arial" w:hAnsi="Arial"/>
                <w:b w:val="0"/>
                <w:sz w:val="14"/>
              </w:rPr>
              <w:t>Figure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Table captions and page breaks</w:t>
            </w:r>
          </w:p>
        </w:tc>
        <w:tc>
          <w:tcPr>
            <w:tcW w:type="dxa" w:w="2045"/>
          </w:tcPr>
          <w:p>
            <w:pPr>
              <w:spacing w:after="0"/>
            </w:pPr>
            <w:r>
              <w:rPr>
                <w:rFonts w:ascii="Arial" w:hAnsi="Arial"/>
                <w:b w:val="0"/>
                <w:sz w:val="14"/>
              </w:rPr>
              <w:t>Captions and headers may split incorrectly</w:t>
            </w:r>
          </w:p>
        </w:tc>
        <w:tc>
          <w:tcPr>
            <w:tcW w:type="dxa" w:w="2045"/>
          </w:tcPr>
          <w:p>
            <w:pPr>
              <w:spacing w:after="0"/>
            </w:pPr>
            <w:r>
              <w:rPr>
                <w:rFonts w:ascii="Arial" w:hAnsi="Arial"/>
                <w:b w:val="0"/>
                <w:sz w:val="14"/>
              </w:rPr>
              <w:t>Inspect page breaks, captions, repeated headers</w:t>
            </w:r>
          </w:p>
        </w:tc>
        <w:tc>
          <w:tcPr>
            <w:tcW w:type="dxa" w:w="2045"/>
          </w:tcPr>
          <w:p>
            <w:pPr>
              <w:spacing w:after="0"/>
            </w:pPr>
            <w:r>
              <w:rPr>
                <w:rFonts w:ascii="Arial" w:hAnsi="Arial"/>
                <w:b w:val="0"/>
                <w:sz w:val="14"/>
              </w:rPr>
              <w:t>Layout QA record</w:t>
            </w:r>
          </w:p>
        </w:tc>
        <w:tc>
          <w:tcPr>
            <w:tcW w:type="dxa" w:w="2045"/>
          </w:tcPr>
          <w:p>
            <w:pPr>
              <w:spacing w:after="0"/>
            </w:pPr>
            <w:r>
              <w:rPr>
                <w:rFonts w:ascii="Arial" w:hAnsi="Arial"/>
                <w:b w:val="0"/>
                <w:sz w:val="14"/>
              </w:rPr>
              <w:t>Phase 1D</w:t>
            </w:r>
          </w:p>
        </w:tc>
      </w:tr>
      <w:tr>
        <w:tc>
          <w:tcPr>
            <w:tcW w:type="dxa" w:w="2045"/>
          </w:tcPr>
          <w:p>
            <w:pPr>
              <w:spacing w:after="0"/>
            </w:pPr>
            <w:r>
              <w:rPr>
                <w:rFonts w:ascii="Arial" w:hAnsi="Arial"/>
                <w:b w:val="0"/>
                <w:sz w:val="14"/>
              </w:rPr>
              <w:t>Citation rendering</w:t>
            </w:r>
          </w:p>
        </w:tc>
        <w:tc>
          <w:tcPr>
            <w:tcW w:type="dxa" w:w="2045"/>
          </w:tcPr>
          <w:p>
            <w:pPr>
              <w:spacing w:after="0"/>
            </w:pPr>
            <w:r>
              <w:rPr>
                <w:rFonts w:ascii="Arial" w:hAnsi="Arial"/>
                <w:b w:val="0"/>
                <w:sz w:val="14"/>
              </w:rPr>
              <w:t>Citations may not render consistently in DOCX/PDF</w:t>
            </w:r>
          </w:p>
        </w:tc>
        <w:tc>
          <w:tcPr>
            <w:tcW w:type="dxa" w:w="2045"/>
          </w:tcPr>
          <w:p>
            <w:pPr>
              <w:spacing w:after="0"/>
            </w:pPr>
            <w:r>
              <w:rPr>
                <w:rFonts w:ascii="Arial" w:hAnsi="Arial"/>
                <w:b w:val="0"/>
                <w:sz w:val="14"/>
              </w:rPr>
              <w:t>Verify citation formatting after generation</w:t>
            </w:r>
          </w:p>
        </w:tc>
        <w:tc>
          <w:tcPr>
            <w:tcW w:type="dxa" w:w="2045"/>
          </w:tcPr>
          <w:p>
            <w:pPr>
              <w:spacing w:after="0"/>
            </w:pPr>
            <w:r>
              <w:rPr>
                <w:rFonts w:ascii="Arial" w:hAnsi="Arial"/>
                <w:b w:val="0"/>
                <w:sz w:val="14"/>
              </w:rPr>
              <w:t>Citation rendering QA record</w:t>
            </w:r>
          </w:p>
        </w:tc>
        <w:tc>
          <w:tcPr>
            <w:tcW w:type="dxa" w:w="2045"/>
          </w:tcPr>
          <w:p>
            <w:pPr>
              <w:spacing w:after="0"/>
            </w:pPr>
            <w:r>
              <w:rPr>
                <w:rFonts w:ascii="Arial" w:hAnsi="Arial"/>
                <w:b w:val="0"/>
                <w:sz w:val="14"/>
              </w:rPr>
              <w:t>Phase 1D</w:t>
            </w:r>
          </w:p>
        </w:tc>
      </w:tr>
    </w:tbl>
    <w:p>
      <w:pPr>
        <w:pStyle w:val="Heading2"/>
      </w:pPr>
      <w:r>
        <w:t>J.5 Closure Interpretation Boundary</w:t>
      </w:r>
    </w:p>
    <w:p>
      <w:pPr>
        <w:spacing w:after="56"/>
      </w:pPr>
      <w:r>
        <w:t>Closed and structurally closed items indicate that the Markdown source now contains the required content or correction. They do not mean that source revalidation, legal review, procurement review, certification, publication layout, or final rendering has been completed.</w:t>
      </w:r>
    </w:p>
    <w:p>
      <w:pPr>
        <w:spacing w:after="56"/>
      </w:pPr>
      <w:r>
        <w:t>Phase 1C cleanup and claim-level source binding have been completed; remaining work is Phase 1D/publication QA. Deferred Phase 1D items remain active governance obligations until publication-candidate generation, citation rendering, table/figure proofing, and final review are complete.</w:t>
      </w:r>
    </w:p>
    <w:p>
      <w:pPr>
        <w:pStyle w:val="Heading1"/>
      </w:pPr>
      <w:r>
        <w:t>Appendix K — Editorial Remediation Record</w:t>
      </w:r>
    </w:p>
    <w:p>
      <w:pPr>
        <w:spacing w:after="56"/>
      </w:pPr>
      <w:r>
        <w:t>Version: v0.3.2-FRC-R3</w:t>
      </w:r>
    </w:p>
    <w:p>
      <w:pPr>
        <w:pStyle w:val="Heading2"/>
      </w:pPr>
      <w:r>
        <w:t>K.0 Editorial Remediation Boundary</w:t>
      </w:r>
    </w:p>
    <w:p>
      <w:pPr>
        <w:spacing w:after="56"/>
      </w:pPr>
      <w:r>
        <w:t>This appendix records governance-relevant remediation decisions across Phase 1A and Phase 1B. It is not a line-by-line changelog. It preserves audit traceability for reconstruction strategy, methodology correction, boundary hardening, source governance, and deferred cleanup.</w:t>
      </w:r>
    </w:p>
    <w:p>
      <w:pPr>
        <w:spacing w:after="56"/>
      </w:pPr>
      <w:r>
        <w:t>The record does not claim that Phase 1D publication QA or publication-candidate review has been completed.</w:t>
      </w:r>
    </w:p>
    <w:p>
      <w:pPr>
        <w:pStyle w:val="Heading2"/>
      </w:pPr>
      <w:r>
        <w:t>K.1 Remediation Categories</w:t>
      </w:r>
    </w:p>
    <w:p>
      <w:pPr>
        <w:spacing w:after="56"/>
      </w:pPr>
      <w:r>
        <w:t>Remediation categories:</w:t>
      </w:r>
    </w:p>
    <w:p>
      <w:pPr>
        <w:pStyle w:val="ListNumber"/>
        <w:spacing w:after="56"/>
      </w:pPr>
      <w:r>
        <w:t>Structural reconstruction: Creating clean Markdown source, filling chapters, and replacing unstable PDF extraction behavior.</w:t>
      </w:r>
    </w:p>
    <w:p>
      <w:pPr>
        <w:pStyle w:val="ListNumber"/>
        <w:spacing w:after="56"/>
      </w:pPr>
      <w:r>
        <w:t>Methodology correction: Aligning evidence multipliers, scoring formulas, score-5 interpretation, and composite weighting.</w:t>
      </w:r>
    </w:p>
    <w:p>
      <w:pPr>
        <w:pStyle w:val="ListNumber"/>
        <w:spacing w:after="56"/>
      </w:pPr>
      <w:r>
        <w:t>Boundary hardening: Preventing legal, procurement, certification, vendor ordering, or compliance-proof overclaim.</w:t>
      </w:r>
    </w:p>
    <w:p>
      <w:pPr>
        <w:pStyle w:val="ListNumber"/>
        <w:spacing w:after="56"/>
      </w:pPr>
      <w:r>
        <w:t>Source governance: Preserving citation inventory status, L2 revalidation requirements, evidence level annotation, and source coverage validation.</w:t>
      </w:r>
    </w:p>
    <w:p>
      <w:pPr>
        <w:pStyle w:val="ListNumber"/>
        <w:spacing w:after="56"/>
      </w:pPr>
      <w:r>
        <w:t>Publication deferral: Reserving DOCX/PDF generation and layout QA for Phase 1D.</w:t>
      </w:r>
    </w:p>
    <w:p>
      <w:pPr>
        <w:pStyle w:val="Heading2"/>
      </w:pPr>
      <w:r>
        <w:t>K.2 Phase 1A Remediation Record</w:t>
      </w:r>
    </w:p>
    <w:p>
      <w:pPr>
        <w:spacing w:after="56"/>
      </w:pPr>
      <w:r>
        <w:t>Phase 1A established the clean source foundation:</w:t>
      </w:r>
    </w:p>
    <w:p>
      <w:pPr>
        <w:pStyle w:val="ListBullet"/>
        <w:spacing w:after="56"/>
      </w:pPr>
      <w:r>
        <w:t>Rebuilt the document as Markdown-first source.</w:t>
      </w:r>
    </w:p>
    <w:p>
      <w:pPr>
        <w:pStyle w:val="ListBullet"/>
        <w:spacing w:after="56"/>
      </w:pPr>
      <w:r>
        <w:t>Filled core body chapters and methodology chapters.</w:t>
      </w:r>
    </w:p>
    <w:p>
      <w:pPr>
        <w:pStyle w:val="ListBullet"/>
        <w:spacing w:after="56"/>
      </w:pPr>
      <w:r>
        <w:t>Established RCCS, ALCS, evidence multiplier, and composite scoring discipline.</w:t>
      </w:r>
    </w:p>
    <w:p>
      <w:pPr>
        <w:pStyle w:val="ListBullet"/>
        <w:spacing w:after="56"/>
      </w:pPr>
      <w:r>
        <w:t>Preserved non-legal and non-certifying boundaries.</w:t>
      </w:r>
    </w:p>
    <w:p>
      <w:pPr>
        <w:pStyle w:val="ListBullet"/>
        <w:spacing w:after="56"/>
      </w:pPr>
      <w:r>
        <w:t>Deferred DOCX/PDF generation until after source completion and cleanup.</w:t>
      </w:r>
    </w:p>
    <w:p>
      <w:pPr>
        <w:pStyle w:val="Heading2"/>
      </w:pPr>
      <w:r>
        <w:t>K.3 Phase 1B Remediation Record</w:t>
      </w:r>
    </w:p>
    <w:p>
      <w:pPr>
        <w:keepNext/>
      </w:pPr>
      <w:r>
        <w:rPr>
          <w:b/>
          <w:sz w:val="16"/>
        </w:rPr>
        <w:t>Table T-K-01: Editorial Remediation Record</w:t>
      </w:r>
    </w:p>
    <w:tbl>
      <w:tblPr>
        <w:tblStyle w:val="TableGrid"/>
        <w:tblW w:type="auto" w:w="0"/>
        <w:tblLayout w:type="autofit"/>
        <w:tblLook w:firstColumn="1" w:firstRow="1" w:lastColumn="0" w:lastRow="0" w:noHBand="0" w:noVBand="1" w:val="04A0"/>
      </w:tblPr>
      <w:tblGrid>
        <w:gridCol w:w="1704"/>
        <w:gridCol w:w="1704"/>
        <w:gridCol w:w="1704"/>
        <w:gridCol w:w="1704"/>
        <w:gridCol w:w="1704"/>
        <w:gridCol w:w="1704"/>
      </w:tblGrid>
      <w:tr>
        <w:tc>
          <w:tcPr>
            <w:tcW w:type="dxa" w:w="1704"/>
          </w:tcPr>
          <w:p>
            <w:pPr>
              <w:spacing w:after="0"/>
            </w:pPr>
            <w:r>
              <w:rPr>
                <w:rFonts w:ascii="Arial" w:hAnsi="Arial"/>
                <w:b/>
                <w:sz w:val="12"/>
              </w:rPr>
              <w:t>Record ID</w:t>
            </w:r>
          </w:p>
        </w:tc>
        <w:tc>
          <w:tcPr>
            <w:tcW w:type="dxa" w:w="1704"/>
          </w:tcPr>
          <w:p>
            <w:pPr>
              <w:spacing w:after="0"/>
            </w:pPr>
            <w:r>
              <w:rPr>
                <w:rFonts w:ascii="Arial" w:hAnsi="Arial"/>
                <w:b/>
                <w:sz w:val="12"/>
              </w:rPr>
              <w:t>Phase</w:t>
            </w:r>
          </w:p>
        </w:tc>
        <w:tc>
          <w:tcPr>
            <w:tcW w:type="dxa" w:w="1704"/>
          </w:tcPr>
          <w:p>
            <w:pPr>
              <w:spacing w:after="0"/>
            </w:pPr>
            <w:r>
              <w:rPr>
                <w:rFonts w:ascii="Arial" w:hAnsi="Arial"/>
                <w:b/>
                <w:sz w:val="12"/>
              </w:rPr>
              <w:t>Issue</w:t>
            </w:r>
          </w:p>
        </w:tc>
        <w:tc>
          <w:tcPr>
            <w:tcW w:type="dxa" w:w="1704"/>
          </w:tcPr>
          <w:p>
            <w:pPr>
              <w:spacing w:after="0"/>
            </w:pPr>
            <w:r>
              <w:rPr>
                <w:rFonts w:ascii="Arial" w:hAnsi="Arial"/>
                <w:b/>
                <w:sz w:val="12"/>
              </w:rPr>
              <w:t>Remediation</w:t>
            </w:r>
          </w:p>
        </w:tc>
        <w:tc>
          <w:tcPr>
            <w:tcW w:type="dxa" w:w="1704"/>
          </w:tcPr>
          <w:p>
            <w:pPr>
              <w:spacing w:after="0"/>
            </w:pPr>
            <w:r>
              <w:rPr>
                <w:rFonts w:ascii="Arial" w:hAnsi="Arial"/>
                <w:b/>
                <w:sz w:val="12"/>
              </w:rPr>
              <w:t>Evidence / File Area</w:t>
            </w:r>
          </w:p>
        </w:tc>
        <w:tc>
          <w:tcPr>
            <w:tcW w:type="dxa" w:w="1704"/>
          </w:tcPr>
          <w:p>
            <w:pPr>
              <w:spacing w:after="0"/>
            </w:pPr>
            <w:r>
              <w:rPr>
                <w:rFonts w:ascii="Arial" w:hAnsi="Arial"/>
                <w:b/>
                <w:sz w:val="12"/>
              </w:rPr>
              <w:t>Status</w:t>
            </w:r>
          </w:p>
        </w:tc>
      </w:tr>
      <w:tr>
        <w:tc>
          <w:tcPr>
            <w:tcW w:type="dxa" w:w="1704"/>
          </w:tcPr>
          <w:p>
            <w:pPr>
              <w:spacing w:after="0"/>
            </w:pPr>
            <w:r>
              <w:rPr>
                <w:rFonts w:ascii="Arial" w:hAnsi="Arial"/>
                <w:b w:val="0"/>
                <w:sz w:val="12"/>
              </w:rPr>
              <w:t>R-K-01</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R2 extraction and layout instability</w:t>
            </w:r>
          </w:p>
        </w:tc>
        <w:tc>
          <w:tcPr>
            <w:tcW w:type="dxa" w:w="1704"/>
          </w:tcPr>
          <w:p>
            <w:pPr>
              <w:spacing w:after="0"/>
            </w:pPr>
            <w:r>
              <w:rPr>
                <w:rFonts w:ascii="Arial" w:hAnsi="Arial"/>
                <w:b w:val="0"/>
                <w:sz w:val="12"/>
              </w:rPr>
              <w:t>Adopted Markdown-first reconstruction strategy</w:t>
            </w:r>
          </w:p>
        </w:tc>
        <w:tc>
          <w:tcPr>
            <w:tcW w:type="dxa" w:w="1704"/>
          </w:tcPr>
          <w:p>
            <w:pPr>
              <w:spacing w:after="0"/>
            </w:pPr>
            <w:r>
              <w:rPr>
                <w:rFonts w:ascii="Arial" w:hAnsi="Arial"/>
                <w:b w:val="0"/>
                <w:sz w:val="12"/>
              </w:rPr>
              <w:t>Reconstruction notes; SOURCE MASTER</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R-K-02</w:t>
            </w:r>
          </w:p>
        </w:tc>
        <w:tc>
          <w:tcPr>
            <w:tcW w:type="dxa" w:w="1704"/>
          </w:tcPr>
          <w:p>
            <w:pPr>
              <w:spacing w:after="0"/>
            </w:pPr>
            <w:r>
              <w:rPr>
                <w:rFonts w:ascii="Arial" w:hAnsi="Arial"/>
                <w:b w:val="0"/>
                <w:sz w:val="12"/>
              </w:rPr>
              <w:t>Phase 1A</w:t>
            </w:r>
          </w:p>
        </w:tc>
        <w:tc>
          <w:tcPr>
            <w:tcW w:type="dxa" w:w="1704"/>
          </w:tcPr>
          <w:p>
            <w:pPr>
              <w:spacing w:after="0"/>
            </w:pPr>
            <w:r>
              <w:rPr>
                <w:rFonts w:ascii="Arial" w:hAnsi="Arial"/>
                <w:b w:val="0"/>
                <w:sz w:val="12"/>
              </w:rPr>
              <w:t>Core methodology needed stable scoring discipline</w:t>
            </w:r>
          </w:p>
        </w:tc>
        <w:tc>
          <w:tcPr>
            <w:tcW w:type="dxa" w:w="1704"/>
          </w:tcPr>
          <w:p>
            <w:pPr>
              <w:spacing w:after="0"/>
            </w:pPr>
            <w:r>
              <w:rPr>
                <w:rFonts w:ascii="Arial" w:hAnsi="Arial"/>
                <w:b w:val="0"/>
                <w:sz w:val="12"/>
              </w:rPr>
              <w:t>Established canonical evidence multipliers and scoring formulas</w:t>
            </w:r>
          </w:p>
        </w:tc>
        <w:tc>
          <w:tcPr>
            <w:tcW w:type="dxa" w:w="1704"/>
          </w:tcPr>
          <w:p>
            <w:pPr>
              <w:spacing w:after="0"/>
            </w:pPr>
            <w:r>
              <w:rPr>
                <w:rFonts w:ascii="Arial" w:hAnsi="Arial"/>
                <w:b w:val="0"/>
                <w:sz w:val="12"/>
              </w:rPr>
              <w:t>Chapters 7-9; Appendix B</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R-K-03</w:t>
            </w:r>
          </w:p>
        </w:tc>
        <w:tc>
          <w:tcPr>
            <w:tcW w:type="dxa" w:w="1704"/>
          </w:tcPr>
          <w:p>
            <w:pPr>
              <w:spacing w:after="0"/>
            </w:pPr>
            <w:r>
              <w:rPr>
                <w:rFonts w:ascii="Arial" w:hAnsi="Arial"/>
                <w:b w:val="0"/>
                <w:sz w:val="12"/>
              </w:rPr>
              <w:t>Phase 1B-1 to 1B-7</w:t>
            </w:r>
          </w:p>
        </w:tc>
        <w:tc>
          <w:tcPr>
            <w:tcW w:type="dxa" w:w="1704"/>
          </w:tcPr>
          <w:p>
            <w:pPr>
              <w:spacing w:after="0"/>
            </w:pPr>
            <w:r>
              <w:rPr>
                <w:rFonts w:ascii="Arial" w:hAnsi="Arial"/>
                <w:b w:val="0"/>
                <w:sz w:val="12"/>
              </w:rPr>
              <w:t>Body chapters 11-15 and 17-18 missing from clean source</w:t>
            </w:r>
          </w:p>
        </w:tc>
        <w:tc>
          <w:tcPr>
            <w:tcW w:type="dxa" w:w="1704"/>
          </w:tcPr>
          <w:p>
            <w:pPr>
              <w:spacing w:after="0"/>
            </w:pPr>
            <w:r>
              <w:rPr>
                <w:rFonts w:ascii="Arial" w:hAnsi="Arial"/>
                <w:b w:val="0"/>
                <w:sz w:val="12"/>
              </w:rPr>
              <w:t>Filled comparative field, mappings, validation pattern, failure scenarios, roadmap, and conclusion</w:t>
            </w:r>
          </w:p>
        </w:tc>
        <w:tc>
          <w:tcPr>
            <w:tcW w:type="dxa" w:w="1704"/>
          </w:tcPr>
          <w:p>
            <w:pPr>
              <w:spacing w:after="0"/>
            </w:pPr>
            <w:r>
              <w:rPr>
                <w:rFonts w:ascii="Arial" w:hAnsi="Arial"/>
                <w:b w:val="0"/>
                <w:sz w:val="12"/>
              </w:rPr>
              <w:t>Sections 11-15, 17-18</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R-K-04</w:t>
            </w:r>
          </w:p>
        </w:tc>
        <w:tc>
          <w:tcPr>
            <w:tcW w:type="dxa" w:w="1704"/>
          </w:tcPr>
          <w:p>
            <w:pPr>
              <w:spacing w:after="0"/>
            </w:pPr>
            <w:r>
              <w:rPr>
                <w:rFonts w:ascii="Arial" w:hAnsi="Arial"/>
                <w:b w:val="0"/>
                <w:sz w:val="12"/>
              </w:rPr>
              <w:t>Phase 1B-8</w:t>
            </w:r>
          </w:p>
        </w:tc>
        <w:tc>
          <w:tcPr>
            <w:tcW w:type="dxa" w:w="1704"/>
          </w:tcPr>
          <w:p>
            <w:pPr>
              <w:spacing w:after="0"/>
            </w:pPr>
            <w:r>
              <w:rPr>
                <w:rFonts w:ascii="Arial" w:hAnsi="Arial"/>
                <w:b w:val="0"/>
                <w:sz w:val="12"/>
              </w:rPr>
              <w:t>Appendices A-D missing from clean source</w:t>
            </w:r>
          </w:p>
        </w:tc>
        <w:tc>
          <w:tcPr>
            <w:tcW w:type="dxa" w:w="1704"/>
          </w:tcPr>
          <w:p>
            <w:pPr>
              <w:spacing w:after="0"/>
            </w:pPr>
            <w:r>
              <w:rPr>
                <w:rFonts w:ascii="Arial" w:hAnsi="Arial"/>
                <w:b w:val="0"/>
                <w:sz w:val="12"/>
              </w:rPr>
              <w:t>Created templates, scorecards, source notes, and expanded MRO mapping</w:t>
            </w:r>
          </w:p>
        </w:tc>
        <w:tc>
          <w:tcPr>
            <w:tcW w:type="dxa" w:w="1704"/>
          </w:tcPr>
          <w:p>
            <w:pPr>
              <w:spacing w:after="0"/>
            </w:pPr>
            <w:r>
              <w:rPr>
                <w:rFonts w:ascii="Arial" w:hAnsi="Arial"/>
                <w:b w:val="0"/>
                <w:sz w:val="12"/>
              </w:rPr>
              <w:t>Appendices A-D</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R-K-05</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B methodology values inconsistent with canonical method</w:t>
            </w:r>
          </w:p>
        </w:tc>
        <w:tc>
          <w:tcPr>
            <w:tcW w:type="dxa" w:w="1704"/>
          </w:tcPr>
          <w:p>
            <w:pPr>
              <w:spacing w:after="0"/>
            </w:pPr>
            <w:r>
              <w:rPr>
                <w:rFonts w:ascii="Arial" w:hAnsi="Arial"/>
                <w:b w:val="0"/>
                <w:sz w:val="12"/>
              </w:rPr>
              <w:t>Corrected evidence multipliers, adjusted score formula, composite weights, and Article 12 example</w:t>
            </w:r>
          </w:p>
        </w:tc>
        <w:tc>
          <w:tcPr>
            <w:tcW w:type="dxa" w:w="1704"/>
          </w:tcPr>
          <w:p>
            <w:pPr>
              <w:spacing w:after="0"/>
            </w:pPr>
            <w:r>
              <w:rPr>
                <w:rFonts w:ascii="Arial" w:hAnsi="Arial"/>
                <w:b w:val="0"/>
                <w:sz w:val="12"/>
              </w:rPr>
              <w:t>Appendix B; Phase 1B-8C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R-K-06</w:t>
            </w:r>
          </w:p>
        </w:tc>
        <w:tc>
          <w:tcPr>
            <w:tcW w:type="dxa" w:w="1704"/>
          </w:tcPr>
          <w:p>
            <w:pPr>
              <w:spacing w:after="0"/>
            </w:pPr>
            <w:r>
              <w:rPr>
                <w:rFonts w:ascii="Arial" w:hAnsi="Arial"/>
                <w:b w:val="0"/>
                <w:sz w:val="12"/>
              </w:rPr>
              <w:t>Phase 1B-8C</w:t>
            </w:r>
          </w:p>
        </w:tc>
        <w:tc>
          <w:tcPr>
            <w:tcW w:type="dxa" w:w="1704"/>
          </w:tcPr>
          <w:p>
            <w:pPr>
              <w:spacing w:after="0"/>
            </w:pPr>
            <w:r>
              <w:rPr>
                <w:rFonts w:ascii="Arial" w:hAnsi="Arial"/>
                <w:b w:val="0"/>
                <w:sz w:val="12"/>
              </w:rPr>
              <w:t>Appendix A and D contained overclaim risk</w:t>
            </w:r>
          </w:p>
        </w:tc>
        <w:tc>
          <w:tcPr>
            <w:tcW w:type="dxa" w:w="1704"/>
          </w:tcPr>
          <w:p>
            <w:pPr>
              <w:spacing w:after="0"/>
            </w:pPr>
            <w:r>
              <w:rPr>
                <w:rFonts w:ascii="Arial" w:hAnsi="Arial"/>
                <w:b w:val="0"/>
                <w:sz w:val="12"/>
              </w:rPr>
              <w:t>Neutralized compliance-sounding template values and marked mappings provisional</w:t>
            </w:r>
          </w:p>
        </w:tc>
        <w:tc>
          <w:tcPr>
            <w:tcW w:type="dxa" w:w="1704"/>
          </w:tcPr>
          <w:p>
            <w:pPr>
              <w:spacing w:after="0"/>
            </w:pPr>
            <w:r>
              <w:rPr>
                <w:rFonts w:ascii="Arial" w:hAnsi="Arial"/>
                <w:b w:val="0"/>
                <w:sz w:val="12"/>
              </w:rPr>
              <w:t>Appendices A and D</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R-K-07</w:t>
            </w:r>
          </w:p>
        </w:tc>
        <w:tc>
          <w:tcPr>
            <w:tcW w:type="dxa" w:w="1704"/>
          </w:tcPr>
          <w:p>
            <w:pPr>
              <w:spacing w:after="0"/>
            </w:pPr>
            <w:r>
              <w:rPr>
                <w:rFonts w:ascii="Arial" w:hAnsi="Arial"/>
                <w:b w:val="0"/>
                <w:sz w:val="12"/>
              </w:rPr>
              <w:t>Phase 1B-9</w:t>
            </w:r>
          </w:p>
        </w:tc>
        <w:tc>
          <w:tcPr>
            <w:tcW w:type="dxa" w:w="1704"/>
          </w:tcPr>
          <w:p>
            <w:pPr>
              <w:spacing w:after="0"/>
            </w:pPr>
            <w:r>
              <w:rPr>
                <w:rFonts w:ascii="Arial" w:hAnsi="Arial"/>
                <w:b w:val="0"/>
                <w:sz w:val="12"/>
              </w:rPr>
              <w:t>Appendices E-G missing detailed rubric and assessment content</w:t>
            </w:r>
          </w:p>
        </w:tc>
        <w:tc>
          <w:tcPr>
            <w:tcW w:type="dxa" w:w="1704"/>
          </w:tcPr>
          <w:p>
            <w:pPr>
              <w:spacing w:after="0"/>
            </w:pPr>
            <w:r>
              <w:rPr>
                <w:rFonts w:ascii="Arial" w:hAnsi="Arial"/>
                <w:b w:val="0"/>
                <w:sz w:val="12"/>
              </w:rPr>
              <w:t>Created RCCS rubrics, ALCS rubrics, and provisional system assessments</w:t>
            </w:r>
          </w:p>
        </w:tc>
        <w:tc>
          <w:tcPr>
            <w:tcW w:type="dxa" w:w="1704"/>
          </w:tcPr>
          <w:p>
            <w:pPr>
              <w:spacing w:after="0"/>
            </w:pPr>
            <w:r>
              <w:rPr>
                <w:rFonts w:ascii="Arial" w:hAnsi="Arial"/>
                <w:b w:val="0"/>
                <w:sz w:val="12"/>
              </w:rPr>
              <w:t>Appendices E-G</w:t>
            </w:r>
          </w:p>
        </w:tc>
        <w:tc>
          <w:tcPr>
            <w:tcW w:type="dxa" w:w="1704"/>
          </w:tcPr>
          <w:p>
            <w:pPr>
              <w:spacing w:after="0"/>
            </w:pPr>
            <w:r>
              <w:rPr>
                <w:rFonts w:ascii="Arial" w:hAnsi="Arial"/>
                <w:b w:val="0"/>
                <w:sz w:val="12"/>
              </w:rPr>
              <w:t>Structurally closed</w:t>
            </w:r>
          </w:p>
        </w:tc>
      </w:tr>
      <w:tr>
        <w:tc>
          <w:tcPr>
            <w:tcW w:type="dxa" w:w="1704"/>
          </w:tcPr>
          <w:p>
            <w:pPr>
              <w:spacing w:after="0"/>
            </w:pPr>
            <w:r>
              <w:rPr>
                <w:rFonts w:ascii="Arial" w:hAnsi="Arial"/>
                <w:b w:val="0"/>
                <w:sz w:val="12"/>
              </w:rPr>
              <w:t>R-K-08</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G scope drift and score/order overreach</w:t>
            </w:r>
          </w:p>
        </w:tc>
        <w:tc>
          <w:tcPr>
            <w:tcW w:type="dxa" w:w="1704"/>
          </w:tcPr>
          <w:p>
            <w:pPr>
              <w:spacing w:after="0"/>
            </w:pPr>
            <w:r>
              <w:rPr>
                <w:rFonts w:ascii="Arial" w:hAnsi="Arial"/>
                <w:b w:val="0"/>
                <w:sz w:val="12"/>
              </w:rPr>
              <w:t>Rewrote Appendix G using authorized 8 systems and qualitative provisional posture</w:t>
            </w:r>
          </w:p>
        </w:tc>
        <w:tc>
          <w:tcPr>
            <w:tcW w:type="dxa" w:w="1704"/>
          </w:tcPr>
          <w:p>
            <w:pPr>
              <w:spacing w:after="0"/>
            </w:pPr>
            <w:r>
              <w:rPr>
                <w:rFonts w:ascii="Arial" w:hAnsi="Arial"/>
                <w:b w:val="0"/>
                <w:sz w:val="12"/>
              </w:rPr>
              <w:t>Appendix G; 1B-9C report</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R-K-09</w:t>
            </w:r>
          </w:p>
        </w:tc>
        <w:tc>
          <w:tcPr>
            <w:tcW w:type="dxa" w:w="1704"/>
          </w:tcPr>
          <w:p>
            <w:pPr>
              <w:spacing w:after="0"/>
            </w:pPr>
            <w:r>
              <w:rPr>
                <w:rFonts w:ascii="Arial" w:hAnsi="Arial"/>
                <w:b w:val="0"/>
                <w:sz w:val="12"/>
              </w:rPr>
              <w:t>Phase 1B-9C</w:t>
            </w:r>
          </w:p>
        </w:tc>
        <w:tc>
          <w:tcPr>
            <w:tcW w:type="dxa" w:w="1704"/>
          </w:tcPr>
          <w:p>
            <w:pPr>
              <w:spacing w:after="0"/>
            </w:pPr>
            <w:r>
              <w:rPr>
                <w:rFonts w:ascii="Arial" w:hAnsi="Arial"/>
                <w:b w:val="0"/>
                <w:sz w:val="12"/>
              </w:rPr>
              <w:t>Appendix E/F score-5 wording risked implementation overclaim</w:t>
            </w:r>
          </w:p>
        </w:tc>
        <w:tc>
          <w:tcPr>
            <w:tcW w:type="dxa" w:w="1704"/>
          </w:tcPr>
          <w:p>
            <w:pPr>
              <w:spacing w:after="0"/>
            </w:pPr>
            <w:r>
              <w:rPr>
                <w:rFonts w:ascii="Arial" w:hAnsi="Arial"/>
                <w:b w:val="0"/>
                <w:sz w:val="12"/>
              </w:rPr>
              <w:t>Hardened score-5 rows to require implementation evidence</w:t>
            </w:r>
          </w:p>
        </w:tc>
        <w:tc>
          <w:tcPr>
            <w:tcW w:type="dxa" w:w="1704"/>
          </w:tcPr>
          <w:p>
            <w:pPr>
              <w:spacing w:after="0"/>
            </w:pPr>
            <w:r>
              <w:rPr>
                <w:rFonts w:ascii="Arial" w:hAnsi="Arial"/>
                <w:b w:val="0"/>
                <w:sz w:val="12"/>
              </w:rPr>
              <w:t>Appendices E/F</w:t>
            </w:r>
          </w:p>
        </w:tc>
        <w:tc>
          <w:tcPr>
            <w:tcW w:type="dxa" w:w="1704"/>
          </w:tcPr>
          <w:p>
            <w:pPr>
              <w:spacing w:after="0"/>
            </w:pPr>
            <w:r>
              <w:rPr>
                <w:rFonts w:ascii="Arial" w:hAnsi="Arial"/>
                <w:b w:val="0"/>
                <w:sz w:val="12"/>
              </w:rPr>
              <w:t>Corrected by later patch</w:t>
            </w:r>
          </w:p>
        </w:tc>
      </w:tr>
      <w:tr>
        <w:tc>
          <w:tcPr>
            <w:tcW w:type="dxa" w:w="1704"/>
          </w:tcPr>
          <w:p>
            <w:pPr>
              <w:spacing w:after="0"/>
            </w:pPr>
            <w:r>
              <w:rPr>
                <w:rFonts w:ascii="Arial" w:hAnsi="Arial"/>
                <w:b w:val="0"/>
                <w:sz w:val="12"/>
              </w:rPr>
              <w:t>R-K-10</w:t>
            </w:r>
          </w:p>
        </w:tc>
        <w:tc>
          <w:tcPr>
            <w:tcW w:type="dxa" w:w="1704"/>
          </w:tcPr>
          <w:p>
            <w:pPr>
              <w:spacing w:after="0"/>
            </w:pPr>
            <w:r>
              <w:rPr>
                <w:rFonts w:ascii="Arial" w:hAnsi="Arial"/>
                <w:b w:val="0"/>
                <w:sz w:val="12"/>
              </w:rPr>
              <w:t>Phase 1B-9D</w:t>
            </w:r>
          </w:p>
        </w:tc>
        <w:tc>
          <w:tcPr>
            <w:tcW w:type="dxa" w:w="1704"/>
          </w:tcPr>
          <w:p>
            <w:pPr>
              <w:spacing w:after="0"/>
            </w:pPr>
            <w:r>
              <w:rPr>
                <w:rFonts w:ascii="Arial" w:hAnsi="Arial"/>
                <w:b w:val="0"/>
                <w:sz w:val="12"/>
              </w:rPr>
              <w:t>Governance ledgers stale after partial 1B-9D patch</w:t>
            </w:r>
          </w:p>
        </w:tc>
        <w:tc>
          <w:tcPr>
            <w:tcW w:type="dxa" w:w="1704"/>
          </w:tcPr>
          <w:p>
            <w:pPr>
              <w:spacing w:after="0"/>
            </w:pPr>
            <w:r>
              <w:rPr>
                <w:rFonts w:ascii="Arial" w:hAnsi="Arial"/>
                <w:b w:val="0"/>
                <w:sz w:val="12"/>
              </w:rPr>
              <w:t>Synced Appendix G metadata, SOURCE MASTER, carryover list, and report</w:t>
            </w:r>
          </w:p>
        </w:tc>
        <w:tc>
          <w:tcPr>
            <w:tcW w:type="dxa" w:w="1704"/>
          </w:tcPr>
          <w:p>
            <w:pPr>
              <w:spacing w:after="0"/>
            </w:pPr>
            <w:r>
              <w:rPr>
                <w:rFonts w:ascii="Arial" w:hAnsi="Arial"/>
                <w:b w:val="0"/>
                <w:sz w:val="12"/>
              </w:rPr>
              <w:t>SOURCE MASTER; 1B-9D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R-K-11</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Appendices H-K missing</w:t>
            </w:r>
          </w:p>
        </w:tc>
        <w:tc>
          <w:tcPr>
            <w:tcW w:type="dxa" w:w="1704"/>
          </w:tcPr>
          <w:p>
            <w:pPr>
              <w:spacing w:after="0"/>
            </w:pPr>
            <w:r>
              <w:rPr>
                <w:rFonts w:ascii="Arial" w:hAnsi="Arial"/>
                <w:b w:val="0"/>
                <w:sz w:val="12"/>
              </w:rPr>
              <w:t>Filled procurement scorecard, source audit register, gap closure matrix, and editorial remediation record</w:t>
            </w:r>
          </w:p>
        </w:tc>
        <w:tc>
          <w:tcPr>
            <w:tcW w:type="dxa" w:w="1704"/>
          </w:tcPr>
          <w:p>
            <w:pPr>
              <w:spacing w:after="0"/>
            </w:pPr>
            <w:r>
              <w:rPr>
                <w:rFonts w:ascii="Arial" w:hAnsi="Arial"/>
                <w:b w:val="0"/>
                <w:sz w:val="12"/>
              </w:rPr>
              <w:t>Appendices H-K</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R-K-12</w:t>
            </w:r>
          </w:p>
        </w:tc>
        <w:tc>
          <w:tcPr>
            <w:tcW w:type="dxa" w:w="1704"/>
          </w:tcPr>
          <w:p>
            <w:pPr>
              <w:spacing w:after="0"/>
            </w:pPr>
            <w:r>
              <w:rPr>
                <w:rFonts w:ascii="Arial" w:hAnsi="Arial"/>
                <w:b w:val="0"/>
                <w:sz w:val="12"/>
              </w:rPr>
              <w:t>Phase 1B-10</w:t>
            </w:r>
          </w:p>
        </w:tc>
        <w:tc>
          <w:tcPr>
            <w:tcW w:type="dxa" w:w="1704"/>
          </w:tcPr>
          <w:p>
            <w:pPr>
              <w:spacing w:after="0"/>
            </w:pPr>
            <w:r>
              <w:rPr>
                <w:rFonts w:ascii="Arial" w:hAnsi="Arial"/>
                <w:b w:val="0"/>
                <w:sz w:val="12"/>
              </w:rPr>
              <w:t>Phase 1C / 1D obligations needed final pre-cleanup ledger</w:t>
            </w:r>
          </w:p>
        </w:tc>
        <w:tc>
          <w:tcPr>
            <w:tcW w:type="dxa" w:w="1704"/>
          </w:tcPr>
          <w:p>
            <w:pPr>
              <w:spacing w:after="0"/>
            </w:pPr>
            <w:r>
              <w:rPr>
                <w:rFonts w:ascii="Arial" w:hAnsi="Arial"/>
                <w:b w:val="0"/>
                <w:sz w:val="12"/>
              </w:rPr>
              <w:t>Preserved canonical carryover and publication deferrals</w:t>
            </w:r>
          </w:p>
        </w:tc>
        <w:tc>
          <w:tcPr>
            <w:tcW w:type="dxa" w:w="1704"/>
          </w:tcPr>
          <w:p>
            <w:pPr>
              <w:spacing w:after="0"/>
            </w:pPr>
            <w:r>
              <w:rPr>
                <w:rFonts w:ascii="Arial" w:hAnsi="Arial"/>
                <w:b w:val="0"/>
                <w:sz w:val="12"/>
              </w:rPr>
              <w:t>Appendices I/J/K; completion report</w:t>
            </w:r>
          </w:p>
        </w:tc>
        <w:tc>
          <w:tcPr>
            <w:tcW w:type="dxa" w:w="1704"/>
          </w:tcPr>
          <w:p>
            <w:pPr>
              <w:spacing w:after="0"/>
            </w:pPr>
            <w:r>
              <w:rPr>
                <w:rFonts w:ascii="Arial" w:hAnsi="Arial"/>
                <w:b w:val="0"/>
                <w:sz w:val="12"/>
              </w:rPr>
              <w:t>Closed</w:t>
            </w:r>
          </w:p>
        </w:tc>
      </w:tr>
      <w:tr>
        <w:tc>
          <w:tcPr>
            <w:tcW w:type="dxa" w:w="1704"/>
          </w:tcPr>
          <w:p>
            <w:pPr>
              <w:spacing w:after="0"/>
            </w:pPr>
            <w:r>
              <w:rPr>
                <w:rFonts w:ascii="Arial" w:hAnsi="Arial"/>
                <w:b w:val="0"/>
                <w:sz w:val="12"/>
              </w:rPr>
              <w:t>R-K-13</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Taxonomy and editorial drift remained after Phase 1B</w:t>
            </w:r>
          </w:p>
        </w:tc>
        <w:tc>
          <w:tcPr>
            <w:tcW w:type="dxa" w:w="1704"/>
          </w:tcPr>
          <w:p>
            <w:pPr>
              <w:spacing w:after="0"/>
            </w:pPr>
            <w:r>
              <w:rPr>
                <w:rFonts w:ascii="Arial" w:hAnsi="Arial"/>
                <w:b w:val="0"/>
                <w:sz w:val="12"/>
              </w:rPr>
              <w:t>Corrected ALCS/MRO names, Stage 0-to-7 wording, eight-contribution wording, and F-09 reservation</w:t>
            </w:r>
          </w:p>
        </w:tc>
        <w:tc>
          <w:tcPr>
            <w:tcW w:type="dxa" w:w="1704"/>
          </w:tcPr>
          <w:p>
            <w:pPr>
              <w:spacing w:after="0"/>
            </w:pPr>
            <w:r>
              <w:rPr>
                <w:rFonts w:ascii="Arial" w:hAnsi="Arial"/>
                <w:b w:val="0"/>
                <w:sz w:val="12"/>
              </w:rPr>
              <w:t>Chapters 14/15/17/18; figure inventory</w:t>
            </w:r>
          </w:p>
        </w:tc>
        <w:tc>
          <w:tcPr>
            <w:tcW w:type="dxa" w:w="1704"/>
          </w:tcPr>
          <w:p>
            <w:pPr>
              <w:spacing w:after="0"/>
            </w:pPr>
            <w:r>
              <w:rPr>
                <w:rFonts w:ascii="Arial" w:hAnsi="Arial"/>
                <w:b w:val="0"/>
                <w:sz w:val="12"/>
              </w:rPr>
              <w:t>Closed for editorial cleanup</w:t>
            </w:r>
          </w:p>
        </w:tc>
      </w:tr>
      <w:tr>
        <w:tc>
          <w:tcPr>
            <w:tcW w:type="dxa" w:w="1704"/>
          </w:tcPr>
          <w:p>
            <w:pPr>
              <w:spacing w:after="0"/>
            </w:pPr>
            <w:r>
              <w:rPr>
                <w:rFonts w:ascii="Arial" w:hAnsi="Arial"/>
                <w:b w:val="0"/>
                <w:sz w:val="12"/>
              </w:rPr>
              <w:t>R-K-14</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Citation and coverage ledgers remained pre-cleanup</w:t>
            </w:r>
          </w:p>
        </w:tc>
        <w:tc>
          <w:tcPr>
            <w:tcW w:type="dxa" w:w="1704"/>
          </w:tcPr>
          <w:p>
            <w:pPr>
              <w:spacing w:after="0"/>
            </w:pPr>
            <w:r>
              <w:rPr>
                <w:rFonts w:ascii="Arial" w:hAnsi="Arial"/>
                <w:b w:val="0"/>
                <w:sz w:val="12"/>
              </w:rPr>
              <w:t>Updated citation inventory and source coverage matrix with URL/entry-point review and unresolved claim-level validation queue</w:t>
            </w:r>
          </w:p>
        </w:tc>
        <w:tc>
          <w:tcPr>
            <w:tcW w:type="dxa" w:w="1704"/>
          </w:tcPr>
          <w:p>
            <w:pPr>
              <w:spacing w:after="0"/>
            </w:pPr>
            <w:r>
              <w:rPr>
                <w:rFonts w:ascii="Arial" w:hAnsi="Arial"/>
                <w:b w:val="0"/>
                <w:sz w:val="12"/>
              </w:rPr>
              <w:t>Citation inventory; source coverage matrix</w:t>
            </w:r>
          </w:p>
        </w:tc>
        <w:tc>
          <w:tcPr>
            <w:tcW w:type="dxa" w:w="1704"/>
          </w:tcPr>
          <w:p>
            <w:pPr>
              <w:spacing w:after="0"/>
            </w:pPr>
            <w:r>
              <w:rPr>
                <w:rFonts w:ascii="Arial" w:hAnsi="Arial"/>
                <w:b w:val="0"/>
                <w:sz w:val="12"/>
              </w:rPr>
              <w:t>Corrected by Phase 1C follow-up</w:t>
            </w:r>
          </w:p>
        </w:tc>
      </w:tr>
      <w:tr>
        <w:tc>
          <w:tcPr>
            <w:tcW w:type="dxa" w:w="1704"/>
          </w:tcPr>
          <w:p>
            <w:pPr>
              <w:spacing w:after="0"/>
            </w:pPr>
            <w:r>
              <w:rPr>
                <w:rFonts w:ascii="Arial" w:hAnsi="Arial"/>
                <w:b w:val="0"/>
                <w:sz w:val="12"/>
              </w:rPr>
              <w:t>R-K-15</w:t>
            </w:r>
          </w:p>
        </w:tc>
        <w:tc>
          <w:tcPr>
            <w:tcW w:type="dxa" w:w="1704"/>
          </w:tcPr>
          <w:p>
            <w:pPr>
              <w:spacing w:after="0"/>
            </w:pPr>
            <w:r>
              <w:rPr>
                <w:rFonts w:ascii="Arial" w:hAnsi="Arial"/>
                <w:b w:val="0"/>
                <w:sz w:val="12"/>
              </w:rPr>
              <w:t>Phase 1C</w:t>
            </w:r>
          </w:p>
        </w:tc>
        <w:tc>
          <w:tcPr>
            <w:tcW w:type="dxa" w:w="1704"/>
          </w:tcPr>
          <w:p>
            <w:pPr>
              <w:spacing w:after="0"/>
            </w:pPr>
            <w:r>
              <w:rPr>
                <w:rFonts w:ascii="Arial" w:hAnsi="Arial"/>
                <w:b w:val="0"/>
                <w:sz w:val="12"/>
              </w:rPr>
              <w:t>Wide-table risks were not fully documented for Phase 1D</w:t>
            </w:r>
          </w:p>
        </w:tc>
        <w:tc>
          <w:tcPr>
            <w:tcW w:type="dxa" w:w="1704"/>
          </w:tcPr>
          <w:p>
            <w:pPr>
              <w:spacing w:after="0"/>
            </w:pPr>
            <w:r>
              <w:rPr>
                <w:rFonts w:ascii="Arial" w:hAnsi="Arial"/>
                <w:b w:val="0"/>
                <w:sz w:val="12"/>
              </w:rPr>
              <w:t>Added layout risk notes for requested wide-table set and H-K tables</w:t>
            </w:r>
          </w:p>
        </w:tc>
        <w:tc>
          <w:tcPr>
            <w:tcW w:type="dxa" w:w="1704"/>
          </w:tcPr>
          <w:p>
            <w:pPr>
              <w:spacing w:after="0"/>
            </w:pPr>
            <w:r>
              <w:rPr>
                <w:rFonts w:ascii="Arial" w:hAnsi="Arial"/>
                <w:b w:val="0"/>
                <w:sz w:val="12"/>
              </w:rPr>
              <w:t>Table inventory</w:t>
            </w:r>
          </w:p>
        </w:tc>
        <w:tc>
          <w:tcPr>
            <w:tcW w:type="dxa" w:w="1704"/>
          </w:tcPr>
          <w:p>
            <w:pPr>
              <w:spacing w:after="0"/>
            </w:pPr>
            <w:r>
              <w:rPr>
                <w:rFonts w:ascii="Arial" w:hAnsi="Arial"/>
                <w:b w:val="0"/>
                <w:sz w:val="12"/>
              </w:rPr>
              <w:t>Closed for layout-readiness audit</w:t>
            </w:r>
          </w:p>
        </w:tc>
      </w:tr>
      <w:tr>
        <w:tc>
          <w:tcPr>
            <w:tcW w:type="dxa" w:w="1704"/>
          </w:tcPr>
          <w:p>
            <w:pPr>
              <w:spacing w:after="0"/>
            </w:pPr>
            <w:r>
              <w:rPr>
                <w:rFonts w:ascii="Arial" w:hAnsi="Arial"/>
                <w:b w:val="0"/>
                <w:sz w:val="12"/>
              </w:rPr>
              <w:t>R-K-16</w:t>
            </w:r>
          </w:p>
        </w:tc>
        <w:tc>
          <w:tcPr>
            <w:tcW w:type="dxa" w:w="1704"/>
          </w:tcPr>
          <w:p>
            <w:pPr>
              <w:spacing w:after="0"/>
            </w:pPr>
            <w:r>
              <w:rPr>
                <w:rFonts w:ascii="Arial" w:hAnsi="Arial"/>
                <w:b w:val="0"/>
                <w:sz w:val="12"/>
              </w:rPr>
              <w:t>Phase 1C follow-up</w:t>
            </w:r>
          </w:p>
        </w:tc>
        <w:tc>
          <w:tcPr>
            <w:tcW w:type="dxa" w:w="1704"/>
          </w:tcPr>
          <w:p>
            <w:pPr>
              <w:spacing w:after="0"/>
            </w:pPr>
            <w:r>
              <w:rPr>
                <w:rFonts w:ascii="Arial" w:hAnsi="Arial"/>
                <w:b w:val="0"/>
                <w:sz w:val="12"/>
              </w:rPr>
              <w:t>Claim-level L2 product/protocol source binding remained pending</w:t>
            </w:r>
          </w:p>
        </w:tc>
        <w:tc>
          <w:tcPr>
            <w:tcW w:type="dxa" w:w="1704"/>
          </w:tcPr>
          <w:p>
            <w:pPr>
              <w:spacing w:after="0"/>
            </w:pPr>
            <w:r>
              <w:rPr>
                <w:rFonts w:ascii="Arial" w:hAnsi="Arial"/>
                <w:b w:val="0"/>
                <w:sz w:val="12"/>
              </w:rPr>
              <w:t>Created claim evidence register; located official source entry points; narrowed or downgraded material product/protocol claims; marked Appendix G revalidated provisional</w:t>
            </w:r>
          </w:p>
        </w:tc>
        <w:tc>
          <w:tcPr>
            <w:tcW w:type="dxa" w:w="1704"/>
          </w:tcPr>
          <w:p>
            <w:pPr>
              <w:spacing w:after="0"/>
            </w:pPr>
            <w:r>
              <w:rPr>
                <w:rFonts w:ascii="Arial" w:hAnsi="Arial"/>
                <w:b w:val="0"/>
                <w:sz w:val="12"/>
              </w:rPr>
              <w:t>Claim evidence register; citation inventory; source coverage matrix; Appendix G</w:t>
            </w:r>
          </w:p>
        </w:tc>
        <w:tc>
          <w:tcPr>
            <w:tcW w:type="dxa" w:w="1704"/>
          </w:tcPr>
          <w:p>
            <w:pPr>
              <w:spacing w:after="0"/>
            </w:pPr>
            <w:r>
              <w:rPr>
                <w:rFonts w:ascii="Arial" w:hAnsi="Arial"/>
                <w:b w:val="0"/>
                <w:sz w:val="12"/>
              </w:rPr>
              <w:t>Closed for claim-level source binding; page-level citation pinning remains</w:t>
            </w:r>
          </w:p>
        </w:tc>
      </w:tr>
    </w:tbl>
    <w:p>
      <w:pPr>
        <w:pStyle w:val="Heading2"/>
      </w:pPr>
      <w:r>
        <w:t>K.4 Boundary and Non-Claim Remediation Record</w:t>
      </w:r>
    </w:p>
    <w:p>
      <w:pPr>
        <w:keepNext/>
      </w:pPr>
      <w:r>
        <w:rPr>
          <w:b/>
          <w:sz w:val="16"/>
        </w:rPr>
        <w:t>Table T-K-02: Boundary Hardening Record</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Boundary Area</w:t>
            </w:r>
          </w:p>
        </w:tc>
        <w:tc>
          <w:tcPr>
            <w:tcW w:type="dxa" w:w="2045"/>
          </w:tcPr>
          <w:p>
            <w:pPr>
              <w:spacing w:after="0"/>
            </w:pPr>
            <w:r>
              <w:rPr>
                <w:rFonts w:ascii="Arial" w:hAnsi="Arial"/>
                <w:b/>
                <w:sz w:val="14"/>
              </w:rPr>
              <w:t>Risk</w:t>
            </w:r>
          </w:p>
        </w:tc>
        <w:tc>
          <w:tcPr>
            <w:tcW w:type="dxa" w:w="2045"/>
          </w:tcPr>
          <w:p>
            <w:pPr>
              <w:spacing w:after="0"/>
            </w:pPr>
            <w:r>
              <w:rPr>
                <w:rFonts w:ascii="Arial" w:hAnsi="Arial"/>
                <w:b/>
                <w:sz w:val="14"/>
              </w:rPr>
              <w:t>Remediation Applied</w:t>
            </w:r>
          </w:p>
        </w:tc>
        <w:tc>
          <w:tcPr>
            <w:tcW w:type="dxa" w:w="2045"/>
          </w:tcPr>
          <w:p>
            <w:pPr>
              <w:spacing w:after="0"/>
            </w:pPr>
            <w:r>
              <w:rPr>
                <w:rFonts w:ascii="Arial" w:hAnsi="Arial"/>
                <w:b/>
                <w:sz w:val="14"/>
              </w:rPr>
              <w:t>Remaining Check</w:t>
            </w:r>
          </w:p>
        </w:tc>
        <w:tc>
          <w:tcPr>
            <w:tcW w:type="dxa" w:w="2045"/>
          </w:tcPr>
          <w:p>
            <w:pPr>
              <w:spacing w:after="0"/>
            </w:pPr>
            <w:r>
              <w:rPr>
                <w:rFonts w:ascii="Arial" w:hAnsi="Arial"/>
                <w:b/>
                <w:sz w:val="14"/>
              </w:rPr>
              <w:t>Phase</w:t>
            </w:r>
          </w:p>
        </w:tc>
      </w:tr>
      <w:tr>
        <w:tc>
          <w:tcPr>
            <w:tcW w:type="dxa" w:w="2045"/>
          </w:tcPr>
          <w:p>
            <w:pPr>
              <w:spacing w:after="0"/>
            </w:pPr>
            <w:r>
              <w:rPr>
                <w:rFonts w:ascii="Arial" w:hAnsi="Arial"/>
                <w:b w:val="0"/>
                <w:sz w:val="14"/>
              </w:rPr>
              <w:t>RCCS/ALCS non-legal-score boundary</w:t>
            </w:r>
          </w:p>
        </w:tc>
        <w:tc>
          <w:tcPr>
            <w:tcW w:type="dxa" w:w="2045"/>
          </w:tcPr>
          <w:p>
            <w:pPr>
              <w:spacing w:after="0"/>
            </w:pPr>
            <w:r>
              <w:rPr>
                <w:rFonts w:ascii="Arial" w:hAnsi="Arial"/>
                <w:b w:val="0"/>
                <w:sz w:val="14"/>
              </w:rPr>
              <w:t>Readers may treat analytical scores as legal determinations</w:t>
            </w:r>
          </w:p>
        </w:tc>
        <w:tc>
          <w:tcPr>
            <w:tcW w:type="dxa" w:w="2045"/>
          </w:tcPr>
          <w:p>
            <w:pPr>
              <w:spacing w:after="0"/>
            </w:pPr>
            <w:r>
              <w:rPr>
                <w:rFonts w:ascii="Arial" w:hAnsi="Arial"/>
                <w:b w:val="0"/>
                <w:sz w:val="14"/>
              </w:rPr>
              <w:t>Repeated boundary language across chapters and appendices</w:t>
            </w:r>
          </w:p>
        </w:tc>
        <w:tc>
          <w:tcPr>
            <w:tcW w:type="dxa" w:w="2045"/>
          </w:tcPr>
          <w:p>
            <w:pPr>
              <w:spacing w:after="0"/>
            </w:pPr>
            <w:r>
              <w:rPr>
                <w:rFonts w:ascii="Arial" w:hAnsi="Arial"/>
                <w:b w:val="0"/>
                <w:sz w:val="14"/>
              </w:rPr>
              <w:t>Phase 1C consistency review completed; verify in final proof</w:t>
            </w:r>
          </w:p>
        </w:tc>
        <w:tc>
          <w:tcPr>
            <w:tcW w:type="dxa" w:w="2045"/>
          </w:tcPr>
          <w:p>
            <w:pPr>
              <w:spacing w:after="0"/>
            </w:pPr>
            <w:r>
              <w:rPr>
                <w:rFonts w:ascii="Arial" w:hAnsi="Arial"/>
                <w:b w:val="0"/>
                <w:sz w:val="14"/>
              </w:rPr>
              <w:t>Phase 1A / 1B</w:t>
            </w:r>
          </w:p>
        </w:tc>
      </w:tr>
      <w:tr>
        <w:tc>
          <w:tcPr>
            <w:tcW w:type="dxa" w:w="2045"/>
          </w:tcPr>
          <w:p>
            <w:pPr>
              <w:spacing w:after="0"/>
            </w:pPr>
            <w:r>
              <w:rPr>
                <w:rFonts w:ascii="Arial" w:hAnsi="Arial"/>
                <w:b w:val="0"/>
                <w:sz w:val="14"/>
              </w:rPr>
              <w:t>MPLP non-required / non-exclusive boundary</w:t>
            </w:r>
          </w:p>
        </w:tc>
        <w:tc>
          <w:tcPr>
            <w:tcW w:type="dxa" w:w="2045"/>
          </w:tcPr>
          <w:p>
            <w:pPr>
              <w:spacing w:after="0"/>
            </w:pPr>
            <w:r>
              <w:rPr>
                <w:rFonts w:ascii="Arial" w:hAnsi="Arial"/>
                <w:b w:val="0"/>
                <w:sz w:val="14"/>
              </w:rPr>
              <w:t>MPLP could be misread as required or sufficient by itself</w:t>
            </w:r>
          </w:p>
        </w:tc>
        <w:tc>
          <w:tcPr>
            <w:tcW w:type="dxa" w:w="2045"/>
          </w:tcPr>
          <w:p>
            <w:pPr>
              <w:spacing w:after="0"/>
            </w:pPr>
            <w:r>
              <w:rPr>
                <w:rFonts w:ascii="Arial" w:hAnsi="Arial"/>
                <w:b w:val="0"/>
                <w:sz w:val="14"/>
              </w:rPr>
              <w:t>Disclosed author relationship and framed MPLP as one protocol path</w:t>
            </w:r>
          </w:p>
        </w:tc>
        <w:tc>
          <w:tcPr>
            <w:tcW w:type="dxa" w:w="2045"/>
          </w:tcPr>
          <w:p>
            <w:pPr>
              <w:spacing w:after="0"/>
            </w:pPr>
            <w:r>
              <w:rPr>
                <w:rFonts w:ascii="Arial" w:hAnsi="Arial"/>
                <w:b w:val="0"/>
                <w:sz w:val="14"/>
              </w:rPr>
              <w:t>Phase 1C wording review completed; verify in final proof</w:t>
            </w:r>
          </w:p>
        </w:tc>
        <w:tc>
          <w:tcPr>
            <w:tcW w:type="dxa" w:w="2045"/>
          </w:tcPr>
          <w:p>
            <w:pPr>
              <w:spacing w:after="0"/>
            </w:pPr>
            <w:r>
              <w:rPr>
                <w:rFonts w:ascii="Arial" w:hAnsi="Arial"/>
                <w:b w:val="0"/>
                <w:sz w:val="14"/>
              </w:rPr>
              <w:t>Phase 1B-4</w:t>
            </w:r>
          </w:p>
        </w:tc>
      </w:tr>
      <w:tr>
        <w:tc>
          <w:tcPr>
            <w:tcW w:type="dxa" w:w="2045"/>
          </w:tcPr>
          <w:p>
            <w:pPr>
              <w:spacing w:after="0"/>
            </w:pPr>
            <w:r>
              <w:rPr>
                <w:rFonts w:ascii="Arial" w:hAnsi="Arial"/>
                <w:b w:val="0"/>
                <w:sz w:val="14"/>
              </w:rPr>
              <w:t>Validation Lab non-certifying boundary</w:t>
            </w:r>
          </w:p>
        </w:tc>
        <w:tc>
          <w:tcPr>
            <w:tcW w:type="dxa" w:w="2045"/>
          </w:tcPr>
          <w:p>
            <w:pPr>
              <w:spacing w:after="0"/>
            </w:pPr>
            <w:r>
              <w:rPr>
                <w:rFonts w:ascii="Arial" w:hAnsi="Arial"/>
                <w:b w:val="0"/>
                <w:sz w:val="14"/>
              </w:rPr>
              <w:t>Validation Lab could be misread as an approval body</w:t>
            </w:r>
          </w:p>
        </w:tc>
        <w:tc>
          <w:tcPr>
            <w:tcW w:type="dxa" w:w="2045"/>
          </w:tcPr>
          <w:p>
            <w:pPr>
              <w:spacing w:after="0"/>
            </w:pPr>
            <w:r>
              <w:rPr>
                <w:rFonts w:ascii="Arial" w:hAnsi="Arial"/>
                <w:b w:val="0"/>
                <w:sz w:val="14"/>
              </w:rPr>
              <w:t>Framed as a non-certifying evidence adjudication example</w:t>
            </w:r>
          </w:p>
        </w:tc>
        <w:tc>
          <w:tcPr>
            <w:tcW w:type="dxa" w:w="2045"/>
          </w:tcPr>
          <w:p>
            <w:pPr>
              <w:spacing w:after="0"/>
            </w:pPr>
            <w:r>
              <w:rPr>
                <w:rFonts w:ascii="Arial" w:hAnsi="Arial"/>
                <w:b w:val="0"/>
                <w:sz w:val="14"/>
              </w:rPr>
              <w:t>URL and boundary language reviewed at entry-point level; verify in final proof</w:t>
            </w:r>
          </w:p>
        </w:tc>
        <w:tc>
          <w:tcPr>
            <w:tcW w:type="dxa" w:w="2045"/>
          </w:tcPr>
          <w:p>
            <w:pPr>
              <w:spacing w:after="0"/>
            </w:pPr>
            <w:r>
              <w:rPr>
                <w:rFonts w:ascii="Arial" w:hAnsi="Arial"/>
                <w:b w:val="0"/>
                <w:sz w:val="14"/>
              </w:rPr>
              <w:t>Phase 1B-5</w:t>
            </w:r>
          </w:p>
        </w:tc>
      </w:tr>
      <w:tr>
        <w:tc>
          <w:tcPr>
            <w:tcW w:type="dxa" w:w="2045"/>
          </w:tcPr>
          <w:p>
            <w:pPr>
              <w:spacing w:after="0"/>
            </w:pPr>
            <w:r>
              <w:rPr>
                <w:rFonts w:ascii="Arial" w:hAnsi="Arial"/>
                <w:b w:val="0"/>
                <w:sz w:val="14"/>
              </w:rPr>
              <w:t>Appendix G no-score/no-ranking boundary</w:t>
            </w:r>
          </w:p>
        </w:tc>
        <w:tc>
          <w:tcPr>
            <w:tcW w:type="dxa" w:w="2045"/>
          </w:tcPr>
          <w:p>
            <w:pPr>
              <w:spacing w:after="0"/>
            </w:pPr>
            <w:r>
              <w:rPr>
                <w:rFonts w:ascii="Arial" w:hAnsi="Arial"/>
                <w:b w:val="0"/>
                <w:sz w:val="14"/>
              </w:rPr>
              <w:t>Provisional assessment could be misused as vendor ordering</w:t>
            </w:r>
          </w:p>
        </w:tc>
        <w:tc>
          <w:tcPr>
            <w:tcW w:type="dxa" w:w="2045"/>
          </w:tcPr>
          <w:p>
            <w:pPr>
              <w:spacing w:after="0"/>
            </w:pPr>
            <w:r>
              <w:rPr>
                <w:rFonts w:ascii="Arial" w:hAnsi="Arial"/>
                <w:b w:val="0"/>
                <w:sz w:val="14"/>
              </w:rPr>
              <w:t>Removed scores, ordered comparisons, and selection language; Phase 1C follow-up preserved revalidated provisional status</w:t>
            </w:r>
          </w:p>
        </w:tc>
        <w:tc>
          <w:tcPr>
            <w:tcW w:type="dxa" w:w="2045"/>
          </w:tcPr>
          <w:p>
            <w:pPr>
              <w:spacing w:after="0"/>
            </w:pPr>
            <w:r>
              <w:rPr>
                <w:rFonts w:ascii="Arial" w:hAnsi="Arial"/>
                <w:b w:val="0"/>
                <w:sz w:val="14"/>
              </w:rPr>
              <w:t>Verify no score/ranking language in final proof</w:t>
            </w:r>
          </w:p>
        </w:tc>
        <w:tc>
          <w:tcPr>
            <w:tcW w:type="dxa" w:w="2045"/>
          </w:tcPr>
          <w:p>
            <w:pPr>
              <w:spacing w:after="0"/>
            </w:pPr>
            <w:r>
              <w:rPr>
                <w:rFonts w:ascii="Arial" w:hAnsi="Arial"/>
                <w:b w:val="0"/>
                <w:sz w:val="14"/>
              </w:rPr>
              <w:t>Phase 1B-9C / 1B-9D / 1C</w:t>
            </w:r>
          </w:p>
        </w:tc>
      </w:tr>
      <w:tr>
        <w:tc>
          <w:tcPr>
            <w:tcW w:type="dxa" w:w="2045"/>
          </w:tcPr>
          <w:p>
            <w:pPr>
              <w:spacing w:after="0"/>
            </w:pPr>
            <w:r>
              <w:rPr>
                <w:rFonts w:ascii="Arial" w:hAnsi="Arial"/>
                <w:b w:val="0"/>
                <w:sz w:val="14"/>
              </w:rPr>
              <w:t>Appendix E/F legal-text boundary</w:t>
            </w:r>
          </w:p>
        </w:tc>
        <w:tc>
          <w:tcPr>
            <w:tcW w:type="dxa" w:w="2045"/>
          </w:tcPr>
          <w:p>
            <w:pPr>
              <w:spacing w:after="0"/>
            </w:pPr>
            <w:r>
              <w:rPr>
                <w:rFonts w:ascii="Arial" w:hAnsi="Arial"/>
                <w:b w:val="0"/>
                <w:sz w:val="14"/>
              </w:rPr>
              <w:t>Legal text could be misread as implementation evidence</w:t>
            </w:r>
          </w:p>
        </w:tc>
        <w:tc>
          <w:tcPr>
            <w:tcW w:type="dxa" w:w="2045"/>
          </w:tcPr>
          <w:p>
            <w:pPr>
              <w:spacing w:after="0"/>
            </w:pPr>
            <w:r>
              <w:rPr>
                <w:rFonts w:ascii="Arial" w:hAnsi="Arial"/>
                <w:b w:val="0"/>
                <w:sz w:val="14"/>
              </w:rPr>
              <w:t>Hardened score-5 rows and top-level scale language</w:t>
            </w:r>
          </w:p>
        </w:tc>
        <w:tc>
          <w:tcPr>
            <w:tcW w:type="dxa" w:w="2045"/>
          </w:tcPr>
          <w:p>
            <w:pPr>
              <w:spacing w:after="0"/>
            </w:pPr>
            <w:r>
              <w:rPr>
                <w:rFonts w:ascii="Arial" w:hAnsi="Arial"/>
                <w:b w:val="0"/>
                <w:sz w:val="14"/>
              </w:rPr>
              <w:t>Formula and rubric consistency reviewed; verify in final proof</w:t>
            </w:r>
          </w:p>
        </w:tc>
        <w:tc>
          <w:tcPr>
            <w:tcW w:type="dxa" w:w="2045"/>
          </w:tcPr>
          <w:p>
            <w:pPr>
              <w:spacing w:after="0"/>
            </w:pPr>
            <w:r>
              <w:rPr>
                <w:rFonts w:ascii="Arial" w:hAnsi="Arial"/>
                <w:b w:val="0"/>
                <w:sz w:val="14"/>
              </w:rPr>
              <w:t>Phase 1B-9C / 1B-9D</w:t>
            </w:r>
          </w:p>
        </w:tc>
      </w:tr>
      <w:tr>
        <w:tc>
          <w:tcPr>
            <w:tcW w:type="dxa" w:w="2045"/>
          </w:tcPr>
          <w:p>
            <w:pPr>
              <w:spacing w:after="0"/>
            </w:pPr>
            <w:r>
              <w:rPr>
                <w:rFonts w:ascii="Arial" w:hAnsi="Arial"/>
                <w:b w:val="0"/>
                <w:sz w:val="14"/>
              </w:rPr>
              <w:t>Appendix H procurement boundary</w:t>
            </w:r>
          </w:p>
        </w:tc>
        <w:tc>
          <w:tcPr>
            <w:tcW w:type="dxa" w:w="2045"/>
          </w:tcPr>
          <w:p>
            <w:pPr>
              <w:spacing w:after="0"/>
            </w:pPr>
            <w:r>
              <w:rPr>
                <w:rFonts w:ascii="Arial" w:hAnsi="Arial"/>
                <w:b w:val="0"/>
                <w:sz w:val="14"/>
              </w:rPr>
              <w:t>Buyer checklist could be misused as vendor selection advice</w:t>
            </w:r>
          </w:p>
        </w:tc>
        <w:tc>
          <w:tcPr>
            <w:tcW w:type="dxa" w:w="2045"/>
          </w:tcPr>
          <w:p>
            <w:pPr>
              <w:spacing w:after="0"/>
            </w:pPr>
            <w:r>
              <w:rPr>
                <w:rFonts w:ascii="Arial" w:hAnsi="Arial"/>
                <w:b w:val="0"/>
                <w:sz w:val="14"/>
              </w:rPr>
              <w:t>Added procurement-use boundary and required human review</w:t>
            </w:r>
          </w:p>
        </w:tc>
        <w:tc>
          <w:tcPr>
            <w:tcW w:type="dxa" w:w="2045"/>
          </w:tcPr>
          <w:p>
            <w:pPr>
              <w:spacing w:after="0"/>
            </w:pPr>
            <w:r>
              <w:rPr>
                <w:rFonts w:ascii="Arial" w:hAnsi="Arial"/>
                <w:b w:val="0"/>
                <w:sz w:val="14"/>
              </w:rPr>
              <w:t>Verify no vendor ordering language in final proof</w:t>
            </w:r>
          </w:p>
        </w:tc>
        <w:tc>
          <w:tcPr>
            <w:tcW w:type="dxa" w:w="2045"/>
          </w:tcPr>
          <w:p>
            <w:pPr>
              <w:spacing w:after="0"/>
            </w:pPr>
            <w:r>
              <w:rPr>
                <w:rFonts w:ascii="Arial" w:hAnsi="Arial"/>
                <w:b w:val="0"/>
                <w:sz w:val="14"/>
              </w:rPr>
              <w:t>Phase 1B-10</w:t>
            </w:r>
          </w:p>
        </w:tc>
      </w:tr>
      <w:tr>
        <w:tc>
          <w:tcPr>
            <w:tcW w:type="dxa" w:w="2045"/>
          </w:tcPr>
          <w:p>
            <w:pPr>
              <w:spacing w:after="0"/>
            </w:pPr>
            <w:r>
              <w:rPr>
                <w:rFonts w:ascii="Arial" w:hAnsi="Arial"/>
                <w:b w:val="0"/>
                <w:sz w:val="14"/>
              </w:rPr>
              <w:t>Appendix I source audit boundary</w:t>
            </w:r>
          </w:p>
        </w:tc>
        <w:tc>
          <w:tcPr>
            <w:tcW w:type="dxa" w:w="2045"/>
          </w:tcPr>
          <w:p>
            <w:pPr>
              <w:spacing w:after="0"/>
            </w:pPr>
            <w:r>
              <w:rPr>
                <w:rFonts w:ascii="Arial" w:hAnsi="Arial"/>
                <w:b w:val="0"/>
                <w:sz w:val="14"/>
              </w:rPr>
              <w:t>Revalidation register could be misread as completed validation</w:t>
            </w:r>
          </w:p>
        </w:tc>
        <w:tc>
          <w:tcPr>
            <w:tcW w:type="dxa" w:w="2045"/>
          </w:tcPr>
          <w:p>
            <w:pPr>
              <w:spacing w:after="0"/>
            </w:pPr>
            <w:r>
              <w:rPr>
                <w:rFonts w:ascii="Arial" w:hAnsi="Arial"/>
                <w:b w:val="0"/>
                <w:sz w:val="14"/>
              </w:rPr>
              <w:t>Stated that Phase 1B-10 was preparatory; Phase 1C follow-up added claim-level source-binding status without claiming final publication readiness</w:t>
            </w:r>
          </w:p>
        </w:tc>
        <w:tc>
          <w:tcPr>
            <w:tcW w:type="dxa" w:w="2045"/>
          </w:tcPr>
          <w:p>
            <w:pPr>
              <w:spacing w:after="0"/>
            </w:pPr>
            <w:r>
              <w:rPr>
                <w:rFonts w:ascii="Arial" w:hAnsi="Arial"/>
                <w:b w:val="0"/>
                <w:sz w:val="14"/>
              </w:rPr>
              <w:t>Perform final page-level citation pinning and rendering QA</w:t>
            </w:r>
          </w:p>
        </w:tc>
        <w:tc>
          <w:tcPr>
            <w:tcW w:type="dxa" w:w="2045"/>
          </w:tcPr>
          <w:p>
            <w:pPr>
              <w:spacing w:after="0"/>
            </w:pPr>
            <w:r>
              <w:rPr>
                <w:rFonts w:ascii="Arial" w:hAnsi="Arial"/>
                <w:b w:val="0"/>
                <w:sz w:val="14"/>
              </w:rPr>
              <w:t>Phase 1B-10 / Phase 1C</w:t>
            </w:r>
          </w:p>
        </w:tc>
      </w:tr>
      <w:tr>
        <w:tc>
          <w:tcPr>
            <w:tcW w:type="dxa" w:w="2045"/>
          </w:tcPr>
          <w:p>
            <w:pPr>
              <w:spacing w:after="0"/>
            </w:pPr>
            <w:r>
              <w:rPr>
                <w:rFonts w:ascii="Arial" w:hAnsi="Arial"/>
                <w:b w:val="0"/>
                <w:sz w:val="14"/>
              </w:rPr>
              <w:t>Appendix J closure boundary</w:t>
            </w:r>
          </w:p>
        </w:tc>
        <w:tc>
          <w:tcPr>
            <w:tcW w:type="dxa" w:w="2045"/>
          </w:tcPr>
          <w:p>
            <w:pPr>
              <w:spacing w:after="0"/>
            </w:pPr>
            <w:r>
              <w:rPr>
                <w:rFonts w:ascii="Arial" w:hAnsi="Arial"/>
                <w:b w:val="0"/>
                <w:sz w:val="14"/>
              </w:rPr>
              <w:t>Gap closure could be misread as final publication readiness</w:t>
            </w:r>
          </w:p>
        </w:tc>
        <w:tc>
          <w:tcPr>
            <w:tcW w:type="dxa" w:w="2045"/>
          </w:tcPr>
          <w:p>
            <w:pPr>
              <w:spacing w:after="0"/>
            </w:pPr>
            <w:r>
              <w:rPr>
                <w:rFonts w:ascii="Arial" w:hAnsi="Arial"/>
                <w:b w:val="0"/>
                <w:sz w:val="14"/>
              </w:rPr>
              <w:t>Distinguished closed, structurally closed, completed Phase 1C follow-up, and Phase 1D/publication QA items</w:t>
            </w:r>
          </w:p>
        </w:tc>
        <w:tc>
          <w:tcPr>
            <w:tcW w:type="dxa" w:w="2045"/>
          </w:tcPr>
          <w:p>
            <w:pPr>
              <w:spacing w:after="0"/>
            </w:pPr>
            <w:r>
              <w:rPr>
                <w:rFonts w:ascii="Arial" w:hAnsi="Arial"/>
                <w:b w:val="0"/>
                <w:sz w:val="14"/>
              </w:rPr>
              <w:t>Complete remaining publication QA work</w:t>
            </w:r>
          </w:p>
        </w:tc>
        <w:tc>
          <w:tcPr>
            <w:tcW w:type="dxa" w:w="2045"/>
          </w:tcPr>
          <w:p>
            <w:pPr>
              <w:spacing w:after="0"/>
            </w:pPr>
            <w:r>
              <w:rPr>
                <w:rFonts w:ascii="Arial" w:hAnsi="Arial"/>
                <w:b w:val="0"/>
                <w:sz w:val="14"/>
              </w:rPr>
              <w:t>Phase 1B-10 / Wave 7</w:t>
            </w:r>
          </w:p>
        </w:tc>
      </w:tr>
    </w:tbl>
    <w:p>
      <w:pPr>
        <w:pStyle w:val="Heading2"/>
      </w:pPr>
      <w:r>
        <w:t>K.5 Remaining Publication QA Actions</w:t>
      </w:r>
    </w:p>
    <w:p>
      <w:pPr>
        <w:keepNext/>
      </w:pPr>
      <w:r>
        <w:rPr>
          <w:b/>
          <w:sz w:val="16"/>
        </w:rPr>
        <w:t>Table T-K-03: Remaining Publication QA Actions</w:t>
      </w:r>
    </w:p>
    <w:tbl>
      <w:tblPr>
        <w:tblStyle w:val="TableGrid"/>
        <w:tblW w:type="auto" w:w="0"/>
        <w:tblLayout w:type="autofit"/>
        <w:tblLook w:firstColumn="1" w:firstRow="1" w:lastColumn="0" w:lastRow="0" w:noHBand="0" w:noVBand="1" w:val="04A0"/>
      </w:tblPr>
      <w:tblGrid>
        <w:gridCol w:w="2045"/>
        <w:gridCol w:w="2045"/>
        <w:gridCol w:w="2045"/>
        <w:gridCol w:w="2045"/>
        <w:gridCol w:w="2045"/>
      </w:tblGrid>
      <w:tr>
        <w:tc>
          <w:tcPr>
            <w:tcW w:type="dxa" w:w="2045"/>
          </w:tcPr>
          <w:p>
            <w:pPr>
              <w:spacing w:after="0"/>
            </w:pPr>
            <w:r>
              <w:rPr>
                <w:rFonts w:ascii="Arial" w:hAnsi="Arial"/>
                <w:b/>
                <w:sz w:val="14"/>
              </w:rPr>
              <w:t>Action</w:t>
            </w:r>
          </w:p>
        </w:tc>
        <w:tc>
          <w:tcPr>
            <w:tcW w:type="dxa" w:w="2045"/>
          </w:tcPr>
          <w:p>
            <w:pPr>
              <w:spacing w:after="0"/>
            </w:pPr>
            <w:r>
              <w:rPr>
                <w:rFonts w:ascii="Arial" w:hAnsi="Arial"/>
                <w:b/>
                <w:sz w:val="14"/>
              </w:rPr>
              <w:t>Reason</w:t>
            </w:r>
          </w:p>
        </w:tc>
        <w:tc>
          <w:tcPr>
            <w:tcW w:type="dxa" w:w="2045"/>
          </w:tcPr>
          <w:p>
            <w:pPr>
              <w:spacing w:after="0"/>
            </w:pPr>
            <w:r>
              <w:rPr>
                <w:rFonts w:ascii="Arial" w:hAnsi="Arial"/>
                <w:b/>
                <w:sz w:val="14"/>
              </w:rPr>
              <w:t>Target Phase</w:t>
            </w:r>
          </w:p>
        </w:tc>
        <w:tc>
          <w:tcPr>
            <w:tcW w:type="dxa" w:w="2045"/>
          </w:tcPr>
          <w:p>
            <w:pPr>
              <w:spacing w:after="0"/>
            </w:pPr>
            <w:r>
              <w:rPr>
                <w:rFonts w:ascii="Arial" w:hAnsi="Arial"/>
                <w:b/>
                <w:sz w:val="14"/>
              </w:rPr>
              <w:t>Required Evidence</w:t>
            </w:r>
          </w:p>
        </w:tc>
        <w:tc>
          <w:tcPr>
            <w:tcW w:type="dxa" w:w="2045"/>
          </w:tcPr>
          <w:p>
            <w:pPr>
              <w:spacing w:after="0"/>
            </w:pPr>
            <w:r>
              <w:rPr>
                <w:rFonts w:ascii="Arial" w:hAnsi="Arial"/>
                <w:b/>
                <w:sz w:val="14"/>
              </w:rPr>
              <w:t>Blocking Level</w:t>
            </w:r>
          </w:p>
        </w:tc>
      </w:tr>
      <w:tr>
        <w:tc>
          <w:tcPr>
            <w:tcW w:type="dxa" w:w="2045"/>
          </w:tcPr>
          <w:p>
            <w:pPr>
              <w:spacing w:after="0"/>
            </w:pPr>
            <w:r>
              <w:rPr>
                <w:rFonts w:ascii="Arial" w:hAnsi="Arial"/>
                <w:b w:val="0"/>
                <w:sz w:val="14"/>
              </w:rPr>
              <w:t>Page-level citation pinning for source-bound product/protocol claims</w:t>
            </w:r>
          </w:p>
        </w:tc>
        <w:tc>
          <w:tcPr>
            <w:tcW w:type="dxa" w:w="2045"/>
          </w:tcPr>
          <w:p>
            <w:pPr>
              <w:spacing w:after="0"/>
            </w:pPr>
            <w:r>
              <w:rPr>
                <w:rFonts w:ascii="Arial" w:hAnsi="Arial"/>
                <w:b w:val="0"/>
                <w:sz w:val="14"/>
              </w:rPr>
              <w:t>Official entry points were located, but final citation pages must be pinned before publication</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Exact source page references and citation rendering record</w:t>
            </w:r>
          </w:p>
        </w:tc>
        <w:tc>
          <w:tcPr>
            <w:tcW w:type="dxa" w:w="2045"/>
          </w:tcPr>
          <w:p>
            <w:pPr>
              <w:spacing w:after="0"/>
            </w:pPr>
            <w:r>
              <w:rPr>
                <w:rFonts w:ascii="Arial" w:hAnsi="Arial"/>
                <w:b w:val="0"/>
                <w:sz w:val="14"/>
              </w:rPr>
              <w:t>Blocks publication release</w:t>
            </w:r>
          </w:p>
        </w:tc>
      </w:tr>
      <w:tr>
        <w:tc>
          <w:tcPr>
            <w:tcW w:type="dxa" w:w="2045"/>
          </w:tcPr>
          <w:p>
            <w:pPr>
              <w:spacing w:after="0"/>
            </w:pPr>
            <w:r>
              <w:rPr>
                <w:rFonts w:ascii="Arial" w:hAnsi="Arial"/>
                <w:b w:val="0"/>
                <w:sz w:val="14"/>
              </w:rPr>
              <w:t>Validation Lab methodology-specific citation</w:t>
            </w:r>
          </w:p>
        </w:tc>
        <w:tc>
          <w:tcPr>
            <w:tcW w:type="dxa" w:w="2045"/>
          </w:tcPr>
          <w:p>
            <w:pPr>
              <w:spacing w:after="0"/>
            </w:pPr>
            <w:r>
              <w:rPr>
                <w:rFonts w:ascii="Arial" w:hAnsi="Arial"/>
                <w:b w:val="0"/>
                <w:sz w:val="14"/>
              </w:rPr>
              <w:t>Public entry point was located, but methodology-specific support remains limited</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Methodology URL or retained unresolved note</w:t>
            </w:r>
          </w:p>
        </w:tc>
        <w:tc>
          <w:tcPr>
            <w:tcW w:type="dxa" w:w="2045"/>
          </w:tcPr>
          <w:p>
            <w:pPr>
              <w:spacing w:after="0"/>
            </w:pPr>
            <w:r>
              <w:rPr>
                <w:rFonts w:ascii="Arial" w:hAnsi="Arial"/>
                <w:b w:val="0"/>
                <w:sz w:val="14"/>
              </w:rPr>
              <w:t>Blocks treating methodology claims as more than boundary-limited</w:t>
            </w:r>
          </w:p>
        </w:tc>
      </w:tr>
      <w:tr>
        <w:tc>
          <w:tcPr>
            <w:tcW w:type="dxa" w:w="2045"/>
          </w:tcPr>
          <w:p>
            <w:pPr>
              <w:spacing w:after="0"/>
            </w:pPr>
            <w:r>
              <w:rPr>
                <w:rFonts w:ascii="Arial" w:hAnsi="Arial"/>
                <w:b w:val="0"/>
                <w:sz w:val="14"/>
              </w:rPr>
              <w:t>Evidence level source-to-claim rendering check</w:t>
            </w:r>
          </w:p>
        </w:tc>
        <w:tc>
          <w:tcPr>
            <w:tcW w:type="dxa" w:w="2045"/>
          </w:tcPr>
          <w:p>
            <w:pPr>
              <w:spacing w:after="0"/>
            </w:pPr>
            <w:r>
              <w:rPr>
                <w:rFonts w:ascii="Arial" w:hAnsi="Arial"/>
                <w:b w:val="0"/>
                <w:sz w:val="14"/>
              </w:rPr>
              <w:t>Evidence confidence is now tied to claims, but final artifacts must preserve labels</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Citation/evidence rendering QA record</w:t>
            </w:r>
          </w:p>
        </w:tc>
        <w:tc>
          <w:tcPr>
            <w:tcW w:type="dxa" w:w="2045"/>
          </w:tcPr>
          <w:p>
            <w:pPr>
              <w:spacing w:after="0"/>
            </w:pPr>
            <w:r>
              <w:rPr>
                <w:rFonts w:ascii="Arial" w:hAnsi="Arial"/>
                <w:b w:val="0"/>
                <w:sz w:val="14"/>
              </w:rPr>
              <w:t>Blocks publication release</w:t>
            </w:r>
          </w:p>
        </w:tc>
      </w:tr>
      <w:tr>
        <w:tc>
          <w:tcPr>
            <w:tcW w:type="dxa" w:w="2045"/>
          </w:tcPr>
          <w:p>
            <w:pPr>
              <w:spacing w:after="0"/>
            </w:pPr>
            <w:r>
              <w:rPr>
                <w:rFonts w:ascii="Arial" w:hAnsi="Arial"/>
                <w:b w:val="0"/>
                <w:sz w:val="14"/>
              </w:rPr>
              <w:t>Appendix G revalidated provisional proofread</w:t>
            </w:r>
          </w:p>
        </w:tc>
        <w:tc>
          <w:tcPr>
            <w:tcW w:type="dxa" w:w="2045"/>
          </w:tcPr>
          <w:p>
            <w:pPr>
              <w:spacing w:after="0"/>
            </w:pPr>
            <w:r>
              <w:rPr>
                <w:rFonts w:ascii="Arial" w:hAnsi="Arial"/>
                <w:b w:val="0"/>
                <w:sz w:val="14"/>
              </w:rPr>
              <w:t>Provisional postures now have source binding but remain non-final</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Final no-score/no-ranking grep and citation check</w:t>
            </w:r>
          </w:p>
        </w:tc>
        <w:tc>
          <w:tcPr>
            <w:tcW w:type="dxa" w:w="2045"/>
          </w:tcPr>
          <w:p>
            <w:pPr>
              <w:spacing w:after="0"/>
            </w:pPr>
            <w:r>
              <w:rPr>
                <w:rFonts w:ascii="Arial" w:hAnsi="Arial"/>
                <w:b w:val="0"/>
                <w:sz w:val="14"/>
              </w:rPr>
              <w:t>Blocks final Appendix G publication status</w:t>
            </w:r>
          </w:p>
        </w:tc>
      </w:tr>
      <w:tr>
        <w:tc>
          <w:tcPr>
            <w:tcW w:type="dxa" w:w="2045"/>
          </w:tcPr>
          <w:p>
            <w:pPr>
              <w:spacing w:after="0"/>
            </w:pPr>
            <w:r>
              <w:rPr>
                <w:rFonts w:ascii="Arial" w:hAnsi="Arial"/>
                <w:b w:val="0"/>
                <w:sz w:val="14"/>
              </w:rPr>
              <w:t>DOCX/PDF generation and visual QA</w:t>
            </w:r>
          </w:p>
        </w:tc>
        <w:tc>
          <w:tcPr>
            <w:tcW w:type="dxa" w:w="2045"/>
          </w:tcPr>
          <w:p>
            <w:pPr>
              <w:spacing w:after="0"/>
            </w:pPr>
            <w:r>
              <w:rPr>
                <w:rFonts w:ascii="Arial" w:hAnsi="Arial"/>
                <w:b w:val="0"/>
                <w:sz w:val="14"/>
              </w:rPr>
              <w:t>Publication rendering not yet produced</w:t>
            </w:r>
          </w:p>
        </w:tc>
        <w:tc>
          <w:tcPr>
            <w:tcW w:type="dxa" w:w="2045"/>
          </w:tcPr>
          <w:p>
            <w:pPr>
              <w:spacing w:after="0"/>
            </w:pPr>
            <w:r>
              <w:rPr>
                <w:rFonts w:ascii="Arial" w:hAnsi="Arial"/>
                <w:b w:val="0"/>
                <w:sz w:val="14"/>
              </w:rPr>
              <w:t>Phase 1D / publication-candidate QA</w:t>
            </w:r>
          </w:p>
        </w:tc>
        <w:tc>
          <w:tcPr>
            <w:tcW w:type="dxa" w:w="2045"/>
          </w:tcPr>
          <w:p>
            <w:pPr>
              <w:spacing w:after="0"/>
            </w:pPr>
            <w:r>
              <w:rPr>
                <w:rFonts w:ascii="Arial" w:hAnsi="Arial"/>
                <w:b w:val="0"/>
                <w:sz w:val="14"/>
              </w:rPr>
              <w:t>DOCX/PDF artifacts and visual QA report</w:t>
            </w:r>
          </w:p>
        </w:tc>
        <w:tc>
          <w:tcPr>
            <w:tcW w:type="dxa" w:w="2045"/>
          </w:tcPr>
          <w:p>
            <w:pPr>
              <w:spacing w:after="0"/>
            </w:pPr>
            <w:r>
              <w:rPr>
                <w:rFonts w:ascii="Arial" w:hAnsi="Arial"/>
                <w:b w:val="0"/>
                <w:sz w:val="14"/>
              </w:rPr>
              <w:t>Blocks publication release</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rial" w:hAnsi="Arial"/>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ascii="Arial" w:hAnsi="Arial"/>
      <w:b/>
      <w:bCs/>
      <w:i/>
      <w:iCs/>
      <w:color w:val="4F81BD" w:themeColor="accent1"/>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