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r>
      <w:r>
        <w:t>Targeted RCCS-M cleanup and table blocker repair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RCCS-T / RCCS-M / ALCS is a three-profile analytical model, not legal compliance proof, certification, a regulator-approved benchmark, a vendor ranking, or procurement advice.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 proposed three-profile analytical model</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RCCS-T / RCCS-M / 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RCCS-T, RCCS-M,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RCCS-T / RCCS-M - Regulatory Compliance Coverage Scores</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RCCS-T / RCCS-M / ALCS Three-Profile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RCCS-T, RCCS-M, ALCS, and optional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RCCS-T, RCCS-M, and ALCS measure different but connected layers: traditional regulatory coverage, MRO-adjusted regulatory coverage, and agentic lifecycle conformance. A system can be strong in one layer and weaker in another.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Three-Profile Analytical Model</w:t>
      </w:r>
    </w:p>
    <w:p>
      <w:pPr>
        <w:spacing w:after="56"/>
      </w:pPr>
      <w:r>
        <w:t>The report introduces three profile signals:</w:t>
      </w:r>
    </w:p>
    <w:p>
      <w:pPr>
        <w:pStyle w:val="ListNumber"/>
        <w:spacing w:after="56"/>
      </w:pPr>
      <w:r>
        <w:t>RCCS-T - Traditional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RCCS-M - MRO-Adjusted Regulatory Compliance Coverage Score - measures whether those regulatory obligations can be expressed through Missing Regulatory Objects required for agentic lifecycle responsibility compliance.</w:t>
      </w:r>
    </w:p>
    <w:p>
      <w:pPr>
        <w:pStyle w:val="ListNumber"/>
        <w:spacing w:after="56"/>
      </w:pPr>
      <w:r>
        <w:t>ALCS - Agentic Lifecycle Conformance Score - measures whether lifecycle responsibility conformance is mature across responsibility, authority, evidence, privacy, substitution, and remediation. A system can have strong RCCS-T and weaker RCCS-M or ALCS. That is not a contradiction. It means the system may be strong in existing model governance or platform controls while lacking deeper lifecycle responsibility semantics for multi-agent work.</w:t>
      </w:r>
    </w:p>
    <w:p>
      <w:pPr>
        <w:spacing w:after="56"/>
      </w:pPr>
      <w:r>
        <w:t>Conceptual flow:</w:t>
      </w:r>
    </w:p>
    <w:p>
      <w:pPr>
        <w:spacing w:after="56"/>
      </w:pPr>
      <w:r>
        <w:t>RCCS-T -&gt; MRO Adjustment Layer -&gt; RCCS-M -&gt; ALCS</w:t>
      </w:r>
    </w:p>
    <w:p>
      <w:pPr>
        <w:spacing w:after="56"/>
      </w:pPr>
      <w:r>
        <w:t>RCCS-M is an author analytical, forward-looking, MRO-adjusted model. It is not current law, legal compliance proof, certification, a regulator-approved benchmark, vendor ranking, or procurement recommendation.</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RCCS-T, RCCS-M,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RCCS-T, RCCS-M, and ALCS scoring to separate ordinary governance coverage, MRO-adjusted regulatory coverage, and lifecycle conformance. RCCS-T measures how strongly a system covers existing regulatory and governance requirements. RCCS-M measures whether that coverage can be expressed through Missing Regulatory Objects.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traditional regulatory coverage, MRO-adjusted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A proposed analytical scoring framework; RCCS-M is author analytical and forward-looking</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spacing w:after="56"/>
      </w:pPr>
      <w:r>
        <w:t>This distinction is the bridge to the paper's scoring model. Existing regulation supplies risk, accountability, transparency, oversight, privacy, record-keeping, and monitoring language. It does not consistently define the lifecycle responsibility objects needed by agentic and multi-agent systems. RCCS-T therefore measures traditional regulatory coverage, while later chapters introduce MROs and RCCS-M to ask whether that coverage can be expressed through lifecycle responsibility objects.</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spacing w:after="56"/>
      </w:pPr>
      <w:r>
        <w:t>This translation is what makes RCCS-M possible. Without MROs, regulatory coverage remains RCCS-T: a traditional view of governance primitives such as documentation, oversight, record-keeping, transparency, security, accountability, contestability, and monitoring. With MROs, the same coverage can be tested against agentic lifecycle responsibility objects. RCCS-M is the author analytical profile for that MRO-adjusted coverage.</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 In scoring terms, this is the bridge from RCCS-T to RCCS-M.</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the three-profile analytical model that measures how systems map to these objects. RCCS-T measures traditional regulatory compliance coverage. MROs provide the adjustment layer that asks whether that coverage can be represented as lifecycle responsibility objects. RCCS-M measures MRO-adjusted regulatory coverage. ALCS measures lifecycle conformance maturity.</w:t>
      </w:r>
    </w:p>
    <w:p>
      <w:pPr>
        <w:spacing w:after="56"/>
      </w:pPr>
      <w:r>
        <w:t>Conceptually:</w:t>
      </w:r>
    </w:p>
    <w:p>
      <w:pPr>
        <w:spacing w:after="56"/>
      </w:pPr>
      <w:r>
        <w:t>RCCS-T + MRO Coverage = RCCS-M</w:t>
      </w:r>
    </w:p>
    <w:p>
      <w:pPr>
        <w:spacing w:after="56"/>
      </w:pPr>
      <w:r>
        <w:t>This is an analytical model, not a legal formula, certification, regulator-approved scoring method, vendor ranking, or procurement recommendation. Its purpose is to make the transition visible: regulatory language names the governance expectation; MROs define the lifecycle responsibility object; RCCS-M evaluates whether the traditional regulatory surface can be expressed through that object layer.</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defines the two RCCS scoring lenses used in this white paper:</w:t>
      </w:r>
    </w:p>
    <w:p>
      <w:pPr>
        <w:pStyle w:val="ListBullet"/>
        <w:spacing w:after="56"/>
      </w:pPr>
      <w:r>
        <w:t>RCCS-T — Traditional Regulatory Compliance Coverage Score measures how strongly a system covers existing regulatory and governance requirements such as risk management, data governance, documentation, record-keeping, transparency, human oversight, security, accountability, contestability, and monitoring.</w:t>
      </w:r>
    </w:p>
    <w:p>
      <w:pPr>
        <w:pStyle w:val="ListBullet"/>
        <w:spacing w:after="56"/>
      </w:pPr>
      <w:r>
        <w:t>RCCS-M — MRO-Adjusted Regulatory Compliance Coverage Score measures whether those same regulatory obligations can be represented as Missing Regulatory Objects and lifecycle responsibility semantics.</w:t>
      </w:r>
    </w:p>
    <w:p>
      <w:pPr>
        <w:spacing w:after="56"/>
      </w:pPr>
      <w:r>
        <w:t>RCCS-T and RCCS-M use the same 10 dimension names and weights. They differ in scoring lens. RCCS-T asks whether the system provides traditional governance and control coverage. RCCS-M asks whether the same regulatory obligation is expressed as inspectable, replayable, evidence-linked lifecycle responsibility objects.</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evidence mechanisms, and lifecycle objects that existing regulation and agentic/MAS governance increasingly require.</w:t>
      </w:r>
    </w:p>
    <w:p>
      <w:pPr>
        <w:spacing w:after="56"/>
      </w:pPr>
      <w:r>
        <w:t>This chapter defines the ten RCCS dimensions, the RCCS-M adjustment test, the separate 0-5 scoring lens for RCCS-T and RCCS-M, evidence requirements for each lens, and the shared calculation method. Compact dimension rubrics begin in section 7.11; Appendix E provides the detailed RCCS-T baseline rubrics and RCCS-M adjustment matrix.</w:t>
      </w:r>
    </w:p>
    <w:p>
      <w:pPr>
        <w:pStyle w:val="Heading2"/>
      </w:pPr>
      <w:r>
        <w:t>7.1 Why Traditional RCCS Is Necessary but Insufficient</w:t>
      </w:r>
    </w:p>
    <w:p>
      <w:pPr>
        <w:spacing w:after="56"/>
      </w:pPr>
      <w:r>
        <w:t>RCCS-T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RCCS-T and RCCS-M are not legal compliance scores. A high RCCS-T or RCCS-M score does not mean a system is legally compliant. A low score does not mean a system is non-compliant. Legal compliance depends on organizational practice, deployment context, jurisdiction, risk class, and how the system is used. RCCS measures system capability, not organizational conformance.</w:t>
      </w:r>
    </w:p>
    <w:p>
      <w:pPr>
        <w:spacing w:after="56"/>
      </w:pPr>
      <w:r>
        <w:t>The purpose of RCCS-T is to translate regulatory abstractions into measurable system capabilities. Regulation requires risk management, but what does that mean in a system? RCCS-T defines ten dimensions that operationalize regulatory requirements into system features that can be evaluated, compared, and improved. It is a bridge between regulatory language and engineering implementation.</w:t>
      </w:r>
    </w:p>
    <w:p>
      <w:pPr>
        <w:spacing w:after="56"/>
      </w:pPr>
      <w:r>
        <w:t>Traditional coverage is necessary but insufficient for agentic and multi-agent systems. A governance dashboard, audit log, or approval workflow can support RCCS-T while still failing to express who held responsibility, what authority was delegated, which agent or tool acted, what evidence was partitioned, whether the outcome was accepted, and how incident or substitution closure was proven. High RCCS-T does not automatically imply high RCCS-M.</w:t>
      </w:r>
    </w:p>
    <w:p>
      <w:pPr>
        <w:spacing w:after="56"/>
      </w:pPr>
      <w:r>
        <w:t>RCCS-M adds the MRO adjustment. It asks a second question: can the regulatory coverage captured by RCCS-T be expressed through lifecycle responsibility objects that agentic systems can emit, inspect, replay, and validate? A governance dashboard may support RCCS-T. An authority boundary object, accepted outcome record, partitioned evidence chain, and substitution conformance record support RCCS-M.</w:t>
      </w:r>
    </w:p>
    <w:p>
      <w:pPr>
        <w:spacing w:after="56"/>
      </w:pPr>
      <w:r>
        <w:t>The distinction matters because enterprise governance platforms may show strong RCCS-T coverage through conventional dashboards, policies, documentation, controls, and monitoring. Lifecycle protocol systems may show stronger RCCS-M where they define explicit responsibility, authority, evidence, acceptance, privacy, substitution, and closure objects. This is a score-delta interpretation, not a product ranking.</w:t>
      </w:r>
    </w:p>
    <w:p>
      <w:pPr>
        <w:pStyle w:val="Heading2"/>
      </w:pPr>
      <w:r>
        <w:t>7.2 RCCS-T Dimensions</w:t>
      </w:r>
    </w:p>
    <w:p>
      <w:pPr>
        <w:spacing w:after="56"/>
      </w:pPr>
      <w:r>
        <w:t>RCCS-T and RCCS-M share the same 10 dimension names and weights. The dimensions correspond to recurring regulatory and governance requirements. The scoring lenses differ: RCCS-T evaluates traditional governance/control coverage, while RCCS-M evaluates whether that coverage is expressible through lifecycle responsibility objects.</w:t>
      </w:r>
    </w:p>
    <w:p>
      <w:pPr>
        <w:spacing w:after="56"/>
      </w:pPr>
      <w:r>
        <w:t>The ten shared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 The table is the baseline for both RCCS-T and RCCS-M; section 7.4 explains the MRO adjustment test that changes the RCCS-M raw score.</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RCCS-M: MRO-Adjusted Interpretation of RCCS</w:t>
      </w:r>
    </w:p>
    <w:p>
      <w:pPr>
        <w:spacing w:after="56"/>
      </w:pPr>
      <w:r>
        <w:t>RCCS-M measures whether traditional regulatory obligations can be represented as Missing Regulatory Objects and lifecycle responsibility semantics. Operationally, RCCS-M asks whether a regulatory obligation is represented as inspectable, replayable, evidence-linked lifecycle responsibility objects.</w:t>
      </w:r>
    </w:p>
    <w:p>
      <w:pPr>
        <w:spacing w:after="56"/>
      </w:pPr>
      <w:r>
        <w:t>The MRO adjustment changes what counts as strong support. For example:</w:t>
      </w:r>
    </w:p>
    <w:p>
      <w:pPr>
        <w:pStyle w:val="ListBullet"/>
        <w:spacing w:after="56"/>
      </w:pPr>
      <w:r>
        <w:t>Risk management becomes stronger when risks are linked to lifecycle risk objects, authority boundaries, mitigations, monitoring evidence, and incident closure.</w:t>
      </w:r>
    </w:p>
    <w:p>
      <w:pPr>
        <w:pStyle w:val="ListBullet"/>
        <w:spacing w:after="56"/>
      </w:pPr>
      <w:r>
        <w:t>Human oversight becomes stronger when approval is bound to human-role responsibility, delegated authority, escalation, and accepted outcome authority.</w:t>
      </w:r>
    </w:p>
    <w:p>
      <w:pPr>
        <w:pStyle w:val="ListBullet"/>
        <w:spacing w:after="56"/>
      </w:pPr>
      <w:r>
        <w:t>Record-keeping becomes stronger when logs become partitioned evidence chains tied to role, agent/tool action, authority boundary, privacy boundary, and accepted outcome.</w:t>
      </w:r>
    </w:p>
    <w:p>
      <w:pPr>
        <w:pStyle w:val="ListBullet"/>
        <w:spacing w:after="56"/>
      </w:pPr>
      <w:r>
        <w:t>Monitoring becomes stronger when runtime observation includes authority drift, substitution conformance, privacy lifecycle events, and incident/dispute/remediation closure.</w:t>
      </w:r>
    </w:p>
    <w:p>
      <w:pPr>
        <w:spacing w:after="56"/>
      </w:pPr>
      <w:r>
        <w:t>RCCS-M is an author analytical, forward-looking model. It is not current law, legal compliance proof, certification, a regulator-approved benchmark, vendor ranking, or procurement recommendation.</w:t>
      </w:r>
    </w:p>
    <w:p>
      <w:pPr>
        <w:pStyle w:val="Heading2"/>
      </w:pPr>
      <w:r>
        <w:t>7.4 Dimension Mapping: RCCS-T Dimension to MRO Adjustment Test</w:t>
      </w:r>
    </w:p>
    <w:p>
      <w:pPr>
        <w:keepNext/>
      </w:pPr>
      <w:r>
        <w:rPr>
          <w:b/>
          <w:sz w:val="16"/>
        </w:rPr>
        <w:t>Table T-07-01A: RCCS-T Dimension to RCCS-M MRO Adjustment Test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RCCS-T Dimension</w:t>
            </w:r>
          </w:p>
        </w:tc>
        <w:tc>
          <w:tcPr>
            <w:tcW w:type="dxa" w:w="1704"/>
          </w:tcPr>
          <w:p>
            <w:pPr>
              <w:spacing w:after="0"/>
            </w:pPr>
            <w:r>
              <w:rPr>
                <w:rFonts w:ascii="Arial" w:hAnsi="Arial"/>
                <w:b/>
                <w:sz w:val="12"/>
              </w:rPr>
              <w:t>Traditional RCCS-T Test</w:t>
            </w:r>
          </w:p>
        </w:tc>
        <w:tc>
          <w:tcPr>
            <w:tcW w:type="dxa" w:w="1704"/>
          </w:tcPr>
          <w:p>
            <w:pPr>
              <w:spacing w:after="0"/>
            </w:pPr>
            <w:r>
              <w:rPr>
                <w:rFonts w:ascii="Arial" w:hAnsi="Arial"/>
                <w:b/>
                <w:sz w:val="12"/>
              </w:rPr>
              <w:t>RCCS-M Adjustment Question</w:t>
            </w:r>
          </w:p>
        </w:tc>
        <w:tc>
          <w:tcPr>
            <w:tcW w:type="dxa" w:w="1704"/>
          </w:tcPr>
          <w:p>
            <w:pPr>
              <w:spacing w:after="0"/>
            </w:pPr>
            <w:r>
              <w:rPr>
                <w:rFonts w:ascii="Arial" w:hAnsi="Arial"/>
                <w:b/>
                <w:sz w:val="12"/>
              </w:rPr>
              <w:t>Related MROs</w:t>
            </w:r>
          </w:p>
        </w:tc>
        <w:tc>
          <w:tcPr>
            <w:tcW w:type="dxa" w:w="1704"/>
          </w:tcPr>
          <w:p>
            <w:pPr>
              <w:spacing w:after="0"/>
            </w:pPr>
            <w:r>
              <w:rPr>
                <w:rFonts w:ascii="Arial" w:hAnsi="Arial"/>
                <w:b/>
                <w:sz w:val="12"/>
              </w:rPr>
              <w:t>Required MRO Evidence</w:t>
            </w:r>
          </w:p>
        </w:tc>
        <w:tc>
          <w:tcPr>
            <w:tcW w:type="dxa" w:w="1704"/>
          </w:tcPr>
          <w:p>
            <w:pPr>
              <w:spacing w:after="0"/>
            </w:pPr>
            <w:r>
              <w:rPr>
                <w:rFonts w:ascii="Arial" w:hAnsi="Arial"/>
                <w:b/>
                <w:sz w:val="12"/>
              </w:rPr>
              <w:t>Negative Control</w:t>
            </w:r>
          </w:p>
        </w:tc>
      </w:tr>
      <w:tr>
        <w:tc>
          <w:tcPr>
            <w:tcW w:type="dxa" w:w="1704"/>
          </w:tcPr>
          <w:p>
            <w:pPr>
              <w:spacing w:after="0"/>
            </w:pPr>
            <w:r>
              <w:rPr>
                <w:rFonts w:ascii="Arial" w:hAnsi="Arial"/>
                <w:b w:val="0"/>
                <w:sz w:val="12"/>
              </w:rPr>
              <w:t>RCCS-01 Risk Management</w:t>
            </w:r>
          </w:p>
        </w:tc>
        <w:tc>
          <w:tcPr>
            <w:tcW w:type="dxa" w:w="1704"/>
          </w:tcPr>
          <w:p>
            <w:pPr>
              <w:spacing w:after="0"/>
            </w:pPr>
            <w:r>
              <w:rPr>
                <w:rFonts w:ascii="Arial" w:hAnsi="Arial"/>
                <w:b w:val="0"/>
                <w:sz w:val="12"/>
              </w:rPr>
              <w:t>Does the system identify, assess, mitigate, and monitor AI risks?</w:t>
            </w:r>
          </w:p>
        </w:tc>
        <w:tc>
          <w:tcPr>
            <w:tcW w:type="dxa" w:w="1704"/>
          </w:tcPr>
          <w:p>
            <w:pPr>
              <w:spacing w:after="0"/>
            </w:pPr>
            <w:r>
              <w:rPr>
                <w:rFonts w:ascii="Arial" w:hAnsi="Arial"/>
                <w:b w:val="0"/>
                <w:sz w:val="12"/>
              </w:rPr>
              <w:t>Are risks linked to lifecycle authority, evidence, mitigation, monitoring, and closure objects?</w:t>
            </w:r>
          </w:p>
        </w:tc>
        <w:tc>
          <w:tcPr>
            <w:tcW w:type="dxa" w:w="1704"/>
          </w:tcPr>
          <w:p>
            <w:pPr>
              <w:spacing w:after="0"/>
            </w:pPr>
            <w:r>
              <w:rPr>
                <w:rFonts w:ascii="Arial" w:hAnsi="Arial"/>
                <w:b w:val="0"/>
                <w:sz w:val="12"/>
              </w:rPr>
              <w:t>MRO-02, MRO-07, MRO-08, MRO-16</w:t>
            </w:r>
          </w:p>
        </w:tc>
        <w:tc>
          <w:tcPr>
            <w:tcW w:type="dxa" w:w="1704"/>
          </w:tcPr>
          <w:p>
            <w:pPr>
              <w:spacing w:after="0"/>
            </w:pPr>
            <w:r>
              <w:rPr>
                <w:rFonts w:ascii="Arial" w:hAnsi="Arial"/>
                <w:b w:val="0"/>
                <w:sz w:val="12"/>
              </w:rPr>
              <w:t>Risk object, authority boundary, mitigation record, evidence pointer, monitoring/closure record</w:t>
            </w:r>
          </w:p>
        </w:tc>
        <w:tc>
          <w:tcPr>
            <w:tcW w:type="dxa" w:w="1704"/>
          </w:tcPr>
          <w:p>
            <w:pPr>
              <w:spacing w:after="0"/>
            </w:pPr>
            <w:r>
              <w:rPr>
                <w:rFonts w:ascii="Arial" w:hAnsi="Arial"/>
                <w:b w:val="0"/>
                <w:sz w:val="12"/>
              </w:rPr>
              <w:t>Risk register without lifecycle linkage</w:t>
            </w:r>
          </w:p>
        </w:tc>
      </w:tr>
      <w:tr>
        <w:tc>
          <w:tcPr>
            <w:tcW w:type="dxa" w:w="1704"/>
          </w:tcPr>
          <w:p>
            <w:pPr>
              <w:spacing w:after="0"/>
            </w:pPr>
            <w:r>
              <w:rPr>
                <w:rFonts w:ascii="Arial" w:hAnsi="Arial"/>
                <w:b w:val="0"/>
                <w:sz w:val="12"/>
              </w:rPr>
              <w:t>RCCS-02 Data Governance</w:t>
            </w:r>
          </w:p>
        </w:tc>
        <w:tc>
          <w:tcPr>
            <w:tcW w:type="dxa" w:w="1704"/>
          </w:tcPr>
          <w:p>
            <w:pPr>
              <w:spacing w:after="0"/>
            </w:pPr>
            <w:r>
              <w:rPr>
                <w:rFonts w:ascii="Arial" w:hAnsi="Arial"/>
                <w:b w:val="0"/>
                <w:sz w:val="12"/>
              </w:rPr>
              <w:t>Does the system govern data quality, lineage, access, retention, and lifecycle handling?</w:t>
            </w:r>
          </w:p>
        </w:tc>
        <w:tc>
          <w:tcPr>
            <w:tcW w:type="dxa" w:w="1704"/>
          </w:tcPr>
          <w:p>
            <w:pPr>
              <w:spacing w:after="0"/>
            </w:pPr>
            <w:r>
              <w:rPr>
                <w:rFonts w:ascii="Arial" w:hAnsi="Arial"/>
                <w:b w:val="0"/>
                <w:sz w:val="12"/>
              </w:rPr>
              <w:t>Are data flows mapped across agents, tools, memory, evidence stores, privacy boundaries, and reuse contexts?</w:t>
            </w:r>
          </w:p>
        </w:tc>
        <w:tc>
          <w:tcPr>
            <w:tcW w:type="dxa" w:w="1704"/>
          </w:tcPr>
          <w:p>
            <w:pPr>
              <w:spacing w:after="0"/>
            </w:pPr>
            <w:r>
              <w:rPr>
                <w:rFonts w:ascii="Arial" w:hAnsi="Arial"/>
                <w:b w:val="0"/>
                <w:sz w:val="12"/>
              </w:rPr>
              <w:t>MRO-08, MRO-10, MRO-12, MRO-13, MRO-14</w:t>
            </w:r>
          </w:p>
        </w:tc>
        <w:tc>
          <w:tcPr>
            <w:tcW w:type="dxa" w:w="1704"/>
          </w:tcPr>
          <w:p>
            <w:pPr>
              <w:spacing w:after="0"/>
            </w:pPr>
            <w:r>
              <w:rPr>
                <w:rFonts w:ascii="Arial" w:hAnsi="Arial"/>
                <w:b w:val="0"/>
                <w:sz w:val="12"/>
              </w:rPr>
              <w:t>Lifecycle data-flow map, selective disclosure profile, retention/erasure policy, processor chain record</w:t>
            </w:r>
          </w:p>
        </w:tc>
        <w:tc>
          <w:tcPr>
            <w:tcW w:type="dxa" w:w="1704"/>
          </w:tcPr>
          <w:p>
            <w:pPr>
              <w:spacing w:after="0"/>
            </w:pPr>
            <w:r>
              <w:rPr>
                <w:rFonts w:ascii="Arial" w:hAnsi="Arial"/>
                <w:b w:val="0"/>
                <w:sz w:val="12"/>
              </w:rPr>
              <w:t>Dataset lineage without agent/runtime lifecycle mapping</w:t>
            </w:r>
          </w:p>
        </w:tc>
      </w:tr>
      <w:tr>
        <w:tc>
          <w:tcPr>
            <w:tcW w:type="dxa" w:w="1704"/>
          </w:tcPr>
          <w:p>
            <w:pPr>
              <w:spacing w:after="0"/>
            </w:pPr>
            <w:r>
              <w:rPr>
                <w:rFonts w:ascii="Arial" w:hAnsi="Arial"/>
                <w:b w:val="0"/>
                <w:sz w:val="12"/>
              </w:rPr>
              <w:t>RCCS-03 Documentation</w:t>
            </w:r>
          </w:p>
        </w:tc>
        <w:tc>
          <w:tcPr>
            <w:tcW w:type="dxa" w:w="1704"/>
          </w:tcPr>
          <w:p>
            <w:pPr>
              <w:spacing w:after="0"/>
            </w:pPr>
            <w:r>
              <w:rPr>
                <w:rFonts w:ascii="Arial" w:hAnsi="Arial"/>
                <w:b w:val="0"/>
                <w:sz w:val="12"/>
              </w:rPr>
              <w:t>Does the system produce and maintain technical and governance documentation?</w:t>
            </w:r>
          </w:p>
        </w:tc>
        <w:tc>
          <w:tcPr>
            <w:tcW w:type="dxa" w:w="1704"/>
          </w:tcPr>
          <w:p>
            <w:pPr>
              <w:spacing w:after="0"/>
            </w:pPr>
            <w:r>
              <w:rPr>
                <w:rFonts w:ascii="Arial" w:hAnsi="Arial"/>
                <w:b w:val="0"/>
                <w:sz w:val="12"/>
              </w:rPr>
              <w:t>Does documentation bind intent, plan, authority, role, evidence, accepted outcome, and substitution context?</w:t>
            </w:r>
          </w:p>
        </w:tc>
        <w:tc>
          <w:tcPr>
            <w:tcW w:type="dxa" w:w="1704"/>
          </w:tcPr>
          <w:p>
            <w:pPr>
              <w:spacing w:after="0"/>
            </w:pPr>
            <w:r>
              <w:rPr>
                <w:rFonts w:ascii="Arial" w:hAnsi="Arial"/>
                <w:b w:val="0"/>
                <w:sz w:val="12"/>
              </w:rPr>
              <w:t>MRO-01, MRO-02, MRO-04, MRO-08, MRO-15</w:t>
            </w:r>
          </w:p>
        </w:tc>
        <w:tc>
          <w:tcPr>
            <w:tcW w:type="dxa" w:w="1704"/>
          </w:tcPr>
          <w:p>
            <w:pPr>
              <w:spacing w:after="0"/>
            </w:pPr>
            <w:r>
              <w:rPr>
                <w:rFonts w:ascii="Arial" w:hAnsi="Arial"/>
                <w:b w:val="0"/>
                <w:sz w:val="12"/>
              </w:rPr>
              <w:t>Versioned lifecycle documentation, object schema, trace manifest, substitution record</w:t>
            </w:r>
          </w:p>
        </w:tc>
        <w:tc>
          <w:tcPr>
            <w:tcW w:type="dxa" w:w="1704"/>
          </w:tcPr>
          <w:p>
            <w:pPr>
              <w:spacing w:after="0"/>
            </w:pPr>
            <w:r>
              <w:rPr>
                <w:rFonts w:ascii="Arial" w:hAnsi="Arial"/>
                <w:b w:val="0"/>
                <w:sz w:val="12"/>
              </w:rPr>
              <w:t>Static model card without lifecycle responsibility objects</w:t>
            </w:r>
          </w:p>
        </w:tc>
      </w:tr>
      <w:tr>
        <w:tc>
          <w:tcPr>
            <w:tcW w:type="dxa" w:w="1704"/>
          </w:tcPr>
          <w:p>
            <w:pPr>
              <w:spacing w:after="0"/>
            </w:pPr>
            <w:r>
              <w:rPr>
                <w:rFonts w:ascii="Arial" w:hAnsi="Arial"/>
                <w:b w:val="0"/>
                <w:sz w:val="12"/>
              </w:rPr>
              <w:t>RCCS-04 Record-Keeping</w:t>
            </w:r>
          </w:p>
        </w:tc>
        <w:tc>
          <w:tcPr>
            <w:tcW w:type="dxa" w:w="1704"/>
          </w:tcPr>
          <w:p>
            <w:pPr>
              <w:spacing w:after="0"/>
            </w:pPr>
            <w:r>
              <w:rPr>
                <w:rFonts w:ascii="Arial" w:hAnsi="Arial"/>
                <w:b w:val="0"/>
                <w:sz w:val="12"/>
              </w:rPr>
              <w:t>Does the system record relevant events, logs, and audit trails?</w:t>
            </w:r>
          </w:p>
        </w:tc>
        <w:tc>
          <w:tcPr>
            <w:tcW w:type="dxa" w:w="1704"/>
          </w:tcPr>
          <w:p>
            <w:pPr>
              <w:spacing w:after="0"/>
            </w:pPr>
            <w:r>
              <w:rPr>
                <w:rFonts w:ascii="Arial" w:hAnsi="Arial"/>
                <w:b w:val="0"/>
                <w:sz w:val="12"/>
              </w:rPr>
              <w:t>Are records partitioned by role, authority boundary, agent/tool action, evidence pointer, privacy boundary, and accepted outcome?</w:t>
            </w:r>
          </w:p>
        </w:tc>
        <w:tc>
          <w:tcPr>
            <w:tcW w:type="dxa" w:w="1704"/>
          </w:tcPr>
          <w:p>
            <w:pPr>
              <w:spacing w:after="0"/>
            </w:pPr>
            <w:r>
              <w:rPr>
                <w:rFonts w:ascii="Arial" w:hAnsi="Arial"/>
                <w:b w:val="0"/>
                <w:sz w:val="12"/>
              </w:rPr>
              <w:t>MRO-08, MRO-12, MRO-13, MRO-16</w:t>
            </w:r>
          </w:p>
        </w:tc>
        <w:tc>
          <w:tcPr>
            <w:tcW w:type="dxa" w:w="1704"/>
          </w:tcPr>
          <w:p>
            <w:pPr>
              <w:spacing w:after="0"/>
            </w:pPr>
            <w:r>
              <w:rPr>
                <w:rFonts w:ascii="Arial" w:hAnsi="Arial"/>
                <w:b w:val="0"/>
                <w:sz w:val="12"/>
              </w:rPr>
              <w:t>Partitioned evidence chain, evidence pointer, disclosure policy, closure record</w:t>
            </w:r>
          </w:p>
        </w:tc>
        <w:tc>
          <w:tcPr>
            <w:tcW w:type="dxa" w:w="1704"/>
          </w:tcPr>
          <w:p>
            <w:pPr>
              <w:spacing w:after="0"/>
            </w:pPr>
            <w:r>
              <w:rPr>
                <w:rFonts w:ascii="Arial" w:hAnsi="Arial"/>
                <w:b w:val="0"/>
                <w:sz w:val="12"/>
              </w:rPr>
              <w:t>Generic logs without lifecycle responsibility partitioning</w:t>
            </w:r>
          </w:p>
        </w:tc>
      </w:tr>
      <w:tr>
        <w:tc>
          <w:tcPr>
            <w:tcW w:type="dxa" w:w="1704"/>
          </w:tcPr>
          <w:p>
            <w:pPr>
              <w:spacing w:after="0"/>
            </w:pPr>
            <w:r>
              <w:rPr>
                <w:rFonts w:ascii="Arial" w:hAnsi="Arial"/>
                <w:b w:val="0"/>
                <w:sz w:val="12"/>
              </w:rPr>
              <w:t>RCCS-05 Transparency</w:t>
            </w:r>
          </w:p>
        </w:tc>
        <w:tc>
          <w:tcPr>
            <w:tcW w:type="dxa" w:w="1704"/>
          </w:tcPr>
          <w:p>
            <w:pPr>
              <w:spacing w:after="0"/>
            </w:pPr>
            <w:r>
              <w:rPr>
                <w:rFonts w:ascii="Arial" w:hAnsi="Arial"/>
                <w:b w:val="0"/>
                <w:sz w:val="12"/>
              </w:rPr>
              <w:t>Does the system disclose purpose, behavior, limitations, and relevant decision factors?</w:t>
            </w:r>
          </w:p>
        </w:tc>
        <w:tc>
          <w:tcPr>
            <w:tcW w:type="dxa" w:w="1704"/>
          </w:tcPr>
          <w:p>
            <w:pPr>
              <w:spacing w:after="0"/>
            </w:pPr>
            <w:r>
              <w:rPr>
                <w:rFonts w:ascii="Arial" w:hAnsi="Arial"/>
                <w:b w:val="0"/>
                <w:sz w:val="12"/>
              </w:rPr>
              <w:t>Can disclosure be tied to lifecycle evidence, role, authority, accepted outcome, privacy boundary, and dispute path?</w:t>
            </w:r>
          </w:p>
        </w:tc>
        <w:tc>
          <w:tcPr>
            <w:tcW w:type="dxa" w:w="1704"/>
          </w:tcPr>
          <w:p>
            <w:pPr>
              <w:spacing w:after="0"/>
            </w:pPr>
            <w:r>
              <w:rPr>
                <w:rFonts w:ascii="Arial" w:hAnsi="Arial"/>
                <w:b w:val="0"/>
                <w:sz w:val="12"/>
              </w:rPr>
              <w:t>MRO-04, MRO-08, MRO-11, MRO-12, MRO-16</w:t>
            </w:r>
          </w:p>
        </w:tc>
        <w:tc>
          <w:tcPr>
            <w:tcW w:type="dxa" w:w="1704"/>
          </w:tcPr>
          <w:p>
            <w:pPr>
              <w:spacing w:after="0"/>
            </w:pPr>
            <w:r>
              <w:rPr>
                <w:rFonts w:ascii="Arial" w:hAnsi="Arial"/>
                <w:b w:val="0"/>
                <w:sz w:val="12"/>
              </w:rPr>
              <w:t>Evidence-linked explanation, disclosure profile, redacted validation pack, dispute replay record</w:t>
            </w:r>
          </w:p>
        </w:tc>
        <w:tc>
          <w:tcPr>
            <w:tcW w:type="dxa" w:w="1704"/>
          </w:tcPr>
          <w:p>
            <w:pPr>
              <w:spacing w:after="0"/>
            </w:pPr>
            <w:r>
              <w:rPr>
                <w:rFonts w:ascii="Arial" w:hAnsi="Arial"/>
                <w:b w:val="0"/>
                <w:sz w:val="12"/>
              </w:rPr>
              <w:t>Explanation UI without lifecycle evidence or selective disclosure</w:t>
            </w:r>
          </w:p>
        </w:tc>
      </w:tr>
      <w:tr>
        <w:tc>
          <w:tcPr>
            <w:tcW w:type="dxa" w:w="1704"/>
          </w:tcPr>
          <w:p>
            <w:pPr>
              <w:spacing w:after="0"/>
            </w:pPr>
            <w:r>
              <w:rPr>
                <w:rFonts w:ascii="Arial" w:hAnsi="Arial"/>
                <w:b w:val="0"/>
                <w:sz w:val="12"/>
              </w:rPr>
              <w:t>RCCS-06 Human Oversight</w:t>
            </w:r>
          </w:p>
        </w:tc>
        <w:tc>
          <w:tcPr>
            <w:tcW w:type="dxa" w:w="1704"/>
          </w:tcPr>
          <w:p>
            <w:pPr>
              <w:spacing w:after="0"/>
            </w:pPr>
            <w:r>
              <w:rPr>
                <w:rFonts w:ascii="Arial" w:hAnsi="Arial"/>
                <w:b w:val="0"/>
                <w:sz w:val="12"/>
              </w:rPr>
              <w:t>Does the system support human review, approval, intervention, and escalation?</w:t>
            </w:r>
          </w:p>
        </w:tc>
        <w:tc>
          <w:tcPr>
            <w:tcW w:type="dxa" w:w="1704"/>
          </w:tcPr>
          <w:p>
            <w:pPr>
              <w:spacing w:after="0"/>
            </w:pPr>
            <w:r>
              <w:rPr>
                <w:rFonts w:ascii="Arial" w:hAnsi="Arial"/>
                <w:b w:val="0"/>
                <w:sz w:val="12"/>
              </w:rPr>
              <w:t>Is oversight bound to human-role responsibility, delegated scope, escalation, and accepted outcome authority?</w:t>
            </w:r>
          </w:p>
        </w:tc>
        <w:tc>
          <w:tcPr>
            <w:tcW w:type="dxa" w:w="1704"/>
          </w:tcPr>
          <w:p>
            <w:pPr>
              <w:spacing w:after="0"/>
            </w:pPr>
            <w:r>
              <w:rPr>
                <w:rFonts w:ascii="Arial" w:hAnsi="Arial"/>
                <w:b w:val="0"/>
                <w:sz w:val="12"/>
              </w:rPr>
              <w:t>MRO-01, MRO-02, MRO-03, MRO-04, MRO-07</w:t>
            </w:r>
          </w:p>
        </w:tc>
        <w:tc>
          <w:tcPr>
            <w:tcW w:type="dxa" w:w="1704"/>
          </w:tcPr>
          <w:p>
            <w:pPr>
              <w:spacing w:after="0"/>
            </w:pPr>
            <w:r>
              <w:rPr>
                <w:rFonts w:ascii="Arial" w:hAnsi="Arial"/>
                <w:b w:val="0"/>
                <w:sz w:val="12"/>
              </w:rPr>
              <w:t>Human-role map, authority grant, escalation path, acceptance state, drift alert</w:t>
            </w:r>
          </w:p>
        </w:tc>
        <w:tc>
          <w:tcPr>
            <w:tcW w:type="dxa" w:w="1704"/>
          </w:tcPr>
          <w:p>
            <w:pPr>
              <w:spacing w:after="0"/>
            </w:pPr>
            <w:r>
              <w:rPr>
                <w:rFonts w:ascii="Arial" w:hAnsi="Arial"/>
                <w:b w:val="0"/>
                <w:sz w:val="12"/>
              </w:rPr>
              <w:t>Generic approve/reject UI without responsibility or authority scope</w:t>
            </w:r>
          </w:p>
        </w:tc>
      </w:tr>
      <w:tr>
        <w:tc>
          <w:tcPr>
            <w:tcW w:type="dxa" w:w="1704"/>
          </w:tcPr>
          <w:p>
            <w:pPr>
              <w:spacing w:after="0"/>
            </w:pPr>
            <w:r>
              <w:rPr>
                <w:rFonts w:ascii="Arial" w:hAnsi="Arial"/>
                <w:b w:val="0"/>
                <w:sz w:val="12"/>
              </w:rPr>
              <w:t>RCCS-07 Security</w:t>
            </w:r>
          </w:p>
        </w:tc>
        <w:tc>
          <w:tcPr>
            <w:tcW w:type="dxa" w:w="1704"/>
          </w:tcPr>
          <w:p>
            <w:pPr>
              <w:spacing w:after="0"/>
            </w:pPr>
            <w:r>
              <w:rPr>
                <w:rFonts w:ascii="Arial" w:hAnsi="Arial"/>
                <w:b w:val="0"/>
                <w:sz w:val="12"/>
              </w:rPr>
              <w:t>Does the system implement access, authentication, authorization, and security monitoring controls?</w:t>
            </w:r>
          </w:p>
        </w:tc>
        <w:tc>
          <w:tcPr>
            <w:tcW w:type="dxa" w:w="1704"/>
          </w:tcPr>
          <w:p>
            <w:pPr>
              <w:spacing w:after="0"/>
            </w:pPr>
            <w:r>
              <w:rPr>
                <w:rFonts w:ascii="Arial" w:hAnsi="Arial"/>
                <w:b w:val="0"/>
                <w:sz w:val="12"/>
              </w:rPr>
              <w:t>Are security controls linked to delegated authority, tool-action liability, lifecycle evidence, and privacy-limited disclosure?</w:t>
            </w:r>
          </w:p>
        </w:tc>
        <w:tc>
          <w:tcPr>
            <w:tcW w:type="dxa" w:w="1704"/>
          </w:tcPr>
          <w:p>
            <w:pPr>
              <w:spacing w:after="0"/>
            </w:pPr>
            <w:r>
              <w:rPr>
                <w:rFonts w:ascii="Arial" w:hAnsi="Arial"/>
                <w:b w:val="0"/>
                <w:sz w:val="12"/>
              </w:rPr>
              <w:t>MRO-02, MRO-05, MRO-08, MRO-10, MRO-12</w:t>
            </w:r>
          </w:p>
        </w:tc>
        <w:tc>
          <w:tcPr>
            <w:tcW w:type="dxa" w:w="1704"/>
          </w:tcPr>
          <w:p>
            <w:pPr>
              <w:spacing w:after="0"/>
            </w:pPr>
            <w:r>
              <w:rPr>
                <w:rFonts w:ascii="Arial" w:hAnsi="Arial"/>
                <w:b w:val="0"/>
                <w:sz w:val="12"/>
              </w:rPr>
              <w:t>Delegated authority record, tool-action liability object, evidence partition, privacy boundary</w:t>
            </w:r>
          </w:p>
        </w:tc>
        <w:tc>
          <w:tcPr>
            <w:tcW w:type="dxa" w:w="1704"/>
          </w:tcPr>
          <w:p>
            <w:pPr>
              <w:spacing w:after="0"/>
            </w:pPr>
            <w:r>
              <w:rPr>
                <w:rFonts w:ascii="Arial" w:hAnsi="Arial"/>
                <w:b w:val="0"/>
                <w:sz w:val="12"/>
              </w:rPr>
              <w:t>Access control treated as delegated authority proof</w:t>
            </w:r>
          </w:p>
        </w:tc>
      </w:tr>
      <w:tr>
        <w:tc>
          <w:tcPr>
            <w:tcW w:type="dxa" w:w="1704"/>
          </w:tcPr>
          <w:p>
            <w:pPr>
              <w:spacing w:after="0"/>
            </w:pPr>
            <w:r>
              <w:rPr>
                <w:rFonts w:ascii="Arial" w:hAnsi="Arial"/>
                <w:b w:val="0"/>
                <w:sz w:val="12"/>
              </w:rPr>
              <w:t>RCCS-08 Accountability</w:t>
            </w:r>
          </w:p>
        </w:tc>
        <w:tc>
          <w:tcPr>
            <w:tcW w:type="dxa" w:w="1704"/>
          </w:tcPr>
          <w:p>
            <w:pPr>
              <w:spacing w:after="0"/>
            </w:pPr>
            <w:r>
              <w:rPr>
                <w:rFonts w:ascii="Arial" w:hAnsi="Arial"/>
                <w:b w:val="0"/>
                <w:sz w:val="12"/>
              </w:rPr>
              <w:t>Does the system assign roles, responsibilities, policies, and escalation paths?</w:t>
            </w:r>
          </w:p>
        </w:tc>
        <w:tc>
          <w:tcPr>
            <w:tcW w:type="dxa" w:w="1704"/>
          </w:tcPr>
          <w:p>
            <w:pPr>
              <w:spacing w:after="0"/>
            </w:pPr>
            <w:r>
              <w:rPr>
                <w:rFonts w:ascii="Arial" w:hAnsi="Arial"/>
                <w:b w:val="0"/>
                <w:sz w:val="12"/>
              </w:rPr>
              <w:t>Are accountability relationships represented as human/agent responsibility mappings, transfer records, and accepted outcome states?</w:t>
            </w:r>
          </w:p>
        </w:tc>
        <w:tc>
          <w:tcPr>
            <w:tcW w:type="dxa" w:w="1704"/>
          </w:tcPr>
          <w:p>
            <w:pPr>
              <w:spacing w:after="0"/>
            </w:pPr>
            <w:r>
              <w:rPr>
                <w:rFonts w:ascii="Arial" w:hAnsi="Arial"/>
                <w:b w:val="0"/>
                <w:sz w:val="12"/>
              </w:rPr>
              <w:t>MRO-01, MRO-03, MRO-04, MRO-05, MRO-06</w:t>
            </w:r>
          </w:p>
        </w:tc>
        <w:tc>
          <w:tcPr>
            <w:tcW w:type="dxa" w:w="1704"/>
          </w:tcPr>
          <w:p>
            <w:pPr>
              <w:spacing w:after="0"/>
            </w:pPr>
            <w:r>
              <w:rPr>
                <w:rFonts w:ascii="Arial" w:hAnsi="Arial"/>
                <w:b w:val="0"/>
                <w:sz w:val="12"/>
              </w:rPr>
              <w:t>Responsibility map, agent role boundary, transfer record, acceptance record, liability record</w:t>
            </w:r>
          </w:p>
        </w:tc>
        <w:tc>
          <w:tcPr>
            <w:tcW w:type="dxa" w:w="1704"/>
          </w:tcPr>
          <w:p>
            <w:pPr>
              <w:spacing w:after="0"/>
            </w:pPr>
            <w:r>
              <w:rPr>
                <w:rFonts w:ascii="Arial" w:hAnsi="Arial"/>
                <w:b w:val="0"/>
                <w:sz w:val="12"/>
              </w:rPr>
              <w:t>User role assignment without responsibility continuity</w:t>
            </w:r>
          </w:p>
        </w:tc>
      </w:tr>
      <w:tr>
        <w:tc>
          <w:tcPr>
            <w:tcW w:type="dxa" w:w="1704"/>
          </w:tcPr>
          <w:p>
            <w:pPr>
              <w:spacing w:after="0"/>
            </w:pPr>
            <w:r>
              <w:rPr>
                <w:rFonts w:ascii="Arial" w:hAnsi="Arial"/>
                <w:b w:val="0"/>
                <w:sz w:val="12"/>
              </w:rPr>
              <w:t>RCCS-09 Contestability</w:t>
            </w:r>
          </w:p>
        </w:tc>
        <w:tc>
          <w:tcPr>
            <w:tcW w:type="dxa" w:w="1704"/>
          </w:tcPr>
          <w:p>
            <w:pPr>
              <w:spacing w:after="0"/>
            </w:pPr>
            <w:r>
              <w:rPr>
                <w:rFonts w:ascii="Arial" w:hAnsi="Arial"/>
                <w:b w:val="0"/>
                <w:sz w:val="12"/>
              </w:rPr>
              <w:t>Does the system support dispute, appeal, investigation, correction, and remediation workflows?</w:t>
            </w:r>
          </w:p>
        </w:tc>
        <w:tc>
          <w:tcPr>
            <w:tcW w:type="dxa" w:w="1704"/>
          </w:tcPr>
          <w:p>
            <w:pPr>
              <w:spacing w:after="0"/>
            </w:pPr>
            <w:r>
              <w:rPr>
                <w:rFonts w:ascii="Arial" w:hAnsi="Arial"/>
                <w:b w:val="0"/>
                <w:sz w:val="12"/>
              </w:rPr>
              <w:t>Can challenged outcomes be replayed with evidence, reviewer role, accepted/rejected state, remediation action, and closure?</w:t>
            </w:r>
          </w:p>
        </w:tc>
        <w:tc>
          <w:tcPr>
            <w:tcW w:type="dxa" w:w="1704"/>
          </w:tcPr>
          <w:p>
            <w:pPr>
              <w:spacing w:after="0"/>
            </w:pPr>
            <w:r>
              <w:rPr>
                <w:rFonts w:ascii="Arial" w:hAnsi="Arial"/>
                <w:b w:val="0"/>
                <w:sz w:val="12"/>
              </w:rPr>
              <w:t>MRO-04, MRO-08, MRO-12, MRO-13, MRO-16</w:t>
            </w:r>
          </w:p>
        </w:tc>
        <w:tc>
          <w:tcPr>
            <w:tcW w:type="dxa" w:w="1704"/>
          </w:tcPr>
          <w:p>
            <w:pPr>
              <w:spacing w:after="0"/>
            </w:pPr>
            <w:r>
              <w:rPr>
                <w:rFonts w:ascii="Arial" w:hAnsi="Arial"/>
                <w:b w:val="0"/>
                <w:sz w:val="12"/>
              </w:rPr>
              <w:t>Dispute replay pack, evidence manifest, remediation record, closure acceptance</w:t>
            </w:r>
          </w:p>
        </w:tc>
        <w:tc>
          <w:tcPr>
            <w:tcW w:type="dxa" w:w="1704"/>
          </w:tcPr>
          <w:p>
            <w:pPr>
              <w:spacing w:after="0"/>
            </w:pPr>
            <w:r>
              <w:rPr>
                <w:rFonts w:ascii="Arial" w:hAnsi="Arial"/>
                <w:b w:val="0"/>
                <w:sz w:val="12"/>
              </w:rPr>
              <w:t>Customer support ticket without lifecycle replay or closure</w:t>
            </w:r>
          </w:p>
        </w:tc>
      </w:tr>
      <w:tr>
        <w:tc>
          <w:tcPr>
            <w:tcW w:type="dxa" w:w="1704"/>
          </w:tcPr>
          <w:p>
            <w:pPr>
              <w:spacing w:after="0"/>
            </w:pPr>
            <w:r>
              <w:rPr>
                <w:rFonts w:ascii="Arial" w:hAnsi="Arial"/>
                <w:b w:val="0"/>
                <w:sz w:val="12"/>
              </w:rPr>
              <w:t>RCCS-10 Monitoring</w:t>
            </w:r>
          </w:p>
        </w:tc>
        <w:tc>
          <w:tcPr>
            <w:tcW w:type="dxa" w:w="1704"/>
          </w:tcPr>
          <w:p>
            <w:pPr>
              <w:spacing w:after="0"/>
            </w:pPr>
            <w:r>
              <w:rPr>
                <w:rFonts w:ascii="Arial" w:hAnsi="Arial"/>
                <w:b w:val="0"/>
                <w:sz w:val="12"/>
              </w:rPr>
              <w:t>Does the system monitor performance, drift, incidents, and continuous improvement?</w:t>
            </w:r>
          </w:p>
        </w:tc>
        <w:tc>
          <w:tcPr>
            <w:tcW w:type="dxa" w:w="1704"/>
          </w:tcPr>
          <w:p>
            <w:pPr>
              <w:spacing w:after="0"/>
            </w:pPr>
            <w:r>
              <w:rPr>
                <w:rFonts w:ascii="Arial" w:hAnsi="Arial"/>
                <w:b w:val="0"/>
                <w:sz w:val="12"/>
              </w:rPr>
              <w:t>Does monitoring detect authority drift, lifecycle drift, substitution change, privacy events, incidents, and remediation closure?</w:t>
            </w:r>
          </w:p>
        </w:tc>
        <w:tc>
          <w:tcPr>
            <w:tcW w:type="dxa" w:w="1704"/>
          </w:tcPr>
          <w:p>
            <w:pPr>
              <w:spacing w:after="0"/>
            </w:pPr>
            <w:r>
              <w:rPr>
                <w:rFonts w:ascii="Arial" w:hAnsi="Arial"/>
                <w:b w:val="0"/>
                <w:sz w:val="12"/>
              </w:rPr>
              <w:t>MRO-07, MRO-09, MRO-10, MRO-15, MRO-16</w:t>
            </w:r>
          </w:p>
        </w:tc>
        <w:tc>
          <w:tcPr>
            <w:tcW w:type="dxa" w:w="1704"/>
          </w:tcPr>
          <w:p>
            <w:pPr>
              <w:spacing w:after="0"/>
            </w:pPr>
            <w:r>
              <w:rPr>
                <w:rFonts w:ascii="Arial" w:hAnsi="Arial"/>
                <w:b w:val="0"/>
                <w:sz w:val="12"/>
              </w:rPr>
              <w:t>Drift event, reuse/revalidation record, privacy event record, substitution conformance record, incident closure</w:t>
            </w:r>
          </w:p>
        </w:tc>
        <w:tc>
          <w:tcPr>
            <w:tcW w:type="dxa" w:w="1704"/>
          </w:tcPr>
          <w:p>
            <w:pPr>
              <w:spacing w:after="0"/>
            </w:pPr>
            <w:r>
              <w:rPr>
                <w:rFonts w:ascii="Arial" w:hAnsi="Arial"/>
                <w:b w:val="0"/>
                <w:sz w:val="12"/>
              </w:rPr>
              <w:t>General observability dashboard without responsibility-object monitoring</w:t>
            </w:r>
          </w:p>
        </w:tc>
      </w:tr>
    </w:tbl>
    <w:p>
      <w:pPr>
        <w:pStyle w:val="Heading2"/>
      </w:pPr>
      <w:r>
        <w:t>7.5 Scoring Criteria: How 0-5 Differs Under RCCS-T and RCCS-M</w:t>
      </w:r>
    </w:p>
    <w:p>
      <w:pPr>
        <w:spacing w:after="56"/>
      </w:pPr>
      <w:r>
        <w:t>RCCS-T and RCCS-M use the same 0-5 raw score range, but the meaning of each raw score differs because they use different scoring lenses.</w:t>
      </w:r>
    </w:p>
    <w:p>
      <w:pPr>
        <w:keepNext/>
      </w:pPr>
      <w:r>
        <w:rPr>
          <w:b/>
          <w:sz w:val="16"/>
        </w:rPr>
        <w:t>Table T-07-02A: RCCS-T vs RCCS-M 0-5 Scoring Lens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Raw Score</w:t>
            </w:r>
          </w:p>
        </w:tc>
        <w:tc>
          <w:tcPr>
            <w:tcW w:type="dxa" w:w="2045"/>
          </w:tcPr>
          <w:p>
            <w:pPr>
              <w:spacing w:after="0"/>
            </w:pPr>
            <w:r>
              <w:rPr>
                <w:rFonts w:ascii="Arial" w:hAnsi="Arial"/>
                <w:b/>
                <w:sz w:val="14"/>
              </w:rPr>
              <w:t>RCCS-T Meaning</w:t>
            </w:r>
          </w:p>
        </w:tc>
        <w:tc>
          <w:tcPr>
            <w:tcW w:type="dxa" w:w="2045"/>
          </w:tcPr>
          <w:p>
            <w:pPr>
              <w:spacing w:after="0"/>
            </w:pPr>
            <w:r>
              <w:rPr>
                <w:rFonts w:ascii="Arial" w:hAnsi="Arial"/>
                <w:b/>
                <w:sz w:val="14"/>
              </w:rPr>
              <w:t>RCCS-M Meaning</w:t>
            </w:r>
          </w:p>
        </w:tc>
        <w:tc>
          <w:tcPr>
            <w:tcW w:type="dxa" w:w="2045"/>
          </w:tcPr>
          <w:p>
            <w:pPr>
              <w:spacing w:after="0"/>
            </w:pPr>
            <w:r>
              <w:rPr>
                <w:rFonts w:ascii="Arial" w:hAnsi="Arial"/>
                <w:b/>
                <w:sz w:val="14"/>
              </w:rPr>
              <w:t>Evidence Difference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0</w:t>
            </w:r>
          </w:p>
        </w:tc>
        <w:tc>
          <w:tcPr>
            <w:tcW w:type="dxa" w:w="2045"/>
          </w:tcPr>
          <w:p>
            <w:pPr>
              <w:spacing w:after="0"/>
            </w:pPr>
            <w:r>
              <w:rPr>
                <w:rFonts w:ascii="Arial" w:hAnsi="Arial"/>
                <w:b w:val="0"/>
                <w:sz w:val="14"/>
              </w:rPr>
              <w:t>No visible traditional coverage</w:t>
            </w:r>
          </w:p>
        </w:tc>
        <w:tc>
          <w:tcPr>
            <w:tcW w:type="dxa" w:w="2045"/>
          </w:tcPr>
          <w:p>
            <w:pPr>
              <w:spacing w:after="0"/>
            </w:pPr>
            <w:r>
              <w:rPr>
                <w:rFonts w:ascii="Arial" w:hAnsi="Arial"/>
                <w:b w:val="0"/>
                <w:sz w:val="14"/>
              </w:rPr>
              <w:t>No lifecycle object expression</w:t>
            </w:r>
          </w:p>
        </w:tc>
        <w:tc>
          <w:tcPr>
            <w:tcW w:type="dxa" w:w="2045"/>
          </w:tcPr>
          <w:p>
            <w:pPr>
              <w:spacing w:after="0"/>
            </w:pPr>
            <w:r>
              <w:rPr>
                <w:rFonts w:ascii="Arial" w:hAnsi="Arial"/>
                <w:b w:val="0"/>
                <w:sz w:val="14"/>
              </w:rPr>
              <w:t>No credible evidence for either lens</w:t>
            </w:r>
          </w:p>
        </w:tc>
        <w:tc>
          <w:tcPr>
            <w:tcW w:type="dxa" w:w="2045"/>
          </w:tcPr>
          <w:p>
            <w:pPr>
              <w:spacing w:after="0"/>
            </w:pPr>
            <w:r>
              <w:rPr>
                <w:rFonts w:ascii="Arial" w:hAnsi="Arial"/>
                <w:b w:val="0"/>
                <w:sz w:val="14"/>
              </w:rPr>
              <w:t>Absence of public feature or object support</w:t>
            </w:r>
          </w:p>
        </w:tc>
      </w:tr>
      <w:tr>
        <w:tc>
          <w:tcPr>
            <w:tcW w:type="dxa" w:w="2045"/>
          </w:tcPr>
          <w:p>
            <w:pPr>
              <w:spacing w:after="0"/>
            </w:pPr>
            <w:r>
              <w:rPr>
                <w:rFonts w:ascii="Arial" w:hAnsi="Arial"/>
                <w:b w:val="0"/>
                <w:sz w:val="14"/>
              </w:rPr>
              <w:t>1</w:t>
            </w:r>
          </w:p>
        </w:tc>
        <w:tc>
          <w:tcPr>
            <w:tcW w:type="dxa" w:w="2045"/>
          </w:tcPr>
          <w:p>
            <w:pPr>
              <w:spacing w:after="0"/>
            </w:pPr>
            <w:r>
              <w:rPr>
                <w:rFonts w:ascii="Arial" w:hAnsi="Arial"/>
                <w:b w:val="0"/>
                <w:sz w:val="14"/>
              </w:rPr>
              <w:t>Policy, concept, or marketing mention only</w:t>
            </w:r>
          </w:p>
        </w:tc>
        <w:tc>
          <w:tcPr>
            <w:tcW w:type="dxa" w:w="2045"/>
          </w:tcPr>
          <w:p>
            <w:pPr>
              <w:spacing w:after="0"/>
            </w:pPr>
            <w:r>
              <w:rPr>
                <w:rFonts w:ascii="Arial" w:hAnsi="Arial"/>
                <w:b w:val="0"/>
                <w:sz w:val="14"/>
              </w:rPr>
              <w:t>MRO concept implied but not represented as an object or evidence artifact</w:t>
            </w:r>
          </w:p>
        </w:tc>
        <w:tc>
          <w:tcPr>
            <w:tcW w:type="dxa" w:w="2045"/>
          </w:tcPr>
          <w:p>
            <w:pPr>
              <w:spacing w:after="0"/>
            </w:pPr>
            <w:r>
              <w:rPr>
                <w:rFonts w:ascii="Arial" w:hAnsi="Arial"/>
                <w:b w:val="0"/>
                <w:sz w:val="14"/>
              </w:rPr>
              <w:t>RCCS-T may rely on weak public mention; RCCS-M needs at least identifiable lifecycle-object semantics</w:t>
            </w:r>
          </w:p>
        </w:tc>
        <w:tc>
          <w:tcPr>
            <w:tcW w:type="dxa" w:w="2045"/>
          </w:tcPr>
          <w:p>
            <w:pPr>
              <w:spacing w:after="0"/>
            </w:pPr>
            <w:r>
              <w:rPr>
                <w:rFonts w:ascii="Arial" w:hAnsi="Arial"/>
                <w:b w:val="0"/>
                <w:sz w:val="14"/>
              </w:rPr>
              <w:t>Governance language without implementation or object evidence</w:t>
            </w:r>
          </w:p>
        </w:tc>
      </w:tr>
      <w:tr>
        <w:tc>
          <w:tcPr>
            <w:tcW w:type="dxa" w:w="2045"/>
          </w:tcPr>
          <w:p>
            <w:pPr>
              <w:spacing w:after="0"/>
            </w:pPr>
            <w:r>
              <w:rPr>
                <w:rFonts w:ascii="Arial" w:hAnsi="Arial"/>
                <w:b w:val="0"/>
                <w:sz w:val="14"/>
              </w:rPr>
              <w:t>2</w:t>
            </w:r>
          </w:p>
        </w:tc>
        <w:tc>
          <w:tcPr>
            <w:tcW w:type="dxa" w:w="2045"/>
          </w:tcPr>
          <w:p>
            <w:pPr>
              <w:spacing w:after="0"/>
            </w:pPr>
            <w:r>
              <w:rPr>
                <w:rFonts w:ascii="Arial" w:hAnsi="Arial"/>
                <w:b w:val="0"/>
                <w:sz w:val="14"/>
              </w:rPr>
              <w:t>Partial feature or control support</w:t>
            </w:r>
          </w:p>
        </w:tc>
        <w:tc>
          <w:tcPr>
            <w:tcW w:type="dxa" w:w="2045"/>
          </w:tcPr>
          <w:p>
            <w:pPr>
              <w:spacing w:after="0"/>
            </w:pPr>
            <w:r>
              <w:rPr>
                <w:rFonts w:ascii="Arial" w:hAnsi="Arial"/>
                <w:b w:val="0"/>
                <w:sz w:val="14"/>
              </w:rPr>
              <w:t>Partial lifecycle object support, mostly implementer-built or inferred</w:t>
            </w:r>
          </w:p>
        </w:tc>
        <w:tc>
          <w:tcPr>
            <w:tcW w:type="dxa" w:w="2045"/>
          </w:tcPr>
          <w:p>
            <w:pPr>
              <w:spacing w:after="0"/>
            </w:pPr>
            <w:r>
              <w:rPr>
                <w:rFonts w:ascii="Arial" w:hAnsi="Arial"/>
                <w:b w:val="0"/>
                <w:sz w:val="14"/>
              </w:rPr>
              <w:t>RCCS-T can count partial controls; RCCS-M requires a plausible but incomplete mapping to MRO evidence</w:t>
            </w:r>
          </w:p>
        </w:tc>
        <w:tc>
          <w:tcPr>
            <w:tcW w:type="dxa" w:w="2045"/>
          </w:tcPr>
          <w:p>
            <w:pPr>
              <w:spacing w:after="0"/>
            </w:pPr>
            <w:r>
              <w:rPr>
                <w:rFonts w:ascii="Arial" w:hAnsi="Arial"/>
                <w:b w:val="0"/>
                <w:sz w:val="14"/>
              </w:rPr>
              <w:t>Adjacent feature treated as lifecycle object</w:t>
            </w:r>
          </w:p>
        </w:tc>
      </w:tr>
      <w:tr>
        <w:tc>
          <w:tcPr>
            <w:tcW w:type="dxa" w:w="2045"/>
          </w:tcPr>
          <w:p>
            <w:pPr>
              <w:spacing w:after="0"/>
            </w:pPr>
            <w:r>
              <w:rPr>
                <w:rFonts w:ascii="Arial" w:hAnsi="Arial"/>
                <w:b w:val="0"/>
                <w:sz w:val="14"/>
              </w:rPr>
              <w:t>3</w:t>
            </w:r>
          </w:p>
        </w:tc>
        <w:tc>
          <w:tcPr>
            <w:tcW w:type="dxa" w:w="2045"/>
          </w:tcPr>
          <w:p>
            <w:pPr>
              <w:spacing w:after="0"/>
            </w:pPr>
            <w:r>
              <w:rPr>
                <w:rFonts w:ascii="Arial" w:hAnsi="Arial"/>
                <w:b w:val="0"/>
                <w:sz w:val="14"/>
              </w:rPr>
              <w:t>Documented operational control</w:t>
            </w:r>
          </w:p>
        </w:tc>
        <w:tc>
          <w:tcPr>
            <w:tcW w:type="dxa" w:w="2045"/>
          </w:tcPr>
          <w:p>
            <w:pPr>
              <w:spacing w:after="0"/>
            </w:pPr>
            <w:r>
              <w:rPr>
                <w:rFonts w:ascii="Arial" w:hAnsi="Arial"/>
                <w:b w:val="0"/>
                <w:sz w:val="14"/>
              </w:rPr>
              <w:t>Documented object-level mapping for some lifecycle responsibility objects</w:t>
            </w:r>
          </w:p>
        </w:tc>
        <w:tc>
          <w:tcPr>
            <w:tcW w:type="dxa" w:w="2045"/>
          </w:tcPr>
          <w:p>
            <w:pPr>
              <w:spacing w:after="0"/>
            </w:pPr>
            <w:r>
              <w:rPr>
                <w:rFonts w:ascii="Arial" w:hAnsi="Arial"/>
                <w:b w:val="0"/>
                <w:sz w:val="14"/>
              </w:rPr>
              <w:t>RCCS-T requires official feature/workflow documentation; RCCS-M requires documented role, authority, evidence, acceptance, privacy, substitution, or closure mapping</w:t>
            </w:r>
          </w:p>
        </w:tc>
        <w:tc>
          <w:tcPr>
            <w:tcW w:type="dxa" w:w="2045"/>
          </w:tcPr>
          <w:p>
            <w:pPr>
              <w:spacing w:after="0"/>
            </w:pPr>
            <w:r>
              <w:rPr>
                <w:rFonts w:ascii="Arial" w:hAnsi="Arial"/>
                <w:b w:val="0"/>
                <w:sz w:val="14"/>
              </w:rPr>
              <w:t>Workflow support without explicit responsibility semantics</w:t>
            </w:r>
          </w:p>
        </w:tc>
      </w:tr>
      <w:tr>
        <w:tc>
          <w:tcPr>
            <w:tcW w:type="dxa" w:w="2045"/>
          </w:tcPr>
          <w:p>
            <w:pPr>
              <w:spacing w:after="0"/>
            </w:pPr>
            <w:r>
              <w:rPr>
                <w:rFonts w:ascii="Arial" w:hAnsi="Arial"/>
                <w:b w:val="0"/>
                <w:sz w:val="14"/>
              </w:rPr>
              <w:t>4</w:t>
            </w:r>
          </w:p>
        </w:tc>
        <w:tc>
          <w:tcPr>
            <w:tcW w:type="dxa" w:w="2045"/>
          </w:tcPr>
          <w:p>
            <w:pPr>
              <w:spacing w:after="0"/>
            </w:pPr>
            <w:r>
              <w:rPr>
                <w:rFonts w:ascii="Arial" w:hAnsi="Arial"/>
                <w:b w:val="0"/>
                <w:sz w:val="14"/>
              </w:rPr>
              <w:t>Strong operational control with evidence</w:t>
            </w:r>
          </w:p>
        </w:tc>
        <w:tc>
          <w:tcPr>
            <w:tcW w:type="dxa" w:w="2045"/>
          </w:tcPr>
          <w:p>
            <w:pPr>
              <w:spacing w:after="0"/>
            </w:pPr>
            <w:r>
              <w:rPr>
                <w:rFonts w:ascii="Arial" w:hAnsi="Arial"/>
                <w:b w:val="0"/>
                <w:sz w:val="14"/>
              </w:rPr>
              <w:t>Strong lifecycle object coverage with evidence pointers and responsibility/authority binding</w:t>
            </w:r>
          </w:p>
        </w:tc>
        <w:tc>
          <w:tcPr>
            <w:tcW w:type="dxa" w:w="2045"/>
          </w:tcPr>
          <w:p>
            <w:pPr>
              <w:spacing w:after="0"/>
            </w:pPr>
            <w:r>
              <w:rPr>
                <w:rFonts w:ascii="Arial" w:hAnsi="Arial"/>
                <w:b w:val="0"/>
                <w:sz w:val="14"/>
              </w:rPr>
              <w:t>RCCS-T requires strong control evidence; RCCS-M requires object records, schemas, protocol evidence, or replayable artifacts</w:t>
            </w:r>
          </w:p>
        </w:tc>
        <w:tc>
          <w:tcPr>
            <w:tcW w:type="dxa" w:w="2045"/>
          </w:tcPr>
          <w:p>
            <w:pPr>
              <w:spacing w:after="0"/>
            </w:pPr>
            <w:r>
              <w:rPr>
                <w:rFonts w:ascii="Arial" w:hAnsi="Arial"/>
                <w:b w:val="0"/>
                <w:sz w:val="14"/>
              </w:rPr>
              <w:t>Strong dashboard or log export without object partitioning</w:t>
            </w:r>
          </w:p>
        </w:tc>
      </w:tr>
      <w:tr>
        <w:tc>
          <w:tcPr>
            <w:tcW w:type="dxa" w:w="2045"/>
          </w:tcPr>
          <w:p>
            <w:pPr>
              <w:spacing w:after="0"/>
            </w:pPr>
            <w:r>
              <w:rPr>
                <w:rFonts w:ascii="Arial" w:hAnsi="Arial"/>
                <w:b w:val="0"/>
                <w:sz w:val="14"/>
              </w:rPr>
              <w:t>5</w:t>
            </w:r>
          </w:p>
        </w:tc>
        <w:tc>
          <w:tcPr>
            <w:tcW w:type="dxa" w:w="2045"/>
          </w:tcPr>
          <w:p>
            <w:pPr>
              <w:spacing w:after="0"/>
            </w:pPr>
            <w:r>
              <w:rPr>
                <w:rFonts w:ascii="Arial" w:hAnsi="Arial"/>
                <w:b w:val="0"/>
                <w:sz w:val="14"/>
              </w:rPr>
              <w:t>Comprehensive traditional governance control with strong evidence</w:t>
            </w:r>
          </w:p>
        </w:tc>
        <w:tc>
          <w:tcPr>
            <w:tcW w:type="dxa" w:w="2045"/>
          </w:tcPr>
          <w:p>
            <w:pPr>
              <w:spacing w:after="0"/>
            </w:pPr>
            <w:r>
              <w:rPr>
                <w:rFonts w:ascii="Arial" w:hAnsi="Arial"/>
                <w:b w:val="0"/>
                <w:sz w:val="14"/>
              </w:rPr>
              <w:t>Inspectable, replayable, evidence-linked lifecycle responsibility object coverage across the relevant dimension</w:t>
            </w:r>
          </w:p>
        </w:tc>
        <w:tc>
          <w:tcPr>
            <w:tcW w:type="dxa" w:w="2045"/>
          </w:tcPr>
          <w:p>
            <w:pPr>
              <w:spacing w:after="0"/>
            </w:pPr>
            <w:r>
              <w:rPr>
                <w:rFonts w:ascii="Arial" w:hAnsi="Arial"/>
                <w:b w:val="0"/>
                <w:sz w:val="14"/>
              </w:rPr>
              <w:t>RCCS-T can be satisfied by comprehensive implementation or audit evidence; RCCS-M requires implementation evidence, formal audit evidence, protocol-level evidence, or validated operational artifacts showing lifecycle object conformance</w:t>
            </w:r>
          </w:p>
        </w:tc>
        <w:tc>
          <w:tcPr>
            <w:tcW w:type="dxa" w:w="2045"/>
          </w:tcPr>
          <w:p>
            <w:pPr>
              <w:spacing w:after="0"/>
            </w:pPr>
            <w:r>
              <w:rPr>
                <w:rFonts w:ascii="Arial" w:hAnsi="Arial"/>
                <w:b w:val="0"/>
                <w:sz w:val="14"/>
              </w:rPr>
              <w:t>Legal text or policy baseline treated as implementation proof</w:t>
            </w:r>
          </w:p>
        </w:tc>
      </w:tr>
    </w:tbl>
    <w:p>
      <w:pPr>
        <w:spacing w:after="56"/>
      </w:pPr>
      <w:r>
        <w:t>Legal text may establish a regulatory baseline but does not by itself prove RCCS-T implementation or RCCS-M lifecycle-object expression.</w:t>
      </w:r>
    </w:p>
    <w:p>
      <w:pPr>
        <w:pStyle w:val="Heading2"/>
      </w:pPr>
      <w:r>
        <w:t>7.6 Evidence Requirements: Traditional Evidence vs MRO Evidence</w:t>
      </w:r>
    </w:p>
    <w:p>
      <w:pPr>
        <w:spacing w:after="56"/>
      </w:pPr>
      <w:r>
        <w:t>RCCS-T evidence and RCCS-M evidence are not the same.</w:t>
      </w:r>
    </w:p>
    <w:p>
      <w:pPr>
        <w:spacing w:after="56"/>
      </w:pPr>
      <w:r>
        <w:t>RCCS-T evidence may include dashboards, policies, documentation, risk workflows, audit logs, oversight features, control reports, monitoring views, governance console records, and official product documentation showing traditional governance/control coverage.</w:t>
      </w:r>
    </w:p>
    <w:p>
      <w:pPr>
        <w:spacing w:after="56"/>
      </w:pPr>
      <w:r>
        <w:t>RCCS-M evidence should show lifecycle responsibility object expression. Examples include authority boundary records, human-role responsibility maps, accepted outcome states, partitioned evidence chains, privacy lifecycle maps, substitution conformance records, incident/dispute/remediation closure records, replayable lifecycle traces, protocol schemas, object manifests, or validated operational artifacts.</w:t>
      </w:r>
    </w:p>
    <w:p>
      <w:pPr>
        <w:spacing w:after="56"/>
      </w:pPr>
      <w:r>
        <w:t>Official product documentation may support RCCS-T strongly while supporting RCCS-M only indirectly. When lifecycle responsibility objects are not directly documented, RCCS-M scoring should be marked as source-qualified or L5 author analytical inference rather than treated as source-bound proof.</w:t>
      </w:r>
    </w:p>
    <w:p>
      <w:pPr>
        <w:pStyle w:val="Heading2"/>
      </w:pPr>
      <w:r>
        <w:t>7.7 Calculation Method</w:t>
      </w:r>
    </w:p>
    <w:p>
      <w:pPr>
        <w:spacing w:after="56"/>
      </w:pPr>
      <w:r>
        <w:t>RCCS-T and RCCS-M use the same dimension weights and the same normalized dimension formula:</w:t>
      </w:r>
    </w:p>
    <w:p>
      <w:pPr>
        <w:spacing w:after="56"/>
      </w:pPr>
      <w:r>
        <w:t>Dimension Score = (Raw Score / 5) × 100 × Evidence Confidence Multiplier</w:t>
      </w:r>
    </w:p>
    <w:p>
      <w:pPr>
        <w:spacing w:after="56"/>
      </w:pPr>
      <w:r>
        <w:t>RCCS-T raw scores and RCCS-M raw scores are assigned separately. The formula is shared; the scoring lens differs. RCCS-T raw scores evaluate traditional governance/control coverage. RCCS-M raw scores evaluate MRO-adjusted lifecycle responsibility object expression.</w:t>
      </w:r>
    </w:p>
    <w:p>
      <w:pPr>
        <w:spacing w:after="56"/>
      </w:pPr>
      <w:r>
        <w:t>The evidence multiplier adjusts each dimension score based on evidence quality:</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Weights are fixed for this version of the white paper:</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spacing w:after="56"/>
      </w:pPr>
      <w:r>
        <w:t>RCCS-T and RCCS-M should not be averaged invisibly. The preferred publication-facing display is the three-profile view: RCCS-T, RCCS-M, and ALCS. Optional composite views are defined in Chapter 9 and remain secondary.</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RCCS-T or RCCS-M framework score</w:t>
            </w:r>
          </w:p>
        </w:tc>
      </w:tr>
      <w:tr>
        <w:tc>
          <w:tcPr>
            <w:tcW w:type="dxa" w:w="3408"/>
          </w:tcPr>
          <w:p>
            <w:pPr>
              <w:spacing w:after="0"/>
            </w:pPr>
            <w:r>
              <w:rPr>
                <w:rFonts w:ascii="Arial" w:hAnsi="Arial"/>
                <w:b w:val="0"/>
                <w:sz w:val="14"/>
              </w:rPr>
              <w:t>Optional Composite View</w:t>
            </w:r>
          </w:p>
        </w:tc>
        <w:tc>
          <w:tcPr>
            <w:tcW w:type="dxa" w:w="3408"/>
          </w:tcPr>
          <w:p>
            <w:pPr>
              <w:spacing w:after="0"/>
            </w:pPr>
            <w:r>
              <w:rPr>
                <w:rFonts w:ascii="Arial" w:hAnsi="Arial"/>
                <w:b w:val="0"/>
                <w:sz w:val="14"/>
              </w:rPr>
              <w:t>Secondary calculation using RCCS-T or RCCS-M with ALCS</w:t>
            </w:r>
          </w:p>
        </w:tc>
        <w:tc>
          <w:tcPr>
            <w:tcW w:type="dxa" w:w="3408"/>
          </w:tcPr>
          <w:p>
            <w:pPr>
              <w:spacing w:after="0"/>
            </w:pPr>
            <w:r>
              <w:rPr>
                <w:rFonts w:ascii="Arial" w:hAnsi="Arial"/>
                <w:b w:val="0"/>
                <w:sz w:val="14"/>
              </w:rPr>
              <w:t>See Chapter 9</w:t>
            </w:r>
          </w:p>
        </w:tc>
      </w:tr>
    </w:tbl>
    <w:p>
      <w:pPr>
        <w:spacing w:after="56"/>
      </w:pPr>
      <w:r>
        <w:t>This calculation method is used for RCCS-T, RCCS-M, and ALCS. The difference is the evaluation lens: RCCS-T asks about traditional regulatory coverage, RCCS-M asks about MRO-adjusted coverage, and ALCS asks about lifecycle conformance maturity.</w:t>
      </w:r>
    </w:p>
    <w:p>
      <w:pPr>
        <w:pStyle w:val="Heading2"/>
      </w:pPr>
      <w:r>
        <w:t>7.8 Boundary and Negative Controls</w:t>
      </w:r>
    </w:p>
    <w:p>
      <w:pPr>
        <w:spacing w:after="56"/>
      </w:pPr>
      <w:r>
        <w:t>RCCS-T and RCCS-M are analytical scoring frameworks, not legal compliance scores.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 and whether those primitives can be expressed through lifecycle responsibility objects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RCCS-T or RCCS-M score does NOT mean legal compliance. A system may score well while the organization using it fails to comply with legal obligations due to deployment gaps, policy weaknesses, incomplete adoption, or jurisdictional differences.</w:t>
      </w:r>
    </w:p>
    <w:p>
      <w:pPr>
        <w:pStyle w:val="ListNumber"/>
        <w:spacing w:after="56"/>
      </w:pPr>
      <w:r>
        <w:t>High RCCS-T does NOT mean lifecycle responsibility conformance. Traditional governance coverage can be strong while authority, responsibility, evidence, privacy, substitution, and closure objects remain weak.</w:t>
      </w:r>
    </w:p>
    <w:p>
      <w:pPr>
        <w:pStyle w:val="ListNumber"/>
        <w:spacing w:after="56"/>
      </w:pPr>
      <w:r>
        <w:t>High RCCS-M does NOT mean legal compliance or certification. RCCS-M is author analytical and forward-looking; it is not current law, regulator-approved, a procurement benchmark, or a legal compliance proof.</w:t>
      </w:r>
    </w:p>
    <w:p>
      <w:pPr>
        <w:pStyle w:val="ListNumber"/>
        <w:spacing w:after="56"/>
      </w:pPr>
      <w:r>
        <w:t>High ALCS does NOT mean regulatory compliance. ALCS evaluates lifecycle conformance maturity; RCCS-T and RCCS-M still need to be read separately.</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RCCS-T and RCCS-M are useful analytical tools, but they are not compliance certifications. Organizations must not rely on RCCS scores as proof of legal compliance. Buyers must not treat high RCCS scores as a substitute for due diligence, legal review, or risk assessment. RCCS-M must also not be presented as a regulator-approved benchmark or official standard.</w:t>
      </w:r>
    </w:p>
    <w:p>
      <w:pPr>
        <w:pStyle w:val="Heading2"/>
      </w:pPr>
      <w:r>
        <w:t>7.9 Rubric Tables / Appendix E Bridge</w:t>
      </w:r>
    </w:p>
    <w:p>
      <w:pPr>
        <w:spacing w:after="56"/>
      </w:pPr>
      <w:r>
        <w:t>The following sections (7.11 through 7.20)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RCCS-M adjustment note - How the dimension changes when evaluated through lifecycle responsibility objects</w:t>
      </w:r>
    </w:p>
    <w:p>
      <w:pPr>
        <w:pStyle w:val="ListBullet"/>
        <w:spacing w:after="56"/>
      </w:pPr>
      <w:r>
        <w:t>System mapping guidance - How to evaluate whether a system supports the dimension</w:t>
      </w:r>
    </w:p>
    <w:p>
      <w:pPr>
        <w:spacing w:after="56"/>
      </w:pPr>
      <w:r>
        <w:t>The compact chapter rubrics preserve the traditional RCCS-T baseline and add RCCS-M adjustment notes where practical. Appendix E contains the detailed RCCS-T rubrics plus the reusable RCCS-M adjustment matrix. Appendix E does not duplicate every RCCS-M rubric row; it provides the matrix that evaluators should apply to the ten shared dimensions.</w:t>
      </w:r>
    </w:p>
    <w:p>
      <w:pPr>
        <w:pStyle w:val="Heading2"/>
      </w:pPr>
      <w:r>
        <w:t>7.10 What RCCS-T / RCCS-M Do Not Prove</w:t>
      </w:r>
    </w:p>
    <w:p>
      <w:pPr>
        <w:spacing w:after="56"/>
      </w:pPr>
      <w:r>
        <w:t>RCCS-T and RCCS-M do not prove legal compliance, certification, regulatory approval, audit success, deployment readiness, product quality, market leadership, or procurement suitability. They also do not replace ALCS. RCCS-T names traditional regulatory coverage. RCCS-M names MRO-adjusted regulatory coverage. ALCS names lifecycle conformance maturity.</w:t>
      </w:r>
    </w:p>
    <w:p>
      <w:pPr>
        <w:spacing w:after="56"/>
      </w:pPr>
      <w:r>
        <w:t>Chapter 9 explains how to interpret score deltas across RCCS-T, RCCS-M, and ALCS. A system with high RCCS-T and lower RCCS-M may have strong traditional governance surfaces but weaker lifecycle object expression. A system with lower RCCS-T and higher RCCS-M/ALCS may have strong lifecycle semantics but less productized governance-platform coverage. This difference is an analytical profile, not a ranking.</w:t>
      </w:r>
    </w:p>
    <w:p>
      <w:pPr>
        <w:pStyle w:val="Heading2"/>
      </w:pPr>
      <w:r>
        <w:t>7.11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RCCS-M Adjustment Note</w:t>
      </w:r>
    </w:p>
    <w:p>
      <w:pPr>
        <w:spacing w:after="56"/>
      </w:pPr>
      <w:r>
        <w:t>RCCS-M adjustment: are risks linked to lifecycle authority, evidence, mitigation, monitoring, and incident/dispute/remediation closure objects rather than only stored as a risk register or dashboard item?</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7.12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RCCS-M Adjustment Note</w:t>
      </w:r>
    </w:p>
    <w:p>
      <w:pPr>
        <w:spacing w:after="56"/>
      </w:pPr>
      <w:r>
        <w:t>RCCS-M adjustment: are data flows mapped across agents, tools, memory, evidence stores, privacy boundaries, reuse contexts, retention rules, and processor/subprocessor chains?</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7.13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RCCS-M Adjustment Note</w:t>
      </w:r>
    </w:p>
    <w:p>
      <w:pPr>
        <w:spacing w:after="56"/>
      </w:pPr>
      <w:r>
        <w:t>RCCS-M adjustment: does documentation bind intent, plan, authority, role, evidence, accepted outcome, privacy boundary, and substitution context as lifecycle responsibility records?</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7.14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RCCS-M Adjustment Note</w:t>
      </w:r>
    </w:p>
    <w:p>
      <w:pPr>
        <w:spacing w:after="56"/>
      </w:pPr>
      <w:r>
        <w:t>RCCS-M adjustment: are records partitioned by human/agent role, authority boundary, agent/tool action, evidence pointer, privacy boundary, accepted outcome, and closure state rather than stored as generic logs?</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7.15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RCCS-M Adjustment Note</w:t>
      </w:r>
    </w:p>
    <w:p>
      <w:pPr>
        <w:spacing w:after="56"/>
      </w:pPr>
      <w:r>
        <w:t>RCCS-M adjustment: can explanations and disclosures be tied to lifecycle evidence, role, authority, accepted outcome, privacy boundary, selective disclosure, and dispute path?</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7.16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RCCS-M Adjustment Note</w:t>
      </w:r>
    </w:p>
    <w:p>
      <w:pPr>
        <w:spacing w:after="56"/>
      </w:pPr>
      <w:r>
        <w:t>RCCS-M adjustment: is oversight bound to human-role responsibility, delegated authority scope, escalation path, drift detection, and accepted outcome authority rather than only an approve/reject UI?</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7.17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RCCS-M Adjustment Note</w:t>
      </w:r>
    </w:p>
    <w:p>
      <w:pPr>
        <w:spacing w:after="56"/>
      </w:pPr>
      <w:r>
        <w:t>RCCS-M adjustment: are security controls linked to delegated authority, tool-action liability, evidence partitioning, privacy lifecycle boundaries, and selective disclosure rules?</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7.18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RCCS-M Adjustment Note</w:t>
      </w:r>
    </w:p>
    <w:p>
      <w:pPr>
        <w:spacing w:after="56"/>
      </w:pPr>
      <w:r>
        <w:t>RCCS-M adjustment: are accountability relationships represented as human-role-to-MAS responsibility mappings, agent role boundaries, responsibility transfer records, accepted outcome states, and liability records?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7.19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RCCS-M Adjustment Note</w:t>
      </w:r>
    </w:p>
    <w:p>
      <w:pPr>
        <w:spacing w:after="56"/>
      </w:pPr>
      <w:r>
        <w:t>RCCS-M adjustment: can challenged outcomes be replayed with partitioned evidence, reviewer role, accepted/rejected state, remediation action, selective disclosure, and closure acceptance?</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7.20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RCCS-M Adjustment Note</w:t>
      </w:r>
    </w:p>
    <w:p>
      <w:pPr>
        <w:spacing w:after="56"/>
      </w:pPr>
      <w:r>
        <w:t>RCCS-M adjustment: does monitoring detect authority drift, lifecycle drift, privacy events, substitution changes, incidents, reuse/revalidation needs, and remediation closure?</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7.21 Chapter Summary</w:t>
      </w:r>
    </w:p>
    <w:p>
      <w:pPr>
        <w:spacing w:after="56"/>
      </w:pPr>
      <w:r>
        <w:t>This chapter introduced the Regulatory Compliance Coverage Score (RCCS) family used in this white paper. RCCS-T measures how strongly a system covers existing regulatory and governance requirements across ten dimensions: risk management, data governance, documentation, record-keeping, transparency, human oversight, security, accountability, contestability, and monitoring. RCCS-M asks whether that coverage can be expressed through Missing Regulatory Objects and lifecycle responsibility semantics. Both are analytical frameworks for comparing system capabilities against regulatory ideals, not legal compliance certifications.</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RCCS-T provides a baseline for evaluating whether systems provide the governance primitives that regulation increasingly requires. However, traditional coverage alone is insufficient for agentic systems. A system may score well on RCCS-T while lacking the lifecycle objects required to prove that agentic work moved from intent to accepted outcome under controlled authority, evidence, privacy, and remediation constraints. RCCS-M makes that missing adjustment explicit. Chapter 8 introduces the Agentic Lifecycle Conformance Score (ALCS), which measures a different layer: whether lifecycle responsibility conformance is mature across the object set. RCCS-T, RCCS-M, and ALCS together provide a three-profile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lifecycle conformance profile used alongside RCCS-T and RCCS-M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RCCS-T profile and still have a weak ALCS score. That is not a contradiction. It means the system may be strong in existing regulatory compliance coverage while lacking deeper lifecycle responsibility semantics for multi-agent work.</w:t>
      </w:r>
    </w:p>
    <w:p>
      <w:pPr>
        <w:spacing w:after="56"/>
      </w:pPr>
      <w:r>
        <w:t>RCCS-T measures traditional regulatory compliance coverage. RCCS-M measures whether that coverage can be expressed through Missing Regulatory Objects. ALCS measures agentic lifecycle conformance. These are different layers, not competing scores. RCCS-M asks whether regulatory obligations can be represented through MROs. ALCS asks whether lifecycle responsibility conformance is mature across responsibility, authority, evidence, privacy, substitution, and remediation.</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RCCS-T score and weaker RCCS-M or ALCS scores. This is not a contradiction. It means the system may provide strong traditional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RCCS-M and ALCS are related but not identical: RCCS-M adjusts regulatory coverage through MROs, while ALCS evaluates lifecycle conformance maturity.</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RCCS-T, RCCS-M,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Optional composite views: RCCS-T, RCCS-M, and ALCS may be combined only as secondary analytical views:</w:t>
      </w:r>
    </w:p>
    <w:p>
      <w:pPr>
        <w:pStyle w:val="ListBullet"/>
        <w:spacing w:after="56"/>
      </w:pPr>
      <w:r>
        <w:t>Traditional Composite = 0.40 × RCCS-T + 0.60 × ALCS</w:t>
      </w:r>
    </w:p>
    <w:p>
      <w:pPr>
        <w:pStyle w:val="ListBullet"/>
        <w:spacing w:after="56"/>
      </w:pPr>
      <w:r>
        <w:t>Agentic Composite = 0.40 × RCCS-M + 0.60 × ALCS</w:t>
      </w:r>
    </w:p>
    <w:p>
      <w:pPr>
        <w:spacing w:after="56"/>
      </w:pPr>
      <w:r>
        <w:t>The primary result display remains the three-profile view: RCCS-T, RCCS-M, and ALCS. Composite views must not be used as legal compliance proof, vendor rankings, certification signals, or procurement recommendations. For complete details on the scoring procedure, including scoring rationale, evidence hierarchy, and calculation examples, see Chapter 7.3 and Chapter 9.</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RCCS-T, RCCS-M, and ALCS:</w:t>
      </w:r>
    </w:p>
    <w:p>
      <w:pPr>
        <w:spacing w:after="56"/>
      </w:pPr>
      <w:r>
        <w:t>RCCS-T, RCCS-M, and ALCS measure different layers. RCCS-T measures traditional regulatory compliance coverage: whether a system provides the governance primitives that existing regulation requires. RCCS-M measures whether that regulatory coverage can be expressed through Missing Regulatory Objects. ALCS measures agentic lifecycle conformance: whether a system provides mature lifecycle responsibility objects that make agentic responsibility auditable, provable, and transferable.</w:t>
      </w:r>
    </w:p>
    <w:p>
      <w:pPr>
        <w:spacing w:after="56"/>
      </w:pPr>
      <w:r>
        <w:t>A system can have strong RCCS-T and weaker RCCS-M or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weaker RCCS-T and stronger RCCS-M or ALCS. This means the system provides strong lifecycle objects for expressing agentic responsibility while lacking broader productized governance coverage. This pattern is possible for specialized lifecycle protocols or agent frameworks that focus on responsibility semantics without providing full governance platform capabilities.</w:t>
      </w:r>
    </w:p>
    <w:p>
      <w:pPr>
        <w:spacing w:after="56"/>
      </w:pPr>
      <w:r>
        <w:t>All three profiles are necessary. RCCS-T shows conventional governance coverage. RCCS-M shows whether that coverage survives MRO adjustment. ALCS shows lifecycle conformance maturity. Together, they provide a three-profile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RCCS-T and RCCS-M by measuring a different layer. RCCS-T evaluates traditional regulatory compliance coverage. RCCS-M evaluates whether that coverage can be expressed through Missing Regulatory Objects. ALCS evaluates agentic lifecycle conformance: whether a system provides mature lifecycle objects that make agentic responsibility auditable, provable, and transferable across agents, humans, tools, projects, vendors, and organizational boundaries. A system can have strong RCCS-T and weaker ALCS, meaning it provides strong regulatory compliance coverage while lacking deeper lifecycle responsibility semantics for multi-agent work. A system can also have stronger RCCS-M and ALCS because it defines lifecycle responsibility semantics while lacking productized governance-platform coverage. Chapter 9 explains why the three-profile view is primary and any composite calculation is secondary.</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and Evidence Confidence layer. In this paper, the primary result display is not a single composite number. The primary result display is a three-profile analytical view: RCCS-T, RCCS-M, and ALCS. Composite views are secondary analytical summaries that may help compare posture patterns, but they must not hide the distinction between traditional regulatory coverage, MRO-adjusted regulatory coverage, and lifecycle conformance.</w:t>
      </w:r>
    </w:p>
    <w:p>
      <w:pPr>
        <w:spacing w:after="56"/>
      </w:pPr>
      <w:r>
        <w:t>The chapter explains evidence multiplier application, optional composite views, interpretation guidance for RCCS-T / RCCS-M /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RCCS-T / RCCS-M / ALCS Three-Profile Scoring Model</w:t>
      </w:r>
    </w:p>
    <w:p>
      <w:pPr>
        <w:spacing w:after="56"/>
      </w:pPr>
      <w:r>
        <w:t>RCCS-T Traditional Coverage -&gt; MRO Adjustment Layer -&gt; RCCS-M MRO-Adjusted Coverage -&gt; ALCS Lifecycle Conformance</w:t>
      </w:r>
    </w:p>
    <w:p>
      <w:pPr>
        <w:spacing w:after="56"/>
      </w:pPr>
      <w:r>
        <w:t>Figure F-04 shows how traditional regulatory coverage is adjusted through Missing Regulatory Objects before being read alongside lifecycle conformance. It is not a legal compliance score, certification, regulatory approval signal, product ranking, or procurement recommendation.</w:t>
      </w:r>
    </w:p>
    <w:p>
      <w:pPr>
        <w:pStyle w:val="Heading2"/>
      </w:pPr>
      <w:r>
        <w:t>9.1 Purpose of Composite Scoring</w:t>
      </w:r>
    </w:p>
    <w:p>
      <w:pPr>
        <w:spacing w:after="56"/>
      </w:pPr>
      <w:r>
        <w:t>Composite scoring is secondary to the three-profile view. The three-profile view reflects traditional regulatory compliance coverage (RCCS-T), MRO-adjusted regulatory compliance coverage (RCCS-M), and agentic lifecycle conformance (ALCS). It provides a structured method for evaluating whether systems provide the governance primitives that existing regulation requires, whether those primitives can be expressed through lifecycle responsibility objects, and whether lifecycle conformance is mature enough to make agentic responsibility auditable, provable, and transferable.</w:t>
      </w:r>
    </w:p>
    <w:p>
      <w:pPr>
        <w:spacing w:after="56"/>
      </w:pPr>
      <w:r>
        <w:t>Chapter 7 defines the operational difference between the RCCS-T and RCCS-M scoring lenses. Chapter 9 does not duplicate those rubrics. It interprets score deltas after separate RCCS-T and RCCS-M raw scores have been assigned using Chapter 7 and Appendix E.</w:t>
      </w:r>
    </w:p>
    <w:p>
      <w:pPr>
        <w:spacing w:after="56"/>
      </w:pPr>
      <w:r>
        <w:t>The purpose of the three-profile model is to make visible the difference between systems that provide traditional regulatory compliance coverage, systems that provide MRO-adjusted lifecycle responsibility semantics, and systems that provide both. A system can have a strong RCCS-T score and weaker RCCS-M or ALCS scores.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Primary Three-Profile Display and Optional Composite Views</w:t>
      </w:r>
    </w:p>
    <w:p>
      <w:pPr>
        <w:spacing w:after="56"/>
      </w:pPr>
      <w:r>
        <w:t>The preferred publication-facing result display is:</w:t>
      </w:r>
    </w:p>
    <w:p>
      <w:pPr>
        <w:pStyle w:val="ListNumber"/>
        <w:spacing w:after="56"/>
      </w:pPr>
      <w:r>
        <w:t>RCCS-T — Traditional Regulatory Compliance Coverage Score</w:t>
      </w:r>
    </w:p>
    <w:p>
      <w:pPr>
        <w:pStyle w:val="ListNumber"/>
        <w:spacing w:after="56"/>
      </w:pPr>
      <w:r>
        <w:t>RCCS-M — MRO-Adjusted Regulatory Compliance Coverage Score</w:t>
      </w:r>
    </w:p>
    <w:p>
      <w:pPr>
        <w:pStyle w:val="ListNumber"/>
        <w:spacing w:after="56"/>
      </w:pPr>
      <w:r>
        <w:t>ALCS — Agentic Lifecycle Conformance Score</w:t>
      </w:r>
    </w:p>
    <w:p>
      <w:pPr>
        <w:spacing w:after="56"/>
      </w:pPr>
      <w:r>
        <w:t>This structure prevents a single number from hiding the key score-delta insight. Enterprise governance platforms may show strong RCCS-T while MRO-adjusted lifecycle object coverage remains partial. Lifecycle protocol systems may show stronger RCCS-M and ALCS while traditional productized governance-platform coverage remains limited.</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If a composite view is required for worksheet analysis, two optional views may be used:</w:t>
      </w:r>
    </w:p>
    <w:p>
      <w:pPr>
        <w:pStyle w:val="ListBullet"/>
        <w:spacing w:after="56"/>
      </w:pPr>
      <w:r>
        <w:t>Traditional Composite = 0.40 × RCCS-T + 0.60 × ALCS</w:t>
      </w:r>
    </w:p>
    <w:p>
      <w:pPr>
        <w:pStyle w:val="ListBullet"/>
        <w:spacing w:after="56"/>
      </w:pPr>
      <w:r>
        <w:t>Agentic Composite = 0.40 × RCCS-M + 0.60 × ALCS</w:t>
      </w:r>
    </w:p>
    <w:p>
      <w:pPr>
        <w:spacing w:after="56"/>
      </w:pPr>
      <w:r>
        <w:t>RCCS-T, RCCS-M, and ALCS are expressed on a 0-100 scale after evidence adjustment. Optional composite views are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RCCS-T Score</w:t>
            </w:r>
          </w:p>
        </w:tc>
        <w:tc>
          <w:tcPr>
            <w:tcW w:type="dxa" w:w="3408"/>
          </w:tcPr>
          <w:p>
            <w:pPr>
              <w:spacing w:after="0"/>
            </w:pPr>
            <w:r>
              <w:rPr>
                <w:rFonts w:ascii="Arial" w:hAnsi="Arial"/>
                <w:b w:val="0"/>
                <w:sz w:val="14"/>
              </w:rPr>
              <w:t>Aggregated traditional RCCS dimension score</w:t>
            </w:r>
          </w:p>
        </w:tc>
        <w:tc>
          <w:tcPr>
            <w:tcW w:type="dxa" w:w="3408"/>
          </w:tcPr>
          <w:p>
            <w:pPr>
              <w:spacing w:after="0"/>
            </w:pPr>
            <w:r>
              <w:rPr>
                <w:rFonts w:ascii="Arial" w:hAnsi="Arial"/>
                <w:b w:val="0"/>
                <w:sz w:val="14"/>
              </w:rPr>
              <w:t>RCCS-T = 65.0</w:t>
            </w:r>
          </w:p>
        </w:tc>
      </w:tr>
      <w:tr>
        <w:tc>
          <w:tcPr>
            <w:tcW w:type="dxa" w:w="3408"/>
          </w:tcPr>
          <w:p>
            <w:pPr>
              <w:spacing w:after="0"/>
            </w:pPr>
            <w:r>
              <w:rPr>
                <w:rFonts w:ascii="Arial" w:hAnsi="Arial"/>
                <w:b w:val="0"/>
                <w:sz w:val="14"/>
              </w:rPr>
              <w:t>RCCS-M Score</w:t>
            </w:r>
          </w:p>
        </w:tc>
        <w:tc>
          <w:tcPr>
            <w:tcW w:type="dxa" w:w="3408"/>
          </w:tcPr>
          <w:p>
            <w:pPr>
              <w:spacing w:after="0"/>
            </w:pPr>
            <w:r>
              <w:rPr>
                <w:rFonts w:ascii="Arial" w:hAnsi="Arial"/>
                <w:b w:val="0"/>
                <w:sz w:val="14"/>
              </w:rPr>
              <w:t>Aggregated MRO-adjusted RCCS dimension score</w:t>
            </w:r>
          </w:p>
        </w:tc>
        <w:tc>
          <w:tcPr>
            <w:tcW w:type="dxa" w:w="3408"/>
          </w:tcPr>
          <w:p>
            <w:pPr>
              <w:spacing w:after="0"/>
            </w:pPr>
            <w:r>
              <w:rPr>
                <w:rFonts w:ascii="Arial" w:hAnsi="Arial"/>
                <w:b w:val="0"/>
                <w:sz w:val="14"/>
              </w:rPr>
              <w:t>RCCS-M = 72.0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Traditional Composite</w:t>
            </w:r>
          </w:p>
        </w:tc>
        <w:tc>
          <w:tcPr>
            <w:tcW w:type="dxa" w:w="3408"/>
          </w:tcPr>
          <w:p>
            <w:pPr>
              <w:spacing w:after="0"/>
            </w:pPr>
            <w:r>
              <w:rPr>
                <w:rFonts w:ascii="Arial" w:hAnsi="Arial"/>
                <w:b w:val="0"/>
                <w:sz w:val="14"/>
              </w:rPr>
              <w:t>0.40 × RCCS-T + 0.60 × ALCS</w:t>
            </w:r>
          </w:p>
        </w:tc>
        <w:tc>
          <w:tcPr>
            <w:tcW w:type="dxa" w:w="3408"/>
          </w:tcPr>
          <w:p>
            <w:pPr>
              <w:spacing w:after="0"/>
            </w:pPr>
            <w:r>
              <w:rPr>
                <w:rFonts w:ascii="Arial" w:hAnsi="Arial"/>
                <w:b w:val="0"/>
                <w:sz w:val="14"/>
              </w:rPr>
              <w:t>0.40 × 65.0 + 0.60 × 55.0 = 59.0</w:t>
            </w:r>
          </w:p>
        </w:tc>
      </w:tr>
      <w:tr>
        <w:tc>
          <w:tcPr>
            <w:tcW w:type="dxa" w:w="3408"/>
          </w:tcPr>
          <w:p>
            <w:pPr>
              <w:spacing w:after="0"/>
            </w:pPr>
            <w:r>
              <w:rPr>
                <w:rFonts w:ascii="Arial" w:hAnsi="Arial"/>
                <w:b w:val="0"/>
                <w:sz w:val="14"/>
              </w:rPr>
              <w:t>Agentic Composite</w:t>
            </w:r>
          </w:p>
        </w:tc>
        <w:tc>
          <w:tcPr>
            <w:tcW w:type="dxa" w:w="3408"/>
          </w:tcPr>
          <w:p>
            <w:pPr>
              <w:spacing w:after="0"/>
            </w:pPr>
            <w:r>
              <w:rPr>
                <w:rFonts w:ascii="Arial" w:hAnsi="Arial"/>
                <w:b w:val="0"/>
                <w:sz w:val="14"/>
              </w:rPr>
              <w:t>0.40 × RCCS-M + 0.60 × ALCS</w:t>
            </w:r>
          </w:p>
        </w:tc>
        <w:tc>
          <w:tcPr>
            <w:tcW w:type="dxa" w:w="3408"/>
          </w:tcPr>
          <w:p>
            <w:pPr>
              <w:spacing w:after="0"/>
            </w:pPr>
            <w:r>
              <w:rPr>
                <w:rFonts w:ascii="Arial" w:hAnsi="Arial"/>
                <w:b w:val="0"/>
                <w:sz w:val="14"/>
              </w:rPr>
              <w:t>0.40 × 72.0 + 0.60 × 55.0 = 61.8</w:t>
            </w:r>
          </w:p>
        </w:tc>
      </w:tr>
    </w:tbl>
    <w:p>
      <w:pPr>
        <w:spacing w:after="56"/>
      </w:pPr>
      <w:r>
        <w:t>These calculations preserve the distinction between traditional regulatory coverage and MRO-adjusted regulatory coverage. They are optional worksheet views, not the main publication result.</w:t>
      </w:r>
    </w:p>
    <w:p>
      <w:pPr>
        <w:spacing w:after="56"/>
      </w:pPr>
      <w:r>
        <w:t>RCCS-T, RCCS-M, and ALCS are reported separately because they measure different layers. RCCS-T evaluates whether a system provides the governance primitives that existing regulation requires. RCCS-M evaluates whether those obligations can be expressed through Missing Regulatory Objects. ALCS evaluates whether lifecycle responsibility conformance is mature. Any composite view must therefore be read only alongside the separate three-profile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RCCS-T, RCCS-M, and ALCS Together</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the system provides mature lifecycle objects that make agentic responsibility auditable, provable, and transferable across agents, humans, tools, projects, vendors, and organizational boundaries.</w:t>
      </w:r>
    </w:p>
    <w:p>
      <w:pPr>
        <w:spacing w:after="56"/>
      </w:pPr>
      <w:r>
        <w:t>Interpreting the three profiles requires reading score deltas rather than collapsing the profiles into a single ordering. High RCCS-T with lower RCCS-M or ALCS means conventional governance coverage is more visible than lifecycle responsibility object coverage. Lower RCCS-T with higher RCCS-M and ALCS means protocol or framework semantics may express lifecycle responsibility strongly while productized governance-platform coverage remains limited. This distinction is especially important for comparing enterprise governance platforms with lifecycle protocol paths.</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RCCS-T / RCCS-M / ALCS Interpretation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Pattern</w:t>
            </w:r>
          </w:p>
        </w:tc>
        <w:tc>
          <w:tcPr>
            <w:tcW w:type="dxa" w:w="1704"/>
          </w:tcPr>
          <w:p>
            <w:pPr>
              <w:spacing w:after="0"/>
            </w:pPr>
            <w:r>
              <w:rPr>
                <w:rFonts w:ascii="Arial" w:hAnsi="Arial"/>
                <w:b/>
                <w:sz w:val="12"/>
              </w:rPr>
              <w:t>RCCS-T</w:t>
            </w:r>
          </w:p>
        </w:tc>
        <w:tc>
          <w:tcPr>
            <w:tcW w:type="dxa" w:w="1704"/>
          </w:tcPr>
          <w:p>
            <w:pPr>
              <w:spacing w:after="0"/>
            </w:pPr>
            <w:r>
              <w:rPr>
                <w:rFonts w:ascii="Arial" w:hAnsi="Arial"/>
                <w:b/>
                <w:sz w:val="12"/>
              </w:rPr>
              <w:t>RCCS-M</w:t>
            </w:r>
          </w:p>
        </w:tc>
        <w:tc>
          <w:tcPr>
            <w:tcW w:type="dxa" w:w="1704"/>
          </w:tcPr>
          <w:p>
            <w:pPr>
              <w:spacing w:after="0"/>
            </w:pPr>
            <w:r>
              <w:rPr>
                <w:rFonts w:ascii="Arial" w:hAnsi="Arial"/>
                <w:b/>
                <w:sz w:val="12"/>
              </w:rPr>
              <w:t>ALCS</w:t>
            </w:r>
          </w:p>
        </w:tc>
        <w:tc>
          <w:tcPr>
            <w:tcW w:type="dxa" w:w="1704"/>
          </w:tcPr>
          <w:p>
            <w:pPr>
              <w:spacing w:after="0"/>
            </w:pPr>
            <w:r>
              <w:rPr>
                <w:rFonts w:ascii="Arial" w:hAnsi="Arial"/>
                <w:b/>
                <w:sz w:val="12"/>
              </w:rPr>
              <w:t>Interpretation</w:t>
            </w:r>
          </w:p>
        </w:tc>
        <w:tc>
          <w:tcPr>
            <w:tcW w:type="dxa" w:w="1704"/>
          </w:tcPr>
          <w:p>
            <w:pPr>
              <w:spacing w:after="0"/>
            </w:pPr>
            <w:r>
              <w:rPr>
                <w:rFonts w:ascii="Arial" w:hAnsi="Arial"/>
                <w:b/>
                <w:sz w:val="12"/>
              </w:rPr>
              <w:t>Common System Types</w:t>
            </w:r>
          </w:p>
        </w:tc>
      </w:tr>
      <w:tr>
        <w:tc>
          <w:tcPr>
            <w:tcW w:type="dxa" w:w="1704"/>
          </w:tcPr>
          <w:p>
            <w:pPr>
              <w:spacing w:after="0"/>
            </w:pPr>
            <w:r>
              <w:rPr>
                <w:rFonts w:ascii="Arial" w:hAnsi="Arial"/>
                <w:b w:val="0"/>
                <w:sz w:val="12"/>
              </w:rPr>
              <w:t>Traditional governance visible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Strong conventional governance surfaces, but MRO-adjusted lifecycle responsibility objects are less visible.</w:t>
            </w:r>
          </w:p>
        </w:tc>
        <w:tc>
          <w:tcPr>
            <w:tcW w:type="dxa" w:w="1704"/>
          </w:tcPr>
          <w:p>
            <w:pPr>
              <w:spacing w:after="0"/>
            </w:pPr>
            <w:r>
              <w:rPr>
                <w:rFonts w:ascii="Arial" w:hAnsi="Arial"/>
                <w:b w:val="0"/>
                <w:sz w:val="12"/>
              </w:rPr>
              <w:t>Enterprise AI governance platforms, managed AI platforms</w:t>
            </w:r>
          </w:p>
        </w:tc>
      </w:tr>
      <w:tr>
        <w:tc>
          <w:tcPr>
            <w:tcW w:type="dxa" w:w="1704"/>
          </w:tcPr>
          <w:p>
            <w:pPr>
              <w:spacing w:after="0"/>
            </w:pPr>
            <w:r>
              <w:rPr>
                <w:rFonts w:ascii="Arial" w:hAnsi="Arial"/>
                <w:b w:val="0"/>
                <w:sz w:val="12"/>
              </w:rPr>
              <w:t>Lifecycle semantics visible</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Traditional productized governance coverage may be limited, but lifecycle responsibility semantics are strong.</w:t>
            </w:r>
          </w:p>
        </w:tc>
        <w:tc>
          <w:tcPr>
            <w:tcW w:type="dxa" w:w="1704"/>
          </w:tcPr>
          <w:p>
            <w:pPr>
              <w:spacing w:after="0"/>
            </w:pPr>
            <w:r>
              <w:rPr>
                <w:rFonts w:ascii="Arial" w:hAnsi="Arial"/>
                <w:b w:val="0"/>
                <w:sz w:val="12"/>
              </w:rPr>
              <w:t>Lifecycle protocol systems, lifecycle-aware orchestration frameworks</w:t>
            </w:r>
          </w:p>
        </w:tc>
      </w:tr>
      <w:tr>
        <w:tc>
          <w:tcPr>
            <w:tcW w:type="dxa" w:w="1704"/>
          </w:tcPr>
          <w:p>
            <w:pPr>
              <w:spacing w:after="0"/>
            </w:pPr>
            <w:r>
              <w:rPr>
                <w:rFonts w:ascii="Arial" w:hAnsi="Arial"/>
                <w:b w:val="0"/>
                <w:sz w:val="12"/>
              </w:rPr>
              <w:t>Three-profile balanced</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Governance surfaces and lifecycle responsibility semantics are both visible.</w:t>
            </w:r>
          </w:p>
        </w:tc>
        <w:tc>
          <w:tcPr>
            <w:tcW w:type="dxa" w:w="1704"/>
          </w:tcPr>
          <w:p>
            <w:pPr>
              <w:spacing w:after="0"/>
            </w:pPr>
            <w:r>
              <w:rPr>
                <w:rFonts w:ascii="Arial" w:hAnsi="Arial"/>
                <w:b w:val="0"/>
                <w:sz w:val="12"/>
              </w:rPr>
              <w:t>Future governance platforms with explicit lifecycle object support</w:t>
            </w:r>
          </w:p>
        </w:tc>
      </w:tr>
      <w:tr>
        <w:tc>
          <w:tcPr>
            <w:tcW w:type="dxa" w:w="1704"/>
          </w:tcPr>
          <w:p>
            <w:pPr>
              <w:spacing w:after="0"/>
            </w:pPr>
            <w:r>
              <w:rPr>
                <w:rFonts w:ascii="Arial" w:hAnsi="Arial"/>
                <w:b w:val="0"/>
                <w:sz w:val="12"/>
              </w:rPr>
              <w:t>Execution-oriented</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Useful execution or observability primitives, but governance and lifecycle responsibility objects require surrounding systems.</w:t>
            </w:r>
          </w:p>
        </w:tc>
        <w:tc>
          <w:tcPr>
            <w:tcW w:type="dxa" w:w="1704"/>
          </w:tcPr>
          <w:p>
            <w:pPr>
              <w:spacing w:after="0"/>
            </w:pPr>
            <w:r>
              <w:rPr>
                <w:rFonts w:ascii="Arial" w:hAnsi="Arial"/>
                <w:b w:val="0"/>
                <w:sz w:val="12"/>
              </w:rPr>
              <w:t>Developer SDKs, orchestration frameworks without governance extensions</w:t>
            </w:r>
          </w:p>
        </w:tc>
      </w:tr>
    </w:tbl>
    <w:p>
      <w:pPr>
        <w:spacing w:after="56"/>
      </w:pPr>
      <w:r>
        <w:t>The traditional-governance-visible pattern is common. Many enterprise AI governance platforms, managed AI platforms, and observability tools provide strong RCCS-T coverage through risk management, documentation, record-keeping, transparency, human oversight, security, accountability, contestability, and monitoring capabilities. However, they may have lower RCCS-M and ALCS posture where authority boundaries, responsibility transfer, evidence partitioning, privacy lifecycle mapping, accepted outcomes, and vendor substitution conformance are not exposed as first-class lifecycle responsibility objects. This is not a failure. It reflects the reality that existing regulation focuses on model governance and platform controls while lifecycle responsibility semantics for multi-agent systems are still emerging.</w:t>
      </w:r>
    </w:p>
    <w:p>
      <w:pPr>
        <w:spacing w:after="56"/>
      </w:pPr>
      <w:r>
        <w:t>The lifecycle-semantics-visible pattern is strategically important. It represents systems that provide strong lifecycle objects for expressing agentic responsibility while lacking broader productized governance-platform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three-profile-balanced pattern represents systems that provide traditional regulatory compliance coverage, MRO-adjusted lifecycle object coverage, and lifecycle conformance maturity. These systems are positioned to support both existing regulatory requirements and emerging lifecycle responsibility requirements for multi-agent systems.</w:t>
      </w:r>
    </w:p>
    <w:p>
      <w:pPr>
        <w:spacing w:after="56"/>
      </w:pPr>
      <w:r>
        <w:t>The execution-oriented pattern represents systems that provide execution orchestration or observability features but lack explicit governance primitives and lifecycle objects. These systems may be valuable for development, experimentation, or low-risk use cases but may require surrounding governance systems for high-risk or regulated deployments.</w:t>
      </w:r>
    </w:p>
    <w:p>
      <w:pPr>
        <w:spacing w:after="56"/>
      </w:pPr>
      <w:r>
        <w:t>All three profile scores are necessary for full assessment. RCCS-T shows familiar governance coverage. RCCS-M shows MRO-adjusted regulatory coverage. ALCS shows lifecycle conformance maturity. Together, they provide the publication-facing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three-profile score basis. Evaluators must provide a table or worksheet showing raw scores, evidence multipliers, adjusted dimension scores, RCCS-T, RCCS-M, and ALCS framework scores, and any optional Traditional Composite or Agentic Composite view. This allows reviewers to verify the calculation and identify any errors or disagreements without collapsing the main result into one number.</w:t>
      </w:r>
    </w:p>
    <w:p>
      <w:pPr>
        <w:spacing w:after="56"/>
      </w:pPr>
      <w:r>
        <w:t>Scoring is comparative, not absolute. Three-profile scores and optional composite views are most useful when comparing systems against defined governance expectations or tracking a single system over time. Absolute score thresholds such as "70% is compliant" are not meaningful because the scoring method is an analytical framework, not a compliance certification. The value of scoring is in making visible capability gaps and evidence-confidence limits.</w:t>
      </w:r>
    </w:p>
    <w:p>
      <w:pPr>
        <w:pStyle w:val="Heading2"/>
      </w:pPr>
      <w:r>
        <w:t>9.6 Boundary Statement</w:t>
      </w:r>
    </w:p>
    <w:p>
      <w:pPr>
        <w:spacing w:after="56"/>
      </w:pPr>
      <w:r>
        <w:t>The three-profile scoring method is an analytical framework, not a legal compliance score. Optional composite views are secondary worksheet tools. This boundary must be understood clearly to avoid misinterpretation and over-claiming.</w:t>
      </w:r>
    </w:p>
    <w:p>
      <w:pPr>
        <w:spacing w:after="56"/>
      </w:pPr>
      <w:r>
        <w:t>What the scoring method is:</w:t>
      </w:r>
    </w:p>
    <w:p>
      <w:pPr>
        <w:pStyle w:val="ListBullet"/>
        <w:spacing w:after="56"/>
      </w:pPr>
      <w:r>
        <w:t>An analytical framework for comparing system capabilities against traditional regulatory requirements, MRO-adjusted regulatory coverage,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the scoring method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RCCS-T, RCCS-M, ALCS, or optional composite scores do NOT mean legal compliance. A system may score well on visible capability surfaces while the organization using it fails to comply with legal obligations due to deployment gaps, policy weaknesses, incomplete adoption, jurisdictional differences, or use case risks. The scoring method measures system capability to express governance primitives and lifecycle objects, not organizational conformance to legal requirements.</w:t>
      </w:r>
    </w:p>
    <w:p>
      <w:pPr>
        <w:spacing w:after="56"/>
      </w:pPr>
      <w:r>
        <w:t>Low RCCS-T, RCCS-M, ALCS, or optional composite scores do NOT mean non-compliance. A system may score lower in one profile while the organization achieves compliance through compensating controls, manual processes, alternative governance mechanisms, or different system architectures. The scoring method evaluates specific system capabilities, not all possible paths to compliance.</w:t>
      </w:r>
    </w:p>
    <w:p>
      <w:pPr>
        <w:spacing w:after="56"/>
      </w:pPr>
      <w:r>
        <w:t>The scoring method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The scoring method evaluates what the system can express, not what the organization actually does.</w:t>
      </w:r>
    </w:p>
    <w:p>
      <w:pPr>
        <w:spacing w:after="56"/>
      </w:pPr>
      <w:r>
        <w:t>The scoring method is context-independent, but compliance is context-dependent. It evaluates system capabilities without regard to deployment context, risk class, jurisdiction, or use case. Legal compliance depends on all of these factors. A system with high scores may still be non-compliant in specific contexts, and a system with low scores may be compliant in other contexts.</w:t>
      </w:r>
    </w:p>
    <w:p>
      <w:pPr>
        <w:spacing w:after="56"/>
      </w:pPr>
      <w:r>
        <w:t>The purpose of this boundary statement is to prevent over-claiming. RCCS-M is an author analytical, forward-looking, MRO-adjusted model. It is not current law, a regulator-approved benchmark, a certification, legal compliance proof, a vendor ranking, or a procurement recommendation. Organizations must not rely on these scores as proof of legal compliance. Buyers must not treat high scores as a substitute for due diligence, legal review, or risk assessment. System vendors must not market these scores as compliance certifications or regulatory approvals.</w:t>
      </w:r>
    </w:p>
    <w:p>
      <w:pPr>
        <w:pStyle w:val="Heading2"/>
      </w:pPr>
      <w:r>
        <w:t>9.7 Bridge to System Mappings</w:t>
      </w:r>
    </w:p>
    <w:p>
      <w:pPr>
        <w:spacing w:after="56"/>
      </w:pPr>
      <w:r>
        <w:t>The following chapters use RCCS-T, RCCS-M, and ALCS as analytical lenses for enterprise controls, system mappings, validation patterns, and failure-scenario analysis. Chapter 10 provides enterprise control crosswalk, mapping regulatory coverage and lifecycle conformance dimensions to enterprise control frameworks such as NIST Cybersecurity Framework, ISO 27001, and SOC 2. Chapters 11 through 13 provide comparative field analysis and detailed system/protocol mappings, while Chapters 14 and 15 test the evidence and failure-scenario implications of the RCCS-M / MRO model.</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scoring method defined in this chapter only where a scoring worksheet is appropriate. Where a scoring worksheet is used, systems may be evaluated with separate RCCS-T, RCCS-M,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three-profile analytical view that makes visible the difference between traditional regulatory coverage, MRO-adjusted regulatory coverage, and lifecycle responsibility conformance without creating vendor rankings or procurement selection signals.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three-profile scoring method and optional composite views. The publication-facing result display is RCCS-T, RCCS-M, and ALCS. It is an analytical framework for comparing system capability patterns, not a legal compliance certification.</w:t>
      </w:r>
    </w:p>
    <w:p>
      <w:pPr>
        <w:spacing w:after="56"/>
      </w:pPr>
      <w:r>
        <w:t>The method first normalizes dimension scores using (Raw Score / 5) × 100 × Evidence Confidence Multiplier, then reports RCCS-T, RCCS-M, and ALCS separately. Optional worksheet composites may combine RCCS-T or RCCS-M with ALCS, but composite views are secondary and must not hide the three-profile structure. The evidence multiplier adjusts dimension scores based on evidence quality, ensuring that scores reflect both system capability and confidence level in the assessment.</w:t>
      </w:r>
    </w:p>
    <w:p>
      <w:pPr>
        <w:spacing w:after="56"/>
      </w:pPr>
      <w:r>
        <w:t>Interpreting RCCS-T, RCCS-M, and ALCS together requires reading score-delta patterns. Strong RCCS-T with lower RCCS-M or ALCS indicates visible traditional governance coverage but less visible lifecycle responsibility object coverage. Lower RCCS-T with stronger RCCS-M and ALCS indicates stronger lifecycle protocol semantics but less productized governance-platform coverage. This is the strategic distinction the three-profile model preserves.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The scoring method is an analytical framework, not a legal compliance score. High RCCS-T, RCCS-M, ALCS, or optional composite scores do not mean legal compliance. Low scores do not mean non-compliance. The method measures system capability, not organizational practice. It is context-independent, but compliance is context-dependent. Organizations must not rely on scores as proof of legal compliance. The following chapters use RCCS-T, RCCS-M, and 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RCCS-T, RCCS-M, ALCS, and the three-profile analytical model.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RCCS-T, RCCS-M,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RCCS-T measures traditional regulatory compliance coverage. MROs provide the adjustment layer. RCCS-M measures MRO-adjusted regulatory coverage. ALCS measures lifecycle conformance.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RCCS-T Baseline Controls -&gt; MRO Adjustment Layer -&gt; RCCS-M MRO-Adjusted Coverage -&gt; ALCS Lifecycle Conformance -&gt; Enterprise Control Evidence -&gt; Audit / Insurance / Board Reporting Readiness</w:t>
      </w:r>
    </w:p>
    <w:p>
      <w:pPr>
        <w:spacing w:after="56"/>
      </w:pPr>
      <w:r>
        <w:t>Figure F-06 shows how regulation and standards can be translated into enterprise control evidence through RCCS-T baseline controls, the MRO adjustment layer, RCCS-M coverage,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RCCS-T, RCCS-M,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RCCS-T/RCCS-M/ALCS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RCCS-T, RCCS-M, and ALCS scores can indicate whether governance coverage or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 - MROs, RCCS-T/RCCS-M dimensions, ALCS dimensions, and lifecycle records - 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RCCS-T/RCCS-M/ALCS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RCCS-T, RCCS-M,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RCCS-T, RCCS-M, and ALCS dimensions. RCCS-T measures traditional regulatory compliance coverage: whether a system provides the governance primitives that existing regulation requires. RCCS-M measures MRO-adjusted regulatory coverage: whether those obligations can be expressed through lifecycle responsibility objects. ALCS measures agentic lifecycle conformance: whether a system provides mature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a system can express those obligations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limited traditional RCCS-T product-platform coverage and strong author-analytical RCCS-M /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RCCS-T posture (traditional regulatory compliance coverage), its likely RCCS-M posture (MRO-adjusted regulatory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System / Category</w:t>
            </w:r>
          </w:p>
        </w:tc>
        <w:tc>
          <w:tcPr>
            <w:tcW w:type="dxa" w:w="1704"/>
          </w:tcPr>
          <w:p>
            <w:pPr>
              <w:spacing w:after="0"/>
            </w:pPr>
            <w:r>
              <w:rPr>
                <w:rFonts w:ascii="Arial" w:hAnsi="Arial"/>
                <w:b/>
                <w:sz w:val="12"/>
              </w:rPr>
              <w:t>Primary Strength</w:t>
            </w:r>
          </w:p>
        </w:tc>
        <w:tc>
          <w:tcPr>
            <w:tcW w:type="dxa" w:w="1704"/>
          </w:tcPr>
          <w:p>
            <w:pPr>
              <w:spacing w:after="0"/>
            </w:pPr>
            <w:r>
              <w:rPr>
                <w:rFonts w:ascii="Arial" w:hAnsi="Arial"/>
                <w:b/>
                <w:sz w:val="12"/>
              </w:rPr>
              <w:t>RCCS-T Posture</w:t>
            </w:r>
          </w:p>
        </w:tc>
        <w:tc>
          <w:tcPr>
            <w:tcW w:type="dxa" w:w="1704"/>
          </w:tcPr>
          <w:p>
            <w:pPr>
              <w:spacing w:after="0"/>
            </w:pPr>
            <w:r>
              <w:rPr>
                <w:rFonts w:ascii="Arial" w:hAnsi="Arial"/>
                <w:b/>
                <w:sz w:val="12"/>
              </w:rPr>
              <w:t>RCCS-M Posture</w:t>
            </w:r>
          </w:p>
        </w:tc>
        <w:tc>
          <w:tcPr>
            <w:tcW w:type="dxa" w:w="1704"/>
          </w:tcPr>
          <w:p>
            <w:pPr>
              <w:spacing w:after="0"/>
            </w:pPr>
            <w:r>
              <w:rPr>
                <w:rFonts w:ascii="Arial" w:hAnsi="Arial"/>
                <w:b/>
                <w:sz w:val="12"/>
              </w:rPr>
              <w:t>ALCS Posture</w:t>
            </w:r>
          </w:p>
        </w:tc>
        <w:tc>
          <w:tcPr>
            <w:tcW w:type="dxa" w:w="1704"/>
          </w:tcPr>
          <w:p>
            <w:pPr>
              <w:spacing w:after="0"/>
            </w:pPr>
            <w:r>
              <w:rPr>
                <w:rFonts w:ascii="Arial" w:hAnsi="Arial"/>
                <w:b/>
                <w:sz w:val="12"/>
              </w:rPr>
              <w:t>Main Lifecycle Gap to Examine</w:t>
            </w:r>
          </w:p>
        </w:tc>
      </w:tr>
      <w:tr>
        <w:tc>
          <w:tcPr>
            <w:tcW w:type="dxa" w:w="1704"/>
          </w:tcPr>
          <w:p>
            <w:pPr>
              <w:spacing w:after="0"/>
            </w:pPr>
            <w:r>
              <w:rPr>
                <w:rFonts w:ascii="Arial" w:hAnsi="Arial"/>
                <w:b w:val="0"/>
                <w:sz w:val="12"/>
              </w:rPr>
              <w:t>MPLP</w:t>
            </w:r>
          </w:p>
        </w:tc>
        <w:tc>
          <w:tcPr>
            <w:tcW w:type="dxa" w:w="1704"/>
          </w:tcPr>
          <w:p>
            <w:pPr>
              <w:spacing w:after="0"/>
            </w:pPr>
            <w:r>
              <w:rPr>
                <w:rFonts w:ascii="Arial" w:hAnsi="Arial"/>
                <w:b w:val="0"/>
                <w:sz w:val="12"/>
              </w:rPr>
              <w:t>Lifecycle protocol semantics; governance primitives as first-class objects</w:t>
            </w:r>
          </w:p>
        </w:tc>
        <w:tc>
          <w:tcPr>
            <w:tcW w:type="dxa" w:w="1704"/>
          </w:tcPr>
          <w:p>
            <w:pPr>
              <w:spacing w:after="0"/>
            </w:pPr>
            <w:r>
              <w:rPr>
                <w:rFonts w:ascii="Arial" w:hAnsi="Arial"/>
                <w:b w:val="0"/>
                <w:sz w:val="12"/>
              </w:rPr>
              <w:t>Limited to Moderate (not a product governance platform)</w:t>
            </w:r>
          </w:p>
        </w:tc>
        <w:tc>
          <w:tcPr>
            <w:tcW w:type="dxa" w:w="1704"/>
          </w:tcPr>
          <w:p>
            <w:pPr>
              <w:spacing w:after="0"/>
            </w:pPr>
            <w:r>
              <w:rPr>
                <w:rFonts w:ascii="Arial" w:hAnsi="Arial"/>
                <w:b w:val="0"/>
                <w:sz w:val="12"/>
              </w:rPr>
              <w:t>Strong (protocol semantics map to MRO-like objects)</w:t>
            </w:r>
          </w:p>
        </w:tc>
        <w:tc>
          <w:tcPr>
            <w:tcW w:type="dxa" w:w="1704"/>
          </w:tcPr>
          <w:p>
            <w:pPr>
              <w:spacing w:after="0"/>
            </w:pPr>
            <w:r>
              <w:rPr>
                <w:rFonts w:ascii="Arial" w:hAnsi="Arial"/>
                <w:b w:val="0"/>
                <w:sz w:val="12"/>
              </w:rPr>
              <w:t>Strong (protocol designed for lifecycle responsibility objects)</w:t>
            </w:r>
          </w:p>
        </w:tc>
        <w:tc>
          <w:tcPr>
            <w:tcW w:type="dxa" w:w="1704"/>
          </w:tcPr>
          <w:p>
            <w:pPr>
              <w:spacing w:after="0"/>
            </w:pPr>
            <w:r>
              <w:rPr>
                <w:rFonts w:ascii="Arial" w:hAnsi="Arial"/>
                <w:b w:val="0"/>
                <w:sz w:val="12"/>
              </w:rPr>
              <w:t>Enterprise integration; adoption pathway; implementation maturity</w:t>
            </w:r>
          </w:p>
        </w:tc>
      </w:tr>
      <w:tr>
        <w:tc>
          <w:tcPr>
            <w:tcW w:type="dxa" w:w="1704"/>
          </w:tcPr>
          <w:p>
            <w:pPr>
              <w:spacing w:after="0"/>
            </w:pPr>
            <w:r>
              <w:rPr>
                <w:rFonts w:ascii="Arial" w:hAnsi="Arial"/>
                <w:b w:val="0"/>
                <w:sz w:val="12"/>
              </w:rPr>
              <w:t>IBM watsonx.governance</w:t>
            </w:r>
          </w:p>
        </w:tc>
        <w:tc>
          <w:tcPr>
            <w:tcW w:type="dxa" w:w="1704"/>
          </w:tcPr>
          <w:p>
            <w:pPr>
              <w:spacing w:after="0"/>
            </w:pPr>
            <w:r>
              <w:rPr>
                <w:rFonts w:ascii="Arial" w:hAnsi="Arial"/>
                <w:b w:val="0"/>
                <w:sz w:val="12"/>
              </w:rPr>
              <w:t>Enterprise AI governance; policy enforcement; model risk management; regulatory compliance coverage</w:t>
            </w:r>
          </w:p>
        </w:tc>
        <w:tc>
          <w:tcPr>
            <w:tcW w:type="dxa" w:w="1704"/>
          </w:tcPr>
          <w:p>
            <w:pPr>
              <w:spacing w:after="0"/>
            </w:pPr>
            <w:r>
              <w:rPr>
                <w:rFonts w:ascii="Arial" w:hAnsi="Arial"/>
                <w:b w:val="0"/>
                <w:sz w:val="12"/>
              </w:rPr>
              <w:t>Strong (designed for regulatory compliance)</w:t>
            </w:r>
          </w:p>
        </w:tc>
        <w:tc>
          <w:tcPr>
            <w:tcW w:type="dxa" w:w="1704"/>
          </w:tcPr>
          <w:p>
            <w:pPr>
              <w:spacing w:after="0"/>
            </w:pPr>
            <w:r>
              <w:rPr>
                <w:rFonts w:ascii="Arial" w:hAnsi="Arial"/>
                <w:b w:val="0"/>
                <w:sz w:val="12"/>
              </w:rPr>
              <w:t>Partial to Moderate (lifecycle object semantics require validation)</w:t>
            </w:r>
          </w:p>
        </w:tc>
        <w:tc>
          <w:tcPr>
            <w:tcW w:type="dxa" w:w="1704"/>
          </w:tcPr>
          <w:p>
            <w:pPr>
              <w:spacing w:after="0"/>
            </w:pPr>
            <w:r>
              <w:rPr>
                <w:rFonts w:ascii="Arial" w:hAnsi="Arial"/>
                <w:b w:val="0"/>
                <w:sz w:val="12"/>
              </w:rPr>
              <w:t>Moderate (governance focus, but lifecycle object semantics require validation)</w:t>
            </w:r>
          </w:p>
        </w:tc>
        <w:tc>
          <w:tcPr>
            <w:tcW w:type="dxa" w:w="1704"/>
          </w:tcPr>
          <w:p>
            <w:pPr>
              <w:spacing w:after="0"/>
            </w:pPr>
            <w:r>
              <w:rPr>
                <w:rFonts w:ascii="Arial" w:hAnsi="Arial"/>
                <w:b w:val="0"/>
                <w:sz w:val="12"/>
              </w:rPr>
              <w:t>Agentic lifecycle object exposure; multi-agent responsibility transfer; evidence partitioning</w:t>
            </w:r>
          </w:p>
        </w:tc>
      </w:tr>
      <w:tr>
        <w:tc>
          <w:tcPr>
            <w:tcW w:type="dxa" w:w="1704"/>
          </w:tcPr>
          <w:p>
            <w:pPr>
              <w:spacing w:after="0"/>
            </w:pPr>
            <w:r>
              <w:rPr>
                <w:rFonts w:ascii="Arial" w:hAnsi="Arial"/>
                <w:b w:val="0"/>
                <w:sz w:val="12"/>
              </w:rPr>
              <w:t>Microsoft Azure AI Foundry</w:t>
            </w:r>
          </w:p>
        </w:tc>
        <w:tc>
          <w:tcPr>
            <w:tcW w:type="dxa" w:w="1704"/>
          </w:tcPr>
          <w:p>
            <w:pPr>
              <w:spacing w:after="0"/>
            </w:pPr>
            <w:r>
              <w:rPr>
                <w:rFonts w:ascii="Arial" w:hAnsi="Arial"/>
                <w:b w:val="0"/>
                <w:sz w:val="12"/>
              </w:rPr>
              <w:t>Cloud-native AI platform; responsible AI tooling; content safety; enterprise integration</w:t>
            </w:r>
          </w:p>
        </w:tc>
        <w:tc>
          <w:tcPr>
            <w:tcW w:type="dxa" w:w="1704"/>
          </w:tcPr>
          <w:p>
            <w:pPr>
              <w:spacing w:after="0"/>
            </w:pPr>
            <w:r>
              <w:rPr>
                <w:rFonts w:ascii="Arial" w:hAnsi="Arial"/>
                <w:b w:val="0"/>
                <w:sz w:val="12"/>
              </w:rPr>
              <w:t>Moderate to Strong (responsible AI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(platform capabilities exist, but lifecycle semantics require validation)</w:t>
            </w:r>
          </w:p>
        </w:tc>
        <w:tc>
          <w:tcPr>
            <w:tcW w:type="dxa" w:w="1704"/>
          </w:tcPr>
          <w:p>
            <w:pPr>
              <w:spacing w:after="0"/>
            </w:pPr>
            <w:r>
              <w:rPr>
                <w:rFonts w:ascii="Arial" w:hAnsi="Arial"/>
                <w:b w:val="0"/>
                <w:sz w:val="12"/>
              </w:rPr>
              <w:t>Lifecycle responsibility objects; authority boundary enforcement; accepted outcome compliance</w:t>
            </w:r>
          </w:p>
        </w:tc>
      </w:tr>
      <w:tr>
        <w:tc>
          <w:tcPr>
            <w:tcW w:type="dxa" w:w="1704"/>
          </w:tcPr>
          <w:p>
            <w:pPr>
              <w:spacing w:after="0"/>
            </w:pPr>
            <w:r>
              <w:rPr>
                <w:rFonts w:ascii="Arial" w:hAnsi="Arial"/>
                <w:b w:val="0"/>
                <w:sz w:val="12"/>
              </w:rPr>
              <w:t>AWS Bedrock / Guardrails / AgentCore</w:t>
            </w:r>
          </w:p>
        </w:tc>
        <w:tc>
          <w:tcPr>
            <w:tcW w:type="dxa" w:w="1704"/>
          </w:tcPr>
          <w:p>
            <w:pPr>
              <w:spacing w:after="0"/>
            </w:pPr>
            <w:r>
              <w:rPr>
                <w:rFonts w:ascii="Arial" w:hAnsi="Arial"/>
                <w:b w:val="0"/>
                <w:sz w:val="12"/>
              </w:rPr>
              <w:t>Cloud AI services; guardrails; agent orchestration; enterprise security integration</w:t>
            </w:r>
          </w:p>
        </w:tc>
        <w:tc>
          <w:tcPr>
            <w:tcW w:type="dxa" w:w="1704"/>
          </w:tcPr>
          <w:p>
            <w:pPr>
              <w:spacing w:after="0"/>
            </w:pPr>
            <w:r>
              <w:rPr>
                <w:rFonts w:ascii="Arial" w:hAnsi="Arial"/>
                <w:b w:val="0"/>
                <w:sz w:val="12"/>
              </w:rPr>
              <w:t>Moderate to Strong (guardrails and security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(agent orchestration exists, but lifecycle object semantics require validation)</w:t>
            </w:r>
          </w:p>
        </w:tc>
        <w:tc>
          <w:tcPr>
            <w:tcW w:type="dxa" w:w="1704"/>
          </w:tcPr>
          <w:p>
            <w:pPr>
              <w:spacing w:after="0"/>
            </w:pPr>
            <w:r>
              <w:rPr>
                <w:rFonts w:ascii="Arial" w:hAnsi="Arial"/>
                <w:b w:val="0"/>
                <w:sz w:val="12"/>
              </w:rPr>
              <w:t>Lifecycle responsibility objects; evidence partitioning; responsibility transfer across agents</w:t>
            </w:r>
          </w:p>
        </w:tc>
      </w:tr>
      <w:tr>
        <w:tc>
          <w:tcPr>
            <w:tcW w:type="dxa" w:w="1704"/>
          </w:tcPr>
          <w:p>
            <w:pPr>
              <w:spacing w:after="0"/>
            </w:pPr>
            <w:r>
              <w:rPr>
                <w:rFonts w:ascii="Arial" w:hAnsi="Arial"/>
                <w:b w:val="0"/>
                <w:sz w:val="12"/>
              </w:rPr>
              <w:t>Google Vertex AI / ADK / Model Armor</w:t>
            </w:r>
          </w:p>
        </w:tc>
        <w:tc>
          <w:tcPr>
            <w:tcW w:type="dxa" w:w="1704"/>
          </w:tcPr>
          <w:p>
            <w:pPr>
              <w:spacing w:after="0"/>
            </w:pPr>
            <w:r>
              <w:rPr>
                <w:rFonts w:ascii="Arial" w:hAnsi="Arial"/>
                <w:b w:val="0"/>
                <w:sz w:val="12"/>
              </w:rPr>
              <w:t>Cloud AI platform; agent development kit; model armor safety controls; enterprise AI management</w:t>
            </w:r>
          </w:p>
        </w:tc>
        <w:tc>
          <w:tcPr>
            <w:tcW w:type="dxa" w:w="1704"/>
          </w:tcPr>
          <w:p>
            <w:pPr>
              <w:spacing w:after="0"/>
            </w:pPr>
            <w:r>
              <w:rPr>
                <w:rFonts w:ascii="Arial" w:hAnsi="Arial"/>
                <w:b w:val="0"/>
                <w:sz w:val="12"/>
              </w:rPr>
              <w:t>Moderate to Strong (safety and management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(ADK provides agent primitives, but lifecycle semantics require validation)</w:t>
            </w:r>
          </w:p>
        </w:tc>
        <w:tc>
          <w:tcPr>
            <w:tcW w:type="dxa" w:w="1704"/>
          </w:tcPr>
          <w:p>
            <w:pPr>
              <w:spacing w:after="0"/>
            </w:pPr>
            <w:r>
              <w:rPr>
                <w:rFonts w:ascii="Arial" w:hAnsi="Arial"/>
                <w:b w:val="0"/>
                <w:sz w:val="12"/>
              </w:rPr>
              <w:t>Lifecycle responsibility objects; authority boundary enforcement; privacy lifecycle mapping</w:t>
            </w:r>
          </w:p>
        </w:tc>
      </w:tr>
      <w:tr>
        <w:tc>
          <w:tcPr>
            <w:tcW w:type="dxa" w:w="1704"/>
          </w:tcPr>
          <w:p>
            <w:pPr>
              <w:spacing w:after="0"/>
            </w:pPr>
            <w:r>
              <w:rPr>
                <w:rFonts w:ascii="Arial" w:hAnsi="Arial"/>
                <w:b w:val="0"/>
                <w:sz w:val="12"/>
              </w:rPr>
              <w:t>LangGraph / LangSmith</w:t>
            </w:r>
          </w:p>
        </w:tc>
        <w:tc>
          <w:tcPr>
            <w:tcW w:type="dxa" w:w="1704"/>
          </w:tcPr>
          <w:p>
            <w:pPr>
              <w:spacing w:after="0"/>
            </w:pPr>
            <w:r>
              <w:rPr>
                <w:rFonts w:ascii="Arial" w:hAnsi="Arial"/>
                <w:b w:val="0"/>
                <w:sz w:val="12"/>
              </w:rPr>
              <w:t>Agent orchestration; observability; tracing; workflow management</w:t>
            </w:r>
          </w:p>
        </w:tc>
        <w:tc>
          <w:tcPr>
            <w:tcW w:type="dxa" w:w="1704"/>
          </w:tcPr>
          <w:p>
            <w:pPr>
              <w:spacing w:after="0"/>
            </w:pPr>
            <w:r>
              <w:rPr>
                <w:rFonts w:ascii="Arial" w:hAnsi="Arial"/>
                <w:b w:val="0"/>
                <w:sz w:val="12"/>
              </w:rPr>
              <w:t>Moderate (observability and tracing support governance)</w:t>
            </w:r>
          </w:p>
        </w:tc>
        <w:tc>
          <w:tcPr>
            <w:tcW w:type="dxa" w:w="1704"/>
          </w:tcPr>
          <w:p>
            <w:pPr>
              <w:spacing w:after="0"/>
            </w:pPr>
            <w:r>
              <w:rPr>
                <w:rFonts w:ascii="Arial" w:hAnsi="Arial"/>
                <w:b w:val="0"/>
                <w:sz w:val="12"/>
              </w:rPr>
              <w:t>Moderate (workflow state and traces support MRO-adjacent analysis)</w:t>
            </w:r>
          </w:p>
        </w:tc>
        <w:tc>
          <w:tcPr>
            <w:tcW w:type="dxa" w:w="1704"/>
          </w:tcPr>
          <w:p>
            <w:pPr>
              <w:spacing w:after="0"/>
            </w:pPr>
            <w:r>
              <w:rPr>
                <w:rFonts w:ascii="Arial" w:hAnsi="Arial"/>
                <w:b w:val="0"/>
                <w:sz w:val="12"/>
              </w:rPr>
              <w:t>Moderate (orchestration and tracing exist, but lifecycle object semantics require validation)</w:t>
            </w:r>
          </w:p>
        </w:tc>
        <w:tc>
          <w:tcPr>
            <w:tcW w:type="dxa" w:w="1704"/>
          </w:tcPr>
          <w:p>
            <w:pPr>
              <w:spacing w:after="0"/>
            </w:pPr>
            <w:r>
              <w:rPr>
                <w:rFonts w:ascii="Arial" w:hAnsi="Arial"/>
                <w:b w:val="0"/>
                <w:sz w:val="12"/>
              </w:rPr>
              <w:t>Governance primitives; authority boundary enforcement; accepted outcome compliance; evidence partitioning</w:t>
            </w:r>
          </w:p>
        </w:tc>
      </w:tr>
      <w:tr>
        <w:tc>
          <w:tcPr>
            <w:tcW w:type="dxa" w:w="1704"/>
          </w:tcPr>
          <w:p>
            <w:pPr>
              <w:spacing w:after="0"/>
            </w:pPr>
            <w:r>
              <w:rPr>
                <w:rFonts w:ascii="Arial" w:hAnsi="Arial"/>
                <w:b w:val="0"/>
                <w:sz w:val="12"/>
              </w:rPr>
              <w:t>OpenAI Agents SDK</w:t>
            </w:r>
          </w:p>
        </w:tc>
        <w:tc>
          <w:tcPr>
            <w:tcW w:type="dxa" w:w="1704"/>
          </w:tcPr>
          <w:p>
            <w:pPr>
              <w:spacing w:after="0"/>
            </w:pPr>
            <w:r>
              <w:rPr>
                <w:rFonts w:ascii="Arial" w:hAnsi="Arial"/>
                <w:b w:val="0"/>
                <w:sz w:val="12"/>
              </w:rPr>
              <w:t>Developer-focused agent framework; model access; tool use; execution orchestration</w:t>
            </w:r>
          </w:p>
        </w:tc>
        <w:tc>
          <w:tcPr>
            <w:tcW w:type="dxa" w:w="1704"/>
          </w:tcPr>
          <w:p>
            <w:pPr>
              <w:spacing w:after="0"/>
            </w:pPr>
            <w:r>
              <w:rPr>
                <w:rFonts w:ascii="Arial" w:hAnsi="Arial"/>
                <w:b w:val="0"/>
                <w:sz w:val="12"/>
              </w:rPr>
              <w:t>Low to Moderate (execution focus, governance primitives require validation)</w:t>
            </w:r>
          </w:p>
        </w:tc>
        <w:tc>
          <w:tcPr>
            <w:tcW w:type="dxa" w:w="1704"/>
          </w:tcPr>
          <w:p>
            <w:pPr>
              <w:spacing w:after="0"/>
            </w:pPr>
            <w:r>
              <w:rPr>
                <w:rFonts w:ascii="Arial" w:hAnsi="Arial"/>
                <w:b w:val="0"/>
                <w:sz w:val="12"/>
              </w:rPr>
              <w:t>Partial (SDK primitives can support lifecycle analysis, not full governance)</w:t>
            </w:r>
          </w:p>
        </w:tc>
        <w:tc>
          <w:tcPr>
            <w:tcW w:type="dxa" w:w="1704"/>
          </w:tcPr>
          <w:p>
            <w:pPr>
              <w:spacing w:after="0"/>
            </w:pPr>
            <w:r>
              <w:rPr>
                <w:rFonts w:ascii="Arial" w:hAnsi="Arial"/>
                <w:b w:val="0"/>
                <w:sz w:val="12"/>
              </w:rPr>
              <w:t>Low to Moderate (execution orchestration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r>
        <w:tc>
          <w:tcPr>
            <w:tcW w:type="dxa" w:w="1704"/>
          </w:tcPr>
          <w:p>
            <w:pPr>
              <w:spacing w:after="0"/>
            </w:pPr>
            <w:r>
              <w:rPr>
                <w:rFonts w:ascii="Arial" w:hAnsi="Arial"/>
                <w:b w:val="0"/>
                <w:sz w:val="12"/>
              </w:rPr>
              <w:t>CrewAI</w:t>
            </w:r>
          </w:p>
        </w:tc>
        <w:tc>
          <w:tcPr>
            <w:tcW w:type="dxa" w:w="1704"/>
          </w:tcPr>
          <w:p>
            <w:pPr>
              <w:spacing w:after="0"/>
            </w:pPr>
            <w:r>
              <w:rPr>
                <w:rFonts w:ascii="Arial" w:hAnsi="Arial"/>
                <w:b w:val="0"/>
                <w:sz w:val="12"/>
              </w:rPr>
              <w:t>Multi-agent collaboration; role-based agent design; task orchestration</w:t>
            </w:r>
          </w:p>
        </w:tc>
        <w:tc>
          <w:tcPr>
            <w:tcW w:type="dxa" w:w="1704"/>
          </w:tcPr>
          <w:p>
            <w:pPr>
              <w:spacing w:after="0"/>
            </w:pPr>
            <w:r>
              <w:rPr>
                <w:rFonts w:ascii="Arial" w:hAnsi="Arial"/>
                <w:b w:val="0"/>
                <w:sz w:val="12"/>
              </w:rPr>
              <w:t>Low to Moderate (collaboration focus, governance primitives require validation)</w:t>
            </w:r>
          </w:p>
        </w:tc>
        <w:tc>
          <w:tcPr>
            <w:tcW w:type="dxa" w:w="1704"/>
          </w:tcPr>
          <w:p>
            <w:pPr>
              <w:spacing w:after="0"/>
            </w:pPr>
            <w:r>
              <w:rPr>
                <w:rFonts w:ascii="Arial" w:hAnsi="Arial"/>
                <w:b w:val="0"/>
                <w:sz w:val="12"/>
              </w:rPr>
              <w:t>Partial (role/task primitives can support lifecycle analysis, not full governance)</w:t>
            </w:r>
          </w:p>
        </w:tc>
        <w:tc>
          <w:tcPr>
            <w:tcW w:type="dxa" w:w="1704"/>
          </w:tcPr>
          <w:p>
            <w:pPr>
              <w:spacing w:after="0"/>
            </w:pPr>
            <w:r>
              <w:rPr>
                <w:rFonts w:ascii="Arial" w:hAnsi="Arial"/>
                <w:b w:val="0"/>
                <w:sz w:val="12"/>
              </w:rPr>
              <w:t>Low to Moderate (role-based design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RCCS-T because they are designed for policy enforcement, risk management, and regulatory compliance. Lifecycle protocol paths may score lower on RCCS-T when they are not product governance platforms, but higher on RCCS-M and ALCS when they expose lifecycle responsibility objects as first-class protocol primitives. Cloud AI platforms and agent orchestration frameworks tend to show mixed RCCS-T/RCCS-M/ALCS posture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RCCS-T posture, the gap is often agentic lifecycle object exposure. For systems with strong RCCS-M and ALCS posture, the gap is often enterprise integration and adoption maturity. For systems with mixed posture, the gap is often governance primitives and lifecycle responsibility objects that require validation against public documentation.</w:t>
      </w:r>
    </w:p>
    <w:p>
      <w:pPr>
        <w:pStyle w:val="Heading2"/>
      </w:pPr>
      <w:r>
        <w:t>11.4 Reading the RCCS-T / RCCS-M / ALCS Positioning</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a system provides mature lifecycle objects that make agentic responsibility auditable, provable, and transferable.</w:t>
      </w:r>
    </w:p>
    <w:p>
      <w:pPr>
        <w:spacing w:after="56"/>
      </w:pPr>
      <w:r>
        <w:t>A system can have a strong RCCS-T score and weaker RCCS-M or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RCCS-M and ALCS score with a lower RCCS-T score. This is also not a contradiction. It means the system may provide strong lifecycle responsibility semantics for human-role-to-MAS mapping, delegated authority boundaries, agent role distinction, accepted outcome compliance, tool-action liability, responsibility transfer, authority drift detection, evidence partitioning, and other lifecycle objects while having less mature productized governance coverage for risk management, documentation, record-keeping, or monitoring.</w:t>
      </w:r>
    </w:p>
    <w:p>
      <w:pPr>
        <w:spacing w:after="56"/>
      </w:pPr>
      <w:r>
        <w:t>The strongest future profile would provide strong RCCS-T, RCCS-M, and ALCS together. This means the system provides the governance primitives that existing regulation requires, expresses those obligations through MRO-like lifecycle objects, and makes agentic responsibility auditable and transferable. Few systems currently achieve this profile because traditional regulatory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RCCS-T posture tend to be enterprise AI governance platforms designed for regulatory compliance. Systems with strong RCCS-M and ALCS posture tend to be lifecycle protocol paths designed for responsibility semantics. Systems with mixed posture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RCCS-T, RCCS-M,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RCCS-T, RCCS-M,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RCCS-T, RCCS-M, and ALCS dimensions.</w:t>
      </w:r>
    </w:p>
    <w:p>
      <w:pPr>
        <w:spacing w:after="56"/>
      </w:pPr>
      <w:r>
        <w:t>MPLP-specific non-claim discipline:</w:t>
      </w:r>
    </w:p>
    <w:p>
      <w:pPr>
        <w:pStyle w:val="ListBullet"/>
        <w:spacing w:after="56"/>
      </w:pPr>
      <w:r>
        <w:t>MPLP is positioned as a lifecycle protocol path with limited RCCS-T product-platform coverage and strong author-analytical RCCS-M /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RCCS-T, RCCS-M,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RCCS-T/RCCS-M shared dimension family: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RCCS-T/RCCS-M/ALCS mapping strength and evidence level; numerical profiles appear only in the Evaluation Results section when source-qualified and explicitly bounded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RCCS-T, RCCS-M,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(RCCS-T dimensions), and whether those obligations can be expressed through MROs (RCCS-M interpretation)</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RCCS-T, RCCS-M, and ALCS dimensions. The purpose is to make visible which systems provide traditional governance coverage, which systems expose MRO-adjusted lifecycle responsibility semantics,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those governance obligations can be expressed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RCCS-T, RCCS-M, and ALCS dimensions using the evidence hierarchy established in Chapter 1 and the scoring rubrics defined in Chapters 7 and 8. RCCS-T captures traditional regulatory/governance coverage. RCCS-M captures MRO-adjusted regulatory coverage. ALCS captures lifecycle responsibility conformance maturity.</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RCCS-T, RCCS-M, or 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RCCS-T / RCCS-M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RCCS-T / RCCS-M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RCCS-T/RCCS-M/ALCS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RCCS-T, RCCS-M,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means MPLP's traditional RCCS-T product-platform coverage may be limited, while its RCCS-M and ALCS posture may be strong where protocol semantics map to MRO-like objects. The GAIC MRO/RCCS-M/ALCS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RCCS-T, RCCS-M,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RCCS-T / RCCS-M Mapping Summary</w:t>
      </w:r>
    </w:p>
    <w:p>
      <w:pPr>
        <w:keepNext/>
      </w:pPr>
      <w:r>
        <w:rPr>
          <w:b/>
          <w:sz w:val="16"/>
        </w:rPr>
        <w:t>Table T-12-02: MPLP RCCS-T / RCCS-M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MPLP is not an enterprise governance SaaS and does not by itself provide full productized governance dashboards, cloud controls, or organizational policy workflows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semantics map strongly to authority, evidence, accepted-outcome, responsibility-transfer, and substitution objects; mapping remains author analytical where not directly stated</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RCCS-T, RCCS-M, and ALCS because it provides enterprise-grade governance capabilities for risk management, data governance, documentation, record-keeping, transparency, human oversight, security, accountability, contestability, and monitoring, while lifecycle responsibility-object coverage remains analytically tested.</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the RCCS-T/RCCS-M shared dimension family</w:t>
      </w:r>
    </w:p>
    <w:p>
      <w:pPr>
        <w:pStyle w:val="ListBullet"/>
        <w:spacing w:after="56"/>
      </w:pPr>
      <w:r>
        <w:t>Whether IBM watsonx.governance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RCCS-T, RCCS-M, and ALCS because it provides cloud platform capabilities for risk management, data governance, documentation, record-keeping, transparency, human oversight, security, accountability, and monitoring, while MRO-adjusted lifecycle coverage remains implementation-dependent.</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the RCCS-T/RCCS-M shared dimension family</w:t>
      </w:r>
    </w:p>
    <w:p>
      <w:pPr>
        <w:pStyle w:val="ListBullet"/>
        <w:spacing w:after="56"/>
      </w:pPr>
      <w:r>
        <w:t>Whether Microsoft Azure AI Foundry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RCCS-T, RCCS-M, and ALCS because it provides cloud service capabilities for guardrails, security, access control, monitoring, and agent orchestration, while lifecycle responsibility-object coverage remains source-qualified and analytical.</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the RCCS-T/RCCS-M shared dimension family</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RCCS-T, RCCS-M, and ALCS because it provides cloud platform capabilities for model governance, agent development, safety evaluation, content filtering, and enterprise integration, while MRO-adjusted lifecycle coverage remains evidence-qualified.</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the RCCS-T/RCCS-M shared dimension family</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RCCS-T, RCCS-M, and ALCS because it provides orchestration and observability capabilities that can support governance, monitoring, transparency, evidence collection, and MRO-adjacent lifecycle analysis.</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the RCCS-T/RCCS-M shared dimension family</w:t>
      </w:r>
    </w:p>
    <w:p>
      <w:pPr>
        <w:pStyle w:val="ListBullet"/>
        <w:spacing w:after="56"/>
      </w:pPr>
      <w:r>
        <w:t>Whether LangGraph / LangSmith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RCCS-T, RCCS-M, and ALCS because it provides execution capabilities that can support agent workflows, tool actions, observability, and MRO-adjacent lifecycle analysis, while enterprise governance coverage remains outside SDK primitives.</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the RCCS-T/RCCS-M shared dimension family</w:t>
      </w:r>
    </w:p>
    <w:p>
      <w:pPr>
        <w:pStyle w:val="ListBullet"/>
        <w:spacing w:after="56"/>
      </w:pPr>
      <w:r>
        <w:t>Whether OpenAI Agents SDK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RCCS-T, RCCS-M,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RCCS-T, RCCS-M, and ALCS because it provides role-based orchestration capabilities that can support agent collaboration, task delegation, workflow management, and MRO-adjacent lifecycle analysis.</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the RCCS-T/RCCS-M shared dimension family</w:t>
      </w:r>
    </w:p>
    <w:p>
      <w:pPr>
        <w:pStyle w:val="ListBullet"/>
        <w:spacing w:after="56"/>
      </w:pPr>
      <w:r>
        <w:t>Whether CrewAI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RCCS-T, RCCS-M,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RCCS-T, RCCS-M,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RCCS-T posture, mixed RCCS-M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RCCS-T posture for cloud AI management, model governance, safety, evaluation, and monitoring. Their RCCS-M posture is more mixed because MRO-adjusted coverage depends on whether platform capabilities expose authority, evidence, accepted-outcome, privacy, substitution, and closure objects.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RCCS-M and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Category</w:t>
            </w:r>
          </w:p>
        </w:tc>
        <w:tc>
          <w:tcPr>
            <w:tcW w:type="dxa" w:w="2045"/>
          </w:tcPr>
          <w:p>
            <w:pPr>
              <w:spacing w:after="0"/>
            </w:pPr>
            <w:r>
              <w:rPr>
                <w:rFonts w:ascii="Arial" w:hAnsi="Arial"/>
                <w:b/>
                <w:sz w:val="14"/>
              </w:rPr>
              <w:t>Typical RCCS-T Strength</w:t>
            </w:r>
          </w:p>
        </w:tc>
        <w:tc>
          <w:tcPr>
            <w:tcW w:type="dxa" w:w="2045"/>
          </w:tcPr>
          <w:p>
            <w:pPr>
              <w:spacing w:after="0"/>
            </w:pPr>
            <w:r>
              <w:rPr>
                <w:rFonts w:ascii="Arial" w:hAnsi="Arial"/>
                <w:b/>
                <w:sz w:val="14"/>
              </w:rPr>
              <w:t>Typical RCCS-M / ALCS Posture</w:t>
            </w:r>
          </w:p>
        </w:tc>
        <w:tc>
          <w:tcPr>
            <w:tcW w:type="dxa" w:w="2045"/>
          </w:tcPr>
          <w:p>
            <w:pPr>
              <w:spacing w:after="0"/>
            </w:pPr>
            <w:r>
              <w:rPr>
                <w:rFonts w:ascii="Arial" w:hAnsi="Arial"/>
                <w:b/>
                <w:sz w:val="14"/>
              </w:rPr>
              <w:t>Typical Lifecycle Gap</w:t>
            </w:r>
          </w:p>
        </w:tc>
        <w:tc>
          <w:tcPr>
            <w:tcW w:type="dxa" w:w="2045"/>
          </w:tcPr>
          <w:p>
            <w:pPr>
              <w:spacing w:after="0"/>
            </w:pPr>
            <w:r>
              <w:rPr>
                <w:rFonts w:ascii="Arial" w:hAnsi="Arial"/>
                <w:b/>
                <w:sz w:val="14"/>
              </w:rPr>
              <w:t>Interpretation</w:t>
            </w:r>
          </w:p>
        </w:tc>
      </w:tr>
      <w:tr>
        <w:tc>
          <w:tcPr>
            <w:tcW w:type="dxa" w:w="2045"/>
          </w:tcPr>
          <w:p>
            <w:pPr>
              <w:spacing w:after="0"/>
            </w:pPr>
            <w:r>
              <w:rPr>
                <w:rFonts w:ascii="Arial" w:hAnsi="Arial"/>
                <w:b w:val="0"/>
                <w:sz w:val="14"/>
              </w:rPr>
              <w:t>Lifecycle protocol path (MPLP)</w:t>
            </w:r>
          </w:p>
        </w:tc>
        <w:tc>
          <w:tcPr>
            <w:tcW w:type="dxa" w:w="2045"/>
          </w:tcPr>
          <w:p>
            <w:pPr>
              <w:spacing w:after="0"/>
            </w:pPr>
            <w:r>
              <w:rPr>
                <w:rFonts w:ascii="Arial" w:hAnsi="Arial"/>
                <w:b w:val="0"/>
                <w:sz w:val="14"/>
              </w:rPr>
              <w:t>Limited to partial product-platform coverage</w:t>
            </w:r>
          </w:p>
        </w:tc>
        <w:tc>
          <w:tcPr>
            <w:tcW w:type="dxa" w:w="2045"/>
          </w:tcPr>
          <w:p>
            <w:pPr>
              <w:spacing w:after="0"/>
            </w:pPr>
            <w:r>
              <w:rPr>
                <w:rFonts w:ascii="Arial" w:hAnsi="Arial"/>
                <w:b w:val="0"/>
                <w:sz w:val="14"/>
              </w:rPr>
              <w:t>Strong RCCS-M and ALCS semantic posture for authority boundaries, accepted outcome records, responsibility transfer, evidence partitioning, substitution conformance</w:t>
            </w:r>
          </w:p>
        </w:tc>
        <w:tc>
          <w:tcPr>
            <w:tcW w:type="dxa" w:w="2045"/>
          </w:tcPr>
          <w:p>
            <w:pPr>
              <w:spacing w:after="0"/>
            </w:pPr>
            <w:r>
              <w:rPr>
                <w:rFonts w:ascii="Arial" w:hAnsi="Arial"/>
                <w:b w:val="0"/>
                <w:sz w:val="14"/>
              </w:rPr>
              <w:t>Implementation maturity, enterprise integration, vendor adoption, operational deployment evidence, regulator familiarity</w:t>
            </w:r>
          </w:p>
        </w:tc>
        <w:tc>
          <w:tcPr>
            <w:tcW w:type="dxa" w:w="2045"/>
          </w:tcPr>
          <w:p>
            <w:pPr>
              <w:spacing w:after="0"/>
            </w:pPr>
            <w:r>
              <w:rPr>
                <w:rFonts w:ascii="Arial" w:hAnsi="Arial"/>
                <w:b w:val="0"/>
                <w:sz w:val="14"/>
              </w:rPr>
              <w:t>Relevant to MRO-adjusted lifecycle responsibility semantics; implementation, adoption, and enterprise integration require validation</w:t>
            </w:r>
          </w:p>
        </w:tc>
      </w:tr>
      <w:tr>
        <w:tc>
          <w:tcPr>
            <w:tcW w:type="dxa" w:w="2045"/>
          </w:tcPr>
          <w:p>
            <w:pPr>
              <w:spacing w:after="0"/>
            </w:pPr>
            <w:r>
              <w:rPr>
                <w:rFonts w:ascii="Arial" w:hAnsi="Arial"/>
                <w:b w:val="0"/>
                <w:sz w:val="14"/>
              </w:rPr>
              <w:t>Enterprise AI governance platform (IBM watsonx.governance)</w:t>
            </w:r>
          </w:p>
        </w:tc>
        <w:tc>
          <w:tcPr>
            <w:tcW w:type="dxa" w:w="2045"/>
          </w:tcPr>
          <w:p>
            <w:pPr>
              <w:spacing w:after="0"/>
            </w:pPr>
            <w:r>
              <w:rPr>
                <w:rFonts w:ascii="Arial" w:hAnsi="Arial"/>
                <w:b w:val="0"/>
                <w:sz w:val="14"/>
              </w:rPr>
              <w:t>Strong RCCS-T posture for risk management, data governance, documentation, record-keeping, transparency, human oversight, security, accountability, monitoring</w:t>
            </w:r>
          </w:p>
        </w:tc>
        <w:tc>
          <w:tcPr>
            <w:tcW w:type="dxa" w:w="2045"/>
          </w:tcPr>
          <w:p>
            <w:pPr>
              <w:spacing w:after="0"/>
            </w:pPr>
            <w:r>
              <w:rPr>
                <w:rFonts w:ascii="Arial" w:hAnsi="Arial"/>
                <w:b w:val="0"/>
                <w:sz w:val="14"/>
              </w:rPr>
              <w:t>Partial RCCS-M / ALCS where lifecycle responsibility objects are not explicit</w:t>
            </w:r>
          </w:p>
        </w:tc>
        <w:tc>
          <w:tcPr>
            <w:tcW w:type="dxa" w:w="2045"/>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045"/>
          </w:tcPr>
          <w:p>
            <w:pPr>
              <w:spacing w:after="0"/>
            </w:pPr>
            <w:r>
              <w:rPr>
                <w:rFonts w:ascii="Arial" w:hAnsi="Arial"/>
                <w:b w:val="0"/>
                <w:sz w:val="14"/>
              </w:rPr>
              <w:t>Designed for enterprise AI governance; agentic lifecycle objects require validation</w:t>
            </w:r>
          </w:p>
        </w:tc>
      </w:tr>
      <w:tr>
        <w:tc>
          <w:tcPr>
            <w:tcW w:type="dxa" w:w="2045"/>
          </w:tcPr>
          <w:p>
            <w:pPr>
              <w:spacing w:after="0"/>
            </w:pPr>
            <w:r>
              <w:rPr>
                <w:rFonts w:ascii="Arial" w:hAnsi="Arial"/>
                <w:b w:val="0"/>
                <w:sz w:val="14"/>
              </w:rPr>
              <w:t>Cloud AI platform (Microsoft Azure AI Foundry, AWS Bedrock / Guardrails / AgentCore, Google Vertex AI / ADK / Model Armor)</w:t>
            </w:r>
          </w:p>
        </w:tc>
        <w:tc>
          <w:tcPr>
            <w:tcW w:type="dxa" w:w="2045"/>
          </w:tcPr>
          <w:p>
            <w:pPr>
              <w:spacing w:after="0"/>
            </w:pPr>
            <w:r>
              <w:rPr>
                <w:rFonts w:ascii="Arial" w:hAnsi="Arial"/>
                <w:b w:val="0"/>
                <w:sz w:val="14"/>
              </w:rPr>
              <w:t>Moderate-to-strong RCCS-T posture for cloud AI management, model governance, safety, evaluation, monitoring</w:t>
            </w:r>
          </w:p>
        </w:tc>
        <w:tc>
          <w:tcPr>
            <w:tcW w:type="dxa" w:w="2045"/>
          </w:tcPr>
          <w:p>
            <w:pPr>
              <w:spacing w:after="0"/>
            </w:pPr>
            <w:r>
              <w:rPr>
                <w:rFonts w:ascii="Arial" w:hAnsi="Arial"/>
                <w:b w:val="0"/>
                <w:sz w:val="14"/>
              </w:rPr>
              <w:t>Partial-to-moderate RCCS-M / ALCS depending on agent lifecycle object exposure</w:t>
            </w:r>
          </w:p>
        </w:tc>
        <w:tc>
          <w:tcPr>
            <w:tcW w:type="dxa" w:w="2045"/>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045"/>
          </w:tcPr>
          <w:p>
            <w:pPr>
              <w:spacing w:after="0"/>
            </w:pPr>
            <w:r>
              <w:rPr>
                <w:rFonts w:ascii="Arial" w:hAnsi="Arial"/>
                <w:b w:val="0"/>
                <w:sz w:val="14"/>
              </w:rPr>
              <w:t>Designed for cloud AI platform capabilities; lifecycle responsibility objects require validation; responsible AI tooling does not equal lifecycle responsibility objects</w:t>
            </w:r>
          </w:p>
        </w:tc>
      </w:tr>
      <w:tr>
        <w:tc>
          <w:tcPr>
            <w:tcW w:type="dxa" w:w="2045"/>
          </w:tcPr>
          <w:p>
            <w:pPr>
              <w:spacing w:after="0"/>
            </w:pPr>
            <w:r>
              <w:rPr>
                <w:rFonts w:ascii="Arial" w:hAnsi="Arial"/>
                <w:b w:val="0"/>
                <w:sz w:val="14"/>
              </w:rPr>
              <w:t>Agent orchestration / observability framework (LangGraph / LangSmith)</w:t>
            </w:r>
          </w:p>
        </w:tc>
        <w:tc>
          <w:tcPr>
            <w:tcW w:type="dxa" w:w="2045"/>
          </w:tcPr>
          <w:p>
            <w:pPr>
              <w:spacing w:after="0"/>
            </w:pPr>
            <w:r>
              <w:rPr>
                <w:rFonts w:ascii="Arial" w:hAnsi="Arial"/>
                <w:b w:val="0"/>
                <w:sz w:val="14"/>
              </w:rPr>
              <w:t>Moderate RCCS-T posture for documentation, record-keeping, transparency, monitoring</w:t>
            </w:r>
          </w:p>
        </w:tc>
        <w:tc>
          <w:tcPr>
            <w:tcW w:type="dxa" w:w="2045"/>
          </w:tcPr>
          <w:p>
            <w:pPr>
              <w:spacing w:after="0"/>
            </w:pPr>
            <w:r>
              <w:rPr>
                <w:rFonts w:ascii="Arial" w:hAnsi="Arial"/>
                <w:b w:val="0"/>
                <w:sz w:val="14"/>
              </w:rPr>
              <w:t>Moderate RCCS-M / ALCS adjacency through graphs, state, checkpoints, traces, observability</w:t>
            </w:r>
          </w:p>
        </w:tc>
        <w:tc>
          <w:tcPr>
            <w:tcW w:type="dxa" w:w="2045"/>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045"/>
          </w:tcPr>
          <w:p>
            <w:pPr>
              <w:spacing w:after="0"/>
            </w:pPr>
            <w:r>
              <w:rPr>
                <w:rFonts w:ascii="Arial" w:hAnsi="Arial"/>
                <w:b w:val="0"/>
                <w:sz w:val="14"/>
              </w:rPr>
              <w:t>Designed for agent orchestration and observability; lifecycle responsibility semantics require additional governance layer; orchestration does not equal governance</w:t>
            </w:r>
          </w:p>
        </w:tc>
      </w:tr>
      <w:tr>
        <w:tc>
          <w:tcPr>
            <w:tcW w:type="dxa" w:w="2045"/>
          </w:tcPr>
          <w:p>
            <w:pPr>
              <w:spacing w:after="0"/>
            </w:pPr>
            <w:r>
              <w:rPr>
                <w:rFonts w:ascii="Arial" w:hAnsi="Arial"/>
                <w:b w:val="0"/>
                <w:sz w:val="14"/>
              </w:rPr>
              <w:t>Developer agent SDK (OpenAI Agents SDK)</w:t>
            </w:r>
          </w:p>
        </w:tc>
        <w:tc>
          <w:tcPr>
            <w:tcW w:type="dxa" w:w="2045"/>
          </w:tcPr>
          <w:p>
            <w:pPr>
              <w:spacing w:after="0"/>
            </w:pPr>
            <w:r>
              <w:rPr>
                <w:rFonts w:ascii="Arial" w:hAnsi="Arial"/>
                <w:b w:val="0"/>
                <w:sz w:val="14"/>
              </w:rPr>
              <w:t>Weak-to-moderate RCCS-T posture beyond SDK primitives</w:t>
            </w:r>
          </w:p>
        </w:tc>
        <w:tc>
          <w:tcPr>
            <w:tcW w:type="dxa" w:w="2045"/>
          </w:tcPr>
          <w:p>
            <w:pPr>
              <w:spacing w:after="0"/>
            </w:pPr>
            <w:r>
              <w:rPr>
                <w:rFonts w:ascii="Arial" w:hAnsi="Arial"/>
                <w:b w:val="0"/>
                <w:sz w:val="14"/>
              </w:rPr>
              <w:t>Partial RCCS-M / ALCS where SDK primitives support agents, tools, handoffs, guardrails, tracing, or sessions</w:t>
            </w:r>
          </w:p>
        </w:tc>
        <w:tc>
          <w:tcPr>
            <w:tcW w:type="dxa" w:w="2045"/>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045"/>
          </w:tcPr>
          <w:p>
            <w:pPr>
              <w:spacing w:after="0"/>
            </w:pPr>
            <w:r>
              <w:rPr>
                <w:rFonts w:ascii="Arial" w:hAnsi="Arial"/>
                <w:b w:val="0"/>
                <w:sz w:val="14"/>
              </w:rPr>
              <w:t>Designed for developer execution primitives; enterprise governance and lifecycle responsibility semantics require additional layer; execution framework does not equal governance layer</w:t>
            </w:r>
          </w:p>
        </w:tc>
      </w:tr>
      <w:tr>
        <w:tc>
          <w:tcPr>
            <w:tcW w:type="dxa" w:w="2045"/>
          </w:tcPr>
          <w:p>
            <w:pPr>
              <w:spacing w:after="0"/>
            </w:pPr>
            <w:r>
              <w:rPr>
                <w:rFonts w:ascii="Arial" w:hAnsi="Arial"/>
                <w:b w:val="0"/>
                <w:sz w:val="14"/>
              </w:rPr>
              <w:t>Multi-agent collaboration framework (CrewAI)</w:t>
            </w:r>
          </w:p>
        </w:tc>
        <w:tc>
          <w:tcPr>
            <w:tcW w:type="dxa" w:w="2045"/>
          </w:tcPr>
          <w:p>
            <w:pPr>
              <w:spacing w:after="0"/>
            </w:pPr>
            <w:r>
              <w:rPr>
                <w:rFonts w:ascii="Arial" w:hAnsi="Arial"/>
                <w:b w:val="0"/>
                <w:sz w:val="14"/>
              </w:rPr>
              <w:t>Weak-to-moderate RCCS-T posture beyond orchestration primitives</w:t>
            </w:r>
          </w:p>
        </w:tc>
        <w:tc>
          <w:tcPr>
            <w:tcW w:type="dxa" w:w="2045"/>
          </w:tcPr>
          <w:p>
            <w:pPr>
              <w:spacing w:after="0"/>
            </w:pPr>
            <w:r>
              <w:rPr>
                <w:rFonts w:ascii="Arial" w:hAnsi="Arial"/>
                <w:b w:val="0"/>
                <w:sz w:val="14"/>
              </w:rPr>
              <w:t>Partial RCCS-M / ALCS where roles, tasks, and collaboration patterns support lifecycle analysis</w:t>
            </w:r>
          </w:p>
        </w:tc>
        <w:tc>
          <w:tcPr>
            <w:tcW w:type="dxa" w:w="2045"/>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045"/>
          </w:tcPr>
          <w:p>
            <w:pPr>
              <w:spacing w:after="0"/>
            </w:pPr>
            <w:r>
              <w:rPr>
                <w:rFonts w:ascii="Arial" w:hAnsi="Arial"/>
                <w:b w:val="0"/>
                <w:sz w:val="14"/>
              </w:rPr>
              <w:t>Designed for multi-agent collaboration; lifecycle responsibility semantics require additional governance layer; role labels do not equal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RCCS-T, RCCS-M, and ALCS dimensions. Official MPLP documentation was located during claim-level source review, but protocol-to-MRO/RCCS-M/ALCS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show limited RCCS-T product-platform coverage while mapping strongly to RCCS-M and ALCS because those profiles measure lifecycle responsibility semantics</w:t>
            </w:r>
          </w:p>
        </w:tc>
        <w:tc>
          <w:tcPr>
            <w:tcW w:type="dxa" w:w="3408"/>
          </w:tcPr>
          <w:p>
            <w:pPr>
              <w:spacing w:after="0"/>
            </w:pPr>
            <w:r>
              <w:rPr>
                <w:rFonts w:ascii="Arial" w:hAnsi="Arial"/>
                <w:b w:val="0"/>
                <w:sz w:val="14"/>
              </w:rPr>
              <w:t>MPLP issues compliance certificates;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issues system certificates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issues compliance certificates;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RCCS-T and RCCS-M</w:t>
      </w:r>
    </w:p>
    <w:p>
      <w:pPr>
        <w:spacing w:after="56"/>
      </w:pPr>
      <w:r>
        <w:t>MPLP should not be read as weak merely because it is not an enterprise governance SaaS. The paper distinguishes two regulatory-coverage profiles. RCCS-T measures traditional productized governance coverage: risk dashboards, organizational policy workflows, cloud security controls, documentation management, monitoring, and compliance operations. MPLP may be limited on that product-platform layer. RCCS-M measures whether regulatory obligations can be expressed through Missing Regulatory Objects. MPLP may map strongly on that layer because its protocol semantics are designed around lifecycle responsibility objects.</w:t>
      </w:r>
    </w:p>
    <w:p>
      <w:pPr>
        <w:spacing w:after="56"/>
      </w:pPr>
      <w:r>
        <w:t>MPLP can support RCCS-M where protocol semantics create evidence, accountability, traceability, accepted-outcome records, authority boundaries, responsibility transfer, and substitution conformance. However, MPLP alone does not satisfy either RCCS-T or RCCS-M in deployment. Both profiles still depend on implementation, organizational controls, deployment environment, security operations, data governance policy, and legal interpretation.</w:t>
      </w:r>
    </w:p>
    <w:p>
      <w:pPr>
        <w:keepNext/>
      </w:pPr>
      <w:r>
        <w:rPr>
          <w:b/>
          <w:sz w:val="16"/>
        </w:rPr>
        <w:t>Table T-13-03: MPLP Mapping to RCCS-T and RCCS-M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Protocol semantics may support governance evidence, but MPLP is not a productized governance dashboard or cloud compliance platform</w:t>
            </w:r>
          </w:p>
        </w:tc>
        <w:tc>
          <w:tcPr>
            <w:tcW w:type="dxa" w:w="2556"/>
          </w:tcPr>
          <w:p>
            <w:pPr>
              <w:spacing w:after="0"/>
            </w:pPr>
            <w:r>
              <w:rPr>
                <w:rFonts w:ascii="Arial" w:hAnsi="Arial"/>
                <w:b w:val="0"/>
                <w:sz w:val="14"/>
              </w:rPr>
              <w:t>Requires product implementation, enterprise integration, organizational policy workflow, and operational controls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Protocol semantics map strongly to MRO-like authority, evidence, accepted-outcome, transfer, and substitution objects</w:t>
            </w:r>
          </w:p>
        </w:tc>
        <w:tc>
          <w:tcPr>
            <w:tcW w:type="dxa" w:w="2556"/>
          </w:tcPr>
          <w:p>
            <w:pPr>
              <w:spacing w:after="0"/>
            </w:pPr>
            <w:r>
              <w:rPr>
                <w:rFonts w:ascii="Arial" w:hAnsi="Arial"/>
                <w:b w:val="0"/>
                <w:sz w:val="14"/>
              </w:rPr>
              <w:t>Author analytical mapping where not directly stated; requires implementation conformance</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issues compliance certificates;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issues system certificates;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issues compliance certificates; Validation Lab is a certification authority; Validation Lab proves legal compliance</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MPLP may have limited RCCS-T product-platform coverage while mapping strongly to RCCS-M and ALCS dimensions; actual deployment requires implementation evidence</w:t>
            </w:r>
          </w:p>
        </w:tc>
        <w:tc>
          <w:tcPr>
            <w:tcW w:type="dxa" w:w="3408"/>
          </w:tcPr>
          <w:p>
            <w:pPr>
              <w:spacing w:after="0"/>
            </w:pPr>
            <w:r>
              <w:rPr>
                <w:rFonts w:ascii="Arial" w:hAnsi="Arial"/>
                <w:b w:val="0"/>
                <w:sz w:val="14"/>
              </w:rPr>
              <w:t>RCCS-T/RCCS-M/ALCS proves legal compliance; high MPLP alignment guarantees compliance; MPLP satisfies all scoring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RCCS-M and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pStyle w:val="Heading3"/>
      </w:pPr>
      <w:r>
        <w:t>RCCS-M Evidence Confidence Role</w:t>
      </w:r>
    </w:p>
    <w:p>
      <w:pPr>
        <w:spacing w:after="56"/>
      </w:pPr>
      <w:r>
        <w:t>RCCS-M does not only ask whether a policy, feature, dashboard, or validation workflow exists. It asks whether regulatory obligations are represented as MRO-backed lifecycle responsibility objects. Evidence packs, hash manifests, traces, evidence pointers, disclosure profiles, redaction profiles, and replay procedures can raise RCCS-M evidence confidence when they show object-level responsibility coverage: authority boundaries, role-to-responsibility mappings, accepted outcome states, partitioned evidence chains, privacy lifecycle boundaries, substitution conformance records, and remediation closure records.</w:t>
      </w:r>
    </w:p>
    <w:p>
      <w:pPr>
        <w:spacing w:after="56"/>
      </w:pPr>
      <w:r>
        <w:t>Evidence-Based Validation is therefore a validation pattern for RCCS-M evidence confidence, not a certification path. It can support the evidence-confidence side of RCCS-M scoring when validation records show that MRO-adjusted lifecycle objects exist and can be reviewed. It does not make RCCS-M current law, legally binding, regulator-approved, or independently sufficient for compliance. Validation Lab remains a non-certifying public-surface example; validation evidence may support RCCS-M scoring confidence but does not prove legal compliance, regulatory approval, certification, or operational effectiveness.</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or issuer of compliance certificates</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pStyle w:val="Heading3"/>
      </w:pPr>
      <w:r>
        <w:t>Failure Scenarios as RCCS-M Pressure Tests</w:t>
      </w:r>
    </w:p>
    <w:p>
      <w:pPr>
        <w:spacing w:after="56"/>
      </w:pPr>
      <w:r>
        <w:t>The eight scenarios in this chapter are RCCS-M pressure-test examples. They are not real enterprise incidents, RCCS-T traditional governance examples, legal violation claims, or vendor failure claims. They show where traditional governance controls may appear present while MRO-adjusted lifecycle responsibility coverage still fails.</w:t>
      </w:r>
    </w:p>
    <w:p>
      <w:pPr>
        <w:spacing w:after="56"/>
      </w:pPr>
      <w:r>
        <w:t>For example, a system may have a review screen, logs, documentation, access controls, or monitoring dashboard and therefore show some RCCS-T coverage. RCCS-M asks a different question: can the same regulatory obligation be expressed through inspectable lifecycle responsibility objects? The scenarios pressure-test that question across authority boundary, evidence partitioning, accepted outcome, cross-project reuse, privacy validation, processor chain, vendor/runtime substitution, and remediation closure. The point is not to recalculate scores in this chapter; the point is to show why RCCS-M needs MRO-backed evidence rather than generic control visibility.</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the RCCS-T/RCCS-M/ALCS three-profile analytical model,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RCCS-T/RCCS-M/ALCS,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RCCS-T (Traditional Regulatory Compliance Coverage Score) framework</w:t>
      </w:r>
    </w:p>
    <w:p>
      <w:pPr>
        <w:pStyle w:val="ListBullet"/>
        <w:spacing w:after="56"/>
      </w:pPr>
      <w:r>
        <w:t>RCCS-M (MRO-Adjusted Regulatory Compliance Coverage Score) framework</w:t>
      </w:r>
    </w:p>
    <w:p>
      <w:pPr>
        <w:pStyle w:val="ListBullet"/>
        <w:spacing w:after="56"/>
      </w:pPr>
      <w:r>
        <w:t>ALCS (Agentic Lifecycle Conformance Score) framework</w:t>
      </w:r>
    </w:p>
    <w:p>
      <w:pPr>
        <w:pStyle w:val="ListBullet"/>
        <w:spacing w:after="56"/>
      </w:pPr>
      <w:r>
        <w:t>Three-profile analytical model with optional composite worksheet views</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RCCS-T, RCCS-M,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RCCS-T, RCCS-M,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RCCS-T, RCCS-M,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RCCS-T/RCCS-M/ALCS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RCCS-T/RCCS-M/ALCS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RCCS-T, RCCS-M, and ALCS are analytical frameworks, not legal compliance scores. High scores do not guarantee compliance. Low scores do not prove non-compliance.</w:t>
      </w:r>
    </w:p>
    <w:p>
      <w:pPr>
        <w:pStyle w:val="ListBullet"/>
        <w:spacing w:after="56"/>
      </w:pPr>
      <w:r>
        <w:t>RCCS-T, RCCS-M, and ALCS are analytical frameworks, not legal compliance scores. They provide structured inputs for risk assessment, procurement, audit, and insurance analysis. They do not replace professional judgment. RCCS-M is author analytical and forward-looking, not current law or a regulator-approved benchmark.</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"Analytical frameworks for risk assessment" / "Structured inputs for professional judgment" / "RCCS-M is author analytical and forward-looking"</w:t>
            </w:r>
          </w:p>
        </w:tc>
        <w:tc>
          <w:tcPr>
            <w:tcW w:type="dxa" w:w="3408"/>
          </w:tcPr>
          <w:p>
            <w:pPr>
              <w:spacing w:after="0"/>
            </w:pPr>
            <w:r>
              <w:rPr>
                <w:rFonts w:ascii="Arial" w:hAnsi="Arial"/>
                <w:b w:val="0"/>
                <w:sz w:val="14"/>
              </w:rPr>
              <w:t>"Legal compliance scores" / "Certification scores" / "Guarantees compliance" / "The only scoring method" / "Regulator-approved benchmark"</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RCCS-T, RCCS-M,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RCCS-T/RCCS-M/ALCS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RCCS-T, RCCS-M,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RCCS-T/RCCS-M/ALCS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RCCS-T/RCCS-M/ALCS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RCCS-T/RCCS-M/ALCS as legal compliance scores. The following table clarifies how RCCS-T, RCCS-M, and ALCS should be used in adoption.</w:t>
      </w:r>
    </w:p>
    <w:p>
      <w:pPr>
        <w:keepNext/>
      </w:pPr>
      <w:r>
        <w:rPr>
          <w:b/>
          <w:sz w:val="16"/>
        </w:rPr>
        <w:t>Table T-17-05: RCCS-T / RCCS-M / ALCS Use in Adoption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Use Case</w:t>
            </w:r>
          </w:p>
        </w:tc>
        <w:tc>
          <w:tcPr>
            <w:tcW w:type="dxa" w:w="2045"/>
          </w:tcPr>
          <w:p>
            <w:pPr>
              <w:spacing w:after="0"/>
            </w:pPr>
            <w:r>
              <w:rPr>
                <w:rFonts w:ascii="Arial" w:hAnsi="Arial"/>
                <w:b/>
                <w:sz w:val="14"/>
              </w:rPr>
              <w:t>RCCS-T Role</w:t>
            </w:r>
          </w:p>
        </w:tc>
        <w:tc>
          <w:tcPr>
            <w:tcW w:type="dxa" w:w="2045"/>
          </w:tcPr>
          <w:p>
            <w:pPr>
              <w:spacing w:after="0"/>
            </w:pPr>
            <w:r>
              <w:rPr>
                <w:rFonts w:ascii="Arial" w:hAnsi="Arial"/>
                <w:b/>
                <w:sz w:val="14"/>
              </w:rPr>
              <w:t>RCCS-M Role</w:t>
            </w:r>
          </w:p>
        </w:tc>
        <w:tc>
          <w:tcPr>
            <w:tcW w:type="dxa" w:w="2045"/>
          </w:tcPr>
          <w:p>
            <w:pPr>
              <w:spacing w:after="0"/>
            </w:pPr>
            <w:r>
              <w:rPr>
                <w:rFonts w:ascii="Arial" w:hAnsi="Arial"/>
                <w:b/>
                <w:sz w:val="14"/>
              </w:rPr>
              <w:t>ALCS Role</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Gap analysis</w:t>
            </w:r>
          </w:p>
        </w:tc>
        <w:tc>
          <w:tcPr>
            <w:tcW w:type="dxa" w:w="2045"/>
          </w:tcPr>
          <w:p>
            <w:pPr>
              <w:spacing w:after="0"/>
            </w:pPr>
            <w:r>
              <w:rPr>
                <w:rFonts w:ascii="Arial" w:hAnsi="Arial"/>
                <w:b w:val="0"/>
                <w:sz w:val="14"/>
              </w:rPr>
              <w:t>Identifies traditional regulatory compliance coverage gaps (e.g., RCCS-04 Record-Keeping, RCCS-06 Human Oversight)</w:t>
            </w:r>
          </w:p>
        </w:tc>
        <w:tc>
          <w:tcPr>
            <w:tcW w:type="dxa" w:w="2045"/>
          </w:tcPr>
          <w:p>
            <w:pPr>
              <w:spacing w:after="0"/>
            </w:pPr>
            <w:r>
              <w:rPr>
                <w:rFonts w:ascii="Arial" w:hAnsi="Arial"/>
                <w:b w:val="0"/>
                <w:sz w:val="14"/>
              </w:rPr>
              <w:t>Identifies where regulatory obligations are not yet expressible through MROs</w:t>
            </w:r>
          </w:p>
        </w:tc>
        <w:tc>
          <w:tcPr>
            <w:tcW w:type="dxa" w:w="2045"/>
          </w:tcPr>
          <w:p>
            <w:pPr>
              <w:spacing w:after="0"/>
            </w:pPr>
            <w:r>
              <w:rPr>
                <w:rFonts w:ascii="Arial" w:hAnsi="Arial"/>
                <w:b w:val="0"/>
                <w:sz w:val="14"/>
              </w:rPr>
              <w:t>Identifies lifecycle responsibility object gaps (e.g., ALCS-02 Delegated Authority Boundary, ALCS-04 Accepted Outcome Compliance, ALCS-06 Responsibility Transfer Across Agents)</w:t>
            </w:r>
          </w:p>
        </w:tc>
        <w:tc>
          <w:tcPr>
            <w:tcW w:type="dxa" w:w="2045"/>
          </w:tcPr>
          <w:p>
            <w:pPr>
              <w:spacing w:after="0"/>
            </w:pPr>
            <w:r>
              <w:rPr>
                <w:rFonts w:ascii="Arial" w:hAnsi="Arial"/>
                <w:b w:val="0"/>
                <w:sz w:val="14"/>
              </w:rPr>
              <w:t>RCCS-T/RCCS-M/ALCS are analytical tools, not legal compliance scores; gaps require organizational interpretation and legal review</w:t>
            </w:r>
          </w:p>
        </w:tc>
      </w:tr>
      <w:tr>
        <w:tc>
          <w:tcPr>
            <w:tcW w:type="dxa" w:w="2045"/>
          </w:tcPr>
          <w:p>
            <w:pPr>
              <w:spacing w:after="0"/>
            </w:pPr>
            <w:r>
              <w:rPr>
                <w:rFonts w:ascii="Arial" w:hAnsi="Arial"/>
                <w:b w:val="0"/>
                <w:sz w:val="14"/>
              </w:rPr>
              <w:t>Pilot project baseline</w:t>
            </w:r>
          </w:p>
        </w:tc>
        <w:tc>
          <w:tcPr>
            <w:tcW w:type="dxa" w:w="2045"/>
          </w:tcPr>
          <w:p>
            <w:pPr>
              <w:spacing w:after="0"/>
            </w:pPr>
            <w:r>
              <w:rPr>
                <w:rFonts w:ascii="Arial" w:hAnsi="Arial"/>
                <w:b w:val="0"/>
                <w:sz w:val="14"/>
              </w:rPr>
              <w:t>Measures regulatory compliance coverage before and after pilot</w:t>
            </w:r>
          </w:p>
        </w:tc>
        <w:tc>
          <w:tcPr>
            <w:tcW w:type="dxa" w:w="2045"/>
          </w:tcPr>
          <w:p>
            <w:pPr>
              <w:spacing w:after="0"/>
            </w:pPr>
            <w:r>
              <w:rPr>
                <w:rFonts w:ascii="Arial" w:hAnsi="Arial"/>
                <w:b w:val="0"/>
                <w:sz w:val="14"/>
              </w:rPr>
              <w:t>Measures MRO-adjusted regulatory coverage before and after pilot</w:t>
            </w:r>
          </w:p>
        </w:tc>
        <w:tc>
          <w:tcPr>
            <w:tcW w:type="dxa" w:w="2045"/>
          </w:tcPr>
          <w:p>
            <w:pPr>
              <w:spacing w:after="0"/>
            </w:pPr>
            <w:r>
              <w:rPr>
                <w:rFonts w:ascii="Arial" w:hAnsi="Arial"/>
                <w:b w:val="0"/>
                <w:sz w:val="14"/>
              </w:rPr>
              <w:t>Measures lifecycle responsibility object maturity before and after pilot</w:t>
            </w:r>
          </w:p>
        </w:tc>
        <w:tc>
          <w:tcPr>
            <w:tcW w:type="dxa" w:w="2045"/>
          </w:tcPr>
          <w:p>
            <w:pPr>
              <w:spacing w:after="0"/>
            </w:pPr>
            <w:r>
              <w:rPr>
                <w:rFonts w:ascii="Arial" w:hAnsi="Arial"/>
                <w:b w:val="0"/>
                <w:sz w:val="14"/>
              </w:rPr>
              <w:t>Baselines are internal analytical tools; they do not prove legal compliance or regulatory approval</w:t>
            </w:r>
          </w:p>
        </w:tc>
      </w:tr>
      <w:tr>
        <w:tc>
          <w:tcPr>
            <w:tcW w:type="dxa" w:w="2045"/>
          </w:tcPr>
          <w:p>
            <w:pPr>
              <w:spacing w:after="0"/>
            </w:pPr>
            <w:r>
              <w:rPr>
                <w:rFonts w:ascii="Arial" w:hAnsi="Arial"/>
                <w:b w:val="0"/>
                <w:sz w:val="14"/>
              </w:rPr>
              <w:t>System evaluation</w:t>
            </w:r>
          </w:p>
        </w:tc>
        <w:tc>
          <w:tcPr>
            <w:tcW w:type="dxa" w:w="2045"/>
          </w:tcPr>
          <w:p>
            <w:pPr>
              <w:spacing w:after="0"/>
            </w:pPr>
            <w:r>
              <w:rPr>
                <w:rFonts w:ascii="Arial" w:hAnsi="Arial"/>
                <w:b w:val="0"/>
                <w:sz w:val="14"/>
              </w:rPr>
              <w:t>Helps evaluate whether a system provides regulatory compliance coverage primitives</w:t>
            </w:r>
          </w:p>
        </w:tc>
        <w:tc>
          <w:tcPr>
            <w:tcW w:type="dxa" w:w="2045"/>
          </w:tcPr>
          <w:p>
            <w:pPr>
              <w:spacing w:after="0"/>
            </w:pPr>
            <w:r>
              <w:rPr>
                <w:rFonts w:ascii="Arial" w:hAnsi="Arial"/>
                <w:b w:val="0"/>
                <w:sz w:val="14"/>
              </w:rPr>
              <w:t>Helps evaluate whether a system expresses those primitives as lifecycle responsibility objects</w:t>
            </w:r>
          </w:p>
        </w:tc>
        <w:tc>
          <w:tcPr>
            <w:tcW w:type="dxa" w:w="2045"/>
          </w:tcPr>
          <w:p>
            <w:pPr>
              <w:spacing w:after="0"/>
            </w:pPr>
            <w:r>
              <w:rPr>
                <w:rFonts w:ascii="Arial" w:hAnsi="Arial"/>
                <w:b w:val="0"/>
                <w:sz w:val="14"/>
              </w:rPr>
              <w:t>Helps evaluate whether a system provides lifecycle responsibility object primitives</w:t>
            </w:r>
          </w:p>
        </w:tc>
        <w:tc>
          <w:tcPr>
            <w:tcW w:type="dxa" w:w="2045"/>
          </w:tcPr>
          <w:p>
            <w:pPr>
              <w:spacing w:after="0"/>
            </w:pPr>
            <w:r>
              <w:rPr>
                <w:rFonts w:ascii="Arial" w:hAnsi="Arial"/>
                <w:b w:val="0"/>
                <w:sz w:val="14"/>
              </w:rPr>
              <w:t>Postures are analytical tools for system posture review (Chapters 11-12); they are not product rankings, certifications, or procurement recommendations</w:t>
            </w:r>
          </w:p>
        </w:tc>
      </w:tr>
      <w:tr>
        <w:tc>
          <w:tcPr>
            <w:tcW w:type="dxa" w:w="2045"/>
          </w:tcPr>
          <w:p>
            <w:pPr>
              <w:spacing w:after="0"/>
            </w:pPr>
            <w:r>
              <w:rPr>
                <w:rFonts w:ascii="Arial" w:hAnsi="Arial"/>
                <w:b w:val="0"/>
                <w:sz w:val="14"/>
              </w:rPr>
              <w:t>Audit readiness</w:t>
            </w:r>
          </w:p>
        </w:tc>
        <w:tc>
          <w:tcPr>
            <w:tcW w:type="dxa" w:w="2045"/>
          </w:tcPr>
          <w:p>
            <w:pPr>
              <w:spacing w:after="0"/>
            </w:pPr>
            <w:r>
              <w:rPr>
                <w:rFonts w:ascii="Arial" w:hAnsi="Arial"/>
                <w:b w:val="0"/>
                <w:sz w:val="14"/>
              </w:rPr>
              <w:t>Maps traditional dimensions to audit control objectives</w:t>
            </w:r>
          </w:p>
        </w:tc>
        <w:tc>
          <w:tcPr>
            <w:tcW w:type="dxa" w:w="2045"/>
          </w:tcPr>
          <w:p>
            <w:pPr>
              <w:spacing w:after="0"/>
            </w:pPr>
            <w:r>
              <w:rPr>
                <w:rFonts w:ascii="Arial" w:hAnsi="Arial"/>
                <w:b w:val="0"/>
                <w:sz w:val="14"/>
              </w:rPr>
              <w:t>Maps MRO-adjusted coverage to evidence objects auditors may request</w:t>
            </w:r>
          </w:p>
        </w:tc>
        <w:tc>
          <w:tcPr>
            <w:tcW w:type="dxa" w:w="2045"/>
          </w:tcPr>
          <w:p>
            <w:pPr>
              <w:spacing w:after="0"/>
            </w:pPr>
            <w:r>
              <w:rPr>
                <w:rFonts w:ascii="Arial" w:hAnsi="Arial"/>
                <w:b w:val="0"/>
                <w:sz w:val="14"/>
              </w:rPr>
              <w:t>Maps lifecycle responsibility objects to evidence reconstruction needs</w:t>
            </w:r>
          </w:p>
        </w:tc>
        <w:tc>
          <w:tcPr>
            <w:tcW w:type="dxa" w:w="2045"/>
          </w:tcPr>
          <w:p>
            <w:pPr>
              <w:spacing w:after="0"/>
            </w:pPr>
            <w:r>
              <w:rPr>
                <w:rFonts w:ascii="Arial" w:hAnsi="Arial"/>
                <w:b w:val="0"/>
                <w:sz w:val="14"/>
              </w:rPr>
              <w:t>Scores help prepare for audit but do not replace audit opinions, assurance reports, or legal compliance determinations</w:t>
            </w:r>
          </w:p>
        </w:tc>
      </w:tr>
      <w:tr>
        <w:tc>
          <w:tcPr>
            <w:tcW w:type="dxa" w:w="2045"/>
          </w:tcPr>
          <w:p>
            <w:pPr>
              <w:spacing w:after="0"/>
            </w:pPr>
            <w:r>
              <w:rPr>
                <w:rFonts w:ascii="Arial" w:hAnsi="Arial"/>
                <w:b w:val="0"/>
                <w:sz w:val="14"/>
              </w:rPr>
              <w:t>Evidence-based validation</w:t>
            </w:r>
          </w:p>
        </w:tc>
        <w:tc>
          <w:tcPr>
            <w:tcW w:type="dxa" w:w="2045"/>
          </w:tcPr>
          <w:p>
            <w:pPr>
              <w:spacing w:after="0"/>
            </w:pPr>
            <w:r>
              <w:rPr>
                <w:rFonts w:ascii="Arial" w:hAnsi="Arial"/>
                <w:b w:val="0"/>
                <w:sz w:val="14"/>
              </w:rPr>
              <w:t>Identifies what regulatory compliance evidence should be validated</w:t>
            </w:r>
          </w:p>
        </w:tc>
        <w:tc>
          <w:tcPr>
            <w:tcW w:type="dxa" w:w="2045"/>
          </w:tcPr>
          <w:p>
            <w:pPr>
              <w:spacing w:after="0"/>
            </w:pPr>
            <w:r>
              <w:rPr>
                <w:rFonts w:ascii="Arial" w:hAnsi="Arial"/>
                <w:b w:val="0"/>
                <w:sz w:val="14"/>
              </w:rPr>
              <w:t>Identifies what MRO-adjusted coverage should be validated</w:t>
            </w:r>
          </w:p>
        </w:tc>
        <w:tc>
          <w:tcPr>
            <w:tcW w:type="dxa" w:w="2045"/>
          </w:tcPr>
          <w:p>
            <w:pPr>
              <w:spacing w:after="0"/>
            </w:pPr>
            <w:r>
              <w:rPr>
                <w:rFonts w:ascii="Arial" w:hAnsi="Arial"/>
                <w:b w:val="0"/>
                <w:sz w:val="14"/>
              </w:rPr>
              <w:t>Identifies what lifecycle responsibility objects should be validated</w:t>
            </w:r>
          </w:p>
        </w:tc>
        <w:tc>
          <w:tcPr>
            <w:tcW w:type="dxa" w:w="2045"/>
          </w:tcPr>
          <w:p>
            <w:pPr>
              <w:spacing w:after="0"/>
            </w:pPr>
            <w:r>
              <w:rPr>
                <w:rFonts w:ascii="Arial" w:hAnsi="Arial"/>
                <w:b w:val="0"/>
                <w:sz w:val="14"/>
              </w:rPr>
              <w:t>Scores help scope validation but do not replace validation protocols, validation providers, or validation results</w:t>
            </w:r>
          </w:p>
        </w:tc>
      </w:tr>
      <w:tr>
        <w:tc>
          <w:tcPr>
            <w:tcW w:type="dxa" w:w="2045"/>
          </w:tcPr>
          <w:p>
            <w:pPr>
              <w:spacing w:after="0"/>
            </w:pPr>
            <w:r>
              <w:rPr>
                <w:rFonts w:ascii="Arial" w:hAnsi="Arial"/>
                <w:b w:val="0"/>
                <w:sz w:val="14"/>
              </w:rPr>
              <w:t>Continuous improvement</w:t>
            </w:r>
          </w:p>
        </w:tc>
        <w:tc>
          <w:tcPr>
            <w:tcW w:type="dxa" w:w="2045"/>
          </w:tcPr>
          <w:p>
            <w:pPr>
              <w:spacing w:after="0"/>
            </w:pPr>
            <w:r>
              <w:rPr>
                <w:rFonts w:ascii="Arial" w:hAnsi="Arial"/>
                <w:b w:val="0"/>
                <w:sz w:val="14"/>
              </w:rPr>
              <w:t>Monitors regulatory compliance coverage over time</w:t>
            </w:r>
          </w:p>
        </w:tc>
        <w:tc>
          <w:tcPr>
            <w:tcW w:type="dxa" w:w="2045"/>
          </w:tcPr>
          <w:p>
            <w:pPr>
              <w:spacing w:after="0"/>
            </w:pPr>
            <w:r>
              <w:rPr>
                <w:rFonts w:ascii="Arial" w:hAnsi="Arial"/>
                <w:b w:val="0"/>
                <w:sz w:val="14"/>
              </w:rPr>
              <w:t>Monitors whether coverage is becoming more lifecycle-object expressible</w:t>
            </w:r>
          </w:p>
        </w:tc>
        <w:tc>
          <w:tcPr>
            <w:tcW w:type="dxa" w:w="2045"/>
          </w:tcPr>
          <w:p>
            <w:pPr>
              <w:spacing w:after="0"/>
            </w:pPr>
            <w:r>
              <w:rPr>
                <w:rFonts w:ascii="Arial" w:hAnsi="Arial"/>
                <w:b w:val="0"/>
                <w:sz w:val="14"/>
              </w:rPr>
              <w:t>Monitors lifecycle responsibility object maturity over time</w:t>
            </w:r>
          </w:p>
        </w:tc>
        <w:tc>
          <w:tcPr>
            <w:tcW w:type="dxa" w:w="2045"/>
          </w:tcPr>
          <w:p>
            <w:pPr>
              <w:spacing w:after="0"/>
            </w:pPr>
            <w:r>
              <w:rPr>
                <w:rFonts w:ascii="Arial" w:hAnsi="Arial"/>
                <w:b w:val="0"/>
                <w:sz w:val="14"/>
              </w:rPr>
              <w:t>Scores are monitoring tools, not legal compliance scores; continuous improvement requires organizational governance, not just scoring</w:t>
            </w:r>
          </w:p>
        </w:tc>
      </w:tr>
    </w:tbl>
    <w:p>
      <w:pPr>
        <w:spacing w:after="56"/>
      </w:pPr>
      <w:r>
        <w:t>Interpretation: RCCS-T, RCCS-M, and ALCS are analytical tools that help enterprises measure progress and identify gaps. They are not legal compliance scores, certifications, or regulatory approvals. RCCS-M is author analytical and forward-looking, not current law or a regulator-approved benchmark. Enterprises should use RCCS-T/RCCS-M/ALCS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RCCS-T/RCCS-M/ALCS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RCCS-T/RCCS-M/ALCS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RCCS-T, RCCS-M,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RCCS-T / RCCS-M — Traditional and MRO-Adjusted Regulatory Compliance Coverage Scores (Chapter 7)</w:t>
            </w:r>
          </w:p>
        </w:tc>
        <w:tc>
          <w:tcPr>
            <w:tcW w:type="dxa" w:w="2556"/>
          </w:tcPr>
          <w:p>
            <w:pPr>
              <w:spacing w:after="0"/>
            </w:pPr>
            <w:r>
              <w:rPr>
                <w:rFonts w:ascii="Arial" w:hAnsi="Arial"/>
                <w:b w:val="0"/>
                <w:sz w:val="14"/>
              </w:rPr>
              <w:t>Distinguish existing regulatory/governance coverage from MRO-adjusted regulatory coverage</w:t>
            </w:r>
          </w:p>
        </w:tc>
        <w:tc>
          <w:tcPr>
            <w:tcW w:type="dxa" w:w="2556"/>
          </w:tcPr>
          <w:p>
            <w:pPr>
              <w:spacing w:after="0"/>
            </w:pPr>
            <w:r>
              <w:rPr>
                <w:rFonts w:ascii="Arial" w:hAnsi="Arial"/>
                <w:b w:val="0"/>
                <w:sz w:val="14"/>
              </w:rPr>
              <w:t>Enterprises can use RCCS-T to identify traditional governance coverage gaps and RCCS-M to test whether obligations can be expressed through lifecycle responsibility objects</w:t>
            </w:r>
          </w:p>
        </w:tc>
        <w:tc>
          <w:tcPr>
            <w:tcW w:type="dxa" w:w="2556"/>
          </w:tcPr>
          <w:p>
            <w:pPr>
              <w:spacing w:after="0"/>
            </w:pPr>
            <w:r>
              <w:rPr>
                <w:rFonts w:ascii="Arial" w:hAnsi="Arial"/>
                <w:b w:val="0"/>
                <w:sz w:val="14"/>
              </w:rPr>
              <w:t>RCCS-T and RCCS-M are analytical tools, not legal compliance scores; RCCS-M is author analytical and not current law, certification, regulator-approved benchmark, or procurement recommendation</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categories by RCCS-T/RCCS-M/ALCS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RCCS-T/RCCS-M/ALCS measure coverage and conformance gaps</w:t>
            </w:r>
          </w:p>
        </w:tc>
        <w:tc>
          <w:tcPr>
            <w:tcW w:type="dxa" w:w="3408"/>
          </w:tcPr>
          <w:p>
            <w:pPr>
              <w:spacing w:after="0"/>
            </w:pPr>
            <w:r>
              <w:rPr>
                <w:rFonts w:ascii="Arial" w:hAnsi="Arial"/>
                <w:b w:val="0"/>
                <w:sz w:val="14"/>
              </w:rPr>
              <w:t>This paper proves legal compliance; high RCCS-T/RCCS-M/ALCS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RCCS-T/RCCS-M/ALCS as analytical tools; evidence-based validation can support qualified review</w:t>
            </w:r>
          </w:p>
        </w:tc>
        <w:tc>
          <w:tcPr>
            <w:tcW w:type="dxa" w:w="3408"/>
          </w:tcPr>
          <w:p>
            <w:pPr>
              <w:spacing w:after="0"/>
            </w:pPr>
            <w:r>
              <w:rPr>
                <w:rFonts w:ascii="Arial" w:hAnsi="Arial"/>
                <w:b w:val="0"/>
                <w:sz w:val="14"/>
              </w:rPr>
              <w:t>This paper is a certification program; RCCS-T/RCCS-M/ALCS issue compliance certificates; Validation Lab is a certification authority; this paper issues system or organization certificates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RCCS-T/RCCS-M/ALCS;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with limited RCCS-T product-platform coverage and strong author-analytical RCCS-M/ALCS mapping where protocol semantics express lifecycle responsibility objects</w:t>
            </w:r>
          </w:p>
        </w:tc>
        <w:tc>
          <w:tcPr>
            <w:tcW w:type="dxa" w:w="3408"/>
          </w:tcPr>
          <w:p>
            <w:pPr>
              <w:spacing w:after="0"/>
            </w:pPr>
            <w:r>
              <w:rPr>
                <w:rFonts w:ascii="Arial" w:hAnsi="Arial"/>
                <w:b w:val="0"/>
                <w:sz w:val="14"/>
              </w:rPr>
              <w:t>MPLP is required for compliance; MPLP is the only correct path; MPLP issues compliance certificates; MPLP is regulator-approved; MPLP proves legal compliance; MPLP is superior to other systems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issues compliance certificates;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RCCS-T/RCCS-M/ALCS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This paper does not merely compare current AI governance systems. It proposes that agentic and MAS compliance requires a new regulatory object layer: RCCS-T names traditional regulatory coverage; MRO names the missing lifecycle responsibility object layer; RCCS-M names MRO-adjusted regulatory coverage; ALCS names lifecycle conformance. Together, they show why future AI agent compliance must move from model compliance to lifecycle responsibility compliance.</w:t>
      </w:r>
    </w:p>
    <w:p>
      <w:pPr>
        <w:spacing w:after="56"/>
      </w:pPr>
      <w:r>
        <w:t>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RCCS-T / RCCS-M / ALCS scorecard templates for system evaluation and gap analysis. These templates are analytical tools, not legal compliance scores, certifications, or regulatory approvals. The three-profile view is primary; optional composite views are worksheet aids only.</w:t>
      </w:r>
    </w:p>
    <w:p>
      <w:pPr>
        <w:spacing w:after="56"/>
      </w:pPr>
      <w:r>
        <w:t>Boundary statement:</w:t>
      </w:r>
    </w:p>
    <w:p>
      <w:pPr>
        <w:pStyle w:val="ListBullet"/>
        <w:spacing w:after="56"/>
      </w:pPr>
      <w:r>
        <w:t>Scorecards are analytical tools only. RCCS-T measures traditional regulatory compliance coverage, RCCS-M measures MRO-adjusted regulatory coverage, and ALCS measures lifecycle responsibility object maturity. They do not prove legal compliance, regulatory approval, or certification.</w:t>
      </w:r>
    </w:p>
    <w:p>
      <w:pPr>
        <w:pStyle w:val="ListBullet"/>
        <w:spacing w:after="56"/>
      </w:pPr>
      <w:r>
        <w:t>High scores do not guarantee compliance. A high RCCS-T, RCCS-M,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RCCS-T, RCCS-M, or ALCS score indicates gaps in traditional regulatory coverage, MRO-adjusted coverage, or lifecycle responsibility object maturity. It does not prove that the system is non-compliant, unsafe, or unsuitable for deployment.</w:t>
      </w:r>
    </w:p>
    <w:p>
      <w:pPr>
        <w:pStyle w:val="ListBullet"/>
        <w:spacing w:after="56"/>
      </w:pPr>
      <w:r>
        <w:t>Scores are context-independent. RCCS-T, RCCS-M,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RCCS-T, RCCS-M, and ALCS dimensions.</w:t>
      </w:r>
    </w:p>
    <w:p>
      <w:pPr>
        <w:spacing w:after="56"/>
      </w:pPr>
      <w:r>
        <w:t>RCCS-T and RCCS-M use the same dimension family but different scoring lenses. Scorecards should retain both values where evidence permits: RCCS-T for traditional governance/control coverage, RCCS-M for MRO-adjusted lifecycle responsibility object expression. The justification field should state which lens is being scored and whether the evidence supports the lens directly or only through analytical inference.</w:t>
      </w:r>
    </w:p>
    <w:p>
      <w:pPr>
        <w:keepNext/>
      </w:pPr>
      <w:r>
        <w:rPr>
          <w:b/>
          <w:sz w:val="16"/>
        </w:rPr>
        <w:t>Table T-B-01: RCCS-T / RCCS-M / ALCS Dimension Scorecard Template</w:t>
      </w:r>
    </w:p>
    <w:tbl>
      <w:tblPr>
        <w:tblStyle w:val="TableGrid"/>
        <w:tblW w:type="auto" w:w="0"/>
        <w:tblLayout w:type="autofit"/>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pPr>
            <w:r>
              <w:rPr>
                <w:rFonts w:ascii="Arial" w:hAnsi="Arial"/>
                <w:b/>
                <w:sz w:val="12"/>
              </w:rPr>
              <w:t>System</w:t>
            </w:r>
          </w:p>
        </w:tc>
        <w:tc>
          <w:tcPr>
            <w:tcW w:type="dxa" w:w="1022"/>
          </w:tcPr>
          <w:p>
            <w:pPr>
              <w:spacing w:after="0"/>
            </w:pPr>
            <w:r>
              <w:rPr>
                <w:rFonts w:ascii="Arial" w:hAnsi="Arial"/>
                <w:b/>
                <w:sz w:val="12"/>
              </w:rPr>
              <w:t>Profile / Lens</w:t>
            </w:r>
          </w:p>
        </w:tc>
        <w:tc>
          <w:tcPr>
            <w:tcW w:type="dxa" w:w="1022"/>
          </w:tcPr>
          <w:p>
            <w:pPr>
              <w:spacing w:after="0"/>
            </w:pPr>
            <w:r>
              <w:rPr>
                <w:rFonts w:ascii="Arial" w:hAnsi="Arial"/>
                <w:b/>
                <w:sz w:val="12"/>
              </w:rPr>
              <w:t>Dimension</w:t>
            </w:r>
          </w:p>
        </w:tc>
        <w:tc>
          <w:tcPr>
            <w:tcW w:type="dxa" w:w="1022"/>
          </w:tcPr>
          <w:p>
            <w:pPr>
              <w:spacing w:after="0"/>
            </w:pPr>
            <w:r>
              <w:rPr>
                <w:rFonts w:ascii="Arial" w:hAnsi="Arial"/>
                <w:b/>
                <w:sz w:val="12"/>
              </w:rPr>
              <w:t>Raw Score 0-5</w:t>
            </w:r>
          </w:p>
        </w:tc>
        <w:tc>
          <w:tcPr>
            <w:tcW w:type="dxa" w:w="1022"/>
          </w:tcPr>
          <w:p>
            <w:pPr>
              <w:spacing w:after="0"/>
            </w:pPr>
            <w:r>
              <w:rPr>
                <w:rFonts w:ascii="Arial" w:hAnsi="Arial"/>
                <w:b/>
                <w:sz w:val="12"/>
              </w:rPr>
              <w:t>Evidence Level</w:t>
            </w:r>
          </w:p>
        </w:tc>
        <w:tc>
          <w:tcPr>
            <w:tcW w:type="dxa" w:w="1022"/>
          </w:tcPr>
          <w:p>
            <w:pPr>
              <w:spacing w:after="0"/>
            </w:pPr>
            <w:r>
              <w:rPr>
                <w:rFonts w:ascii="Arial" w:hAnsi="Arial"/>
                <w:b/>
                <w:sz w:val="12"/>
              </w:rPr>
              <w:t>Multiplier</w:t>
            </w:r>
          </w:p>
        </w:tc>
        <w:tc>
          <w:tcPr>
            <w:tcW w:type="dxa" w:w="1022"/>
          </w:tcPr>
          <w:p>
            <w:pPr>
              <w:spacing w:after="0"/>
            </w:pPr>
            <w:r>
              <w:rPr>
                <w:rFonts w:ascii="Arial" w:hAnsi="Arial"/>
                <w:b/>
                <w:sz w:val="12"/>
              </w:rPr>
              <w:t>Adjusted Score</w:t>
            </w:r>
          </w:p>
        </w:tc>
        <w:tc>
          <w:tcPr>
            <w:tcW w:type="dxa" w:w="1022"/>
          </w:tcPr>
          <w:p>
            <w:pPr>
              <w:spacing w:after="0"/>
            </w:pPr>
            <w:r>
              <w:rPr>
                <w:rFonts w:ascii="Arial" w:hAnsi="Arial"/>
                <w:b/>
                <w:sz w:val="12"/>
              </w:rPr>
              <w:t>Justification</w:t>
            </w:r>
          </w:p>
        </w:tc>
        <w:tc>
          <w:tcPr>
            <w:tcW w:type="dxa" w:w="1022"/>
          </w:tcPr>
          <w:p>
            <w:pPr>
              <w:spacing w:after="0"/>
            </w:pPr>
            <w:r>
              <w:rPr>
                <w:rFonts w:ascii="Arial" w:hAnsi="Arial"/>
                <w:b/>
                <w:sz w:val="12"/>
              </w:rPr>
              <w:t>Score-Delta Note</w:t>
            </w:r>
          </w:p>
        </w:tc>
        <w:tc>
          <w:tcPr>
            <w:tcW w:type="dxa" w:w="1022"/>
          </w:tcPr>
          <w:p>
            <w:pPr>
              <w:spacing w:after="0"/>
            </w:pPr>
            <w:r>
              <w:rPr>
                <w:rFonts w:ascii="Arial" w:hAnsi="Arial"/>
                <w:b/>
                <w:sz w:val="12"/>
              </w:rPr>
              <w:t>Boundary Note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4</w:t>
            </w:r>
          </w:p>
        </w:tc>
        <w:tc>
          <w:tcPr>
            <w:tcW w:type="dxa" w:w="1022"/>
          </w:tcPr>
          <w:p>
            <w:pPr>
              <w:spacing w:after="0"/>
            </w:pPr>
            <w:r>
              <w:rPr>
                <w:rFonts w:ascii="Arial" w:hAnsi="Arial"/>
                <w:b w:val="0"/>
                <w:sz w:val="12"/>
              </w:rPr>
              <w:t>L2: Product Docs</w:t>
            </w:r>
          </w:p>
        </w:tc>
        <w:tc>
          <w:tcPr>
            <w:tcW w:type="dxa" w:w="1022"/>
          </w:tcPr>
          <w:p>
            <w:pPr>
              <w:spacing w:after="0"/>
            </w:pPr>
            <w:r>
              <w:rPr>
                <w:rFonts w:ascii="Arial" w:hAnsi="Arial"/>
                <w:b w:val="0"/>
                <w:sz w:val="12"/>
              </w:rPr>
              <w:t>0.85</w:t>
            </w:r>
          </w:p>
        </w:tc>
        <w:tc>
          <w:tcPr>
            <w:tcW w:type="dxa" w:w="1022"/>
          </w:tcPr>
          <w:p>
            <w:pPr>
              <w:spacing w:after="0"/>
            </w:pPr>
            <w:r>
              <w:rPr>
                <w:rFonts w:ascii="Arial" w:hAnsi="Arial"/>
                <w:b w:val="0"/>
                <w:sz w:val="12"/>
              </w:rPr>
              <w:t>68.0</w:t>
            </w:r>
          </w:p>
        </w:tc>
        <w:tc>
          <w:tcPr>
            <w:tcW w:type="dxa" w:w="1022"/>
          </w:tcPr>
          <w:p>
            <w:pPr>
              <w:spacing w:after="0"/>
            </w:pPr>
            <w:r>
              <w:rPr>
                <w:rFonts w:ascii="Arial" w:hAnsi="Arial"/>
                <w:b w:val="0"/>
                <w:sz w:val="12"/>
              </w:rPr>
              <w:t>System provides audit trail API and log export capability documented in official product docs</w:t>
            </w:r>
          </w:p>
        </w:tc>
        <w:tc>
          <w:tcPr>
            <w:tcW w:type="dxa" w:w="1022"/>
          </w:tcPr>
          <w:p>
            <w:pPr>
              <w:spacing w:after="0"/>
            </w:pPr>
            <w:r>
              <w:rPr>
                <w:rFonts w:ascii="Arial" w:hAnsi="Arial"/>
                <w:b w:val="0"/>
                <w:sz w:val="12"/>
              </w:rPr>
              <w:t>Strong traditional record-keeping surface</w:t>
            </w:r>
          </w:p>
        </w:tc>
        <w:tc>
          <w:tcPr>
            <w:tcW w:type="dxa" w:w="1022"/>
          </w:tcPr>
          <w:p>
            <w:pPr>
              <w:spacing w:after="0"/>
            </w:pPr>
            <w:r>
              <w:rPr>
                <w:rFonts w:ascii="Arial" w:hAnsi="Arial"/>
                <w:b w:val="0"/>
                <w:sz w:val="12"/>
              </w:rPr>
              <w:t>Score measures capability, not organizational practice; does not prove legal compliance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RCCS-M</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L5: Author Inference</w:t>
            </w:r>
          </w:p>
        </w:tc>
        <w:tc>
          <w:tcPr>
            <w:tcW w:type="dxa" w:w="1022"/>
          </w:tcPr>
          <w:p>
            <w:pPr>
              <w:spacing w:after="0"/>
            </w:pPr>
            <w:r>
              <w:rPr>
                <w:rFonts w:ascii="Arial" w:hAnsi="Arial"/>
                <w:b w:val="0"/>
                <w:sz w:val="12"/>
              </w:rPr>
              <w:t>0.35</w:t>
            </w:r>
          </w:p>
        </w:tc>
        <w:tc>
          <w:tcPr>
            <w:tcW w:type="dxa" w:w="1022"/>
          </w:tcPr>
          <w:p>
            <w:pPr>
              <w:spacing w:after="0"/>
            </w:pPr>
            <w:r>
              <w:rPr>
                <w:rFonts w:ascii="Arial" w:hAnsi="Arial"/>
                <w:b w:val="0"/>
                <w:sz w:val="12"/>
              </w:rPr>
              <w:t>14.0</w:t>
            </w:r>
          </w:p>
        </w:tc>
        <w:tc>
          <w:tcPr>
            <w:tcW w:type="dxa" w:w="1022"/>
          </w:tcPr>
          <w:p>
            <w:pPr>
              <w:spacing w:after="0"/>
            </w:pPr>
            <w:r>
              <w:rPr>
                <w:rFonts w:ascii="Arial" w:hAnsi="Arial"/>
                <w:b w:val="0"/>
                <w:sz w:val="12"/>
              </w:rPr>
              <w:t>Public evidence does not show records partitioned by role, authority boundary, agent/tool action, privacy boundary, and accepted outcome</w:t>
            </w:r>
          </w:p>
        </w:tc>
        <w:tc>
          <w:tcPr>
            <w:tcW w:type="dxa" w:w="1022"/>
          </w:tcPr>
          <w:p>
            <w:pPr>
              <w:spacing w:after="0"/>
            </w:pPr>
            <w:r>
              <w:rPr>
                <w:rFonts w:ascii="Arial" w:hAnsi="Arial"/>
                <w:b w:val="0"/>
                <w:sz w:val="12"/>
              </w:rPr>
              <w:t>Traditional logs do not automatically satisfy MRO evidence partitioning</w:t>
            </w:r>
          </w:p>
        </w:tc>
        <w:tc>
          <w:tcPr>
            <w:tcW w:type="dxa" w:w="1022"/>
          </w:tcPr>
          <w:p>
            <w:pPr>
              <w:spacing w:after="0"/>
            </w:pPr>
            <w:r>
              <w:rPr>
                <w:rFonts w:ascii="Arial" w:hAnsi="Arial"/>
                <w:b w:val="0"/>
                <w:sz w:val="12"/>
              </w:rPr>
              <w:t>RCCS-M is author analytical where object semantics are inferred</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ALCS</w:t>
            </w:r>
          </w:p>
        </w:tc>
        <w:tc>
          <w:tcPr>
            <w:tcW w:type="dxa" w:w="1022"/>
          </w:tcPr>
          <w:p>
            <w:pPr>
              <w:spacing w:after="0"/>
            </w:pPr>
            <w:r>
              <w:rPr>
                <w:rFonts w:ascii="Arial" w:hAnsi="Arial"/>
                <w:b w:val="0"/>
                <w:sz w:val="12"/>
              </w:rPr>
              <w:t>ALCS-02: Delegated Authority Boundary</w:t>
            </w:r>
          </w:p>
        </w:tc>
        <w:tc>
          <w:tcPr>
            <w:tcW w:type="dxa" w:w="1022"/>
          </w:tcPr>
          <w:p>
            <w:pPr>
              <w:spacing w:after="0"/>
            </w:pPr>
            <w:r>
              <w:rPr>
                <w:rFonts w:ascii="Arial" w:hAnsi="Arial"/>
                <w:b w:val="0"/>
                <w:sz w:val="12"/>
              </w:rPr>
              <w:t>3</w:t>
            </w:r>
          </w:p>
        </w:tc>
        <w:tc>
          <w:tcPr>
            <w:tcW w:type="dxa" w:w="1022"/>
          </w:tcPr>
          <w:p>
            <w:pPr>
              <w:spacing w:after="0"/>
            </w:pPr>
            <w:r>
              <w:rPr>
                <w:rFonts w:ascii="Arial" w:hAnsi="Arial"/>
                <w:b w:val="0"/>
                <w:sz w:val="12"/>
              </w:rPr>
              <w:t>L3: Audit Report</w:t>
            </w:r>
          </w:p>
        </w:tc>
        <w:tc>
          <w:tcPr>
            <w:tcW w:type="dxa" w:w="1022"/>
          </w:tcPr>
          <w:p>
            <w:pPr>
              <w:spacing w:after="0"/>
            </w:pPr>
            <w:r>
              <w:rPr>
                <w:rFonts w:ascii="Arial" w:hAnsi="Arial"/>
                <w:b w:val="0"/>
                <w:sz w:val="12"/>
              </w:rPr>
              <w:t>0.75</w:t>
            </w:r>
          </w:p>
        </w:tc>
        <w:tc>
          <w:tcPr>
            <w:tcW w:type="dxa" w:w="1022"/>
          </w:tcPr>
          <w:p>
            <w:pPr>
              <w:spacing w:after="0"/>
            </w:pPr>
            <w:r>
              <w:rPr>
                <w:rFonts w:ascii="Arial" w:hAnsi="Arial"/>
                <w:b w:val="0"/>
                <w:sz w:val="12"/>
              </w:rPr>
              <w:t>45.0</w:t>
            </w:r>
          </w:p>
        </w:tc>
        <w:tc>
          <w:tcPr>
            <w:tcW w:type="dxa" w:w="1022"/>
          </w:tcPr>
          <w:p>
            <w:pPr>
              <w:spacing w:after="0"/>
            </w:pPr>
            <w:r>
              <w:rPr>
                <w:rFonts w:ascii="Arial" w:hAnsi="Arial"/>
                <w:b w:val="0"/>
                <w:sz w:val="12"/>
              </w:rPr>
              <w:t>System supports authority grant records and boundary violation alerts per third-party audit report</w:t>
            </w:r>
          </w:p>
        </w:tc>
        <w:tc>
          <w:tcPr>
            <w:tcW w:type="dxa" w:w="1022"/>
          </w:tcPr>
          <w:p>
            <w:pPr>
              <w:spacing w:after="0"/>
            </w:pPr>
            <w:r>
              <w:rPr>
                <w:rFonts w:ascii="Arial" w:hAnsi="Arial"/>
                <w:b w:val="0"/>
                <w:sz w:val="12"/>
              </w:rPr>
              <w:t>Lifecycle conformance differs from RCCS-M regulatory coverage</w:t>
            </w:r>
          </w:p>
        </w:tc>
        <w:tc>
          <w:tcPr>
            <w:tcW w:type="dxa" w:w="1022"/>
          </w:tcPr>
          <w:p>
            <w:pPr>
              <w:spacing w:after="0"/>
            </w:pPr>
            <w:r>
              <w:rPr>
                <w:rFonts w:ascii="Arial" w:hAnsi="Arial"/>
                <w:b w:val="0"/>
                <w:sz w:val="12"/>
              </w:rPr>
              <w:t>Score measures capability, not operational enforcement; does not prove regulatory approval</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RCCS-06: Human Oversight</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L4: Vendor Claim</w:t>
            </w:r>
          </w:p>
        </w:tc>
        <w:tc>
          <w:tcPr>
            <w:tcW w:type="dxa" w:w="1022"/>
          </w:tcPr>
          <w:p>
            <w:pPr>
              <w:spacing w:after="0"/>
            </w:pPr>
            <w:r>
              <w:rPr>
                <w:rFonts w:ascii="Arial" w:hAnsi="Arial"/>
                <w:b w:val="0"/>
                <w:sz w:val="12"/>
              </w:rPr>
              <w:t>0.55</w:t>
            </w:r>
          </w:p>
        </w:tc>
        <w:tc>
          <w:tcPr>
            <w:tcW w:type="dxa" w:w="1022"/>
          </w:tcPr>
          <w:p>
            <w:pPr>
              <w:spacing w:after="0"/>
            </w:pPr>
            <w:r>
              <w:rPr>
                <w:rFonts w:ascii="Arial" w:hAnsi="Arial"/>
                <w:b w:val="0"/>
                <w:sz w:val="12"/>
              </w:rPr>
              <w:t>22.0</w:t>
            </w:r>
          </w:p>
        </w:tc>
        <w:tc>
          <w:tcPr>
            <w:tcW w:type="dxa" w:w="1022"/>
          </w:tcPr>
          <w:p>
            <w:pPr>
              <w:spacing w:after="0"/>
            </w:pPr>
            <w:r>
              <w:rPr>
                <w:rFonts w:ascii="Arial" w:hAnsi="Arial"/>
                <w:b w:val="0"/>
                <w:sz w:val="12"/>
              </w:rPr>
              <w:t>Vendor claims human-in-the-loop capability but no public documentation or audit evidence</w:t>
            </w:r>
          </w:p>
        </w:tc>
        <w:tc>
          <w:tcPr>
            <w:tcW w:type="dxa" w:w="1022"/>
          </w:tcPr>
          <w:p>
            <w:pPr>
              <w:spacing w:after="0"/>
            </w:pPr>
            <w:r>
              <w:rPr>
                <w:rFonts w:ascii="Arial" w:hAnsi="Arial"/>
                <w:b w:val="0"/>
                <w:sz w:val="12"/>
              </w:rPr>
              <w:t>Weak evidence limits both RCCS-T and RCCS-M confidence</w:t>
            </w:r>
          </w:p>
        </w:tc>
        <w:tc>
          <w:tcPr>
            <w:tcW w:type="dxa" w:w="1022"/>
          </w:tcPr>
          <w:p>
            <w:pPr>
              <w:spacing w:after="0"/>
            </w:pPr>
            <w:r>
              <w:rPr>
                <w:rFonts w:ascii="Arial" w:hAnsi="Arial"/>
                <w:b w:val="0"/>
                <w:sz w:val="12"/>
              </w:rPr>
              <w:t>Score reflects vendor claim only; requires validation; does not prove human oversight is operational</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profile_lens: RCCS-T</w:t>
        <w:br/>
        <w:t>raw_score: 4</w:t>
        <w:br/>
        <w:t>evidence_level: L2</w:t>
        <w:br/>
        <w:t>multiplier: 0.85</w:t>
        <w:br/>
        <w:t>adjusted_score: 68.0  # (4/5) × 100 × 0.85</w:t>
        <w:br/>
        <w:t>justification: "System provides audit trail API and log export capability documented in official product docs"</w:t>
        <w:br/>
        <w:t>score_delta_note: "RCCS-M may be lower unless records are partitioned by authority, agent/tool action, evidence pointer, privacy boundary, and accepted outcome"</w:t>
        <w:br/>
        <w:t>boundary_note: "Score measures capability, not organizational practice; does not prove legal compliance"</w:t>
      </w:r>
    </w:p>
    <w:p>
      <w:pPr>
        <w:pStyle w:val="Heading2"/>
      </w:pPr>
      <w:r>
        <w:t>B.3 Three-Profile and Optional Composite Template</w:t>
      </w:r>
    </w:p>
    <w:p>
      <w:pPr>
        <w:spacing w:after="56"/>
      </w:pPr>
      <w:r>
        <w:t>The following template supports the primary three-profile view and optional composite calculations. A single composite score should not be used as the main result display because it can hide the difference between traditional governance coverage and MRO-adjusted lifecycle coverage.</w:t>
      </w:r>
    </w:p>
    <w:p>
      <w:pPr>
        <w:keepNext/>
      </w:pPr>
      <w:r>
        <w:rPr>
          <w:b/>
          <w:sz w:val="16"/>
        </w:rPr>
        <w:t>Table T-B-02: Three-Profile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RCCS-T 0-100</w:t>
            </w:r>
          </w:p>
        </w:tc>
        <w:tc>
          <w:tcPr>
            <w:tcW w:type="dxa" w:w="1461"/>
          </w:tcPr>
          <w:p>
            <w:pPr>
              <w:spacing w:after="0"/>
            </w:pPr>
            <w:r>
              <w:rPr>
                <w:rFonts w:ascii="Arial" w:hAnsi="Arial"/>
                <w:b/>
                <w:sz w:val="12"/>
              </w:rPr>
              <w:t>RCCS-M 0-100</w:t>
            </w:r>
          </w:p>
        </w:tc>
        <w:tc>
          <w:tcPr>
            <w:tcW w:type="dxa" w:w="1461"/>
          </w:tcPr>
          <w:p>
            <w:pPr>
              <w:spacing w:after="0"/>
            </w:pPr>
            <w:r>
              <w:rPr>
                <w:rFonts w:ascii="Arial" w:hAnsi="Arial"/>
                <w:b/>
                <w:sz w:val="12"/>
              </w:rPr>
              <w:t>ALCS 0-100</w:t>
            </w:r>
          </w:p>
        </w:tc>
        <w:tc>
          <w:tcPr>
            <w:tcW w:type="dxa" w:w="1461"/>
          </w:tcPr>
          <w:p>
            <w:pPr>
              <w:spacing w:after="0"/>
            </w:pPr>
            <w:r>
              <w:rPr>
                <w:rFonts w:ascii="Arial" w:hAnsi="Arial"/>
                <w:b/>
                <w:sz w:val="12"/>
              </w:rPr>
              <w:t>Optional Traditional Composite</w:t>
            </w:r>
          </w:p>
        </w:tc>
        <w:tc>
          <w:tcPr>
            <w:tcW w:type="dxa" w:w="1461"/>
          </w:tcPr>
          <w:p>
            <w:pPr>
              <w:spacing w:after="0"/>
            </w:pPr>
            <w:r>
              <w:rPr>
                <w:rFonts w:ascii="Arial" w:hAnsi="Arial"/>
                <w:b/>
                <w:sz w:val="12"/>
              </w:rPr>
              <w:t>Optional Agentic Composite</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61.8</w:t>
            </w:r>
          </w:p>
        </w:tc>
        <w:tc>
          <w:tcPr>
            <w:tcW w:type="dxa" w:w="1461"/>
          </w:tcPr>
          <w:p>
            <w:pPr>
              <w:spacing w:after="0"/>
            </w:pPr>
            <w:r>
              <w:rPr>
                <w:rFonts w:ascii="Arial" w:hAnsi="Arial"/>
                <w:b w:val="0"/>
                <w:sz w:val="12"/>
              </w:rPr>
              <w:t>Analytical worksheet view;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82.0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58.0</w:t>
            </w:r>
          </w:p>
        </w:tc>
        <w:tc>
          <w:tcPr>
            <w:tcW w:type="dxa" w:w="1461"/>
          </w:tcPr>
          <w:p>
            <w:pPr>
              <w:spacing w:after="0"/>
            </w:pPr>
            <w:r>
              <w:rPr>
                <w:rFonts w:ascii="Arial" w:hAnsi="Arial"/>
                <w:b w:val="0"/>
                <w:sz w:val="12"/>
              </w:rPr>
              <w:t>67.6</w:t>
            </w:r>
          </w:p>
        </w:tc>
        <w:tc>
          <w:tcPr>
            <w:tcW w:type="dxa" w:w="1461"/>
          </w:tcPr>
          <w:p>
            <w:pPr>
              <w:spacing w:after="0"/>
            </w:pPr>
            <w:r>
              <w:rPr>
                <w:rFonts w:ascii="Arial" w:hAnsi="Arial"/>
                <w:b w:val="0"/>
                <w:sz w:val="12"/>
              </w:rPr>
              <w:t>58.8</w:t>
            </w:r>
          </w:p>
        </w:tc>
        <w:tc>
          <w:tcPr>
            <w:tcW w:type="dxa" w:w="1461"/>
          </w:tcPr>
          <w:p>
            <w:pPr>
              <w:spacing w:after="0"/>
            </w:pPr>
            <w:r>
              <w:rPr>
                <w:rFonts w:ascii="Arial" w:hAnsi="Arial"/>
                <w:b w:val="0"/>
                <w:sz w:val="12"/>
              </w:rPr>
              <w:t>Analytical worksheet view;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78.0</w:t>
            </w:r>
          </w:p>
        </w:tc>
        <w:tc>
          <w:tcPr>
            <w:tcW w:type="dxa" w:w="1461"/>
          </w:tcPr>
          <w:p>
            <w:pPr>
              <w:spacing w:after="0"/>
            </w:pPr>
            <w:r>
              <w:rPr>
                <w:rFonts w:ascii="Arial" w:hAnsi="Arial"/>
                <w:b w:val="0"/>
                <w:sz w:val="12"/>
              </w:rPr>
              <w:t>80.0</w:t>
            </w:r>
          </w:p>
        </w:tc>
        <w:tc>
          <w:tcPr>
            <w:tcW w:type="dxa" w:w="1461"/>
          </w:tcPr>
          <w:p>
            <w:pPr>
              <w:spacing w:after="0"/>
            </w:pPr>
            <w:r>
              <w:rPr>
                <w:rFonts w:ascii="Arial" w:hAnsi="Arial"/>
                <w:b w:val="0"/>
                <w:sz w:val="12"/>
              </w:rPr>
              <w:t>67.2</w:t>
            </w:r>
          </w:p>
        </w:tc>
        <w:tc>
          <w:tcPr>
            <w:tcW w:type="dxa" w:w="1461"/>
          </w:tcPr>
          <w:p>
            <w:pPr>
              <w:spacing w:after="0"/>
            </w:pPr>
            <w:r>
              <w:rPr>
                <w:rFonts w:ascii="Arial" w:hAnsi="Arial"/>
                <w:b w:val="0"/>
                <w:sz w:val="12"/>
              </w:rPr>
              <w:t>79.2</w:t>
            </w:r>
          </w:p>
        </w:tc>
        <w:tc>
          <w:tcPr>
            <w:tcW w:type="dxa" w:w="1461"/>
          </w:tcPr>
          <w:p>
            <w:pPr>
              <w:spacing w:after="0"/>
            </w:pPr>
            <w:r>
              <w:rPr>
                <w:rFonts w:ascii="Arial" w:hAnsi="Arial"/>
                <w:b w:val="0"/>
                <w:sz w:val="12"/>
              </w:rPr>
              <w:t>Analytical worksheet view; not vendor ranking or certification signal</w:t>
            </w:r>
          </w:p>
        </w:tc>
      </w:tr>
    </w:tbl>
    <w:p>
      <w:pPr>
        <w:spacing w:after="56"/>
      </w:pPr>
      <w:r>
        <w:t>Optional composite formulas:</w:t>
      </w:r>
    </w:p>
    <w:p>
      <w:pPr>
        <w:spacing w:after="56"/>
      </w:pPr>
      <w:r>
        <w:t>Traditional Composite = (RCCS-T × 0.40) + (ALCS × 0.60)</w:t>
        <w:br/>
        <w:t>Agentic Composite = (RCCS-M × 0.40) + (ALCS × 0.60)</w:t>
      </w:r>
    </w:p>
    <w:p>
      <w:pPr>
        <w:spacing w:after="56"/>
      </w:pPr>
      <w:r>
        <w:t>Interpretation guidance:</w:t>
      </w:r>
    </w:p>
    <w:p>
      <w:pPr>
        <w:pStyle w:val="ListBullet"/>
        <w:spacing w:after="56"/>
      </w:pPr>
      <w:r>
        <w:t>RCCS-T: Traditional regulatory and governance coverage</w:t>
      </w:r>
    </w:p>
    <w:p>
      <w:pPr>
        <w:pStyle w:val="ListBullet"/>
        <w:spacing w:after="56"/>
      </w:pPr>
      <w:r>
        <w:t>RCCS-M: MRO-adjusted regulatory coverage; author analytical and forward-looking</w:t>
      </w:r>
    </w:p>
    <w:p>
      <w:pPr>
        <w:pStyle w:val="ListBullet"/>
        <w:spacing w:after="56"/>
      </w:pPr>
      <w:r>
        <w:t>ALCS: Lifecycle responsibility conformance maturity</w:t>
      </w:r>
    </w:p>
    <w:p>
      <w:pPr>
        <w:pStyle w:val="ListBullet"/>
        <w:spacing w:after="56"/>
      </w:pPr>
      <w:r>
        <w:t>Optional composites: Secondary worksheet views only; never a ranking, procurement selection signal, legal compliance proof, certification signal, regulatory approval signal, or procurement recommendation</w:t>
      </w:r>
    </w:p>
    <w:p>
      <w:pPr>
        <w:spacing w:after="56"/>
      </w:pPr>
      <w:r>
        <w:t>Any numerical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RCCS-T/RCCS-M/ALCS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RCCS-T/RCCS-M/ALCS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AUTHOR-INFERENCE-RCCS-M</w:t>
            </w:r>
          </w:p>
        </w:tc>
        <w:tc>
          <w:tcPr>
            <w:tcW w:type="dxa" w:w="2045"/>
          </w:tcPr>
          <w:p>
            <w:pPr>
              <w:spacing w:after="0"/>
            </w:pPr>
            <w:r>
              <w:rPr>
                <w:rFonts w:ascii="Arial" w:hAnsi="Arial"/>
                <w:b w:val="0"/>
                <w:sz w:val="14"/>
              </w:rPr>
              <w:t>RCCS-M — MRO-Adjusted Regulatory Compliance Coverage Score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6-9, Evaluation Results</w:t>
            </w:r>
          </w:p>
        </w:tc>
        <w:tc>
          <w:tcPr>
            <w:tcW w:type="dxa" w:w="2045"/>
          </w:tcPr>
          <w:p>
            <w:pPr>
              <w:spacing w:after="0"/>
            </w:pPr>
            <w:r>
              <w:rPr>
                <w:rFonts w:ascii="Arial" w:hAnsi="Arial"/>
                <w:b w:val="0"/>
                <w:sz w:val="14"/>
              </w:rPr>
              <w:t>✓ Marked as L5; forward-looking author analytical model</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RCCS-T / traditional RCCS framework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AUTHOR-INFERENCE-RCCS-M</w:t>
            </w:r>
          </w:p>
        </w:tc>
        <w:tc>
          <w:tcPr>
            <w:tcW w:type="dxa" w:w="1704"/>
          </w:tcPr>
          <w:p>
            <w:pPr>
              <w:spacing w:after="0"/>
            </w:pPr>
            <w:r>
              <w:rPr>
                <w:rFonts w:ascii="Arial" w:hAnsi="Arial"/>
                <w:b w:val="0"/>
                <w:sz w:val="12"/>
              </w:rPr>
              <w:t>RCCS-M — MRO-Adjusted Regulatory Compliance Coverage Score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6-9, Evaluation Results</w:t>
            </w:r>
          </w:p>
        </w:tc>
        <w:tc>
          <w:tcPr>
            <w:tcW w:type="dxa" w:w="1704"/>
          </w:tcPr>
          <w:p>
            <w:pPr>
              <w:spacing w:after="0"/>
            </w:pPr>
            <w:r>
              <w:rPr>
                <w:rFonts w:ascii="Arial" w:hAnsi="Arial"/>
                <w:b w:val="0"/>
                <w:sz w:val="12"/>
              </w:rPr>
              <w:t>✓ Marked as L5; author analytical, forward-looking, not current law</w:t>
            </w:r>
          </w:p>
        </w:tc>
        <w:tc>
          <w:tcPr>
            <w:tcW w:type="dxa" w:w="1704"/>
          </w:tcPr>
          <w:p>
            <w:pPr>
              <w:spacing w:after="0"/>
            </w:pPr>
            <w:r>
              <w:rPr>
                <w:rFonts w:ascii="Arial" w:hAnsi="Arial"/>
                <w:b w:val="0"/>
                <w:sz w:val="12"/>
              </w:rPr>
              <w:t>Preserve boundary wording and MPLP COI</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RCCS-T, RCCS-M, ALCS, optional composite views, System Mapping, Failure Scenarios). These sources are marked as author inference and do not replace evidence-based analysis.</w:t>
      </w:r>
    </w:p>
    <w:p>
      <w:pPr>
        <w:pStyle w:val="ListBullet"/>
        <w:spacing w:after="56"/>
      </w:pPr>
      <w:r>
        <w:t>AUTHOR-INFERENCE-RCCS-M marks the MRO-adjusted regulatory coverage model. RCCS-M is an author analytical, forward-looking model grounded in MRO analysis. It is not current law, certification, legal compliance proof, a regulator-approved benchmark, a procurement benchmark, a vendor ranking, or an official standard.</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RCCS-T Detailed Rubrics and RCCS-M Adjustment Matrix</w:t>
      </w:r>
    </w:p>
    <w:p>
      <w:pPr>
        <w:spacing w:after="56"/>
      </w:pPr>
      <w:r>
        <w:t>Version: v0.3.2-FRC-R3</w:t>
      </w:r>
    </w:p>
    <w:p>
      <w:pPr>
        <w:pStyle w:val="Heading2"/>
      </w:pPr>
      <w:r>
        <w:t>E.0 RCCS-T / RCCS-M Rubric Boundary</w:t>
      </w:r>
    </w:p>
    <w:p>
      <w:pPr>
        <w:spacing w:after="56"/>
      </w:pPr>
      <w:r>
        <w:t>This appendix provides detailed scoring rubrics for all ten RCCS (Regulatory Compliance Coverage Score) dimensions. The existing detailed rubrics serve as RCCS-T baseline rubrics: they evaluate traditional regulatory and governance coverage primitives such as risk management, data governance, documentation, record-keeping, transparency, human oversight, security, accountability, contestability, and monitoring.</w:t>
      </w:r>
    </w:p>
    <w:p>
      <w:pPr>
        <w:spacing w:after="56"/>
      </w:pPr>
      <w:r>
        <w:t>RCCS-M uses the same ten dimensions and weights but applies MRO adjustment tests. RCCS-M evaluates whether the traditional regulatory obligation can be represented as Missing Regulatory Objects and lifecycle responsibility semantics. High RCCS-T does not automatically imply high RCCS-M.</w:t>
      </w:r>
    </w:p>
    <w:p>
      <w:pPr>
        <w:spacing w:after="56"/>
      </w:pPr>
      <w:r>
        <w:t>These rubrics are analytical tools for evaluating system capability. They are not legal compliance scores, certifications, regulatory approvals, legal compliance proof, regulator-approved benchmarks, procurement benchmarks, vendor rankings, or procurement selection signals.</w:t>
      </w:r>
    </w:p>
    <w:p>
      <w:pPr>
        <w:spacing w:after="56"/>
      </w:pPr>
      <w:r>
        <w:t>Boundary statement:</w:t>
      </w:r>
    </w:p>
    <w:p>
      <w:pPr>
        <w:pStyle w:val="ListBullet"/>
        <w:spacing w:after="56"/>
      </w:pPr>
      <w:r>
        <w:t>RCCS-T measures traditional regulatory compliance coverage primitives. RCCS-T evaluates whether a system provides primitives that can support familiar regulatory compliance coverage requirements. It does not prove legal compliance, regulatory approval, certification, audit readiness, or operational effectiveness.</w:t>
      </w:r>
    </w:p>
    <w:p>
      <w:pPr>
        <w:pStyle w:val="ListBullet"/>
        <w:spacing w:after="56"/>
      </w:pPr>
      <w:r>
        <w:t>RCCS-M measures MRO-adjusted regulatory coverage. RCCS-M evaluates whether those same obligations can be expressed through lifecycle responsibility objects such as authority boundaries, responsibility mappings, accepted outcome states, partitioned evidence, privacy lifecycle maps, substitution conformance records, and incident/dispute/remediation closure records.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and MRO-adjusted lifecycle object expression, not product quality, market leadership, or procurement suitability.</w:t>
      </w:r>
    </w:p>
    <w:p>
      <w:pPr>
        <w:pStyle w:val="Heading2"/>
      </w:pPr>
      <w:r>
        <w:t>E.1 How to Use RCCS-T and RCCS-M Rubrics</w:t>
      </w:r>
    </w:p>
    <w:p>
      <w:pPr>
        <w:spacing w:after="56"/>
      </w:pPr>
      <w:r>
        <w:t>Scoring process:</w:t>
      </w:r>
    </w:p>
    <w:p>
      <w:pPr>
        <w:pStyle w:val="ListNumber"/>
        <w:spacing w:after="56"/>
      </w:pPr>
      <w:r>
        <w:t>Assess RCCS-T raw capability (0-5) based on traditional governance/control coverage against the detailed rubric</w:t>
      </w:r>
    </w:p>
    <w:p>
      <w:pPr>
        <w:pStyle w:val="ListNumber"/>
        <w:spacing w:after="56"/>
      </w:pPr>
      <w:r>
        <w:t>Assess RCCS-M raw capability (0-5) using the RCCS-M adjustment matrix in Table T-E-11</w:t>
      </w:r>
    </w:p>
    <w:p>
      <w:pPr>
        <w:pStyle w:val="ListNumber"/>
        <w:spacing w:after="56"/>
      </w:pPr>
      <w:r>
        <w:t>Identify evidence level (L1-L5) based on source type for each lens</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 For RCCS-M, negative controls also prevent ordinary feature support from being treated as lifecycle responsibility object expression.</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RCCS-M Adjustment Matrix</w:t>
      </w:r>
    </w:p>
    <w:p>
      <w:pPr>
        <w:spacing w:after="56"/>
      </w:pPr>
      <w:r>
        <w:t>RCCS-M uses the same ten RCCS dimensions as RCCS-T, but each dimension is tested for lifecycle responsibility object expression. Table T-E-11 is the reusable adjustment matrix for scoring RCCS-M. It aligns with Table T-07-01A in Chapter 7 and provides the practical evidence tests evaluators should apply.</w:t>
      </w:r>
    </w:p>
    <w:p>
      <w:pPr>
        <w:keepNext/>
      </w:pPr>
      <w:r>
        <w:rPr>
          <w:b/>
          <w:sz w:val="16"/>
        </w:rPr>
        <w:t>Table T-E-11: RCCS-M Adjustment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RCCS-T Dimension</w:t>
            </w:r>
          </w:p>
        </w:tc>
        <w:tc>
          <w:tcPr>
            <w:tcW w:type="dxa" w:w="2045"/>
          </w:tcPr>
          <w:p>
            <w:pPr>
              <w:spacing w:after="0"/>
            </w:pPr>
            <w:r>
              <w:rPr>
                <w:rFonts w:ascii="Arial" w:hAnsi="Arial"/>
                <w:b/>
                <w:sz w:val="14"/>
              </w:rPr>
              <w:t>RCCS-M Adjustment Question</w:t>
            </w:r>
          </w:p>
        </w:tc>
        <w:tc>
          <w:tcPr>
            <w:tcW w:type="dxa" w:w="2045"/>
          </w:tcPr>
          <w:p>
            <w:pPr>
              <w:spacing w:after="0"/>
            </w:pPr>
            <w:r>
              <w:rPr>
                <w:rFonts w:ascii="Arial" w:hAnsi="Arial"/>
                <w:b/>
                <w:sz w:val="14"/>
              </w:rPr>
              <w:t>Related MROs</w:t>
            </w:r>
          </w:p>
        </w:tc>
        <w:tc>
          <w:tcPr>
            <w:tcW w:type="dxa" w:w="2045"/>
          </w:tcPr>
          <w:p>
            <w:pPr>
              <w:spacing w:after="0"/>
            </w:pPr>
            <w:r>
              <w:rPr>
                <w:rFonts w:ascii="Arial" w:hAnsi="Arial"/>
                <w:b/>
                <w:sz w:val="14"/>
              </w:rPr>
              <w:t>Required MRO Evidence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RCCS-01 Risk Management</w:t>
            </w:r>
          </w:p>
        </w:tc>
        <w:tc>
          <w:tcPr>
            <w:tcW w:type="dxa" w:w="2045"/>
          </w:tcPr>
          <w:p>
            <w:pPr>
              <w:spacing w:after="0"/>
            </w:pPr>
            <w:r>
              <w:rPr>
                <w:rFonts w:ascii="Arial" w:hAnsi="Arial"/>
                <w:b w:val="0"/>
                <w:sz w:val="14"/>
              </w:rPr>
              <w:t>Are risks linked to lifecycle authority, evidence, mitigation, monitoring, and incident/dispute/remediation closure objects?</w:t>
            </w:r>
          </w:p>
        </w:tc>
        <w:tc>
          <w:tcPr>
            <w:tcW w:type="dxa" w:w="2045"/>
          </w:tcPr>
          <w:p>
            <w:pPr>
              <w:spacing w:after="0"/>
            </w:pPr>
            <w:r>
              <w:rPr>
                <w:rFonts w:ascii="Arial" w:hAnsi="Arial"/>
                <w:b w:val="0"/>
                <w:sz w:val="14"/>
              </w:rPr>
              <w:t>MRO-02, MRO-07, MRO-08, MRO-16</w:t>
            </w:r>
          </w:p>
        </w:tc>
        <w:tc>
          <w:tcPr>
            <w:tcW w:type="dxa" w:w="2045"/>
          </w:tcPr>
          <w:p>
            <w:pPr>
              <w:spacing w:after="0"/>
            </w:pPr>
            <w:r>
              <w:rPr>
                <w:rFonts w:ascii="Arial" w:hAnsi="Arial"/>
                <w:b w:val="0"/>
                <w:sz w:val="14"/>
              </w:rPr>
              <w:t>Risk object, authority boundary, mitigation record, evidence pointer, monitoring/closure record</w:t>
            </w:r>
          </w:p>
        </w:tc>
        <w:tc>
          <w:tcPr>
            <w:tcW w:type="dxa" w:w="2045"/>
          </w:tcPr>
          <w:p>
            <w:pPr>
              <w:spacing w:after="0"/>
            </w:pPr>
            <w:r>
              <w:rPr>
                <w:rFonts w:ascii="Arial" w:hAnsi="Arial"/>
                <w:b w:val="0"/>
                <w:sz w:val="14"/>
              </w:rPr>
              <w:t>Risk register or dashboard without lifecycle linkage</w:t>
            </w:r>
          </w:p>
        </w:tc>
      </w:tr>
      <w:tr>
        <w:tc>
          <w:tcPr>
            <w:tcW w:type="dxa" w:w="2045"/>
          </w:tcPr>
          <w:p>
            <w:pPr>
              <w:spacing w:after="0"/>
            </w:pPr>
            <w:r>
              <w:rPr>
                <w:rFonts w:ascii="Arial" w:hAnsi="Arial"/>
                <w:b w:val="0"/>
                <w:sz w:val="14"/>
              </w:rPr>
              <w:t>RCCS-02 Data Governance</w:t>
            </w:r>
          </w:p>
        </w:tc>
        <w:tc>
          <w:tcPr>
            <w:tcW w:type="dxa" w:w="2045"/>
          </w:tcPr>
          <w:p>
            <w:pPr>
              <w:spacing w:after="0"/>
            </w:pPr>
            <w:r>
              <w:rPr>
                <w:rFonts w:ascii="Arial" w:hAnsi="Arial"/>
                <w:b w:val="0"/>
                <w:sz w:val="14"/>
              </w:rPr>
              <w:t>Are data flows mapped across agents, tools, memory, evidence stores, privacy boundaries, reuse contexts, and processor/subprocessor chains?</w:t>
            </w:r>
          </w:p>
        </w:tc>
        <w:tc>
          <w:tcPr>
            <w:tcW w:type="dxa" w:w="2045"/>
          </w:tcPr>
          <w:p>
            <w:pPr>
              <w:spacing w:after="0"/>
            </w:pPr>
            <w:r>
              <w:rPr>
                <w:rFonts w:ascii="Arial" w:hAnsi="Arial"/>
                <w:b w:val="0"/>
                <w:sz w:val="14"/>
              </w:rPr>
              <w:t>MRO-08, MRO-10, MRO-12, MRO-13, MRO-14</w:t>
            </w:r>
          </w:p>
        </w:tc>
        <w:tc>
          <w:tcPr>
            <w:tcW w:type="dxa" w:w="2045"/>
          </w:tcPr>
          <w:p>
            <w:pPr>
              <w:spacing w:after="0"/>
            </w:pPr>
            <w:r>
              <w:rPr>
                <w:rFonts w:ascii="Arial" w:hAnsi="Arial"/>
                <w:b w:val="0"/>
                <w:sz w:val="14"/>
              </w:rPr>
              <w:t>Lifecycle data-flow map, selective disclosure profile, retention/erasure policy, processor chain record</w:t>
            </w:r>
          </w:p>
        </w:tc>
        <w:tc>
          <w:tcPr>
            <w:tcW w:type="dxa" w:w="2045"/>
          </w:tcPr>
          <w:p>
            <w:pPr>
              <w:spacing w:after="0"/>
            </w:pPr>
            <w:r>
              <w:rPr>
                <w:rFonts w:ascii="Arial" w:hAnsi="Arial"/>
                <w:b w:val="0"/>
                <w:sz w:val="14"/>
              </w:rPr>
              <w:t>Dataset lineage without agent/runtime lifecycle mapping</w:t>
            </w:r>
          </w:p>
        </w:tc>
      </w:tr>
      <w:tr>
        <w:tc>
          <w:tcPr>
            <w:tcW w:type="dxa" w:w="2045"/>
          </w:tcPr>
          <w:p>
            <w:pPr>
              <w:spacing w:after="0"/>
            </w:pPr>
            <w:r>
              <w:rPr>
                <w:rFonts w:ascii="Arial" w:hAnsi="Arial"/>
                <w:b w:val="0"/>
                <w:sz w:val="14"/>
              </w:rPr>
              <w:t>RCCS-03 Documentation</w:t>
            </w:r>
          </w:p>
        </w:tc>
        <w:tc>
          <w:tcPr>
            <w:tcW w:type="dxa" w:w="2045"/>
          </w:tcPr>
          <w:p>
            <w:pPr>
              <w:spacing w:after="0"/>
            </w:pPr>
            <w:r>
              <w:rPr>
                <w:rFonts w:ascii="Arial" w:hAnsi="Arial"/>
                <w:b w:val="0"/>
                <w:sz w:val="14"/>
              </w:rPr>
              <w:t>Does documentation bind intent, plan, authority, role, evidence, accepted outcome, privacy boundary, and substitution context?</w:t>
            </w:r>
          </w:p>
        </w:tc>
        <w:tc>
          <w:tcPr>
            <w:tcW w:type="dxa" w:w="2045"/>
          </w:tcPr>
          <w:p>
            <w:pPr>
              <w:spacing w:after="0"/>
            </w:pPr>
            <w:r>
              <w:rPr>
                <w:rFonts w:ascii="Arial" w:hAnsi="Arial"/>
                <w:b w:val="0"/>
                <w:sz w:val="14"/>
              </w:rPr>
              <w:t>MRO-01, MRO-02, MRO-04, MRO-08, MRO-15</w:t>
            </w:r>
          </w:p>
        </w:tc>
        <w:tc>
          <w:tcPr>
            <w:tcW w:type="dxa" w:w="2045"/>
          </w:tcPr>
          <w:p>
            <w:pPr>
              <w:spacing w:after="0"/>
            </w:pPr>
            <w:r>
              <w:rPr>
                <w:rFonts w:ascii="Arial" w:hAnsi="Arial"/>
                <w:b w:val="0"/>
                <w:sz w:val="14"/>
              </w:rPr>
              <w:t>Versioned lifecycle documentation, object schema, trace manifest, substitution record</w:t>
            </w:r>
          </w:p>
        </w:tc>
        <w:tc>
          <w:tcPr>
            <w:tcW w:type="dxa" w:w="2045"/>
          </w:tcPr>
          <w:p>
            <w:pPr>
              <w:spacing w:after="0"/>
            </w:pPr>
            <w:r>
              <w:rPr>
                <w:rFonts w:ascii="Arial" w:hAnsi="Arial"/>
                <w:b w:val="0"/>
                <w:sz w:val="14"/>
              </w:rPr>
              <w:t>Static model card or system card without lifecycle responsibility objects</w:t>
            </w:r>
          </w:p>
        </w:tc>
      </w:tr>
      <w:tr>
        <w:tc>
          <w:tcPr>
            <w:tcW w:type="dxa" w:w="2045"/>
          </w:tcPr>
          <w:p>
            <w:pPr>
              <w:spacing w:after="0"/>
            </w:pPr>
            <w:r>
              <w:rPr>
                <w:rFonts w:ascii="Arial" w:hAnsi="Arial"/>
                <w:b w:val="0"/>
                <w:sz w:val="14"/>
              </w:rPr>
              <w:t>RCCS-04 Record-Keeping</w:t>
            </w:r>
          </w:p>
        </w:tc>
        <w:tc>
          <w:tcPr>
            <w:tcW w:type="dxa" w:w="2045"/>
          </w:tcPr>
          <w:p>
            <w:pPr>
              <w:spacing w:after="0"/>
            </w:pPr>
            <w:r>
              <w:rPr>
                <w:rFonts w:ascii="Arial" w:hAnsi="Arial"/>
                <w:b w:val="0"/>
                <w:sz w:val="14"/>
              </w:rPr>
              <w:t>Are records partitioned by role, authority boundary, agent/tool action, evidence pointer, privacy boundary, accepted outcome, and closure state?</w:t>
            </w:r>
          </w:p>
        </w:tc>
        <w:tc>
          <w:tcPr>
            <w:tcW w:type="dxa" w:w="2045"/>
          </w:tcPr>
          <w:p>
            <w:pPr>
              <w:spacing w:after="0"/>
            </w:pPr>
            <w:r>
              <w:rPr>
                <w:rFonts w:ascii="Arial" w:hAnsi="Arial"/>
                <w:b w:val="0"/>
                <w:sz w:val="14"/>
              </w:rPr>
              <w:t>MRO-08, MRO-12, MRO-13, MRO-16</w:t>
            </w:r>
          </w:p>
        </w:tc>
        <w:tc>
          <w:tcPr>
            <w:tcW w:type="dxa" w:w="2045"/>
          </w:tcPr>
          <w:p>
            <w:pPr>
              <w:spacing w:after="0"/>
            </w:pPr>
            <w:r>
              <w:rPr>
                <w:rFonts w:ascii="Arial" w:hAnsi="Arial"/>
                <w:b w:val="0"/>
                <w:sz w:val="14"/>
              </w:rPr>
              <w:t>Partitioned evidence chain, evidence pointer, disclosure policy, closure record</w:t>
            </w:r>
          </w:p>
        </w:tc>
        <w:tc>
          <w:tcPr>
            <w:tcW w:type="dxa" w:w="2045"/>
          </w:tcPr>
          <w:p>
            <w:pPr>
              <w:spacing w:after="0"/>
            </w:pPr>
            <w:r>
              <w:rPr>
                <w:rFonts w:ascii="Arial" w:hAnsi="Arial"/>
                <w:b w:val="0"/>
                <w:sz w:val="14"/>
              </w:rPr>
              <w:t>Generic logs without lifecycle responsibility partitioning</w:t>
            </w:r>
          </w:p>
        </w:tc>
      </w:tr>
      <w:tr>
        <w:tc>
          <w:tcPr>
            <w:tcW w:type="dxa" w:w="2045"/>
          </w:tcPr>
          <w:p>
            <w:pPr>
              <w:spacing w:after="0"/>
            </w:pPr>
            <w:r>
              <w:rPr>
                <w:rFonts w:ascii="Arial" w:hAnsi="Arial"/>
                <w:b w:val="0"/>
                <w:sz w:val="14"/>
              </w:rPr>
              <w:t>RCCS-05 Transparency</w:t>
            </w:r>
          </w:p>
        </w:tc>
        <w:tc>
          <w:tcPr>
            <w:tcW w:type="dxa" w:w="2045"/>
          </w:tcPr>
          <w:p>
            <w:pPr>
              <w:spacing w:after="0"/>
            </w:pPr>
            <w:r>
              <w:rPr>
                <w:rFonts w:ascii="Arial" w:hAnsi="Arial"/>
                <w:b w:val="0"/>
                <w:sz w:val="14"/>
              </w:rPr>
              <w:t>Can disclosure be tied to lifecycle evidence, role, authority, accepted outcome, privacy boundary, selective disclosure, and dispute path?</w:t>
            </w:r>
          </w:p>
        </w:tc>
        <w:tc>
          <w:tcPr>
            <w:tcW w:type="dxa" w:w="2045"/>
          </w:tcPr>
          <w:p>
            <w:pPr>
              <w:spacing w:after="0"/>
            </w:pPr>
            <w:r>
              <w:rPr>
                <w:rFonts w:ascii="Arial" w:hAnsi="Arial"/>
                <w:b w:val="0"/>
                <w:sz w:val="14"/>
              </w:rPr>
              <w:t>MRO-04, MRO-08, MRO-11, MRO-12, MRO-16</w:t>
            </w:r>
          </w:p>
        </w:tc>
        <w:tc>
          <w:tcPr>
            <w:tcW w:type="dxa" w:w="2045"/>
          </w:tcPr>
          <w:p>
            <w:pPr>
              <w:spacing w:after="0"/>
            </w:pPr>
            <w:r>
              <w:rPr>
                <w:rFonts w:ascii="Arial" w:hAnsi="Arial"/>
                <w:b w:val="0"/>
                <w:sz w:val="14"/>
              </w:rPr>
              <w:t>Evidence-linked explanation, disclosure profile, redacted validation pack, dispute replay record</w:t>
            </w:r>
          </w:p>
        </w:tc>
        <w:tc>
          <w:tcPr>
            <w:tcW w:type="dxa" w:w="2045"/>
          </w:tcPr>
          <w:p>
            <w:pPr>
              <w:spacing w:after="0"/>
            </w:pPr>
            <w:r>
              <w:rPr>
                <w:rFonts w:ascii="Arial" w:hAnsi="Arial"/>
                <w:b w:val="0"/>
                <w:sz w:val="14"/>
              </w:rPr>
              <w:t>Explanation UI without lifecycle evidence or selective disclosure</w:t>
            </w:r>
          </w:p>
        </w:tc>
      </w:tr>
      <w:tr>
        <w:tc>
          <w:tcPr>
            <w:tcW w:type="dxa" w:w="2045"/>
          </w:tcPr>
          <w:p>
            <w:pPr>
              <w:spacing w:after="0"/>
            </w:pPr>
            <w:r>
              <w:rPr>
                <w:rFonts w:ascii="Arial" w:hAnsi="Arial"/>
                <w:b w:val="0"/>
                <w:sz w:val="14"/>
              </w:rPr>
              <w:t>RCCS-06 Human Oversight</w:t>
            </w:r>
          </w:p>
        </w:tc>
        <w:tc>
          <w:tcPr>
            <w:tcW w:type="dxa" w:w="2045"/>
          </w:tcPr>
          <w:p>
            <w:pPr>
              <w:spacing w:after="0"/>
            </w:pPr>
            <w:r>
              <w:rPr>
                <w:rFonts w:ascii="Arial" w:hAnsi="Arial"/>
                <w:b w:val="0"/>
                <w:sz w:val="14"/>
              </w:rPr>
              <w:t>Is oversight bound to human-role responsibility, delegated authority scope, escalation, drift detection, and accepted outcome authority?</w:t>
            </w:r>
          </w:p>
        </w:tc>
        <w:tc>
          <w:tcPr>
            <w:tcW w:type="dxa" w:w="2045"/>
          </w:tcPr>
          <w:p>
            <w:pPr>
              <w:spacing w:after="0"/>
            </w:pPr>
            <w:r>
              <w:rPr>
                <w:rFonts w:ascii="Arial" w:hAnsi="Arial"/>
                <w:b w:val="0"/>
                <w:sz w:val="14"/>
              </w:rPr>
              <w:t>MRO-01, MRO-02, MRO-03, MRO-04, MRO-07</w:t>
            </w:r>
          </w:p>
        </w:tc>
        <w:tc>
          <w:tcPr>
            <w:tcW w:type="dxa" w:w="2045"/>
          </w:tcPr>
          <w:p>
            <w:pPr>
              <w:spacing w:after="0"/>
            </w:pPr>
            <w:r>
              <w:rPr>
                <w:rFonts w:ascii="Arial" w:hAnsi="Arial"/>
                <w:b w:val="0"/>
                <w:sz w:val="14"/>
              </w:rPr>
              <w:t>Human-role map, authority grant, escalation path, acceptance state, drift alert</w:t>
            </w:r>
          </w:p>
        </w:tc>
        <w:tc>
          <w:tcPr>
            <w:tcW w:type="dxa" w:w="2045"/>
          </w:tcPr>
          <w:p>
            <w:pPr>
              <w:spacing w:after="0"/>
            </w:pPr>
            <w:r>
              <w:rPr>
                <w:rFonts w:ascii="Arial" w:hAnsi="Arial"/>
                <w:b w:val="0"/>
                <w:sz w:val="14"/>
              </w:rPr>
              <w:t>Generic approve/reject UI without responsibility or authority scope</w:t>
            </w:r>
          </w:p>
        </w:tc>
      </w:tr>
      <w:tr>
        <w:tc>
          <w:tcPr>
            <w:tcW w:type="dxa" w:w="2045"/>
          </w:tcPr>
          <w:p>
            <w:pPr>
              <w:spacing w:after="0"/>
            </w:pPr>
            <w:r>
              <w:rPr>
                <w:rFonts w:ascii="Arial" w:hAnsi="Arial"/>
                <w:b w:val="0"/>
                <w:sz w:val="14"/>
              </w:rPr>
              <w:t>RCCS-07 Security</w:t>
            </w:r>
          </w:p>
        </w:tc>
        <w:tc>
          <w:tcPr>
            <w:tcW w:type="dxa" w:w="2045"/>
          </w:tcPr>
          <w:p>
            <w:pPr>
              <w:spacing w:after="0"/>
            </w:pPr>
            <w:r>
              <w:rPr>
                <w:rFonts w:ascii="Arial" w:hAnsi="Arial"/>
                <w:b w:val="0"/>
                <w:sz w:val="14"/>
              </w:rPr>
              <w:t>Are security controls linked to delegated authority, tool-action liability, lifecycle evidence, privacy boundaries, and selective disclosure rules?</w:t>
            </w:r>
          </w:p>
        </w:tc>
        <w:tc>
          <w:tcPr>
            <w:tcW w:type="dxa" w:w="2045"/>
          </w:tcPr>
          <w:p>
            <w:pPr>
              <w:spacing w:after="0"/>
            </w:pPr>
            <w:r>
              <w:rPr>
                <w:rFonts w:ascii="Arial" w:hAnsi="Arial"/>
                <w:b w:val="0"/>
                <w:sz w:val="14"/>
              </w:rPr>
              <w:t>MRO-02, MRO-05, MRO-08, MRO-10, MRO-12</w:t>
            </w:r>
          </w:p>
        </w:tc>
        <w:tc>
          <w:tcPr>
            <w:tcW w:type="dxa" w:w="2045"/>
          </w:tcPr>
          <w:p>
            <w:pPr>
              <w:spacing w:after="0"/>
            </w:pPr>
            <w:r>
              <w:rPr>
                <w:rFonts w:ascii="Arial" w:hAnsi="Arial"/>
                <w:b w:val="0"/>
                <w:sz w:val="14"/>
              </w:rPr>
              <w:t>Delegated authority record, tool-action liability object, evidence partition, privacy boundary</w:t>
            </w:r>
          </w:p>
        </w:tc>
        <w:tc>
          <w:tcPr>
            <w:tcW w:type="dxa" w:w="2045"/>
          </w:tcPr>
          <w:p>
            <w:pPr>
              <w:spacing w:after="0"/>
            </w:pPr>
            <w:r>
              <w:rPr>
                <w:rFonts w:ascii="Arial" w:hAnsi="Arial"/>
                <w:b w:val="0"/>
                <w:sz w:val="14"/>
              </w:rPr>
              <w:t>Access control treated as delegated authority proof</w:t>
            </w:r>
          </w:p>
        </w:tc>
      </w:tr>
      <w:tr>
        <w:tc>
          <w:tcPr>
            <w:tcW w:type="dxa" w:w="2045"/>
          </w:tcPr>
          <w:p>
            <w:pPr>
              <w:spacing w:after="0"/>
            </w:pPr>
            <w:r>
              <w:rPr>
                <w:rFonts w:ascii="Arial" w:hAnsi="Arial"/>
                <w:b w:val="0"/>
                <w:sz w:val="14"/>
              </w:rPr>
              <w:t>RCCS-08 Accountability</w:t>
            </w:r>
          </w:p>
        </w:tc>
        <w:tc>
          <w:tcPr>
            <w:tcW w:type="dxa" w:w="2045"/>
          </w:tcPr>
          <w:p>
            <w:pPr>
              <w:spacing w:after="0"/>
            </w:pPr>
            <w:r>
              <w:rPr>
                <w:rFonts w:ascii="Arial" w:hAnsi="Arial"/>
                <w:b w:val="0"/>
                <w:sz w:val="14"/>
              </w:rPr>
              <w:t>Are accountability relationships represented as human/agent responsibility mappings, transfer records, accepted outcome states, and liability records?</w:t>
            </w:r>
          </w:p>
        </w:tc>
        <w:tc>
          <w:tcPr>
            <w:tcW w:type="dxa" w:w="2045"/>
          </w:tcPr>
          <w:p>
            <w:pPr>
              <w:spacing w:after="0"/>
            </w:pPr>
            <w:r>
              <w:rPr>
                <w:rFonts w:ascii="Arial" w:hAnsi="Arial"/>
                <w:b w:val="0"/>
                <w:sz w:val="14"/>
              </w:rPr>
              <w:t>MRO-01, MRO-03, MRO-04, MRO-05, MRO-06</w:t>
            </w:r>
          </w:p>
        </w:tc>
        <w:tc>
          <w:tcPr>
            <w:tcW w:type="dxa" w:w="2045"/>
          </w:tcPr>
          <w:p>
            <w:pPr>
              <w:spacing w:after="0"/>
            </w:pPr>
            <w:r>
              <w:rPr>
                <w:rFonts w:ascii="Arial" w:hAnsi="Arial"/>
                <w:b w:val="0"/>
                <w:sz w:val="14"/>
              </w:rPr>
              <w:t>Responsibility map, agent role boundary, transfer record, acceptance record, liability record</w:t>
            </w:r>
          </w:p>
        </w:tc>
        <w:tc>
          <w:tcPr>
            <w:tcW w:type="dxa" w:w="2045"/>
          </w:tcPr>
          <w:p>
            <w:pPr>
              <w:spacing w:after="0"/>
            </w:pPr>
            <w:r>
              <w:rPr>
                <w:rFonts w:ascii="Arial" w:hAnsi="Arial"/>
                <w:b w:val="0"/>
                <w:sz w:val="14"/>
              </w:rPr>
              <w:t>User role assignment without responsibility continuity</w:t>
            </w:r>
          </w:p>
        </w:tc>
      </w:tr>
      <w:tr>
        <w:tc>
          <w:tcPr>
            <w:tcW w:type="dxa" w:w="2045"/>
          </w:tcPr>
          <w:p>
            <w:pPr>
              <w:spacing w:after="0"/>
            </w:pPr>
            <w:r>
              <w:rPr>
                <w:rFonts w:ascii="Arial" w:hAnsi="Arial"/>
                <w:b w:val="0"/>
                <w:sz w:val="14"/>
              </w:rPr>
              <w:t>RCCS-09 Contestability</w:t>
            </w:r>
          </w:p>
        </w:tc>
        <w:tc>
          <w:tcPr>
            <w:tcW w:type="dxa" w:w="2045"/>
          </w:tcPr>
          <w:p>
            <w:pPr>
              <w:spacing w:after="0"/>
            </w:pPr>
            <w:r>
              <w:rPr>
                <w:rFonts w:ascii="Arial" w:hAnsi="Arial"/>
                <w:b w:val="0"/>
                <w:sz w:val="14"/>
              </w:rPr>
              <w:t>Can challenged outcomes be replayed with evidence, reviewer role, accepted/rejected state, remediation action, selective disclosure, and closure acceptance?</w:t>
            </w:r>
          </w:p>
        </w:tc>
        <w:tc>
          <w:tcPr>
            <w:tcW w:type="dxa" w:w="2045"/>
          </w:tcPr>
          <w:p>
            <w:pPr>
              <w:spacing w:after="0"/>
            </w:pPr>
            <w:r>
              <w:rPr>
                <w:rFonts w:ascii="Arial" w:hAnsi="Arial"/>
                <w:b w:val="0"/>
                <w:sz w:val="14"/>
              </w:rPr>
              <w:t>MRO-04, MRO-08, MRO-12, MRO-13, MRO-16</w:t>
            </w:r>
          </w:p>
        </w:tc>
        <w:tc>
          <w:tcPr>
            <w:tcW w:type="dxa" w:w="2045"/>
          </w:tcPr>
          <w:p>
            <w:pPr>
              <w:spacing w:after="0"/>
            </w:pPr>
            <w:r>
              <w:rPr>
                <w:rFonts w:ascii="Arial" w:hAnsi="Arial"/>
                <w:b w:val="0"/>
                <w:sz w:val="14"/>
              </w:rPr>
              <w:t>Dispute replay pack, evidence manifest, remediation record, closure acceptance</w:t>
            </w:r>
          </w:p>
        </w:tc>
        <w:tc>
          <w:tcPr>
            <w:tcW w:type="dxa" w:w="2045"/>
          </w:tcPr>
          <w:p>
            <w:pPr>
              <w:spacing w:after="0"/>
            </w:pPr>
            <w:r>
              <w:rPr>
                <w:rFonts w:ascii="Arial" w:hAnsi="Arial"/>
                <w:b w:val="0"/>
                <w:sz w:val="14"/>
              </w:rPr>
              <w:t>Customer support ticket without lifecycle replay or closure</w:t>
            </w:r>
          </w:p>
        </w:tc>
      </w:tr>
      <w:tr>
        <w:tc>
          <w:tcPr>
            <w:tcW w:type="dxa" w:w="2045"/>
          </w:tcPr>
          <w:p>
            <w:pPr>
              <w:spacing w:after="0"/>
            </w:pPr>
            <w:r>
              <w:rPr>
                <w:rFonts w:ascii="Arial" w:hAnsi="Arial"/>
                <w:b w:val="0"/>
                <w:sz w:val="14"/>
              </w:rPr>
              <w:t>RCCS-10 Monitoring</w:t>
            </w:r>
          </w:p>
        </w:tc>
        <w:tc>
          <w:tcPr>
            <w:tcW w:type="dxa" w:w="2045"/>
          </w:tcPr>
          <w:p>
            <w:pPr>
              <w:spacing w:after="0"/>
            </w:pPr>
            <w:r>
              <w:rPr>
                <w:rFonts w:ascii="Arial" w:hAnsi="Arial"/>
                <w:b w:val="0"/>
                <w:sz w:val="14"/>
              </w:rPr>
              <w:t>Does monitoring detect authority drift, lifecycle drift, substitution change, privacy events, incidents, reuse/revalidation needs, and remediation closure?</w:t>
            </w:r>
          </w:p>
        </w:tc>
        <w:tc>
          <w:tcPr>
            <w:tcW w:type="dxa" w:w="2045"/>
          </w:tcPr>
          <w:p>
            <w:pPr>
              <w:spacing w:after="0"/>
            </w:pPr>
            <w:r>
              <w:rPr>
                <w:rFonts w:ascii="Arial" w:hAnsi="Arial"/>
                <w:b w:val="0"/>
                <w:sz w:val="14"/>
              </w:rPr>
              <w:t>MRO-07, MRO-09, MRO-10, MRO-15, MRO-16</w:t>
            </w:r>
          </w:p>
        </w:tc>
        <w:tc>
          <w:tcPr>
            <w:tcW w:type="dxa" w:w="2045"/>
          </w:tcPr>
          <w:p>
            <w:pPr>
              <w:spacing w:after="0"/>
            </w:pPr>
            <w:r>
              <w:rPr>
                <w:rFonts w:ascii="Arial" w:hAnsi="Arial"/>
                <w:b w:val="0"/>
                <w:sz w:val="14"/>
              </w:rPr>
              <w:t>Drift event, reuse/revalidation record, privacy event record, substitution conformance record, incident closure</w:t>
            </w:r>
          </w:p>
        </w:tc>
        <w:tc>
          <w:tcPr>
            <w:tcW w:type="dxa" w:w="2045"/>
          </w:tcPr>
          <w:p>
            <w:pPr>
              <w:spacing w:after="0"/>
            </w:pPr>
            <w:r>
              <w:rPr>
                <w:rFonts w:ascii="Arial" w:hAnsi="Arial"/>
                <w:b w:val="0"/>
                <w:sz w:val="14"/>
              </w:rPr>
              <w:t>General observability dashboard without responsibility-object monitoring</w:t>
            </w:r>
          </w:p>
        </w:tc>
      </w:tr>
    </w:tbl>
    <w:p>
      <w:pPr>
        <w:spacing w:after="56"/>
      </w:pPr>
      <w:r>
        <w:t>Examples:</w:t>
      </w:r>
    </w:p>
    <w:p>
      <w:pPr>
        <w:pStyle w:val="ListBullet"/>
        <w:spacing w:after="56"/>
      </w:pPr>
      <w:r>
        <w:t>Generic logs can support RCCS-T Record-Keeping but not RCCS-M unless partitioned by authority, agent/tool action, evidence pointer, privacy boundary, accepted outcome, and closure state.</w:t>
      </w:r>
    </w:p>
    <w:p>
      <w:pPr>
        <w:pStyle w:val="ListBullet"/>
        <w:spacing w:after="56"/>
      </w:pPr>
      <w:r>
        <w:t>Approval UI can support RCCS-T Human Oversight but not RCCS-M unless bound to human-role responsibility, delegated scope, escalation, drift detection, and accepted outcome authority.</w:t>
      </w:r>
    </w:p>
    <w:p>
      <w:pPr>
        <w:spacing w:after="56"/>
      </w:pPr>
      <w:r>
        <w:t>RCCS-M remains author analytical, forward-looking, and MRO-adjusted. It is not current law, certification, legal compliance proof, a regulator-approved benchmark, a procurement benchmark, a vendor ranking, or an official standard.</w:t>
      </w:r>
    </w:p>
    <w:p>
      <w:pPr>
        <w:pStyle w:val="Heading2"/>
      </w:pPr>
      <w:r>
        <w:t>E.4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E.5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ListBullet"/>
        <w:spacing w:after="56"/>
      </w:pPr>
      <w:r>
        <w:t>RCCS-M is author analytical, forward-looking, and MRO-adjusted; it is not current law, certification, legal compliance proof, a regulator-approved benchmark, a procurement benchmark, or a vendor ranking</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RCCS-T / RCCS-M distinction:</w:t>
      </w:r>
    </w:p>
    <w:p>
      <w:pPr>
        <w:pStyle w:val="ListBullet"/>
        <w:spacing w:after="56"/>
      </w:pPr>
      <w:r>
        <w:t>RCCS-T measures traditional regulatory compliance coverage primitives (risk management, data governance, documentation, record-keeping, transparency, human oversight, security, accountability, contestability, monitoring)</w:t>
      </w:r>
    </w:p>
    <w:p>
      <w:pPr>
        <w:pStyle w:val="ListBullet"/>
        <w:spacing w:after="56"/>
      </w:pPr>
      <w:r>
        <w:t>RCCS-M measures whether regulatory obligations can be expressed through Missing Regulatory Objects and lifecycle responsibility semantics</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RCCS-T focuses on traditional regulatory compliance coverage capabilities</w:t>
      </w:r>
    </w:p>
    <w:p>
      <w:pPr>
        <w:pStyle w:val="ListBullet"/>
        <w:spacing w:after="56"/>
      </w:pPr>
      <w:r>
        <w:t>RCCS-M focuses on MRO-adjusted regulatory coverage</w:t>
      </w:r>
    </w:p>
    <w:p>
      <w:pPr>
        <w:pStyle w:val="ListBullet"/>
        <w:spacing w:after="56"/>
      </w:pPr>
      <w:r>
        <w:t>ALCS focuses on agentic lifecycle responsibility tracking and accountability capabilities</w:t>
      </w:r>
    </w:p>
    <w:p>
      <w:pPr>
        <w:pStyle w:val="ListBullet"/>
        <w:spacing w:after="56"/>
      </w:pPr>
      <w:r>
        <w:t>All three profiles are analytical tools, not legal compliance scores</w:t>
      </w:r>
    </w:p>
    <w:p>
      <w:pPr>
        <w:spacing w:after="56"/>
      </w:pPr>
      <w:r>
        <w:t>Optional composite worksheet formulas:</w:t>
      </w:r>
    </w:p>
    <w:p>
      <w:pPr>
        <w:spacing w:after="56"/>
      </w:pPr>
      <w:r>
        <w:t>Traditional Composite = 0.40 × RCCS-T + 0.60 × ALCS</w:t>
        <w:br/>
        <w:t>Agentic Composite = 0.40 × RCCS-M + 0.60 × ALCS</w:t>
        <w:br/>
        <w:br/>
        <w:t>Where:</w:t>
        <w:br/>
        <w:t>RCCS-T = Average of traditional RCCS dimension scores (0-100)</w:t>
        <w:br/>
        <w:t>RCCS-M = MRO-adjusted regulatory coverage score (0-100)</w:t>
        <w:br/>
        <w:t>ALCS = Average of 15 ALCS dimension scores (0-100)</w:t>
        <w:br/>
        <w:t>Optional composites = Weighted worksheet views (0-100), not the main result display</w:t>
      </w:r>
    </w:p>
    <w:p>
      <w:pPr>
        <w:spacing w:after="56"/>
      </w:pPr>
      <w:r>
        <w:t>Example:</w:t>
      </w:r>
    </w:p>
    <w:p>
      <w:pPr>
        <w:spacing w:after="56"/>
      </w:pPr>
      <w:r>
        <w:t>RCCS-T Adjusted Score: 65.0 (across 10 dimensions, 0-100)</w:t>
        <w:br/>
        <w:t>RCCS-M Adjusted Score: 72.0 (MRO-adjusted, 0-100)</w:t>
        <w:br/>
        <w:t>ALCS Adjusted Score: 55.0 (across 15 dimensions, 0-100)</w:t>
        <w:br/>
        <w:t>Traditional Composite: 0.40 × 65.0 + 0.60 × 55.0 = 26.0 + 33.0 = 59.0</w:t>
        <w:br/>
        <w:t>Agentic Composite: 0.40 × 72.0 + 0.60 × 55.0 = 28.8 + 33.0 = 61.8</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(RCCS-T/RCCS-M/ALCS), not legal compliance, regulatory approval, or certification status.</w:t>
      </w:r>
    </w:p>
    <w:p>
      <w:pPr>
        <w:pStyle w:val="ListBullet"/>
        <w:spacing w:after="56"/>
      </w:pPr>
      <w:r>
        <w:t>Numerical profiles are not in Appendix G. Numeric RCCS-T / RCCS-M / ALCS profiles appear only in the Evaluation Results section. Appendix G remains qualitative, provisional, and no-score.</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Traditional Regulatory Compliance Coverage Primitives (RCCS-T-aligned): Risk management, data governance, documentation, record-keeping, transparency, human oversight, security, accountability, contestability, monitoring</w:t>
      </w:r>
    </w:p>
    <w:p>
      <w:pPr>
        <w:pStyle w:val="ListNumber"/>
        <w:spacing w:after="56"/>
      </w:pPr>
      <w:r>
        <w:t>MRO-Adjusted Regulatory Coverage (RCCS-M-aligned): Whether traditional governance obligations are expressible through Missing Regulatory Objects such as authority boundaries, accepted outcomes, evidence partitioning, responsibility transfer, privacy lifecycle mapping, substitution conformance, and remediation closure</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limited traditional RCCS-T product-platform coverage and strong provisional RCCS-M /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RCCS-T, RCCS-M,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RCCS-T, RCCS-M, and ALCS dimensions as analytical prompts. It must not be read as proof that a vendor, platform, protocol, or implementation is legally compliant, operationally effective, enterprise-ready, certified, or regulator-approved. RCCS-M remains author analytical and forward-looking, not current law or a procurement benchmark.</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RCCS-T, RCCS-M,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RCCS-T/RCCS-M/ALCS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RCCS-T/RCCS-M/ALCS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vendor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RCCS-T/RCCS-M/ALCS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 RCCS-M marked as author analytical and forward-looking</w:t>
            </w:r>
          </w:p>
        </w:tc>
        <w:tc>
          <w:tcPr>
            <w:tcW w:type="dxa" w:w="2045"/>
          </w:tcPr>
          <w:p>
            <w:pPr>
              <w:spacing w:after="0"/>
            </w:pPr>
            <w:r>
              <w:rPr>
                <w:rFonts w:ascii="Arial" w:hAnsi="Arial"/>
                <w:b w:val="0"/>
                <w:sz w:val="14"/>
              </w:rPr>
              <w:t>Phase 1D-13B consistency review completed; verify in final proof</w:t>
            </w:r>
          </w:p>
        </w:tc>
        <w:tc>
          <w:tcPr>
            <w:tcW w:type="dxa" w:w="2045"/>
          </w:tcPr>
          <w:p>
            <w:pPr>
              <w:spacing w:after="0"/>
            </w:pPr>
            <w:r>
              <w:rPr>
                <w:rFonts w:ascii="Arial" w:hAnsi="Arial"/>
                <w:b w:val="0"/>
                <w:sz w:val="14"/>
              </w:rPr>
              <w:t>Phase 1A / 1B / 1D-13B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