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Evaluation Results and Semantic Table Reflow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No unsupported final numeric scores are introduced without evidence basis, and this publication draft does not present published numerical system assessments or rankings.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Numerical worksheets, if used, remain internal analytical support and are not presented as published numerical system assessments or rankings in this publication draft.</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at entry-point level / narrowed or partially validated / L5 analytical interpretation / exact page-level support unresolved]</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support for lifecycle responsibility compliance</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validates the core thesis: agentic compliance is lifecycle responsibility compliance,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Designed for lifecycle responsibility compliance; requires validation of implementation, adoption, and enterprise integration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validates the core thesis: agentic compliance is lifecycle responsibility compliance,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56"/>
      </w:pPr>
      <w:r>
        <w:t>Boundary statement:</w:t>
      </w:r>
    </w:p>
    <w:p>
      <w:pPr>
        <w:pStyle w:val="ListBullet"/>
        <w:spacing w:after="56"/>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a publication-candidate QA task.</w:t>
      </w:r>
    </w:p>
    <w:p>
      <w:pPr>
        <w:pStyle w:val="ListBullet"/>
        <w:spacing w:after="56"/>
      </w:pPr>
      <w:r>
        <w:t>Citation source pointers require final page-level pinning. Many L2 product documentation sources are referenced via source IDs (e.g., [IBM-WATSONX-GOVERNANCE-DOCS], [MPLP-DOCS]). Phase 1C follow-up located official entry points; publication-candidate QA should pin exact page URLs and publication/access details where needed.</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SDK entry point located; OpenAI platform guide returned HTTP 403 by curl and needs final access/rendering check</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Official source family located; exact tools page pinning remains</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Public entry point located; methodology-specific support remains boundary-limited</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docs pages and publication/access details</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Microsoft Learn pages and publication/access details</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Source family located; exact page pinning remains</w:t>
            </w:r>
          </w:p>
        </w:tc>
        <w:tc>
          <w:tcPr>
            <w:tcW w:type="dxa" w:w="1704"/>
          </w:tcPr>
          <w:p>
            <w:pPr>
              <w:spacing w:after="0"/>
            </w:pPr>
            <w:r>
              <w:rPr>
                <w:rFonts w:ascii="Arial" w:hAnsi="Arial"/>
                <w:b w:val="0"/>
                <w:sz w:val="12"/>
              </w:rPr>
              <w:t>Pin exact responsible-AI pages if retained</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Bedrock pages and publication/access details</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guardrails pages and 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AgentCore pages and publication/access details</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Vertex AI pages and publication/access details</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ADK pages and publication/access details</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Model Armor pages and 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LangGraph pages and publication/access details</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LangSmith pages and publication/access details</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SDK entry point located; platform guide access/rendering needs final check</w:t>
            </w:r>
          </w:p>
        </w:tc>
        <w:tc>
          <w:tcPr>
            <w:tcW w:type="dxa" w:w="1704"/>
          </w:tcPr>
          <w:p>
            <w:pPr>
              <w:spacing w:after="0"/>
            </w:pPr>
            <w:r>
              <w:rPr>
                <w:rFonts w:ascii="Arial" w:hAnsi="Arial"/>
                <w:b w:val="0"/>
                <w:sz w:val="12"/>
              </w:rPr>
              <w:t>Use accessible official SDK docs and perform final citation rendering check</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Official source family located; exact tools page pinning remains</w:t>
            </w:r>
          </w:p>
        </w:tc>
        <w:tc>
          <w:tcPr>
            <w:tcW w:type="dxa" w:w="1704"/>
          </w:tcPr>
          <w:p>
            <w:pPr>
              <w:spacing w:after="0"/>
            </w:pPr>
            <w:r>
              <w:rPr>
                <w:rFonts w:ascii="Arial" w:hAnsi="Arial"/>
                <w:b w:val="0"/>
                <w:sz w:val="12"/>
              </w:rPr>
              <w:t>Pin exact accessible tools pages if retained</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CrewAI docs pages and publication/access details</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Entry point located; protocol version/citation rendering remains</w:t>
            </w:r>
          </w:p>
        </w:tc>
        <w:tc>
          <w:tcPr>
            <w:tcW w:type="dxa" w:w="1704"/>
          </w:tcPr>
          <w:p>
            <w:pPr>
              <w:spacing w:after="0"/>
            </w:pPr>
            <w:r>
              <w:rPr>
                <w:rFonts w:ascii="Arial" w:hAnsi="Arial"/>
                <w:b w:val="0"/>
                <w:sz w:val="12"/>
              </w:rPr>
              <w:t>Pin protocol version and 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Bound through MPLP docs entry point; exact version/citation rendering remains</w:t>
            </w:r>
          </w:p>
        </w:tc>
        <w:tc>
          <w:tcPr>
            <w:tcW w:type="dxa" w:w="1704"/>
          </w:tcPr>
          <w:p>
            <w:pPr>
              <w:spacing w:after="0"/>
            </w:pPr>
            <w:r>
              <w:rPr>
                <w:rFonts w:ascii="Arial" w:hAnsi="Arial"/>
                <w:b w:val="0"/>
                <w:sz w:val="12"/>
              </w:rPr>
              <w:t>Pin exact specification/version reference if separate page exists</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Public entry point located; methodology-specific support remains boundary-limited</w:t>
            </w:r>
          </w:p>
        </w:tc>
        <w:tc>
          <w:tcPr>
            <w:tcW w:type="dxa" w:w="1704"/>
          </w:tcPr>
          <w:p>
            <w:pPr>
              <w:spacing w:after="0"/>
            </w:pPr>
            <w:r>
              <w:rPr>
                <w:rFonts w:ascii="Arial" w:hAnsi="Arial"/>
                <w:b w:val="0"/>
                <w:sz w:val="12"/>
              </w:rPr>
              <w:t>Pin methodology-specific citation if available or retain boundary-limited note</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Revalidation Queue</w:t>
      </w:r>
    </w:p>
    <w:p>
      <w:pPr>
        <w:spacing w:after="56"/>
      </w:pPr>
      <w:r>
        <w:t>The following table lists sources requiring final page-level citation pinning or retained boundary notes during publication-candidate QA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Publication QA Need</w:t>
            </w:r>
          </w:p>
        </w:tc>
        <w:tc>
          <w:tcPr>
            <w:tcW w:type="dxa" w:w="2045"/>
          </w:tcPr>
          <w:p>
            <w:pPr>
              <w:spacing w:after="0"/>
            </w:pPr>
            <w:r>
              <w:rPr>
                <w:rFonts w:ascii="Arial" w:hAnsi="Arial"/>
                <w:b/>
                <w:sz w:val="14"/>
              </w:rPr>
              <w:t>Priority</w:t>
            </w:r>
          </w:p>
        </w:tc>
        <w:tc>
          <w:tcPr>
            <w:tcW w:type="dxa" w:w="2045"/>
          </w:tcPr>
          <w:p>
            <w:pPr>
              <w:spacing w:after="0"/>
            </w:pPr>
            <w:r>
              <w:rPr>
                <w:rFonts w:ascii="Arial" w:hAnsi="Arial"/>
                <w:b/>
                <w:sz w:val="14"/>
              </w:rPr>
              <w:t>QA Stage</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Pin exact pages for specific governance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Pin exact pages for agents, tracing, evaluations, and safety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Learn source family</w:t>
            </w:r>
          </w:p>
        </w:tc>
        <w:tc>
          <w:tcPr>
            <w:tcW w:type="dxa" w:w="2045"/>
          </w:tcPr>
          <w:p>
            <w:pPr>
              <w:spacing w:after="0"/>
            </w:pPr>
            <w:r>
              <w:rPr>
                <w:rFonts w:ascii="Arial" w:hAnsi="Arial"/>
                <w:b w:val="0"/>
                <w:sz w:val="14"/>
              </w:rPr>
              <w:t>Pin exact responsible-AI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https://docs.aws.amazon.com/bedrock/latest/userguide/what-is-bedrock.html</w:t>
            </w:r>
          </w:p>
        </w:tc>
        <w:tc>
          <w:tcPr>
            <w:tcW w:type="dxa" w:w="2045"/>
          </w:tcPr>
          <w:p>
            <w:pPr>
              <w:spacing w:after="0"/>
            </w:pPr>
            <w:r>
              <w:rPr>
                <w:rFonts w:ascii="Arial" w:hAnsi="Arial"/>
                <w:b w:val="0"/>
                <w:sz w:val="14"/>
              </w:rPr>
              <w:t>Pin exact Bedrock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https://docs.aws.amazon.com/bedrock/latest/userguide/guardrails.html</w:t>
            </w:r>
          </w:p>
        </w:tc>
        <w:tc>
          <w:tcPr>
            <w:tcW w:type="dxa" w:w="2045"/>
          </w:tcPr>
          <w:p>
            <w:pPr>
              <w:spacing w:after="0"/>
            </w:pPr>
            <w:r>
              <w:rPr>
                <w:rFonts w:ascii="Arial" w:hAnsi="Arial"/>
                <w:b w:val="0"/>
                <w:sz w:val="14"/>
              </w:rPr>
              <w:t>Pin exact guardrails pages; preserve authority-boundary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https://docs.aws.amazon.com/bedrock-agentcore/latest/devguide/what-is-bedrock-agentcore.html</w:t>
            </w:r>
          </w:p>
        </w:tc>
        <w:tc>
          <w:tcPr>
            <w:tcW w:type="dxa" w:w="2045"/>
          </w:tcPr>
          <w:p>
            <w:pPr>
              <w:spacing w:after="0"/>
            </w:pPr>
            <w:r>
              <w:rPr>
                <w:rFonts w:ascii="Arial" w:hAnsi="Arial"/>
                <w:b w:val="0"/>
                <w:sz w:val="14"/>
              </w:rPr>
              <w:t>Pin exact AgentCore pages for runtime/observability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https://docs.cloud.google.com/vertex-ai/docs</w:t>
            </w:r>
          </w:p>
        </w:tc>
        <w:tc>
          <w:tcPr>
            <w:tcW w:type="dxa" w:w="2045"/>
          </w:tcPr>
          <w:p>
            <w:pPr>
              <w:spacing w:after="0"/>
            </w:pPr>
            <w:r>
              <w:rPr>
                <w:rFonts w:ascii="Arial" w:hAnsi="Arial"/>
                <w:b w:val="0"/>
                <w:sz w:val="14"/>
              </w:rPr>
              <w:t>Pin exact Vertex AI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https://adk.dev/</w:t>
            </w:r>
          </w:p>
        </w:tc>
        <w:tc>
          <w:tcPr>
            <w:tcW w:type="dxa" w:w="2045"/>
          </w:tcPr>
          <w:p>
            <w:pPr>
              <w:spacing w:after="0"/>
            </w:pPr>
            <w:r>
              <w:rPr>
                <w:rFonts w:ascii="Arial" w:hAnsi="Arial"/>
                <w:b w:val="0"/>
                <w:sz w:val="14"/>
              </w:rPr>
              <w:t>Pin exact ADK pages for agent/tool/session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https://docs.cloud.google.com/model-armor/overview</w:t>
            </w:r>
          </w:p>
        </w:tc>
        <w:tc>
          <w:tcPr>
            <w:tcW w:type="dxa" w:w="2045"/>
          </w:tcPr>
          <w:p>
            <w:pPr>
              <w:spacing w:after="0"/>
            </w:pPr>
            <w:r>
              <w:rPr>
                <w:rFonts w:ascii="Arial" w:hAnsi="Arial"/>
                <w:b w:val="0"/>
                <w:sz w:val="14"/>
              </w:rPr>
              <w:t>Pin exact Model Armor pages; preserve lifecycle-governance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https://docs.langchain.com/oss/python/langgraph/overview</w:t>
            </w:r>
          </w:p>
        </w:tc>
        <w:tc>
          <w:tcPr>
            <w:tcW w:type="dxa" w:w="2045"/>
          </w:tcPr>
          <w:p>
            <w:pPr>
              <w:spacing w:after="0"/>
            </w:pPr>
            <w:r>
              <w:rPr>
                <w:rFonts w:ascii="Arial" w:hAnsi="Arial"/>
                <w:b w:val="0"/>
                <w:sz w:val="14"/>
              </w:rPr>
              <w:t>Pin exact persistence/interrupt/tool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https://docs.langchain.com/langsmith/home</w:t>
            </w:r>
          </w:p>
        </w:tc>
        <w:tc>
          <w:tcPr>
            <w:tcW w:type="dxa" w:w="2045"/>
          </w:tcPr>
          <w:p>
            <w:pPr>
              <w:spacing w:after="0"/>
            </w:pPr>
            <w:r>
              <w:rPr>
                <w:rFonts w:ascii="Arial" w:hAnsi="Arial"/>
                <w:b w:val="0"/>
                <w:sz w:val="14"/>
              </w:rPr>
              <w:t>Pin exact tracing/evaluation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https://openai.github.io/openai-agents-python/</w:t>
            </w:r>
          </w:p>
        </w:tc>
        <w:tc>
          <w:tcPr>
            <w:tcW w:type="dxa" w:w="2045"/>
          </w:tcPr>
          <w:p>
            <w:pPr>
              <w:spacing w:after="0"/>
            </w:pPr>
            <w:r>
              <w:rPr>
                <w:rFonts w:ascii="Arial" w:hAnsi="Arial"/>
                <w:b w:val="0"/>
                <w:sz w:val="14"/>
              </w:rPr>
              <w:t>Pin exact SDK pages for agents/tools/handoffs/tracing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platform docs source family</w:t>
            </w:r>
          </w:p>
        </w:tc>
        <w:tc>
          <w:tcPr>
            <w:tcW w:type="dxa" w:w="2045"/>
          </w:tcPr>
          <w:p>
            <w:pPr>
              <w:spacing w:after="0"/>
            </w:pPr>
            <w:r>
              <w:rPr>
                <w:rFonts w:ascii="Arial" w:hAnsi="Arial"/>
                <w:b w:val="0"/>
                <w:sz w:val="14"/>
              </w:rPr>
              <w:t>Pin exact accessible tools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https://docs.crewai.com/</w:t>
            </w:r>
          </w:p>
        </w:tc>
        <w:tc>
          <w:tcPr>
            <w:tcW w:type="dxa" w:w="2045"/>
          </w:tcPr>
          <w:p>
            <w:pPr>
              <w:spacing w:after="0"/>
            </w:pPr>
            <w:r>
              <w:rPr>
                <w:rFonts w:ascii="Arial" w:hAnsi="Arial"/>
                <w:b w:val="0"/>
                <w:sz w:val="14"/>
              </w:rPr>
              <w:t>Pin exact agents/tasks/crews/flows/tools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https://github.com/crewAIInc/crewAI</w:t>
            </w:r>
          </w:p>
        </w:tc>
        <w:tc>
          <w:tcPr>
            <w:tcW w:type="dxa" w:w="2045"/>
          </w:tcPr>
          <w:p>
            <w:pPr>
              <w:spacing w:after="0"/>
            </w:pPr>
            <w:r>
              <w:rPr>
                <w:rFonts w:ascii="Arial" w:hAnsi="Arial"/>
                <w:b w:val="0"/>
                <w:sz w:val="14"/>
              </w:rPr>
              <w:t>Pin exact repository paths only for code/API-specific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protocol version and preserve conflict-of-interest boundary</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exact specification/version reference if separate page exists</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w:t>
            </w:r>
          </w:p>
        </w:tc>
        <w:tc>
          <w:tcPr>
            <w:tcW w:type="dxa" w:w="2045"/>
          </w:tcPr>
          <w:p>
            <w:pPr>
              <w:spacing w:after="0"/>
            </w:pPr>
            <w:r>
              <w:rPr>
                <w:rFonts w:ascii="Arial" w:hAnsi="Arial"/>
                <w:b w:val="0"/>
                <w:sz w:val="14"/>
              </w:rPr>
              <w:t>Pin methodology-specific citation if available or retain boundary-limited note</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during publication-candidate QA and do not prove deployment practice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Pin exact page-level L2 product documentation URLs and replace remaining source pointers with validated URLs and publication/access details</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add methodology-specific Validation Lab support if available</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Source support unresolved: Mapping is uncertain because exact source support for the lifecycle responsibility object has not been pinned.</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1C follow-up completed source-entry and claim-disposition review for Appendix D. Remaining finalization work is to:</w:t>
      </w:r>
    </w:p>
    <w:p>
      <w:pPr>
        <w:pStyle w:val="ListNumber"/>
        <w:spacing w:after="56"/>
      </w:pPr>
      <w:r>
        <w:t>Pin exact page-level citations for high-risk MRO cell claims where needed</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source-support unresolved if exact page-level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1C source review record and Phase 1D publication handoff. It tracks source classes, citation status, evidence level, claim-binding status, and required publication follow-up actions.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Public entry point located; methodology-specific support remains limited</w:t>
            </w:r>
          </w:p>
        </w:tc>
        <w:tc>
          <w:tcPr>
            <w:tcW w:type="dxa" w:w="1461"/>
          </w:tcPr>
          <w:p>
            <w:pPr>
              <w:spacing w:after="0"/>
            </w:pPr>
            <w:r>
              <w:rPr>
                <w:rFonts w:ascii="Arial" w:hAnsi="Arial"/>
                <w:b w:val="0"/>
                <w:sz w:val="12"/>
              </w:rPr>
              <w:t>Keep non-certifying boundary; add methodology-specific citation if available</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SDK docs entry point located; platform guide access/rendering needs final check</w:t>
            </w:r>
          </w:p>
        </w:tc>
        <w:tc>
          <w:tcPr>
            <w:tcW w:type="dxa" w:w="1461"/>
          </w:tcPr>
          <w:p>
            <w:pPr>
              <w:spacing w:after="0"/>
            </w:pPr>
            <w:r>
              <w:rPr>
                <w:rFonts w:ascii="Arial" w:hAnsi="Arial"/>
                <w:b w:val="0"/>
                <w:sz w:val="12"/>
              </w:rPr>
              <w:t>Use accessible official SDK docs and perform final citation rendering check</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page-level citation pinning remains before publication-candidate release</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and Validation Lab URL/source pointers.</w:t>
      </w:r>
    </w:p>
    <w:p>
      <w:pPr>
        <w:pStyle w:val="ListNumber"/>
        <w:spacing w:after="56"/>
      </w:pPr>
      <w:r>
        <w:t>Reclassify evidence levels only when documentation supports the change.</w:t>
      </w:r>
    </w:p>
    <w:p>
      <w:pPr>
        <w:pStyle w:val="ListNumber"/>
        <w:spacing w:after="56"/>
      </w:pPr>
      <w:r>
        <w:t>Record all source changes and unresolved gaps in Appendix I or a publication QA report.</w:t>
      </w:r>
    </w:p>
    <w:p>
      <w:pPr>
        <w:spacing w:after="56"/>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URL, source currency, and protocol documentation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specification URL and version</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Validate URL and non-certifying methodology boundary</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Bedrock, Guardrails, and AgentCore references</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Vertex AI, ADK, and Model Armor references</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framework/documentation names</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SDK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add new product claims during verification</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documentation scope</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Claim-level source binding applied</w:t>
            </w:r>
          </w:p>
        </w:tc>
        <w:tc>
          <w:tcPr>
            <w:tcW w:type="dxa" w:w="2045"/>
          </w:tcPr>
          <w:p>
            <w:pPr>
              <w:spacing w:after="0"/>
            </w:pPr>
            <w:r>
              <w:rPr>
                <w:rFonts w:ascii="Arial" w:hAnsi="Arial"/>
                <w:b w:val="0"/>
                <w:sz w:val="14"/>
              </w:rPr>
              <w:t>Exact page-level citation pinning remains for publication-candidate QA</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entry point plus L5 methodology interpretation</w:t>
            </w:r>
          </w:p>
        </w:tc>
        <w:tc>
          <w:tcPr>
            <w:tcW w:type="dxa" w:w="2045"/>
          </w:tcPr>
          <w:p>
            <w:pPr>
              <w:spacing w:after="0"/>
            </w:pPr>
            <w:r>
              <w:rPr>
                <w:rFonts w:ascii="Arial" w:hAnsi="Arial"/>
                <w:b w:val="0"/>
                <w:sz w:val="14"/>
              </w:rPr>
              <w:t>Public entry point located; methodology-specific support remains boundary-limited</w:t>
            </w:r>
          </w:p>
        </w:tc>
        <w:tc>
          <w:tcPr>
            <w:tcW w:type="dxa" w:w="2045"/>
          </w:tcPr>
          <w:p>
            <w:pPr>
              <w:spacing w:after="0"/>
            </w:pPr>
            <w:r>
              <w:rPr>
                <w:rFonts w:ascii="Arial" w:hAnsi="Arial"/>
                <w:b w:val="0"/>
                <w:sz w:val="14"/>
              </w:rPr>
              <w:t>Exact methodology citation may remain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Exact citation pages and rendering not yet verified</w:t>
            </w:r>
          </w:p>
        </w:tc>
        <w:tc>
          <w:tcPr>
            <w:tcW w:type="dxa" w:w="2045"/>
          </w:tcPr>
          <w:p>
            <w:pPr>
              <w:spacing w:after="0"/>
            </w:pPr>
            <w:r>
              <w:rPr>
                <w:rFonts w:ascii="Arial" w:hAnsi="Arial"/>
                <w:b w:val="0"/>
                <w:sz w:val="14"/>
              </w:rPr>
              <w:t>Pin page-level citations before publication candidate</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Citation rendering and claim-label preservation not yet verified</w:t>
            </w:r>
          </w:p>
        </w:tc>
        <w:tc>
          <w:tcPr>
            <w:tcW w:type="dxa" w:w="2045"/>
          </w:tcPr>
          <w:p>
            <w:pPr>
              <w:spacing w:after="0"/>
            </w:pPr>
            <w:r>
              <w:rPr>
                <w:rFonts w:ascii="Arial" w:hAnsi="Arial"/>
                <w:b w:val="0"/>
                <w:sz w:val="14"/>
              </w:rPr>
              <w:t>Verify source labels during Phase 1D/publication QA</w:t>
            </w:r>
          </w:p>
        </w:tc>
      </w:tr>
    </w:tbl>
    <w:p>
      <w:pPr>
        <w:spacing w:after="56"/>
      </w:pPr>
      <w:r>
        <w:t>The source coverage matrix has been updated during Phase 1C as a coverage ledger and during Phase 1C follow-up as a claim-level source-binding ledger. Publication-candidate QA still requires page-level citation pinning and rendering checks. Appendix G remains revalidated provisional, not final.</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w:t>
            </w:r>
          </w:p>
        </w:tc>
        <w:tc>
          <w:tcPr>
            <w:tcW w:type="dxa" w:w="1704"/>
          </w:tcPr>
          <w:p>
            <w:pPr>
              <w:spacing w:after="0"/>
            </w:pPr>
            <w:r>
              <w:rPr>
                <w:rFonts w:ascii="Arial" w:hAnsi="Arial"/>
                <w:b w:val="0"/>
                <w:sz w:val="12"/>
              </w:rPr>
              <w:t>L2 docs reviewed at claim level; page-level citation pinning remains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w:t>
            </w:r>
          </w:p>
        </w:tc>
        <w:tc>
          <w:tcPr>
            <w:tcW w:type="dxa" w:w="1704"/>
          </w:tcPr>
          <w:p>
            <w:pPr>
              <w:spacing w:after="0"/>
            </w:pPr>
            <w:r>
              <w:rPr>
                <w:rFonts w:ascii="Arial" w:hAnsi="Arial"/>
                <w:b w:val="0"/>
                <w:sz w:val="12"/>
              </w:rPr>
              <w:t>Source review completed at claim level; page-level citation pinning remains</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cleanup updated citation inventory to URL-reviewed status; Phase 1C follow-up added claim-level source binding and claim register</w:t>
            </w:r>
          </w:p>
        </w:tc>
        <w:tc>
          <w:tcPr>
            <w:tcW w:type="dxa" w:w="1704"/>
          </w:tcPr>
          <w:p>
            <w:pPr>
              <w:spacing w:after="0"/>
            </w:pPr>
            <w:r>
              <w:rPr>
                <w:rFonts w:ascii="Arial" w:hAnsi="Arial"/>
                <w:b w:val="0"/>
                <w:sz w:val="12"/>
              </w:rPr>
              <w:t>Final page-level citation pinning and rendering QA before publication candidate</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Claim evidence register created; Appendix G marked revalidated provisional; citation inventory/source coverage matrix updated</w:t>
            </w:r>
          </w:p>
        </w:tc>
        <w:tc>
          <w:tcPr>
            <w:tcW w:type="dxa" w:w="1704"/>
          </w:tcPr>
          <w:p>
            <w:pPr>
              <w:spacing w:after="0"/>
            </w:pPr>
            <w:r>
              <w:rPr>
                <w:rFonts w:ascii="Arial" w:hAnsi="Arial"/>
                <w:b w:val="0"/>
                <w:sz w:val="12"/>
              </w:rPr>
              <w:t>Keep Appendix G provisional; perform page-level citation pinning before publication-candidate release</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1C claim-level reviewed / provisional source binding complete</w:t>
            </w:r>
          </w:p>
        </w:tc>
        <w:tc>
          <w:tcPr>
            <w:tcW w:type="dxa" w:w="2045"/>
          </w:tcPr>
          <w:p>
            <w:pPr>
              <w:spacing w:after="0"/>
            </w:pPr>
            <w:r>
              <w:rPr>
                <w:rFonts w:ascii="Arial" w:hAnsi="Arial"/>
                <w:b w:val="0"/>
                <w:sz w:val="14"/>
              </w:rPr>
              <w:t>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or downgraded to L5</w:t>
            </w:r>
          </w:p>
        </w:tc>
        <w:tc>
          <w:tcPr>
            <w:tcW w:type="dxa" w:w="2045"/>
          </w:tcPr>
          <w:p>
            <w:pPr>
              <w:spacing w:after="0"/>
            </w:pPr>
            <w:r>
              <w:rPr>
                <w:rFonts w:ascii="Arial" w:hAnsi="Arial"/>
                <w:b w:val="0"/>
                <w:sz w:val="14"/>
              </w:rPr>
              <w:t>Appendix G remains provisional; 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 and site entry points located; Validation Lab public entry point located</w:t>
            </w:r>
          </w:p>
        </w:tc>
        <w:tc>
          <w:tcPr>
            <w:tcW w:type="dxa" w:w="2045"/>
          </w:tcPr>
          <w:p>
            <w:pPr>
              <w:spacing w:after="0"/>
            </w:pPr>
            <w:r>
              <w:rPr>
                <w:rFonts w:ascii="Arial" w:hAnsi="Arial"/>
                <w:b w:val="0"/>
                <w:sz w:val="14"/>
              </w:rPr>
              <w:t>Methodology-specific Validation Lab support remains boundary-limited</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1C cleanup and claim-level source binding have been completed; remaining work is Phase 1D/publication QA. Deferred Phase 1D items remain active governance obligations until publication-candidate generation, citation rendering, table/figure proofing, and final review are complete.</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located official source entry points; narrowed or downgraded material product/protocol claims; marked Appendix G revalidated provisional</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claim-level source binding; page-level citation pinning remains</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Phase 1B-10 was preparatory; Phase 1C follow-up added claim-level source-binding status without claiming final publication readiness</w:t>
            </w:r>
          </w:p>
        </w:tc>
        <w:tc>
          <w:tcPr>
            <w:tcW w:type="dxa" w:w="2045"/>
          </w:tcPr>
          <w:p>
            <w:pPr>
              <w:spacing w:after="0"/>
            </w:pPr>
            <w:r>
              <w:rPr>
                <w:rFonts w:ascii="Arial" w:hAnsi="Arial"/>
                <w:b w:val="0"/>
                <w:sz w:val="14"/>
              </w:rPr>
              <w:t>Perform final page-level citation pinning and rendering QA</w:t>
            </w:r>
          </w:p>
        </w:tc>
        <w:tc>
          <w:tcPr>
            <w:tcW w:type="dxa" w:w="2045"/>
          </w:tcPr>
          <w:p>
            <w:pPr>
              <w:spacing w:after="0"/>
            </w:pPr>
            <w:r>
              <w:rPr>
                <w:rFonts w:ascii="Arial" w:hAnsi="Arial"/>
                <w:b w:val="0"/>
                <w:sz w:val="14"/>
              </w:rPr>
              <w:t>Phase 1B-10 / Phase 1C</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Page-level citation pinning for source-bound product/protocol claims</w:t>
            </w:r>
          </w:p>
        </w:tc>
        <w:tc>
          <w:tcPr>
            <w:tcW w:type="dxa" w:w="2045"/>
          </w:tcPr>
          <w:p>
            <w:pPr>
              <w:spacing w:after="0"/>
            </w:pPr>
            <w:r>
              <w:rPr>
                <w:rFonts w:ascii="Arial" w:hAnsi="Arial"/>
                <w:b w:val="0"/>
                <w:sz w:val="14"/>
              </w:rPr>
              <w:t>Official entry points were located, but final citation pages must be pinned before publication</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Exact source page references and citation rendering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Public entry point was located, but methodology-specific support remains limited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Methodology URL or retained unresolved note</w:t>
            </w:r>
          </w:p>
        </w:tc>
        <w:tc>
          <w:tcPr>
            <w:tcW w:type="dxa" w:w="2045"/>
          </w:tcPr>
          <w:p>
            <w:pPr>
              <w:spacing w:after="0"/>
            </w:pPr>
            <w:r>
              <w:rPr>
                <w:rFonts w:ascii="Arial" w:hAnsi="Arial"/>
                <w:b w:val="0"/>
                <w:sz w:val="14"/>
              </w:rPr>
              <w:t>Blocks treating methodology claims as more than boundary-limited</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now tied to claims, but final artifacts must preserve labels</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Blocks final Appendix G publication status</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Publication rendering not yet produced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DOCX/PDF artifacts and visual QA report</w:t>
            </w:r>
          </w:p>
        </w:tc>
        <w:tc>
          <w:tcPr>
            <w:tcW w:type="dxa" w:w="2045"/>
          </w:tcPr>
          <w:p>
            <w:pPr>
              <w:spacing w:after="0"/>
            </w:pPr>
            <w:r>
              <w:rPr>
                <w:rFonts w:ascii="Arial" w:hAnsi="Arial"/>
                <w:b w:val="0"/>
                <w:sz w:val="14"/>
              </w:rPr>
              <w:t>Blocks publication release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