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r>
      <w:r>
        <w:t>Global RCCS-M integration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RCCS-T / RCCS-M / ALCS is a three-profile analytical model, not legal compliance proof, certification, a regulator-approved benchmark, a final vendor score, a ranking, or procurement advice.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 proposed three-profile analytical model</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RCCS-T / RCCS-M / 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RCCS-T, RCCS-M,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RCCS-T / RCCS-M - Regulatory Compliance Coverage Scores</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RCCS-T / RCCS-M / ALCS Three-Profile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RCCS-T, RCCS-M, ALCS, and optional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RCCS-T, RCCS-M, and ALCS measure different but connected layers: traditional regulatory coverage, MRO-adjusted regulatory coverage, and agentic lifecycle conformance. A system can be strong in one layer and weaker in another.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Three-Profile Analytical Model</w:t>
      </w:r>
    </w:p>
    <w:p>
      <w:pPr>
        <w:spacing w:after="56"/>
      </w:pPr>
      <w:r>
        <w:t>The report introduces three profile signals:</w:t>
      </w:r>
    </w:p>
    <w:p>
      <w:pPr>
        <w:pStyle w:val="ListNumber"/>
        <w:spacing w:after="56"/>
      </w:pPr>
      <w:r>
        <w:t>RCCS-T - Traditional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RCCS-M - MRO-Adjusted Regulatory Compliance Coverage Score - measures whether those regulatory obligations can be expressed through Missing Regulatory Objects required for agentic lifecycle responsibility compliance.</w:t>
      </w:r>
    </w:p>
    <w:p>
      <w:pPr>
        <w:pStyle w:val="ListNumber"/>
        <w:spacing w:after="56"/>
      </w:pPr>
      <w:r>
        <w:t>ALCS - Agentic Lifecycle Conformance Score - measures whether lifecycle responsibility conformance is mature across responsibility, authority, evidence, privacy, substitution, and remediation. A system can have strong RCCS-T and weaker RCCS-M or ALCS. That is not a contradiction. It means the system may be strong in existing model governance or platform controls while lacking deeper lifecycle responsibility semantics for multi-agent work.</w:t>
      </w:r>
    </w:p>
    <w:p>
      <w:pPr>
        <w:spacing w:after="56"/>
      </w:pPr>
      <w:r>
        <w:t>Conceptual flow:</w:t>
      </w:r>
    </w:p>
    <w:p>
      <w:pPr>
        <w:spacing w:after="56"/>
      </w:pPr>
      <w:r>
        <w:t>RCCS-T -&gt; MRO Adjustment Layer -&gt; RCCS-M -&gt; ALCS</w:t>
      </w:r>
    </w:p>
    <w:p>
      <w:pPr>
        <w:spacing w:after="56"/>
      </w:pPr>
      <w:r>
        <w:t>RCCS-M is an author analytical, forward-looking, MRO-adjusted model. It is not current law, legal compliance proof, certification, a regulator-approved benchmark, a final vendor score, ranking, or procurement recommendation.</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RCCS-T, RCCS-M,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RCCS-T, RCCS-M, and ALCS scoring to separate ordinary governance coverage, MRO-adjusted regulatory coverage, and lifecycle conformance. RCCS-T measures how strongly a system covers existing regulatory and governance requirements. RCCS-M measures whether that coverage can be expressed through Missing Regulatory Objects.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traditional regulatory coverage, MRO-adjusted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A proposed analytical scoring framework; RCCS-M is author analytical and forward-looking</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spacing w:after="56"/>
      </w:pPr>
      <w:r>
        <w:t>This distinction is the bridge to the paper's scoring model. Existing regulation supplies risk, accountability, transparency, oversight, privacy, record-keeping, and monitoring language. It does not consistently define the lifecycle responsibility objects needed by agentic and multi-agent systems. RCCS-T therefore measures traditional regulatory coverage, while later chapters introduce MROs and RCCS-M to ask whether that coverage can be expressed through lifecycle responsibility objects.</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spacing w:after="56"/>
      </w:pPr>
      <w:r>
        <w:t>This translation is what makes RCCS-M possible. Without MROs, regulatory coverage remains RCCS-T: a traditional view of governance primitives such as documentation, oversight, record-keeping, transparency, security, accountability, contestability, and monitoring. With MROs, the same coverage can be tested against agentic lifecycle responsibility objects. RCCS-M is the author analytical profile for that MRO-adjusted coverage.</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 In scoring terms, this is the bridge from RCCS-T to RCCS-M.</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the three-profile analytical model that measures how systems map to these objects. RCCS-T measures traditional regulatory compliance coverage. MROs provide the adjustment layer that asks whether that coverage can be represented as lifecycle responsibility objects. RCCS-M measures MRO-adjusted regulatory coverage. ALCS measures lifecycle conformance maturity.</w:t>
      </w:r>
    </w:p>
    <w:p>
      <w:pPr>
        <w:spacing w:after="56"/>
      </w:pPr>
      <w:r>
        <w:t>Conceptually:</w:t>
      </w:r>
    </w:p>
    <w:p>
      <w:pPr>
        <w:spacing w:after="56"/>
      </w:pPr>
      <w:r>
        <w:t>RCCS-T + MRO Coverage = RCCS-M</w:t>
      </w:r>
    </w:p>
    <w:p>
      <w:pPr>
        <w:spacing w:after="56"/>
      </w:pPr>
      <w:r>
        <w:t>This is an analytical model, not a legal formula, certification, regulator-approved scoring method, final vendor score, ranking, or procurement recommendation. Its purpose is to make the transition visible: regulatory language names the governance expectation; MROs define the lifecycle responsibility object; RCCS-M evaluates whether the traditional regulatory surface can be expressed through that object layer.</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family used in this white paper. The original RCCS is treated as RCCS-T — Traditional Regulatory Compliance Coverage Score unless explicitly MRO-adjusted. RCCS-T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The chapter also defines RCCS-M — MRO-Adjusted Regulatory Compliance Coverage Score. RCCS-M asks whether those same regulatory obligations can be expressed through Missing Regulatory Objects: authority boundaries, responsibility mappings, accepted outcome states, evidence partitions, privacy lifecycle maps, substitution conformance records, and incident/remediation closure objects.</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RCCS-T, RCCS-M,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RCCS-T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RCCS-T and RCCS-M are not legal compliance scores. A high RCCS-T or RCCS-M score does not mean a system is legally compliant. A low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RCCS-T is to translate regulatory abstractions into measurable system capabilities. Regulation requires risk management, but what does that mean in a system? RCCS-T defines ten dimensions that operationalize regulatory requirements into system features that can be evaluated, compared, and improved. It is a bridge between regulatory language and engineering implementation.</w:t>
      </w:r>
    </w:p>
    <w:p>
      <w:pPr>
        <w:spacing w:after="56"/>
      </w:pPr>
      <w:r>
        <w:t>RCCS-M adds the MRO adjustment. It asks a second question: can the regulatory coverage captured by RCCS-T be expressed through lifecycle responsibility objects that agentic systems can emit, inspect, replay, and validate? A governance dashboard may support RCCS-T. An authority boundary object, accepted outcome record, partitioned evidence chain, and substitution conformance record support RCCS-M.</w:t>
      </w:r>
    </w:p>
    <w:p>
      <w:pPr>
        <w:pStyle w:val="Heading2"/>
      </w:pPr>
      <w:r>
        <w:t>7.1.1 RCCS-T and RCCS-M</w:t>
      </w:r>
    </w:p>
    <w:p>
      <w:pPr>
        <w:spacing w:after="56"/>
      </w:pPr>
      <w:r>
        <w:t>RCCS-T — Traditional Regulatory Compliance Coverage Score measures familiar governance surfaces: risk management, data governance, documentation, record-keeping, transparency, human oversight, security, accountability, contestability, and monitoring.</w:t>
      </w:r>
    </w:p>
    <w:p>
      <w:pPr>
        <w:spacing w:after="56"/>
      </w:pPr>
      <w:r>
        <w:t>RCCS-M — MRO-Adjusted Regulatory Compliance Coverage Score measures whether those governance surfaces can be represented through Missing Regulatory Objects required for agentic lifecycle responsibility compliance.</w:t>
      </w:r>
    </w:p>
    <w:p>
      <w:pPr>
        <w:spacing w:after="56"/>
      </w:pPr>
      <w:r>
        <w:t>The distinction matters because enterprise governance platforms may show strong RCCS-T coverage through conventional dashboards, policies, documentation, controls, and monitoring. Lifecycle protocol systems may show stronger RCCS-M where they define explicit responsibility, authority, evidence, acceptance, privacy, substitution, and closure objects. This is a score-delta interpretation, not a product ranking.</w:t>
      </w:r>
    </w:p>
    <w:p>
      <w:pPr>
        <w:spacing w:after="56"/>
      </w:pPr>
      <w:r>
        <w:t>RCCS-M is an author analytical, forward-looking model. It is not current law, legal compliance proof, certification, a regulator-approved benchmark, final vendor score, ranking, or procurement recommendation.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RCCS-T, RCCS-M, and ALCS use the same evidence confidence procedure. This section defines the shared raw scoring scale, evidence confidence multiplier, and dimension score formula used throughout the white paper. Composite views are secondary and are defined in Chapter 9.</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RCCS-T, RCCS-M,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RCCS-T framework score is the aggregate of adjusted traditional RCCS dimension scores. RCCS-M uses the same regulatory dimension family but interprets each dimension through MRO coverage: whether the regulatory obligation is expressible as lifecycle responsibility objects.</w:t>
      </w:r>
    </w:p>
    <w:p>
      <w:pPr>
        <w:spacing w:after="56"/>
      </w:pPr>
      <w:r>
        <w:t>Optional cross-framework composite views are defined in Chapter 9. They are secondary to the three-profile display and must not hide the distinction between RCCS-T, RCCS-M, and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RCCS-T or RCCS-M framework score</w:t>
            </w:r>
          </w:p>
        </w:tc>
      </w:tr>
      <w:tr>
        <w:tc>
          <w:tcPr>
            <w:tcW w:type="dxa" w:w="3408"/>
          </w:tcPr>
          <w:p>
            <w:pPr>
              <w:spacing w:after="0"/>
            </w:pPr>
            <w:r>
              <w:rPr>
                <w:rFonts w:ascii="Arial" w:hAnsi="Arial"/>
                <w:b w:val="0"/>
                <w:sz w:val="14"/>
              </w:rPr>
              <w:t>Optional Composite View</w:t>
            </w:r>
          </w:p>
        </w:tc>
        <w:tc>
          <w:tcPr>
            <w:tcW w:type="dxa" w:w="3408"/>
          </w:tcPr>
          <w:p>
            <w:pPr>
              <w:spacing w:after="0"/>
            </w:pPr>
            <w:r>
              <w:rPr>
                <w:rFonts w:ascii="Arial" w:hAnsi="Arial"/>
                <w:b w:val="0"/>
                <w:sz w:val="14"/>
              </w:rPr>
              <w:t>Secondary calculation using RCCS-T or RCCS-M with ALCS</w:t>
            </w:r>
          </w:p>
        </w:tc>
        <w:tc>
          <w:tcPr>
            <w:tcW w:type="dxa" w:w="3408"/>
          </w:tcPr>
          <w:p>
            <w:pPr>
              <w:spacing w:after="0"/>
            </w:pPr>
            <w:r>
              <w:rPr>
                <w:rFonts w:ascii="Arial" w:hAnsi="Arial"/>
                <w:b w:val="0"/>
                <w:sz w:val="14"/>
              </w:rPr>
              <w:t>See Chapter 9</w:t>
            </w:r>
          </w:p>
        </w:tc>
      </w:tr>
    </w:tbl>
    <w:p>
      <w:pPr>
        <w:spacing w:after="56"/>
      </w:pPr>
      <w:r>
        <w:t>This calculation method is used for RCCS-T, RCCS-M, and ALCS. The difference is the evaluation lens: RCCS-T asks about traditional regulatory coverage, RCCS-M asks about MRO-adjusted coverage, and ALCS asks about lifecycle conformance maturity.</w:t>
      </w:r>
    </w:p>
    <w:p>
      <w:pPr>
        <w:pStyle w:val="Heading2"/>
      </w:pPr>
      <w:r>
        <w:t>7.4 RCCS Boundary Statement</w:t>
      </w:r>
    </w:p>
    <w:p>
      <w:pPr>
        <w:spacing w:after="56"/>
      </w:pPr>
      <w:r>
        <w:t>RCCS-T and RCCS-M are analytical scoring frameworks, not legal compliance scores.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 and whether those primitives can be expressed through lifecycle responsibility objects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RCCS-T or RCCS-M score does NOT mean legal compliance. A system may score well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RCCS-T and RCCS-M are useful analytical tools, but they are not compliance certifications. Organizations must not rely on RCCS scores as proof of legal compliance. Buyers must not treat high RCCS scores as a substitute for due diligence, legal review, or risk assessment. RCCS-M must also not be presented as a regulator-approved benchmark or official standard.</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family used in this white paper. RCCS-T measures how strongly a system covers existing regulatory and governance requirements across ten dimensions: risk management, data governance, documentation, record-keeping, transparency, human oversight, security, accountability, contestability, and monitoring. RCCS-M asks whether that coverage can be expressed through Missing Regulatory Objects and lifecycle responsibility semantics. Both are analytical frameworks for comparing system capabilities against regulatory ideals, not legal compliance certifications.</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RCCS-T provides a baseline for evaluating whether systems provide the governance primitives that regulation increasingly requires. However, traditional coverage alone is insufficient for agentic systems. A system may score well on RCCS-T while lacking the lifecycle objects required to prove that agentic work moved from intent to accepted outcome under controlled authority, evidence, privacy, and remediation constraints. RCCS-M makes that missing adjustment explicit. Chapter 8 introduces the Agentic Lifecycle Conformance Score (ALCS), which measures a different layer: whether lifecycle responsibility conformance is mature across the object set. RCCS-T, RCCS-M, and ALCS together provide a three-profile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lifecycle conformance profile used alongside RCCS-T and RCCS-M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RCCS-T measures traditional regulatory compliance coverage. RCCS-M measures whether that coverage can be expressed through Missing Regulatory Objects. ALCS measures agentic lifecycle conformance. These are different layers, not competing scores. RCCS-M asks whether regulatory obligations can be represented through MROs. ALCS asks whether lifecycle responsibility conformance is mature across responsibility, authority, evidence, privacy, substitution, and remediation.</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RCCS-T score and weaker RCCS-M or ALCS scores. This is not a contradiction. It means the system may provide strong traditional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RCCS-M and ALCS are related but not identical: RCCS-M adjusts regulatory coverage through MROs, while ALCS evaluates lifecycle conformance maturity.</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RCCS-T, RCCS-M,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Optional composite views: RCCS-T, RCCS-M, and ALCS may be combined only as secondary analytical views:</w:t>
      </w:r>
    </w:p>
    <w:p>
      <w:pPr>
        <w:pStyle w:val="ListBullet"/>
        <w:spacing w:after="56"/>
      </w:pPr>
      <w:r>
        <w:t>Traditional Composite = 0.40 × RCCS-T + 0.60 × ALCS</w:t>
      </w:r>
    </w:p>
    <w:p>
      <w:pPr>
        <w:pStyle w:val="ListBullet"/>
        <w:spacing w:after="56"/>
      </w:pPr>
      <w:r>
        <w:t>Agentic Composite = 0.40 × RCCS-M + 0.60 × ALCS</w:t>
      </w:r>
    </w:p>
    <w:p>
      <w:pPr>
        <w:spacing w:after="56"/>
      </w:pPr>
      <w:r>
        <w:t>The primary result display remains the three-profile view: RCCS-T, RCCS-M, and ALCS. Composite views must not be used as legal compliance proof, final vendor scores, rankings, certification signals, or procurement recommendations. For complete details on the scoring procedure, including scoring rationale, evidence hierarchy, and calculation examples, see Chapter 7.3 and Chapter 9.</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RCCS-T, RCCS-M, and ALCS:</w:t>
      </w:r>
    </w:p>
    <w:p>
      <w:pPr>
        <w:spacing w:after="56"/>
      </w:pPr>
      <w:r>
        <w:t>RCCS-T, RCCS-M, and ALCS measure different layers. RCCS-T measures traditional regulatory compliance coverage: whether a system provides the governance primitives that existing regulation requires. RCCS-M measures whether that regulatory coverage can be expressed through Missing Regulatory Objects. ALCS measures agentic lifecycle conformance: whether a system provides mature lifecycle responsibility objects that make agentic responsibility auditable, provable, and transferable.</w:t>
      </w:r>
    </w:p>
    <w:p>
      <w:pPr>
        <w:spacing w:after="56"/>
      </w:pPr>
      <w:r>
        <w:t>A system can have strong RCCS-T and weaker RCCS-M or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weaker RCCS-T and stronger RCCS-M or ALCS. This means the system provides strong lifecycle objects for expressing agentic responsibility while lacking broader productized governance coverage. This pattern is possible for specialized lifecycle protocols or agent frameworks that focus on responsibility semantics without providing full governance platform capabilities.</w:t>
      </w:r>
    </w:p>
    <w:p>
      <w:pPr>
        <w:spacing w:after="56"/>
      </w:pPr>
      <w:r>
        <w:t>All three profiles are necessary. RCCS-T shows conventional governance coverage. RCCS-M shows whether that coverage survives MRO adjustment. ALCS shows lifecycle conformance maturity. Together, they provide a three-profile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RCCS-T and RCCS-M by measuring a different layer. RCCS-T evaluates traditional regulatory compliance coverage. RCCS-M evaluates whether that coverage can be expressed through Missing Regulatory Objects. ALCS evaluates agentic lifecycle conformance: whether a system provides mature lifecycle objects that make agentic responsibility auditable, provable, and transferable across agents, humans, tools, projects, vendors, and organizational boundaries. A system can have strong RCCS-T and weaker ALCS, meaning it provides strong regulatory compliance coverage while lacking deeper lifecycle responsibility semantics for multi-agent work. A system can also have stronger RCCS-M and ALCS because it defines lifecycle responsibility semantics while lacking productized governance-platform coverage. Chapter 9 explains why the three-profile view is primary and any composite calculation is secondary.</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and Evidence Confidence layer. In this paper, the primary result display is not a single composite number. The primary result display is a three-profile analytical view: RCCS-T, RCCS-M, and ALCS. Composite views are secondary analytical summaries that may help compare posture patterns, but they must not hide the distinction between traditional regulatory coverage, MRO-adjusted regulatory coverage, and lifecycle conformance.</w:t>
      </w:r>
    </w:p>
    <w:p>
      <w:pPr>
        <w:spacing w:after="56"/>
      </w:pPr>
      <w:r>
        <w:t>The chapter explains evidence multiplier application, optional composite views, interpretation guidance for RCCS-T / RCCS-M /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RCCS-T / RCCS-M / ALCS Three-Profile Scoring Model</w:t>
      </w:r>
    </w:p>
    <w:p>
      <w:pPr>
        <w:spacing w:after="56"/>
      </w:pPr>
      <w:r>
        <w:t>RCCS-T Traditional Coverage -&gt; MRO Adjustment Layer -&gt; RCCS-M MRO-Adjusted Coverage -&gt; ALCS Lifecycle Conformance</w:t>
      </w:r>
    </w:p>
    <w:p>
      <w:pPr>
        <w:spacing w:after="56"/>
      </w:pPr>
      <w:r>
        <w:t>Figure F-04 shows how traditional regulatory coverage is adjusted through Missing Regulatory Objects before being read alongside lifecycle conformance. It is not a legal compliance score, certification, regulatory approval signal, product ranking, or procurement recommendation.</w:t>
      </w:r>
    </w:p>
    <w:p>
      <w:pPr>
        <w:pStyle w:val="Heading2"/>
      </w:pPr>
      <w:r>
        <w:t>9.1 Purpose of Composite Scoring</w:t>
      </w:r>
    </w:p>
    <w:p>
      <w:pPr>
        <w:spacing w:after="56"/>
      </w:pPr>
      <w:r>
        <w:t>Composite scoring is secondary to the three-profile view. The three-profile view reflects traditional regulatory compliance coverage (RCCS-T), MRO-adjusted regulatory compliance coverage (RCCS-M), and agentic lifecycle conformance (ALCS). It provides a structured method for evaluating whether systems provide the governance primitives that existing regulation requires, whether those primitives can be expressed through lifecycle responsibility objects, and whether lifecycle conformance is mature enough to make agentic responsibility auditable, provable, and transferable.</w:t>
      </w:r>
    </w:p>
    <w:p>
      <w:pPr>
        <w:spacing w:after="56"/>
      </w:pPr>
      <w:r>
        <w:t>The purpose of the three-profile model is to make visible the difference between systems that provide traditional regulatory compliance coverage, systems that provide MRO-adjusted lifecycle responsibility semantics, and systems that provide both. A system can have a strong RCCS-T score and weaker RCCS-M or ALCS scores.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Primary Three-Profile Display and Optional Composite Views</w:t>
      </w:r>
    </w:p>
    <w:p>
      <w:pPr>
        <w:spacing w:after="56"/>
      </w:pPr>
      <w:r>
        <w:t>The preferred publication-facing result display is:</w:t>
      </w:r>
    </w:p>
    <w:p>
      <w:pPr>
        <w:pStyle w:val="ListNumber"/>
        <w:spacing w:after="56"/>
      </w:pPr>
      <w:r>
        <w:t>RCCS-T — Traditional Regulatory Compliance Coverage Score</w:t>
      </w:r>
    </w:p>
    <w:p>
      <w:pPr>
        <w:pStyle w:val="ListNumber"/>
        <w:spacing w:after="56"/>
      </w:pPr>
      <w:r>
        <w:t>RCCS-M — MRO-Adjusted Regulatory Compliance Coverage Score</w:t>
      </w:r>
    </w:p>
    <w:p>
      <w:pPr>
        <w:pStyle w:val="ListNumber"/>
        <w:spacing w:after="56"/>
      </w:pPr>
      <w:r>
        <w:t>ALCS — Agentic Lifecycle Conformance Score</w:t>
      </w:r>
    </w:p>
    <w:p>
      <w:pPr>
        <w:spacing w:after="56"/>
      </w:pPr>
      <w:r>
        <w:t>This structure prevents a single number from hiding the key score-delta insight. Enterprise governance platforms may show strong RCCS-T while MRO-adjusted lifecycle object coverage remains partial. Lifecycle protocol systems may show stronger RCCS-M and ALCS while traditional productized governance-platform coverage remains limited.</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If a composite view is required for worksheet analysis, two optional views may be used:</w:t>
      </w:r>
    </w:p>
    <w:p>
      <w:pPr>
        <w:pStyle w:val="ListBullet"/>
        <w:spacing w:after="56"/>
      </w:pPr>
      <w:r>
        <w:t>Traditional Composite = 0.40 × RCCS-T + 0.60 × ALCS</w:t>
      </w:r>
    </w:p>
    <w:p>
      <w:pPr>
        <w:pStyle w:val="ListBullet"/>
        <w:spacing w:after="56"/>
      </w:pPr>
      <w:r>
        <w:t>Agentic Composite = 0.40 × RCCS-M + 0.60 × ALCS</w:t>
      </w:r>
    </w:p>
    <w:p>
      <w:pPr>
        <w:spacing w:after="56"/>
      </w:pPr>
      <w:r>
        <w:t>RCCS-T, RCCS-M, and ALCS are expressed on a 0-100 scale after evidence adjustment. Optional composite views are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RCCS-T Score</w:t>
            </w:r>
          </w:p>
        </w:tc>
        <w:tc>
          <w:tcPr>
            <w:tcW w:type="dxa" w:w="3408"/>
          </w:tcPr>
          <w:p>
            <w:pPr>
              <w:spacing w:after="0"/>
            </w:pPr>
            <w:r>
              <w:rPr>
                <w:rFonts w:ascii="Arial" w:hAnsi="Arial"/>
                <w:b w:val="0"/>
                <w:sz w:val="14"/>
              </w:rPr>
              <w:t>Aggregated traditional RCCS dimension score</w:t>
            </w:r>
          </w:p>
        </w:tc>
        <w:tc>
          <w:tcPr>
            <w:tcW w:type="dxa" w:w="3408"/>
          </w:tcPr>
          <w:p>
            <w:pPr>
              <w:spacing w:after="0"/>
            </w:pPr>
            <w:r>
              <w:rPr>
                <w:rFonts w:ascii="Arial" w:hAnsi="Arial"/>
                <w:b w:val="0"/>
                <w:sz w:val="14"/>
              </w:rPr>
              <w:t>RCCS-T = 65.0</w:t>
            </w:r>
          </w:p>
        </w:tc>
      </w:tr>
      <w:tr>
        <w:tc>
          <w:tcPr>
            <w:tcW w:type="dxa" w:w="3408"/>
          </w:tcPr>
          <w:p>
            <w:pPr>
              <w:spacing w:after="0"/>
            </w:pPr>
            <w:r>
              <w:rPr>
                <w:rFonts w:ascii="Arial" w:hAnsi="Arial"/>
                <w:b w:val="0"/>
                <w:sz w:val="14"/>
              </w:rPr>
              <w:t>RCCS-M Score</w:t>
            </w:r>
          </w:p>
        </w:tc>
        <w:tc>
          <w:tcPr>
            <w:tcW w:type="dxa" w:w="3408"/>
          </w:tcPr>
          <w:p>
            <w:pPr>
              <w:spacing w:after="0"/>
            </w:pPr>
            <w:r>
              <w:rPr>
                <w:rFonts w:ascii="Arial" w:hAnsi="Arial"/>
                <w:b w:val="0"/>
                <w:sz w:val="14"/>
              </w:rPr>
              <w:t>Aggregated MRO-adjusted RCCS dimension score</w:t>
            </w:r>
          </w:p>
        </w:tc>
        <w:tc>
          <w:tcPr>
            <w:tcW w:type="dxa" w:w="3408"/>
          </w:tcPr>
          <w:p>
            <w:pPr>
              <w:spacing w:after="0"/>
            </w:pPr>
            <w:r>
              <w:rPr>
                <w:rFonts w:ascii="Arial" w:hAnsi="Arial"/>
                <w:b w:val="0"/>
                <w:sz w:val="14"/>
              </w:rPr>
              <w:t>RCCS-M = 72.0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Traditional Composite</w:t>
            </w:r>
          </w:p>
        </w:tc>
        <w:tc>
          <w:tcPr>
            <w:tcW w:type="dxa" w:w="3408"/>
          </w:tcPr>
          <w:p>
            <w:pPr>
              <w:spacing w:after="0"/>
            </w:pPr>
            <w:r>
              <w:rPr>
                <w:rFonts w:ascii="Arial" w:hAnsi="Arial"/>
                <w:b w:val="0"/>
                <w:sz w:val="14"/>
              </w:rPr>
              <w:t>0.40 × RCCS-T + 0.60 × ALCS</w:t>
            </w:r>
          </w:p>
        </w:tc>
        <w:tc>
          <w:tcPr>
            <w:tcW w:type="dxa" w:w="3408"/>
          </w:tcPr>
          <w:p>
            <w:pPr>
              <w:spacing w:after="0"/>
            </w:pPr>
            <w:r>
              <w:rPr>
                <w:rFonts w:ascii="Arial" w:hAnsi="Arial"/>
                <w:b w:val="0"/>
                <w:sz w:val="14"/>
              </w:rPr>
              <w:t>0.40 × 65.0 + 0.60 × 55.0 = 59.0</w:t>
            </w:r>
          </w:p>
        </w:tc>
      </w:tr>
      <w:tr>
        <w:tc>
          <w:tcPr>
            <w:tcW w:type="dxa" w:w="3408"/>
          </w:tcPr>
          <w:p>
            <w:pPr>
              <w:spacing w:after="0"/>
            </w:pPr>
            <w:r>
              <w:rPr>
                <w:rFonts w:ascii="Arial" w:hAnsi="Arial"/>
                <w:b w:val="0"/>
                <w:sz w:val="14"/>
              </w:rPr>
              <w:t>Agentic Composite</w:t>
            </w:r>
          </w:p>
        </w:tc>
        <w:tc>
          <w:tcPr>
            <w:tcW w:type="dxa" w:w="3408"/>
          </w:tcPr>
          <w:p>
            <w:pPr>
              <w:spacing w:after="0"/>
            </w:pPr>
            <w:r>
              <w:rPr>
                <w:rFonts w:ascii="Arial" w:hAnsi="Arial"/>
                <w:b w:val="0"/>
                <w:sz w:val="14"/>
              </w:rPr>
              <w:t>0.40 × RCCS-M + 0.60 × ALCS</w:t>
            </w:r>
          </w:p>
        </w:tc>
        <w:tc>
          <w:tcPr>
            <w:tcW w:type="dxa" w:w="3408"/>
          </w:tcPr>
          <w:p>
            <w:pPr>
              <w:spacing w:after="0"/>
            </w:pPr>
            <w:r>
              <w:rPr>
                <w:rFonts w:ascii="Arial" w:hAnsi="Arial"/>
                <w:b w:val="0"/>
                <w:sz w:val="14"/>
              </w:rPr>
              <w:t>0.40 × 72.0 + 0.60 × 55.0 = 61.8</w:t>
            </w:r>
          </w:p>
        </w:tc>
      </w:tr>
    </w:tbl>
    <w:p>
      <w:pPr>
        <w:spacing w:after="56"/>
      </w:pPr>
      <w:r>
        <w:t>These calculations preserve the distinction between traditional regulatory coverage and MRO-adjusted regulatory coverage. They are optional worksheet views, not the main publication result.</w:t>
      </w:r>
    </w:p>
    <w:p>
      <w:pPr>
        <w:spacing w:after="56"/>
      </w:pPr>
      <w:r>
        <w:t>RCCS-T, RCCS-M, and ALCS are reported separately because they measure different layers. RCCS-T evaluates whether a system provides the governance primitives that existing regulation requires. RCCS-M evaluates whether those obligations can be expressed through Missing Regulatory Objects. ALCS evaluates whether lifecycle responsibility conformance is mature. Any composite view must therefore be read only alongside the separate three-profile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RCCS-T, RCCS-M, and ALCS Together</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the system provides mature lifecycle objects that make agentic responsibility auditable, provable, and transferable across agents, humans, tools, projects, vendors, and organizational boundaries.</w:t>
      </w:r>
    </w:p>
    <w:p>
      <w:pPr>
        <w:spacing w:after="56"/>
      </w:pPr>
      <w:r>
        <w:t>Interpreting the three profiles requires reading score deltas rather than collapsing the profiles into a single ordering. High RCCS-T with lower RCCS-M or ALCS means conventional governance coverage is more visible than lifecycle responsibility object coverage. Lower RCCS-T with higher RCCS-M and ALCS means protocol or framework semantics may express lifecycle responsibility strongly while productized governance-platform coverage remains limited. This distinction is especially important for comparing enterprise governance platforms with lifecycle protocol paths.</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RCCS-T / RCCS-M / ALCS Interpretation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Pattern</w:t>
            </w:r>
          </w:p>
        </w:tc>
        <w:tc>
          <w:tcPr>
            <w:tcW w:type="dxa" w:w="1704"/>
          </w:tcPr>
          <w:p>
            <w:pPr>
              <w:spacing w:after="0"/>
            </w:pPr>
            <w:r>
              <w:rPr>
                <w:rFonts w:ascii="Arial" w:hAnsi="Arial"/>
                <w:b/>
                <w:sz w:val="12"/>
              </w:rPr>
              <w:t>RCCS-T</w:t>
            </w:r>
          </w:p>
        </w:tc>
        <w:tc>
          <w:tcPr>
            <w:tcW w:type="dxa" w:w="1704"/>
          </w:tcPr>
          <w:p>
            <w:pPr>
              <w:spacing w:after="0"/>
            </w:pPr>
            <w:r>
              <w:rPr>
                <w:rFonts w:ascii="Arial" w:hAnsi="Arial"/>
                <w:b/>
                <w:sz w:val="12"/>
              </w:rPr>
              <w:t>RCCS-M</w:t>
            </w:r>
          </w:p>
        </w:tc>
        <w:tc>
          <w:tcPr>
            <w:tcW w:type="dxa" w:w="1704"/>
          </w:tcPr>
          <w:p>
            <w:pPr>
              <w:spacing w:after="0"/>
            </w:pPr>
            <w:r>
              <w:rPr>
                <w:rFonts w:ascii="Arial" w:hAnsi="Arial"/>
                <w:b/>
                <w:sz w:val="12"/>
              </w:rPr>
              <w:t>ALCS</w:t>
            </w:r>
          </w:p>
        </w:tc>
        <w:tc>
          <w:tcPr>
            <w:tcW w:type="dxa" w:w="1704"/>
          </w:tcPr>
          <w:p>
            <w:pPr>
              <w:spacing w:after="0"/>
            </w:pPr>
            <w:r>
              <w:rPr>
                <w:rFonts w:ascii="Arial" w:hAnsi="Arial"/>
                <w:b/>
                <w:sz w:val="12"/>
              </w:rPr>
              <w:t>Interpretation</w:t>
            </w:r>
          </w:p>
        </w:tc>
        <w:tc>
          <w:tcPr>
            <w:tcW w:type="dxa" w:w="1704"/>
          </w:tcPr>
          <w:p>
            <w:pPr>
              <w:spacing w:after="0"/>
            </w:pPr>
            <w:r>
              <w:rPr>
                <w:rFonts w:ascii="Arial" w:hAnsi="Arial"/>
                <w:b/>
                <w:sz w:val="12"/>
              </w:rPr>
              <w:t>Common System Types</w:t>
            </w:r>
          </w:p>
        </w:tc>
      </w:tr>
      <w:tr>
        <w:tc>
          <w:tcPr>
            <w:tcW w:type="dxa" w:w="1704"/>
          </w:tcPr>
          <w:p>
            <w:pPr>
              <w:spacing w:after="0"/>
            </w:pPr>
            <w:r>
              <w:rPr>
                <w:rFonts w:ascii="Arial" w:hAnsi="Arial"/>
                <w:b w:val="0"/>
                <w:sz w:val="12"/>
              </w:rPr>
              <w:t>Traditional governance visible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Strong conventional governance surfaces, but MRO-adjusted lifecycle responsibility objects are less visible.</w:t>
            </w:r>
          </w:p>
        </w:tc>
        <w:tc>
          <w:tcPr>
            <w:tcW w:type="dxa" w:w="1704"/>
          </w:tcPr>
          <w:p>
            <w:pPr>
              <w:spacing w:after="0"/>
            </w:pPr>
            <w:r>
              <w:rPr>
                <w:rFonts w:ascii="Arial" w:hAnsi="Arial"/>
                <w:b w:val="0"/>
                <w:sz w:val="12"/>
              </w:rPr>
              <w:t>Enterprise AI governance platforms, managed AI platforms</w:t>
            </w:r>
          </w:p>
        </w:tc>
      </w:tr>
      <w:tr>
        <w:tc>
          <w:tcPr>
            <w:tcW w:type="dxa" w:w="1704"/>
          </w:tcPr>
          <w:p>
            <w:pPr>
              <w:spacing w:after="0"/>
            </w:pPr>
            <w:r>
              <w:rPr>
                <w:rFonts w:ascii="Arial" w:hAnsi="Arial"/>
                <w:b w:val="0"/>
                <w:sz w:val="12"/>
              </w:rPr>
              <w:t>Lifecycle semantics visible</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Traditional productized governance coverage may be limited, but lifecycle responsibility semantics are strong.</w:t>
            </w:r>
          </w:p>
        </w:tc>
        <w:tc>
          <w:tcPr>
            <w:tcW w:type="dxa" w:w="1704"/>
          </w:tcPr>
          <w:p>
            <w:pPr>
              <w:spacing w:after="0"/>
            </w:pPr>
            <w:r>
              <w:rPr>
                <w:rFonts w:ascii="Arial" w:hAnsi="Arial"/>
                <w:b w:val="0"/>
                <w:sz w:val="12"/>
              </w:rPr>
              <w:t>Lifecycle protocol systems, lifecycle-aware orchestration frameworks</w:t>
            </w:r>
          </w:p>
        </w:tc>
      </w:tr>
      <w:tr>
        <w:tc>
          <w:tcPr>
            <w:tcW w:type="dxa" w:w="1704"/>
          </w:tcPr>
          <w:p>
            <w:pPr>
              <w:spacing w:after="0"/>
            </w:pPr>
            <w:r>
              <w:rPr>
                <w:rFonts w:ascii="Arial" w:hAnsi="Arial"/>
                <w:b w:val="0"/>
                <w:sz w:val="12"/>
              </w:rPr>
              <w:t>Three-profile balanced</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Governance surfaces and lifecycle responsibility semantics are both visible.</w:t>
            </w:r>
          </w:p>
        </w:tc>
        <w:tc>
          <w:tcPr>
            <w:tcW w:type="dxa" w:w="1704"/>
          </w:tcPr>
          <w:p>
            <w:pPr>
              <w:spacing w:after="0"/>
            </w:pPr>
            <w:r>
              <w:rPr>
                <w:rFonts w:ascii="Arial" w:hAnsi="Arial"/>
                <w:b w:val="0"/>
                <w:sz w:val="12"/>
              </w:rPr>
              <w:t>Future governance platforms with explicit lifecycle object support</w:t>
            </w:r>
          </w:p>
        </w:tc>
      </w:tr>
      <w:tr>
        <w:tc>
          <w:tcPr>
            <w:tcW w:type="dxa" w:w="1704"/>
          </w:tcPr>
          <w:p>
            <w:pPr>
              <w:spacing w:after="0"/>
            </w:pPr>
            <w:r>
              <w:rPr>
                <w:rFonts w:ascii="Arial" w:hAnsi="Arial"/>
                <w:b w:val="0"/>
                <w:sz w:val="12"/>
              </w:rPr>
              <w:t>Execution-oriented</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Useful execution or observability primitives, but governance and lifecycle responsibility objects require surrounding systems.</w:t>
            </w:r>
          </w:p>
        </w:tc>
        <w:tc>
          <w:tcPr>
            <w:tcW w:type="dxa" w:w="1704"/>
          </w:tcPr>
          <w:p>
            <w:pPr>
              <w:spacing w:after="0"/>
            </w:pPr>
            <w:r>
              <w:rPr>
                <w:rFonts w:ascii="Arial" w:hAnsi="Arial"/>
                <w:b w:val="0"/>
                <w:sz w:val="12"/>
              </w:rPr>
              <w:t>Developer SDKs, orchestration frameworks without governance extensions</w:t>
            </w:r>
          </w:p>
        </w:tc>
      </w:tr>
    </w:tbl>
    <w:p>
      <w:pPr>
        <w:spacing w:after="56"/>
      </w:pPr>
      <w:r>
        <w:t>The traditional-governance-visible pattern is common. Many enterprise AI governance platforms, managed AI platforms, and observability tools provide strong RCCS-T coverage through risk management, documentation, record-keeping, transparency, human oversight, security, accountability, contestability, and monitoring capabilities. However, they may have lower RCCS-M and ALCS posture where authority boundaries, responsibility transfer, evidence partitioning, privacy lifecycle mapping, accepted outcomes, and vendor substitution conformance are not exposed as first-class lifecycle responsibility objects. This is not a failure. It reflects the reality that existing regulation focuses on model governance and platform controls while lifecycle responsibility semantics for multi-agent systems are still emerging.</w:t>
      </w:r>
    </w:p>
    <w:p>
      <w:pPr>
        <w:spacing w:after="56"/>
      </w:pPr>
      <w:r>
        <w:t>The lifecycle-semantics-visible pattern is strategically important. It represents systems that provide strong lifecycle objects for expressing agentic responsibility while lacking broader productized governance-platform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three-profile-balanced pattern represents systems that provide traditional regulatory compliance coverage, MRO-adjusted lifecycle object coverage, and lifecycle conformance maturity. These systems are positioned to support both existing regulatory requirements and emerging lifecycle responsibility requirements for multi-agent systems.</w:t>
      </w:r>
    </w:p>
    <w:p>
      <w:pPr>
        <w:spacing w:after="56"/>
      </w:pPr>
      <w:r>
        <w:t>The execution-oriented pattern represents systems that provide execution orchestration or observability features but lack explicit governance primitives and lifecycle objects. These systems may be valuable for development, experimentation, or low-risk use cases but may require surrounding governance systems for high-risk or regulated deployments.</w:t>
      </w:r>
    </w:p>
    <w:p>
      <w:pPr>
        <w:spacing w:after="56"/>
      </w:pPr>
      <w:r>
        <w:t>All three profile scores are necessary for full assessment. RCCS-T shows familiar governance coverage. RCCS-M shows MRO-adjusted regulatory coverage. ALCS shows lifecycle conformance maturity. Together, they provide the publication-facing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three-profile score basis. Evaluators must provide a table or worksheet showing raw scores, evidence multipliers, adjusted dimension scores, RCCS-T, RCCS-M, and ALCS framework scores, and any optional Traditional Composite or Agentic Composite view. This allows reviewers to verify the calculation and identify any errors or disagreements without collapsing the main result into one number.</w:t>
      </w:r>
    </w:p>
    <w:p>
      <w:pPr>
        <w:spacing w:after="56"/>
      </w:pPr>
      <w:r>
        <w:t>Scoring is comparative, not absolute. Three-profile scores and optional composite views are most useful when comparing systems against defined governance expectations or tracking a single system over time. Absolute score thresholds such as "70% is compliant" are not meaningful because the scoring method is an analytical framework, not a compliance certification. The value of scoring is in making visible capability gaps and evidence-confidence limits.</w:t>
      </w:r>
    </w:p>
    <w:p>
      <w:pPr>
        <w:pStyle w:val="Heading2"/>
      </w:pPr>
      <w:r>
        <w:t>9.6 Boundary Statement</w:t>
      </w:r>
    </w:p>
    <w:p>
      <w:pPr>
        <w:spacing w:after="56"/>
      </w:pPr>
      <w:r>
        <w:t>The three-profile scoring method is an analytical framework, not a legal compliance score. Optional composite views are secondary worksheet tools. This boundary must be understood clearly to avoid misinterpretation and over-claiming.</w:t>
      </w:r>
    </w:p>
    <w:p>
      <w:pPr>
        <w:spacing w:after="56"/>
      </w:pPr>
      <w:r>
        <w:t>What the scoring method is:</w:t>
      </w:r>
    </w:p>
    <w:p>
      <w:pPr>
        <w:pStyle w:val="ListBullet"/>
        <w:spacing w:after="56"/>
      </w:pPr>
      <w:r>
        <w:t>An analytical framework for comparing system capabilities against traditional regulatory requirements, MRO-adjusted regulatory coverage,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the scoring method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RCCS-T, RCCS-M, ALCS, or optional composite scores do NOT mean legal compliance. A system may score well on visible capability surfaces while the organization using it fails to comply with legal obligations due to deployment gaps, policy weaknesses, incomplete adoption, jurisdictional differences, or use case risks. The scoring method measures system capability to express governance primitives and lifecycle objects, not organizational conformance to legal requirements.</w:t>
      </w:r>
    </w:p>
    <w:p>
      <w:pPr>
        <w:spacing w:after="56"/>
      </w:pPr>
      <w:r>
        <w:t>Low RCCS-T, RCCS-M, ALCS, or optional composite scores do NOT mean non-compliance. A system may score lower in one profile while the organization achieves compliance through compensating controls, manual processes, alternative governance mechanisms, or different system architectures. The scoring method evaluates specific system capabilities, not all possible paths to compliance.</w:t>
      </w:r>
    </w:p>
    <w:p>
      <w:pPr>
        <w:spacing w:after="56"/>
      </w:pPr>
      <w:r>
        <w:t>The scoring method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The scoring method evaluates what the system can express, not what the organization actually does.</w:t>
      </w:r>
    </w:p>
    <w:p>
      <w:pPr>
        <w:spacing w:after="56"/>
      </w:pPr>
      <w:r>
        <w:t>The scoring method is context-independent, but compliance is context-dependent. It evaluates system capabilities without regard to deployment context, risk class, jurisdiction, or use case. Legal compliance depends on all of these factors. A system with high scores may still be non-compliant in specific contexts, and a system with low scores may be compliant in other contexts.</w:t>
      </w:r>
    </w:p>
    <w:p>
      <w:pPr>
        <w:spacing w:after="56"/>
      </w:pPr>
      <w:r>
        <w:t>The purpose of this boundary statement is to prevent over-claiming. RCCS-M is an author analytical, forward-looking, MRO-adjusted model. It is not current law, a regulator-approved benchmark, a certification, legal compliance proof, a final vendor score, a ranking, or a procurement recommendation. Organizations must not rely on these scores as proof of legal compliance. Buyers must not treat high scores as a substitute for due diligence, legal review, or risk assessment. System vendors must not market these scores as compliance certifications or regulatory approvals.</w:t>
      </w:r>
    </w:p>
    <w:p>
      <w:pPr>
        <w:pStyle w:val="Heading2"/>
      </w:pPr>
      <w:r>
        <w:t>9.7 Bridge to System Mappings</w:t>
      </w:r>
    </w:p>
    <w:p>
      <w:pPr>
        <w:spacing w:after="56"/>
      </w:pPr>
      <w:r>
        <w:t>The following chapters use RCCS-T, RCCS-M, and ALCS as analytical lenses for enterprise controls and system mappings. Chapter 10 provides enterprise control crosswalk, mapping regulatory coverage and lifecycle conformance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scoring method defined in this chapter only where a scoring worksheet is appropriate. Where a scoring worksheet is used, systems may be evaluated with separate RCCS-T, RCCS-M,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three-profile analytical view that makes visible the difference between traditional regulatory coverage, MRO-adjusted regulatory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three-profile scoring method and optional composite views. The publication-facing result display is RCCS-T, RCCS-M, and ALCS. It is an analytical framework for comparing system capability patterns, not a legal compliance certification.</w:t>
      </w:r>
    </w:p>
    <w:p>
      <w:pPr>
        <w:spacing w:after="56"/>
      </w:pPr>
      <w:r>
        <w:t>The method first normalizes dimension scores using (Raw Score / 5) × 100 × Evidence Confidence Multiplier, then reports RCCS-T, RCCS-M, and ALCS separately. Optional worksheet composites may combine RCCS-T or RCCS-M with ALCS, but composite views are secondary and must not hide the three-profile structure. The evidence multiplier adjusts dimension scores based on evidence quality, ensuring that scores reflect both system capability and confidence level in the assessment.</w:t>
      </w:r>
    </w:p>
    <w:p>
      <w:pPr>
        <w:spacing w:after="56"/>
      </w:pPr>
      <w:r>
        <w:t>Interpreting RCCS-T, RCCS-M, and ALCS together requires reading score-delta patterns. Strong RCCS-T with lower RCCS-M or ALCS indicates visible traditional governance coverage but less visible lifecycle responsibility object coverage. Lower RCCS-T with stronger RCCS-M and ALCS indicates stronger lifecycle protocol semantics but less productized governance-platform coverage. This is the strategic distinction the three-profile model preserves.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The scoring method is an analytical framework, not a legal compliance score. High RCCS-T, RCCS-M, ALCS, or optional composite scores do not mean legal compliance. Low scores do not mean non-compliance. The method measures system capability, not organizational practice. It is context-independent, but compliance is context-dependent. Organizations must not rely on scores as proof of legal compliance. The following chapters use RCCS-T, RCCS-M, and 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RCCS-T, RCCS-M, ALCS, and the three-profile analytical model.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RCCS-T, RCCS-M,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RCCS-T measures traditional regulatory compliance coverage. MROs provide the adjustment layer. RCCS-M measures MRO-adjusted regulatory coverage. ALCS measures lifecycle conformance.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RCCS-T Baseline Controls -&gt; MRO Adjustment Layer -&gt; RCCS-M MRO-Adjusted Coverage -&gt; ALCS Lifecycle Conformance -&gt; Enterprise Control Evidence -&gt; Audit / Insurance / Board Reporting Readiness</w:t>
      </w:r>
    </w:p>
    <w:p>
      <w:pPr>
        <w:spacing w:after="56"/>
      </w:pPr>
      <w:r>
        <w:t>Figure F-06 shows how regulation and standards can be translated into enterprise control evidence through RCCS-T baseline controls, the MRO adjustment layer, RCCS-M coverage,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RCCS-T, RCCS-M,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RCCS-T/RCCS-M/ALCS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RCCS-T, RCCS-M, and ALCS scores can indicate whether governance coverage or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 - MROs, RCCS-T/RCCS-M dimensions, ALCS dimensions, and lifecycle records - 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RCCS-T/RCCS-M/ALCS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RCCS-T, RCCS-M,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RCCS-T, RCCS-M, and ALCS dimensions. RCCS-T measures traditional regulatory compliance coverage: whether a system provides the governance primitives that existing regulation requires. RCCS-M measures MRO-adjusted regulatory coverage: whether those obligations can be expressed through lifecycle responsibility objects. ALCS measures agentic lifecycle conformance: whether a system provides mature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a system can express those obligations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limited traditional RCCS-T product-platform coverage and strong author-analytical RCCS-M /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RCCS-T posture (traditional regulatory compliance coverage), its likely RCCS-M posture (MRO-adjusted regulatory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System / Category</w:t>
            </w:r>
          </w:p>
        </w:tc>
        <w:tc>
          <w:tcPr>
            <w:tcW w:type="dxa" w:w="1704"/>
          </w:tcPr>
          <w:p>
            <w:pPr>
              <w:spacing w:after="0"/>
            </w:pPr>
            <w:r>
              <w:rPr>
                <w:rFonts w:ascii="Arial" w:hAnsi="Arial"/>
                <w:b/>
                <w:sz w:val="12"/>
              </w:rPr>
              <w:t>Primary Strength</w:t>
            </w:r>
          </w:p>
        </w:tc>
        <w:tc>
          <w:tcPr>
            <w:tcW w:type="dxa" w:w="1704"/>
          </w:tcPr>
          <w:p>
            <w:pPr>
              <w:spacing w:after="0"/>
            </w:pPr>
            <w:r>
              <w:rPr>
                <w:rFonts w:ascii="Arial" w:hAnsi="Arial"/>
                <w:b/>
                <w:sz w:val="12"/>
              </w:rPr>
              <w:t>RCCS-T Posture</w:t>
            </w:r>
          </w:p>
        </w:tc>
        <w:tc>
          <w:tcPr>
            <w:tcW w:type="dxa" w:w="1704"/>
          </w:tcPr>
          <w:p>
            <w:pPr>
              <w:spacing w:after="0"/>
            </w:pPr>
            <w:r>
              <w:rPr>
                <w:rFonts w:ascii="Arial" w:hAnsi="Arial"/>
                <w:b/>
                <w:sz w:val="12"/>
              </w:rPr>
              <w:t>RCCS-M Posture</w:t>
            </w:r>
          </w:p>
        </w:tc>
        <w:tc>
          <w:tcPr>
            <w:tcW w:type="dxa" w:w="1704"/>
          </w:tcPr>
          <w:p>
            <w:pPr>
              <w:spacing w:after="0"/>
            </w:pPr>
            <w:r>
              <w:rPr>
                <w:rFonts w:ascii="Arial" w:hAnsi="Arial"/>
                <w:b/>
                <w:sz w:val="12"/>
              </w:rPr>
              <w:t>ALCS Posture</w:t>
            </w:r>
          </w:p>
        </w:tc>
        <w:tc>
          <w:tcPr>
            <w:tcW w:type="dxa" w:w="1704"/>
          </w:tcPr>
          <w:p>
            <w:pPr>
              <w:spacing w:after="0"/>
            </w:pPr>
            <w:r>
              <w:rPr>
                <w:rFonts w:ascii="Arial" w:hAnsi="Arial"/>
                <w:b/>
                <w:sz w:val="12"/>
              </w:rPr>
              <w:t>Main Lifecycle Gap to Examine</w:t>
            </w:r>
          </w:p>
        </w:tc>
      </w:tr>
      <w:tr>
        <w:tc>
          <w:tcPr>
            <w:tcW w:type="dxa" w:w="1704"/>
          </w:tcPr>
          <w:p>
            <w:pPr>
              <w:spacing w:after="0"/>
            </w:pPr>
            <w:r>
              <w:rPr>
                <w:rFonts w:ascii="Arial" w:hAnsi="Arial"/>
                <w:b w:val="0"/>
                <w:sz w:val="12"/>
              </w:rPr>
              <w:t>MPLP</w:t>
            </w:r>
          </w:p>
        </w:tc>
        <w:tc>
          <w:tcPr>
            <w:tcW w:type="dxa" w:w="1704"/>
          </w:tcPr>
          <w:p>
            <w:pPr>
              <w:spacing w:after="0"/>
            </w:pPr>
            <w:r>
              <w:rPr>
                <w:rFonts w:ascii="Arial" w:hAnsi="Arial"/>
                <w:b w:val="0"/>
                <w:sz w:val="12"/>
              </w:rPr>
              <w:t>Lifecycle protocol semantics; governance primitives as first-class objects</w:t>
            </w:r>
          </w:p>
        </w:tc>
        <w:tc>
          <w:tcPr>
            <w:tcW w:type="dxa" w:w="1704"/>
          </w:tcPr>
          <w:p>
            <w:pPr>
              <w:spacing w:after="0"/>
            </w:pPr>
            <w:r>
              <w:rPr>
                <w:rFonts w:ascii="Arial" w:hAnsi="Arial"/>
                <w:b w:val="0"/>
                <w:sz w:val="12"/>
              </w:rPr>
              <w:t>Limited to Moderate (not a product governance platform)</w:t>
            </w:r>
          </w:p>
        </w:tc>
        <w:tc>
          <w:tcPr>
            <w:tcW w:type="dxa" w:w="1704"/>
          </w:tcPr>
          <w:p>
            <w:pPr>
              <w:spacing w:after="0"/>
            </w:pPr>
            <w:r>
              <w:rPr>
                <w:rFonts w:ascii="Arial" w:hAnsi="Arial"/>
                <w:b w:val="0"/>
                <w:sz w:val="12"/>
              </w:rPr>
              <w:t>Strong (protocol semantics map to MRO-like objects)</w:t>
            </w:r>
          </w:p>
        </w:tc>
        <w:tc>
          <w:tcPr>
            <w:tcW w:type="dxa" w:w="1704"/>
          </w:tcPr>
          <w:p>
            <w:pPr>
              <w:spacing w:after="0"/>
            </w:pPr>
            <w:r>
              <w:rPr>
                <w:rFonts w:ascii="Arial" w:hAnsi="Arial"/>
                <w:b w:val="0"/>
                <w:sz w:val="12"/>
              </w:rPr>
              <w:t>Strong (protocol designed for lifecycle responsibility objects)</w:t>
            </w:r>
          </w:p>
        </w:tc>
        <w:tc>
          <w:tcPr>
            <w:tcW w:type="dxa" w:w="1704"/>
          </w:tcPr>
          <w:p>
            <w:pPr>
              <w:spacing w:after="0"/>
            </w:pPr>
            <w:r>
              <w:rPr>
                <w:rFonts w:ascii="Arial" w:hAnsi="Arial"/>
                <w:b w:val="0"/>
                <w:sz w:val="12"/>
              </w:rPr>
              <w:t>Enterprise integration; adoption pathway; implementation maturity</w:t>
            </w:r>
          </w:p>
        </w:tc>
      </w:tr>
      <w:tr>
        <w:tc>
          <w:tcPr>
            <w:tcW w:type="dxa" w:w="1704"/>
          </w:tcPr>
          <w:p>
            <w:pPr>
              <w:spacing w:after="0"/>
            </w:pPr>
            <w:r>
              <w:rPr>
                <w:rFonts w:ascii="Arial" w:hAnsi="Arial"/>
                <w:b w:val="0"/>
                <w:sz w:val="12"/>
              </w:rPr>
              <w:t>IBM watsonx.governance</w:t>
            </w:r>
          </w:p>
        </w:tc>
        <w:tc>
          <w:tcPr>
            <w:tcW w:type="dxa" w:w="1704"/>
          </w:tcPr>
          <w:p>
            <w:pPr>
              <w:spacing w:after="0"/>
            </w:pPr>
            <w:r>
              <w:rPr>
                <w:rFonts w:ascii="Arial" w:hAnsi="Arial"/>
                <w:b w:val="0"/>
                <w:sz w:val="12"/>
              </w:rPr>
              <w:t>Enterprise AI governance; policy enforcement; model risk management; regulatory compliance coverage</w:t>
            </w:r>
          </w:p>
        </w:tc>
        <w:tc>
          <w:tcPr>
            <w:tcW w:type="dxa" w:w="1704"/>
          </w:tcPr>
          <w:p>
            <w:pPr>
              <w:spacing w:after="0"/>
            </w:pPr>
            <w:r>
              <w:rPr>
                <w:rFonts w:ascii="Arial" w:hAnsi="Arial"/>
                <w:b w:val="0"/>
                <w:sz w:val="12"/>
              </w:rPr>
              <w:t>Strong (designed for regulatory compliance)</w:t>
            </w:r>
          </w:p>
        </w:tc>
        <w:tc>
          <w:tcPr>
            <w:tcW w:type="dxa" w:w="1704"/>
          </w:tcPr>
          <w:p>
            <w:pPr>
              <w:spacing w:after="0"/>
            </w:pPr>
            <w:r>
              <w:rPr>
                <w:rFonts w:ascii="Arial" w:hAnsi="Arial"/>
                <w:b w:val="0"/>
                <w:sz w:val="12"/>
              </w:rPr>
              <w:t>Partial to Moderate (lifecycle object semantics require validation)</w:t>
            </w:r>
          </w:p>
        </w:tc>
        <w:tc>
          <w:tcPr>
            <w:tcW w:type="dxa" w:w="1704"/>
          </w:tcPr>
          <w:p>
            <w:pPr>
              <w:spacing w:after="0"/>
            </w:pPr>
            <w:r>
              <w:rPr>
                <w:rFonts w:ascii="Arial" w:hAnsi="Arial"/>
                <w:b w:val="0"/>
                <w:sz w:val="12"/>
              </w:rPr>
              <w:t>Moderate (governance focus, but lifecycle object semantics require validation)</w:t>
            </w:r>
          </w:p>
        </w:tc>
        <w:tc>
          <w:tcPr>
            <w:tcW w:type="dxa" w:w="1704"/>
          </w:tcPr>
          <w:p>
            <w:pPr>
              <w:spacing w:after="0"/>
            </w:pPr>
            <w:r>
              <w:rPr>
                <w:rFonts w:ascii="Arial" w:hAnsi="Arial"/>
                <w:b w:val="0"/>
                <w:sz w:val="12"/>
              </w:rPr>
              <w:t>Agentic lifecycle object exposure; multi-agent responsibility transfer; evidence partitioning</w:t>
            </w:r>
          </w:p>
        </w:tc>
      </w:tr>
      <w:tr>
        <w:tc>
          <w:tcPr>
            <w:tcW w:type="dxa" w:w="1704"/>
          </w:tcPr>
          <w:p>
            <w:pPr>
              <w:spacing w:after="0"/>
            </w:pPr>
            <w:r>
              <w:rPr>
                <w:rFonts w:ascii="Arial" w:hAnsi="Arial"/>
                <w:b w:val="0"/>
                <w:sz w:val="12"/>
              </w:rPr>
              <w:t>Microsoft Azure AI Foundry</w:t>
            </w:r>
          </w:p>
        </w:tc>
        <w:tc>
          <w:tcPr>
            <w:tcW w:type="dxa" w:w="1704"/>
          </w:tcPr>
          <w:p>
            <w:pPr>
              <w:spacing w:after="0"/>
            </w:pPr>
            <w:r>
              <w:rPr>
                <w:rFonts w:ascii="Arial" w:hAnsi="Arial"/>
                <w:b w:val="0"/>
                <w:sz w:val="12"/>
              </w:rPr>
              <w:t>Cloud-native AI platform; responsible AI tooling; content safety; enterprise integration</w:t>
            </w:r>
          </w:p>
        </w:tc>
        <w:tc>
          <w:tcPr>
            <w:tcW w:type="dxa" w:w="1704"/>
          </w:tcPr>
          <w:p>
            <w:pPr>
              <w:spacing w:after="0"/>
            </w:pPr>
            <w:r>
              <w:rPr>
                <w:rFonts w:ascii="Arial" w:hAnsi="Arial"/>
                <w:b w:val="0"/>
                <w:sz w:val="12"/>
              </w:rPr>
              <w:t>Moderate to Strong (responsible AI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(platform capabilities exist, but lifecycle semantics require validation)</w:t>
            </w:r>
          </w:p>
        </w:tc>
        <w:tc>
          <w:tcPr>
            <w:tcW w:type="dxa" w:w="1704"/>
          </w:tcPr>
          <w:p>
            <w:pPr>
              <w:spacing w:after="0"/>
            </w:pPr>
            <w:r>
              <w:rPr>
                <w:rFonts w:ascii="Arial" w:hAnsi="Arial"/>
                <w:b w:val="0"/>
                <w:sz w:val="12"/>
              </w:rPr>
              <w:t>Lifecycle responsibility objects; authority boundary enforcement; accepted outcome compliance</w:t>
            </w:r>
          </w:p>
        </w:tc>
      </w:tr>
      <w:tr>
        <w:tc>
          <w:tcPr>
            <w:tcW w:type="dxa" w:w="1704"/>
          </w:tcPr>
          <w:p>
            <w:pPr>
              <w:spacing w:after="0"/>
            </w:pPr>
            <w:r>
              <w:rPr>
                <w:rFonts w:ascii="Arial" w:hAnsi="Arial"/>
                <w:b w:val="0"/>
                <w:sz w:val="12"/>
              </w:rPr>
              <w:t>AWS Bedrock / Guardrails / AgentCore</w:t>
            </w:r>
          </w:p>
        </w:tc>
        <w:tc>
          <w:tcPr>
            <w:tcW w:type="dxa" w:w="1704"/>
          </w:tcPr>
          <w:p>
            <w:pPr>
              <w:spacing w:after="0"/>
            </w:pPr>
            <w:r>
              <w:rPr>
                <w:rFonts w:ascii="Arial" w:hAnsi="Arial"/>
                <w:b w:val="0"/>
                <w:sz w:val="12"/>
              </w:rPr>
              <w:t>Cloud AI services; guardrails; agent orchestration; enterprise security integration</w:t>
            </w:r>
          </w:p>
        </w:tc>
        <w:tc>
          <w:tcPr>
            <w:tcW w:type="dxa" w:w="1704"/>
          </w:tcPr>
          <w:p>
            <w:pPr>
              <w:spacing w:after="0"/>
            </w:pPr>
            <w:r>
              <w:rPr>
                <w:rFonts w:ascii="Arial" w:hAnsi="Arial"/>
                <w:b w:val="0"/>
                <w:sz w:val="12"/>
              </w:rPr>
              <w:t>Moderate to Strong (guardrails and security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(agent orchestration exists, but lifecycle object semantics require validation)</w:t>
            </w:r>
          </w:p>
        </w:tc>
        <w:tc>
          <w:tcPr>
            <w:tcW w:type="dxa" w:w="1704"/>
          </w:tcPr>
          <w:p>
            <w:pPr>
              <w:spacing w:after="0"/>
            </w:pPr>
            <w:r>
              <w:rPr>
                <w:rFonts w:ascii="Arial" w:hAnsi="Arial"/>
                <w:b w:val="0"/>
                <w:sz w:val="12"/>
              </w:rPr>
              <w:t>Lifecycle responsibility objects; evidence partitioning; responsibility transfer across agents</w:t>
            </w:r>
          </w:p>
        </w:tc>
      </w:tr>
      <w:tr>
        <w:tc>
          <w:tcPr>
            <w:tcW w:type="dxa" w:w="1704"/>
          </w:tcPr>
          <w:p>
            <w:pPr>
              <w:spacing w:after="0"/>
            </w:pPr>
            <w:r>
              <w:rPr>
                <w:rFonts w:ascii="Arial" w:hAnsi="Arial"/>
                <w:b w:val="0"/>
                <w:sz w:val="12"/>
              </w:rPr>
              <w:t>Google Vertex AI / ADK / Model Armor</w:t>
            </w:r>
          </w:p>
        </w:tc>
        <w:tc>
          <w:tcPr>
            <w:tcW w:type="dxa" w:w="1704"/>
          </w:tcPr>
          <w:p>
            <w:pPr>
              <w:spacing w:after="0"/>
            </w:pPr>
            <w:r>
              <w:rPr>
                <w:rFonts w:ascii="Arial" w:hAnsi="Arial"/>
                <w:b w:val="0"/>
                <w:sz w:val="12"/>
              </w:rPr>
              <w:t>Cloud AI platform; agent development kit; model armor safety controls; enterprise AI management</w:t>
            </w:r>
          </w:p>
        </w:tc>
        <w:tc>
          <w:tcPr>
            <w:tcW w:type="dxa" w:w="1704"/>
          </w:tcPr>
          <w:p>
            <w:pPr>
              <w:spacing w:after="0"/>
            </w:pPr>
            <w:r>
              <w:rPr>
                <w:rFonts w:ascii="Arial" w:hAnsi="Arial"/>
                <w:b w:val="0"/>
                <w:sz w:val="12"/>
              </w:rPr>
              <w:t>Moderate to Strong (safety and management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(ADK provides agent primitives, but lifecycle semantics require validation)</w:t>
            </w:r>
          </w:p>
        </w:tc>
        <w:tc>
          <w:tcPr>
            <w:tcW w:type="dxa" w:w="1704"/>
          </w:tcPr>
          <w:p>
            <w:pPr>
              <w:spacing w:after="0"/>
            </w:pPr>
            <w:r>
              <w:rPr>
                <w:rFonts w:ascii="Arial" w:hAnsi="Arial"/>
                <w:b w:val="0"/>
                <w:sz w:val="12"/>
              </w:rPr>
              <w:t>Lifecycle responsibility objects; authority boundary enforcement; privacy lifecycle mapping</w:t>
            </w:r>
          </w:p>
        </w:tc>
      </w:tr>
      <w:tr>
        <w:tc>
          <w:tcPr>
            <w:tcW w:type="dxa" w:w="1704"/>
          </w:tcPr>
          <w:p>
            <w:pPr>
              <w:spacing w:after="0"/>
            </w:pPr>
            <w:r>
              <w:rPr>
                <w:rFonts w:ascii="Arial" w:hAnsi="Arial"/>
                <w:b w:val="0"/>
                <w:sz w:val="12"/>
              </w:rPr>
              <w:t>LangGraph / LangSmith</w:t>
            </w:r>
          </w:p>
        </w:tc>
        <w:tc>
          <w:tcPr>
            <w:tcW w:type="dxa" w:w="1704"/>
          </w:tcPr>
          <w:p>
            <w:pPr>
              <w:spacing w:after="0"/>
            </w:pPr>
            <w:r>
              <w:rPr>
                <w:rFonts w:ascii="Arial" w:hAnsi="Arial"/>
                <w:b w:val="0"/>
                <w:sz w:val="12"/>
              </w:rPr>
              <w:t>Agent orchestration; observability; tracing; workflow management</w:t>
            </w:r>
          </w:p>
        </w:tc>
        <w:tc>
          <w:tcPr>
            <w:tcW w:type="dxa" w:w="1704"/>
          </w:tcPr>
          <w:p>
            <w:pPr>
              <w:spacing w:after="0"/>
            </w:pPr>
            <w:r>
              <w:rPr>
                <w:rFonts w:ascii="Arial" w:hAnsi="Arial"/>
                <w:b w:val="0"/>
                <w:sz w:val="12"/>
              </w:rPr>
              <w:t>Moderate (observability and tracing support governance)</w:t>
            </w:r>
          </w:p>
        </w:tc>
        <w:tc>
          <w:tcPr>
            <w:tcW w:type="dxa" w:w="1704"/>
          </w:tcPr>
          <w:p>
            <w:pPr>
              <w:spacing w:after="0"/>
            </w:pPr>
            <w:r>
              <w:rPr>
                <w:rFonts w:ascii="Arial" w:hAnsi="Arial"/>
                <w:b w:val="0"/>
                <w:sz w:val="12"/>
              </w:rPr>
              <w:t>Moderate (workflow state and traces support MRO-adjacent analysis)</w:t>
            </w:r>
          </w:p>
        </w:tc>
        <w:tc>
          <w:tcPr>
            <w:tcW w:type="dxa" w:w="1704"/>
          </w:tcPr>
          <w:p>
            <w:pPr>
              <w:spacing w:after="0"/>
            </w:pPr>
            <w:r>
              <w:rPr>
                <w:rFonts w:ascii="Arial" w:hAnsi="Arial"/>
                <w:b w:val="0"/>
                <w:sz w:val="12"/>
              </w:rPr>
              <w:t>Moderate (orchestration and tracing exist, but lifecycle object semantics require validation)</w:t>
            </w:r>
          </w:p>
        </w:tc>
        <w:tc>
          <w:tcPr>
            <w:tcW w:type="dxa" w:w="1704"/>
          </w:tcPr>
          <w:p>
            <w:pPr>
              <w:spacing w:after="0"/>
            </w:pPr>
            <w:r>
              <w:rPr>
                <w:rFonts w:ascii="Arial" w:hAnsi="Arial"/>
                <w:b w:val="0"/>
                <w:sz w:val="12"/>
              </w:rPr>
              <w:t>Governance primitives; authority boundary enforcement; accepted outcome compliance; evidence partitioning</w:t>
            </w:r>
          </w:p>
        </w:tc>
      </w:tr>
      <w:tr>
        <w:tc>
          <w:tcPr>
            <w:tcW w:type="dxa" w:w="1704"/>
          </w:tcPr>
          <w:p>
            <w:pPr>
              <w:spacing w:after="0"/>
            </w:pPr>
            <w:r>
              <w:rPr>
                <w:rFonts w:ascii="Arial" w:hAnsi="Arial"/>
                <w:b w:val="0"/>
                <w:sz w:val="12"/>
              </w:rPr>
              <w:t>OpenAI Agents SDK</w:t>
            </w:r>
          </w:p>
        </w:tc>
        <w:tc>
          <w:tcPr>
            <w:tcW w:type="dxa" w:w="1704"/>
          </w:tcPr>
          <w:p>
            <w:pPr>
              <w:spacing w:after="0"/>
            </w:pPr>
            <w:r>
              <w:rPr>
                <w:rFonts w:ascii="Arial" w:hAnsi="Arial"/>
                <w:b w:val="0"/>
                <w:sz w:val="12"/>
              </w:rPr>
              <w:t>Developer-focused agent framework; model access; tool use; execution orchestration</w:t>
            </w:r>
          </w:p>
        </w:tc>
        <w:tc>
          <w:tcPr>
            <w:tcW w:type="dxa" w:w="1704"/>
          </w:tcPr>
          <w:p>
            <w:pPr>
              <w:spacing w:after="0"/>
            </w:pPr>
            <w:r>
              <w:rPr>
                <w:rFonts w:ascii="Arial" w:hAnsi="Arial"/>
                <w:b w:val="0"/>
                <w:sz w:val="12"/>
              </w:rPr>
              <w:t>Low to Moderate (execution focus, governance primitives require validation)</w:t>
            </w:r>
          </w:p>
        </w:tc>
        <w:tc>
          <w:tcPr>
            <w:tcW w:type="dxa" w:w="1704"/>
          </w:tcPr>
          <w:p>
            <w:pPr>
              <w:spacing w:after="0"/>
            </w:pPr>
            <w:r>
              <w:rPr>
                <w:rFonts w:ascii="Arial" w:hAnsi="Arial"/>
                <w:b w:val="0"/>
                <w:sz w:val="12"/>
              </w:rPr>
              <w:t>Partial (SDK primitives can support lifecycle analysis, not full governance)</w:t>
            </w:r>
          </w:p>
        </w:tc>
        <w:tc>
          <w:tcPr>
            <w:tcW w:type="dxa" w:w="1704"/>
          </w:tcPr>
          <w:p>
            <w:pPr>
              <w:spacing w:after="0"/>
            </w:pPr>
            <w:r>
              <w:rPr>
                <w:rFonts w:ascii="Arial" w:hAnsi="Arial"/>
                <w:b w:val="0"/>
                <w:sz w:val="12"/>
              </w:rPr>
              <w:t>Low to Moderate (execution orchestration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r>
        <w:tc>
          <w:tcPr>
            <w:tcW w:type="dxa" w:w="1704"/>
          </w:tcPr>
          <w:p>
            <w:pPr>
              <w:spacing w:after="0"/>
            </w:pPr>
            <w:r>
              <w:rPr>
                <w:rFonts w:ascii="Arial" w:hAnsi="Arial"/>
                <w:b w:val="0"/>
                <w:sz w:val="12"/>
              </w:rPr>
              <w:t>CrewAI</w:t>
            </w:r>
          </w:p>
        </w:tc>
        <w:tc>
          <w:tcPr>
            <w:tcW w:type="dxa" w:w="1704"/>
          </w:tcPr>
          <w:p>
            <w:pPr>
              <w:spacing w:after="0"/>
            </w:pPr>
            <w:r>
              <w:rPr>
                <w:rFonts w:ascii="Arial" w:hAnsi="Arial"/>
                <w:b w:val="0"/>
                <w:sz w:val="12"/>
              </w:rPr>
              <w:t>Multi-agent collaboration; role-based agent design; task orchestration</w:t>
            </w:r>
          </w:p>
        </w:tc>
        <w:tc>
          <w:tcPr>
            <w:tcW w:type="dxa" w:w="1704"/>
          </w:tcPr>
          <w:p>
            <w:pPr>
              <w:spacing w:after="0"/>
            </w:pPr>
            <w:r>
              <w:rPr>
                <w:rFonts w:ascii="Arial" w:hAnsi="Arial"/>
                <w:b w:val="0"/>
                <w:sz w:val="12"/>
              </w:rPr>
              <w:t>Low to Moderate (collaboration focus, governance primitives require validation)</w:t>
            </w:r>
          </w:p>
        </w:tc>
        <w:tc>
          <w:tcPr>
            <w:tcW w:type="dxa" w:w="1704"/>
          </w:tcPr>
          <w:p>
            <w:pPr>
              <w:spacing w:after="0"/>
            </w:pPr>
            <w:r>
              <w:rPr>
                <w:rFonts w:ascii="Arial" w:hAnsi="Arial"/>
                <w:b w:val="0"/>
                <w:sz w:val="12"/>
              </w:rPr>
              <w:t>Partial (role/task primitives can support lifecycle analysis, not full governance)</w:t>
            </w:r>
          </w:p>
        </w:tc>
        <w:tc>
          <w:tcPr>
            <w:tcW w:type="dxa" w:w="1704"/>
          </w:tcPr>
          <w:p>
            <w:pPr>
              <w:spacing w:after="0"/>
            </w:pPr>
            <w:r>
              <w:rPr>
                <w:rFonts w:ascii="Arial" w:hAnsi="Arial"/>
                <w:b w:val="0"/>
                <w:sz w:val="12"/>
              </w:rPr>
              <w:t>Low to Moderate (role-based design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RCCS-T because they are designed for policy enforcement, risk management, and regulatory compliance. Lifecycle protocol paths may score lower on RCCS-T when they are not product governance platforms, but higher on RCCS-M and ALCS when they expose lifecycle responsibility objects as first-class protocol primitives. Cloud AI platforms and agent orchestration frameworks tend to show mixed RCCS-T/RCCS-M/ALCS posture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RCCS-T posture, the gap is often agentic lifecycle object exposure. For systems with strong RCCS-M and ALCS posture, the gap is often enterprise integration and adoption maturity. For systems with mixed posture, the gap is often governance primitives and lifecycle responsibility objects that require validation against public documentation.</w:t>
      </w:r>
    </w:p>
    <w:p>
      <w:pPr>
        <w:pStyle w:val="Heading2"/>
      </w:pPr>
      <w:r>
        <w:t>11.4 Reading the RCCS-T / RCCS-M / ALCS Positioning</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a system provides mature lifecycle objects that make agentic responsibility auditable, provable, and transferable.</w:t>
      </w:r>
    </w:p>
    <w:p>
      <w:pPr>
        <w:spacing w:after="56"/>
      </w:pPr>
      <w:r>
        <w:t>A system can have a strong RCCS-T score and weaker RCCS-M or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RCCS-M and ALCS score with a lower RCCS-T score. This is also not a contradiction. It means the system may provide strong lifecycle responsibility semantics for human-role-to-MAS mapping, delegated authority boundaries, agent role distinction, accepted outcome compliance, tool-action liability, responsibility transfer, authority drift detection, evidence partitioning, and other lifecycle objects while having less mature productized governance coverage for risk management, documentation, record-keeping, or monitoring.</w:t>
      </w:r>
    </w:p>
    <w:p>
      <w:pPr>
        <w:spacing w:after="56"/>
      </w:pPr>
      <w:r>
        <w:t>The strongest future profile would provide strong RCCS-T, RCCS-M, and ALCS together. This means the system provides the governance primitives that existing regulation requires, expresses those obligations through MRO-like lifecycle objects, and makes agentic responsibility auditable and transferable. Few systems currently achieve this profile because traditional regulatory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RCCS-T posture tend to be enterprise AI governance platforms designed for regulatory compliance. Systems with strong RCCS-M and ALCS posture tend to be lifecycle protocol paths designed for responsibility semantics. Systems with mixed posture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RCCS-T, RCCS-M,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RCCS-T, RCCS-M,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RCCS-T, RCCS-M, and ALCS dimensions.</w:t>
      </w:r>
    </w:p>
    <w:p>
      <w:pPr>
        <w:spacing w:after="56"/>
      </w:pPr>
      <w:r>
        <w:t>MPLP-specific non-claim discipline:</w:t>
      </w:r>
    </w:p>
    <w:p>
      <w:pPr>
        <w:pStyle w:val="ListBullet"/>
        <w:spacing w:after="56"/>
      </w:pPr>
      <w:r>
        <w:t>MPLP is positioned as a lifecycle protocol path with limited RCCS-T product-platform coverage and strong author-analytical RCCS-M /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RCCS-T, RCCS-M,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RCCS-T/RCCS-M/ALCS mapping strength and evidence level; numerical profiles appear only in the Evaluation Results section when source-qualified and explicitly bounded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RCCS-T, RCCS-M,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(RCCS-T dimensions), and whether those obligations can be expressed through MROs (RCCS-M interpretation)</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RCCS-T, RCCS-M, and ALCS dimensions. The purpose is to make visible which systems provide traditional governance coverage, which systems expose MRO-adjusted lifecycle responsibility semantics,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those governance obligations can be expressed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RCCS-T, RCCS-M, and ALCS dimensions using the evidence hierarchy established in Chapter 1 and the scoring rubrics defined in Chapters 7 and 8. RCCS-T captures traditional regulatory/governance coverage. RCCS-M captures MRO-adjusted regulatory coverage. ALCS captures lifecycle responsibility conformance maturity.</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RCCS-T, RCCS-M, or 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final vendor scores,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RCCS-T / RCCS-M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RCCS-T / RCCS-M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RCCS-T/RCCS-M/ALCS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RCCS-T, RCCS-M,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means MPLP's traditional RCCS-T product-platform coverage may be limited, while its RCCS-M and ALCS posture may be strong where protocol semantics map to MRO-like objects. The GAIC MRO/RCCS-M/ALCS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RCCS-T, RCCS-M,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RCCS-T / RCCS-M Mapping Summary</w:t>
      </w:r>
    </w:p>
    <w:p>
      <w:pPr>
        <w:keepNext/>
      </w:pPr>
      <w:r>
        <w:rPr>
          <w:b/>
          <w:sz w:val="16"/>
        </w:rPr>
        <w:t>Table T-12-02: MPLP RCCS-T / RCCS-M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MPLP is not an enterprise governance SaaS and does not by itself provide full productized governance dashboards, cloud controls, or organizational policy workflows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semantics map strongly to authority, evidence, accepted-outcome, responsibility-transfer, and substitution objects; mapping remains author analytical where not directly stated</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RCCS-T, RCCS-M, and ALCS because it provides enterprise-grade governance capabilities for risk management, data governance, documentation, record-keeping, transparency, human oversight, security, accountability, contestability, and monitoring, while lifecycle responsibility-object coverage remains analytically tested.</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RCCS-T, RCCS-M, and ALCS because it provides cloud platform capabilities for risk management, data governance, documentation, record-keeping, transparency, human oversight, security, accountability, and monitoring, while MRO-adjusted lifecycle coverage remains implementation-dependent.</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RCCS-T, RCCS-M, and ALCS because it provides cloud service capabilities for guardrails, security, access control, monitoring, and agent orchestration, while lifecycle responsibility-object coverage remains source-qualified and analytical.</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RCCS-T, RCCS-M, and ALCS because it provides cloud platform capabilities for model governance, agent development, safety evaluation, content filtering, and enterprise integration, while MRO-adjusted lifecycle coverage remains evidence-qualified.</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RCCS-T, RCCS-M, and ALCS because it provides orchestration and observability capabilities that can support governance, monitoring, transparency, evidence collection, and MRO-adjacent lifecycle analysis.</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RCCS-T, RCCS-M, and ALCS because it provides execution capabilities that can support agent workflows, tool actions, observability, and MRO-adjacent lifecycle analysis, while enterprise governance coverage remains outside SDK primitives.</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RCCS-T, RCCS-M,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RCCS-T, RCCS-M, and ALCS because it provides role-based orchestration capabilities that can support agent collaboration, task delegation, workflow management, and MRO-adjacent lifecycle analysis.</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RCCS-T, RCCS-M,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RCCS-T, RCCS-M,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RCCS-M and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Category</w:t>
            </w:r>
          </w:p>
        </w:tc>
        <w:tc>
          <w:tcPr>
            <w:tcW w:type="dxa" w:w="2045"/>
          </w:tcPr>
          <w:p>
            <w:pPr>
              <w:spacing w:after="0"/>
            </w:pPr>
            <w:r>
              <w:rPr>
                <w:rFonts w:ascii="Arial" w:hAnsi="Arial"/>
                <w:b/>
                <w:sz w:val="14"/>
              </w:rPr>
              <w:t>Typical RCCS-T Strength</w:t>
            </w:r>
          </w:p>
        </w:tc>
        <w:tc>
          <w:tcPr>
            <w:tcW w:type="dxa" w:w="2045"/>
          </w:tcPr>
          <w:p>
            <w:pPr>
              <w:spacing w:after="0"/>
            </w:pPr>
            <w:r>
              <w:rPr>
                <w:rFonts w:ascii="Arial" w:hAnsi="Arial"/>
                <w:b/>
                <w:sz w:val="14"/>
              </w:rPr>
              <w:t>Typical RCCS-M / ALCS Posture</w:t>
            </w:r>
          </w:p>
        </w:tc>
        <w:tc>
          <w:tcPr>
            <w:tcW w:type="dxa" w:w="2045"/>
          </w:tcPr>
          <w:p>
            <w:pPr>
              <w:spacing w:after="0"/>
            </w:pPr>
            <w:r>
              <w:rPr>
                <w:rFonts w:ascii="Arial" w:hAnsi="Arial"/>
                <w:b/>
                <w:sz w:val="14"/>
              </w:rPr>
              <w:t>Typical Lifecycle Gap</w:t>
            </w:r>
          </w:p>
        </w:tc>
        <w:tc>
          <w:tcPr>
            <w:tcW w:type="dxa" w:w="2045"/>
          </w:tcPr>
          <w:p>
            <w:pPr>
              <w:spacing w:after="0"/>
            </w:pPr>
            <w:r>
              <w:rPr>
                <w:rFonts w:ascii="Arial" w:hAnsi="Arial"/>
                <w:b/>
                <w:sz w:val="14"/>
              </w:rPr>
              <w:t>Interpretation</w:t>
            </w:r>
          </w:p>
        </w:tc>
      </w:tr>
      <w:tr>
        <w:tc>
          <w:tcPr>
            <w:tcW w:type="dxa" w:w="2045"/>
          </w:tcPr>
          <w:p>
            <w:pPr>
              <w:spacing w:after="0"/>
            </w:pPr>
            <w:r>
              <w:rPr>
                <w:rFonts w:ascii="Arial" w:hAnsi="Arial"/>
                <w:b w:val="0"/>
                <w:sz w:val="14"/>
              </w:rPr>
              <w:t>Lifecycle protocol path (MPLP)</w:t>
            </w:r>
          </w:p>
        </w:tc>
        <w:tc>
          <w:tcPr>
            <w:tcW w:type="dxa" w:w="2045"/>
          </w:tcPr>
          <w:p>
            <w:pPr>
              <w:spacing w:after="0"/>
            </w:pPr>
            <w:r>
              <w:rPr>
                <w:rFonts w:ascii="Arial" w:hAnsi="Arial"/>
                <w:b w:val="0"/>
                <w:sz w:val="14"/>
              </w:rPr>
              <w:t>Limited to partial product-platform coverage</w:t>
            </w:r>
          </w:p>
        </w:tc>
        <w:tc>
          <w:tcPr>
            <w:tcW w:type="dxa" w:w="2045"/>
          </w:tcPr>
          <w:p>
            <w:pPr>
              <w:spacing w:after="0"/>
            </w:pPr>
            <w:r>
              <w:rPr>
                <w:rFonts w:ascii="Arial" w:hAnsi="Arial"/>
                <w:b w:val="0"/>
                <w:sz w:val="14"/>
              </w:rPr>
              <w:t>Strong RCCS-M and ALCS semantic posture for authority boundaries, accepted outcome records, responsibility transfer, evidence partitioning, substitution conformance</w:t>
            </w:r>
          </w:p>
        </w:tc>
        <w:tc>
          <w:tcPr>
            <w:tcW w:type="dxa" w:w="2045"/>
          </w:tcPr>
          <w:p>
            <w:pPr>
              <w:spacing w:after="0"/>
            </w:pPr>
            <w:r>
              <w:rPr>
                <w:rFonts w:ascii="Arial" w:hAnsi="Arial"/>
                <w:b w:val="0"/>
                <w:sz w:val="14"/>
              </w:rPr>
              <w:t>Implementation maturity, enterprise integration, vendor adoption, operational deployment evidence, regulator familiarity</w:t>
            </w:r>
          </w:p>
        </w:tc>
        <w:tc>
          <w:tcPr>
            <w:tcW w:type="dxa" w:w="2045"/>
          </w:tcPr>
          <w:p>
            <w:pPr>
              <w:spacing w:after="0"/>
            </w:pPr>
            <w:r>
              <w:rPr>
                <w:rFonts w:ascii="Arial" w:hAnsi="Arial"/>
                <w:b w:val="0"/>
                <w:sz w:val="14"/>
              </w:rPr>
              <w:t>Relevant to MRO-adjusted lifecycle responsibility semantics; implementation, adoption, and enterprise integration require validation</w:t>
            </w:r>
          </w:p>
        </w:tc>
      </w:tr>
      <w:tr>
        <w:tc>
          <w:tcPr>
            <w:tcW w:type="dxa" w:w="2045"/>
          </w:tcPr>
          <w:p>
            <w:pPr>
              <w:spacing w:after="0"/>
            </w:pPr>
            <w:r>
              <w:rPr>
                <w:rFonts w:ascii="Arial" w:hAnsi="Arial"/>
                <w:b w:val="0"/>
                <w:sz w:val="14"/>
              </w:rPr>
              <w:t>Enterprise AI governance platform (IBM watsonx.governance)</w:t>
            </w:r>
          </w:p>
        </w:tc>
        <w:tc>
          <w:tcPr>
            <w:tcW w:type="dxa" w:w="2045"/>
          </w:tcPr>
          <w:p>
            <w:pPr>
              <w:spacing w:after="0"/>
            </w:pPr>
            <w:r>
              <w:rPr>
                <w:rFonts w:ascii="Arial" w:hAnsi="Arial"/>
                <w:b w:val="0"/>
                <w:sz w:val="14"/>
              </w:rPr>
              <w:t>Strong RCCS-T posture for risk management, data governance, documentation, record-keeping, transparency, human oversight, security, accountability, monitoring</w:t>
            </w:r>
          </w:p>
        </w:tc>
        <w:tc>
          <w:tcPr>
            <w:tcW w:type="dxa" w:w="2045"/>
          </w:tcPr>
          <w:p>
            <w:pPr>
              <w:spacing w:after="0"/>
            </w:pPr>
            <w:r>
              <w:rPr>
                <w:rFonts w:ascii="Arial" w:hAnsi="Arial"/>
                <w:b w:val="0"/>
                <w:sz w:val="14"/>
              </w:rPr>
              <w:t>Partial RCCS-M / ALCS where lifecycle responsibility objects are not explicit</w:t>
            </w:r>
          </w:p>
        </w:tc>
        <w:tc>
          <w:tcPr>
            <w:tcW w:type="dxa" w:w="2045"/>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045"/>
          </w:tcPr>
          <w:p>
            <w:pPr>
              <w:spacing w:after="0"/>
            </w:pPr>
            <w:r>
              <w:rPr>
                <w:rFonts w:ascii="Arial" w:hAnsi="Arial"/>
                <w:b w:val="0"/>
                <w:sz w:val="14"/>
              </w:rPr>
              <w:t>Designed for enterprise AI governance; agentic lifecycle objects require validation</w:t>
            </w:r>
          </w:p>
        </w:tc>
      </w:tr>
      <w:tr>
        <w:tc>
          <w:tcPr>
            <w:tcW w:type="dxa" w:w="2045"/>
          </w:tcPr>
          <w:p>
            <w:pPr>
              <w:spacing w:after="0"/>
            </w:pPr>
            <w:r>
              <w:rPr>
                <w:rFonts w:ascii="Arial" w:hAnsi="Arial"/>
                <w:b w:val="0"/>
                <w:sz w:val="14"/>
              </w:rPr>
              <w:t>Cloud AI platform (Microsoft Azure AI Foundry, AWS Bedrock / Guardrails / AgentCore, Google Vertex AI / ADK / Model Armor)</w:t>
            </w:r>
          </w:p>
        </w:tc>
        <w:tc>
          <w:tcPr>
            <w:tcW w:type="dxa" w:w="2045"/>
          </w:tcPr>
          <w:p>
            <w:pPr>
              <w:spacing w:after="0"/>
            </w:pPr>
            <w:r>
              <w:rPr>
                <w:rFonts w:ascii="Arial" w:hAnsi="Arial"/>
                <w:b w:val="0"/>
                <w:sz w:val="14"/>
              </w:rPr>
              <w:t>Moderate-to-strong RCCS-T posture for cloud AI management, model governance, safety, evaluation, monitoring</w:t>
            </w:r>
          </w:p>
        </w:tc>
        <w:tc>
          <w:tcPr>
            <w:tcW w:type="dxa" w:w="2045"/>
          </w:tcPr>
          <w:p>
            <w:pPr>
              <w:spacing w:after="0"/>
            </w:pPr>
            <w:r>
              <w:rPr>
                <w:rFonts w:ascii="Arial" w:hAnsi="Arial"/>
                <w:b w:val="0"/>
                <w:sz w:val="14"/>
              </w:rPr>
              <w:t>Partial-to-moderate RCCS-M / ALCS depending on agent lifecycle object exposure</w:t>
            </w:r>
          </w:p>
        </w:tc>
        <w:tc>
          <w:tcPr>
            <w:tcW w:type="dxa" w:w="2045"/>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045"/>
          </w:tcPr>
          <w:p>
            <w:pPr>
              <w:spacing w:after="0"/>
            </w:pPr>
            <w:r>
              <w:rPr>
                <w:rFonts w:ascii="Arial" w:hAnsi="Arial"/>
                <w:b w:val="0"/>
                <w:sz w:val="14"/>
              </w:rPr>
              <w:t>Designed for cloud AI platform capabilities; lifecycle responsibility objects require validation; responsible AI tooling does not equal lifecycle responsibility objects</w:t>
            </w:r>
          </w:p>
        </w:tc>
      </w:tr>
      <w:tr>
        <w:tc>
          <w:tcPr>
            <w:tcW w:type="dxa" w:w="2045"/>
          </w:tcPr>
          <w:p>
            <w:pPr>
              <w:spacing w:after="0"/>
            </w:pPr>
            <w:r>
              <w:rPr>
                <w:rFonts w:ascii="Arial" w:hAnsi="Arial"/>
                <w:b w:val="0"/>
                <w:sz w:val="14"/>
              </w:rPr>
              <w:t>Agent orchestration / observability framework (LangGraph / LangSmith)</w:t>
            </w:r>
          </w:p>
        </w:tc>
        <w:tc>
          <w:tcPr>
            <w:tcW w:type="dxa" w:w="2045"/>
          </w:tcPr>
          <w:p>
            <w:pPr>
              <w:spacing w:after="0"/>
            </w:pPr>
            <w:r>
              <w:rPr>
                <w:rFonts w:ascii="Arial" w:hAnsi="Arial"/>
                <w:b w:val="0"/>
                <w:sz w:val="14"/>
              </w:rPr>
              <w:t>Moderate RCCS-T posture for documentation, record-keeping, transparency, monitoring</w:t>
            </w:r>
          </w:p>
        </w:tc>
        <w:tc>
          <w:tcPr>
            <w:tcW w:type="dxa" w:w="2045"/>
          </w:tcPr>
          <w:p>
            <w:pPr>
              <w:spacing w:after="0"/>
            </w:pPr>
            <w:r>
              <w:rPr>
                <w:rFonts w:ascii="Arial" w:hAnsi="Arial"/>
                <w:b w:val="0"/>
                <w:sz w:val="14"/>
              </w:rPr>
              <w:t>Moderate RCCS-M / ALCS adjacency through graphs, state, checkpoints, traces, observability</w:t>
            </w:r>
          </w:p>
        </w:tc>
        <w:tc>
          <w:tcPr>
            <w:tcW w:type="dxa" w:w="2045"/>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045"/>
          </w:tcPr>
          <w:p>
            <w:pPr>
              <w:spacing w:after="0"/>
            </w:pPr>
            <w:r>
              <w:rPr>
                <w:rFonts w:ascii="Arial" w:hAnsi="Arial"/>
                <w:b w:val="0"/>
                <w:sz w:val="14"/>
              </w:rPr>
              <w:t>Designed for agent orchestration and observability; lifecycle responsibility semantics require additional governance layer; orchestration does not equal governance</w:t>
            </w:r>
          </w:p>
        </w:tc>
      </w:tr>
      <w:tr>
        <w:tc>
          <w:tcPr>
            <w:tcW w:type="dxa" w:w="2045"/>
          </w:tcPr>
          <w:p>
            <w:pPr>
              <w:spacing w:after="0"/>
            </w:pPr>
            <w:r>
              <w:rPr>
                <w:rFonts w:ascii="Arial" w:hAnsi="Arial"/>
                <w:b w:val="0"/>
                <w:sz w:val="14"/>
              </w:rPr>
              <w:t>Developer agent SDK (OpenAI Agents SDK)</w:t>
            </w:r>
          </w:p>
        </w:tc>
        <w:tc>
          <w:tcPr>
            <w:tcW w:type="dxa" w:w="2045"/>
          </w:tcPr>
          <w:p>
            <w:pPr>
              <w:spacing w:after="0"/>
            </w:pPr>
            <w:r>
              <w:rPr>
                <w:rFonts w:ascii="Arial" w:hAnsi="Arial"/>
                <w:b w:val="0"/>
                <w:sz w:val="14"/>
              </w:rPr>
              <w:t>Weak-to-moderate RCCS-T posture beyond SDK primitives</w:t>
            </w:r>
          </w:p>
        </w:tc>
        <w:tc>
          <w:tcPr>
            <w:tcW w:type="dxa" w:w="2045"/>
          </w:tcPr>
          <w:p>
            <w:pPr>
              <w:spacing w:after="0"/>
            </w:pPr>
            <w:r>
              <w:rPr>
                <w:rFonts w:ascii="Arial" w:hAnsi="Arial"/>
                <w:b w:val="0"/>
                <w:sz w:val="14"/>
              </w:rPr>
              <w:t>Partial RCCS-M / ALCS where SDK primitives support agents, tools, handoffs, guardrails, tracing, or sessions</w:t>
            </w:r>
          </w:p>
        </w:tc>
        <w:tc>
          <w:tcPr>
            <w:tcW w:type="dxa" w:w="2045"/>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045"/>
          </w:tcPr>
          <w:p>
            <w:pPr>
              <w:spacing w:after="0"/>
            </w:pPr>
            <w:r>
              <w:rPr>
                <w:rFonts w:ascii="Arial" w:hAnsi="Arial"/>
                <w:b w:val="0"/>
                <w:sz w:val="14"/>
              </w:rPr>
              <w:t>Designed for developer execution primitives; enterprise governance and lifecycle responsibility semantics require additional layer; execution framework does not equal governance layer</w:t>
            </w:r>
          </w:p>
        </w:tc>
      </w:tr>
      <w:tr>
        <w:tc>
          <w:tcPr>
            <w:tcW w:type="dxa" w:w="2045"/>
          </w:tcPr>
          <w:p>
            <w:pPr>
              <w:spacing w:after="0"/>
            </w:pPr>
            <w:r>
              <w:rPr>
                <w:rFonts w:ascii="Arial" w:hAnsi="Arial"/>
                <w:b w:val="0"/>
                <w:sz w:val="14"/>
              </w:rPr>
              <w:t>Multi-agent collaboration framework (CrewAI)</w:t>
            </w:r>
          </w:p>
        </w:tc>
        <w:tc>
          <w:tcPr>
            <w:tcW w:type="dxa" w:w="2045"/>
          </w:tcPr>
          <w:p>
            <w:pPr>
              <w:spacing w:after="0"/>
            </w:pPr>
            <w:r>
              <w:rPr>
                <w:rFonts w:ascii="Arial" w:hAnsi="Arial"/>
                <w:b w:val="0"/>
                <w:sz w:val="14"/>
              </w:rPr>
              <w:t>Weak-to-moderate RCCS-T posture beyond orchestration primitives</w:t>
            </w:r>
          </w:p>
        </w:tc>
        <w:tc>
          <w:tcPr>
            <w:tcW w:type="dxa" w:w="2045"/>
          </w:tcPr>
          <w:p>
            <w:pPr>
              <w:spacing w:after="0"/>
            </w:pPr>
            <w:r>
              <w:rPr>
                <w:rFonts w:ascii="Arial" w:hAnsi="Arial"/>
                <w:b w:val="0"/>
                <w:sz w:val="14"/>
              </w:rPr>
              <w:t>Partial RCCS-M / ALCS where roles, tasks, and collaboration patterns support lifecycle analysis</w:t>
            </w:r>
          </w:p>
        </w:tc>
        <w:tc>
          <w:tcPr>
            <w:tcW w:type="dxa" w:w="2045"/>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045"/>
          </w:tcPr>
          <w:p>
            <w:pPr>
              <w:spacing w:after="0"/>
            </w:pPr>
            <w:r>
              <w:rPr>
                <w:rFonts w:ascii="Arial" w:hAnsi="Arial"/>
                <w:b w:val="0"/>
                <w:sz w:val="14"/>
              </w:rPr>
              <w:t>Designed for multi-agent collaboration; lifecycle responsibility semantics require additional governance layer; role labels do not equal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RCCS-T, RCCS-M, and ALCS dimensions. Official MPLP documentation was located during claim-level source review, but protocol-to-MRO/RCCS-M/ALCS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show limited RCCS-T product-platform coverage while mapping strongly to RCCS-M and ALCS because those profiles measure lifecycle responsibility semantics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RCCS-T and RCCS-M</w:t>
      </w:r>
    </w:p>
    <w:p>
      <w:pPr>
        <w:spacing w:after="56"/>
      </w:pPr>
      <w:r>
        <w:t>MPLP should not be read as weak merely because it is not an enterprise governance SaaS. The paper distinguishes two regulatory-coverage profiles. RCCS-T measures traditional productized governance coverage: risk dashboards, organizational policy workflows, cloud security controls, documentation management, monitoring, and compliance operations. MPLP may be limited on that product-platform layer. RCCS-M measures whether regulatory obligations can be expressed through Missing Regulatory Objects. MPLP may map strongly on that layer because its protocol semantics are designed around lifecycle responsibility objects.</w:t>
      </w:r>
    </w:p>
    <w:p>
      <w:pPr>
        <w:spacing w:after="56"/>
      </w:pPr>
      <w:r>
        <w:t>MPLP can support RCCS-M where protocol semantics create evidence, accountability, traceability, accepted-outcome records, authority boundaries, responsibility transfer, and substitution conformance. However, MPLP alone does not satisfy either RCCS-T or RCCS-M in deployment. Both profiles still depend on implementation, organizational controls, deployment environment, security operations, data governance policy, and legal interpretation.</w:t>
      </w:r>
    </w:p>
    <w:p>
      <w:pPr>
        <w:keepNext/>
      </w:pPr>
      <w:r>
        <w:rPr>
          <w:b/>
          <w:sz w:val="16"/>
        </w:rPr>
        <w:t>Table T-13-03: MPLP Mapping to RCCS-T and RCCS-M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Protocol semantics may support governance evidence, but MPLP is not a productized governance dashboard or cloud compliance platform</w:t>
            </w:r>
          </w:p>
        </w:tc>
        <w:tc>
          <w:tcPr>
            <w:tcW w:type="dxa" w:w="2556"/>
          </w:tcPr>
          <w:p>
            <w:pPr>
              <w:spacing w:after="0"/>
            </w:pPr>
            <w:r>
              <w:rPr>
                <w:rFonts w:ascii="Arial" w:hAnsi="Arial"/>
                <w:b w:val="0"/>
                <w:sz w:val="14"/>
              </w:rPr>
              <w:t>Requires product implementation, enterprise integration, organizational policy workflow, and operational controls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Protocol semantics map strongly to MRO-like authority, evidence, accepted-outcome, transfer, and substitution objects</w:t>
            </w:r>
          </w:p>
        </w:tc>
        <w:tc>
          <w:tcPr>
            <w:tcW w:type="dxa" w:w="2556"/>
          </w:tcPr>
          <w:p>
            <w:pPr>
              <w:spacing w:after="0"/>
            </w:pPr>
            <w:r>
              <w:rPr>
                <w:rFonts w:ascii="Arial" w:hAnsi="Arial"/>
                <w:b w:val="0"/>
                <w:sz w:val="14"/>
              </w:rPr>
              <w:t>Author analytical mapping where not directly stated; requires implementation conformance</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MPLP may have limited RCCS-T product-platform coverage while mapping strongly to RCCS-M and ALCS dimensions; actual deployment requires implementation evidence</w:t>
            </w:r>
          </w:p>
        </w:tc>
        <w:tc>
          <w:tcPr>
            <w:tcW w:type="dxa" w:w="3408"/>
          </w:tcPr>
          <w:p>
            <w:pPr>
              <w:spacing w:after="0"/>
            </w:pPr>
            <w:r>
              <w:rPr>
                <w:rFonts w:ascii="Arial" w:hAnsi="Arial"/>
                <w:b w:val="0"/>
                <w:sz w:val="14"/>
              </w:rPr>
              <w:t>RCCS-T/RCCS-M/ALCS proves legal compliance; high MPLP alignment guarantees compliance; MPLP satisfies all scoring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RCCS-M and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the RCCS-T/RCCS-M/ALCS three-profile analytical model,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RCCS-T/RCCS-M/ALCS,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RCCS-T (Traditional Regulatory Compliance Coverage Score) framework</w:t>
      </w:r>
    </w:p>
    <w:p>
      <w:pPr>
        <w:pStyle w:val="ListBullet"/>
        <w:spacing w:after="56"/>
      </w:pPr>
      <w:r>
        <w:t>RCCS-M (MRO-Adjusted Regulatory Compliance Coverage Score) framework</w:t>
      </w:r>
    </w:p>
    <w:p>
      <w:pPr>
        <w:pStyle w:val="ListBullet"/>
        <w:spacing w:after="56"/>
      </w:pPr>
      <w:r>
        <w:t>ALCS (Agentic Lifecycle Conformance Score) framework</w:t>
      </w:r>
    </w:p>
    <w:p>
      <w:pPr>
        <w:pStyle w:val="ListBullet"/>
        <w:spacing w:after="56"/>
      </w:pPr>
      <w:r>
        <w:t>Three-profile analytical model with optional composite worksheet views</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RCCS-T, RCCS-M,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RCCS-T, RCCS-M,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RCCS-T, RCCS-M,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RCCS-T/RCCS-M/ALCS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RCCS-T/RCCS-M/ALCS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RCCS-T, RCCS-M, and ALCS are analytical frameworks, not legal compliance scores. High scores do not guarantee compliance. Low scores do not prove non-compliance.</w:t>
      </w:r>
    </w:p>
    <w:p>
      <w:pPr>
        <w:pStyle w:val="ListBullet"/>
        <w:spacing w:after="56"/>
      </w:pPr>
      <w:r>
        <w:t>RCCS-T, RCCS-M, and ALCS are analytical frameworks, not legal compliance scores. They provide structured inputs for risk assessment, procurement, audit, and insurance analysis. They do not replace professional judgment. RCCS-M is author analytical and forward-looking, not current law or a regulator-approved benchmark.</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"Analytical frameworks for risk assessment" / "Structured inputs for professional judgment" / "RCCS-M is author analytical and forward-looking"</w:t>
            </w:r>
          </w:p>
        </w:tc>
        <w:tc>
          <w:tcPr>
            <w:tcW w:type="dxa" w:w="3408"/>
          </w:tcPr>
          <w:p>
            <w:pPr>
              <w:spacing w:after="0"/>
            </w:pPr>
            <w:r>
              <w:rPr>
                <w:rFonts w:ascii="Arial" w:hAnsi="Arial"/>
                <w:b w:val="0"/>
                <w:sz w:val="14"/>
              </w:rPr>
              <w:t>"Legal compliance scores" / "Certification scores" / "Guarantees compliance" / "The only scoring method" / "Regulator-approved benchmark"</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RCCS-T, RCCS-M,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RCCS-T/RCCS-M/ALCS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RCCS-T, RCCS-M,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RCCS-T/RCCS-M/ALCS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RCCS-T/RCCS-M/ALCS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RCCS-T/RCCS-M/ALCS as legal compliance scores. The following table clarifies how RCCS-T, RCCS-M, and ALCS should be used in adoption.</w:t>
      </w:r>
    </w:p>
    <w:p>
      <w:pPr>
        <w:keepNext/>
      </w:pPr>
      <w:r>
        <w:rPr>
          <w:b/>
          <w:sz w:val="16"/>
        </w:rPr>
        <w:t>Table T-17-05: RCCS-T / RCCS-M / ALCS Use in Adoption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Use Case</w:t>
            </w:r>
          </w:p>
        </w:tc>
        <w:tc>
          <w:tcPr>
            <w:tcW w:type="dxa" w:w="2045"/>
          </w:tcPr>
          <w:p>
            <w:pPr>
              <w:spacing w:after="0"/>
            </w:pPr>
            <w:r>
              <w:rPr>
                <w:rFonts w:ascii="Arial" w:hAnsi="Arial"/>
                <w:b/>
                <w:sz w:val="14"/>
              </w:rPr>
              <w:t>RCCS-T Role</w:t>
            </w:r>
          </w:p>
        </w:tc>
        <w:tc>
          <w:tcPr>
            <w:tcW w:type="dxa" w:w="2045"/>
          </w:tcPr>
          <w:p>
            <w:pPr>
              <w:spacing w:after="0"/>
            </w:pPr>
            <w:r>
              <w:rPr>
                <w:rFonts w:ascii="Arial" w:hAnsi="Arial"/>
                <w:b/>
                <w:sz w:val="14"/>
              </w:rPr>
              <w:t>RCCS-M Role</w:t>
            </w:r>
          </w:p>
        </w:tc>
        <w:tc>
          <w:tcPr>
            <w:tcW w:type="dxa" w:w="2045"/>
          </w:tcPr>
          <w:p>
            <w:pPr>
              <w:spacing w:after="0"/>
            </w:pPr>
            <w:r>
              <w:rPr>
                <w:rFonts w:ascii="Arial" w:hAnsi="Arial"/>
                <w:b/>
                <w:sz w:val="14"/>
              </w:rPr>
              <w:t>ALCS Role</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Gap analysis</w:t>
            </w:r>
          </w:p>
        </w:tc>
        <w:tc>
          <w:tcPr>
            <w:tcW w:type="dxa" w:w="2045"/>
          </w:tcPr>
          <w:p>
            <w:pPr>
              <w:spacing w:after="0"/>
            </w:pPr>
            <w:r>
              <w:rPr>
                <w:rFonts w:ascii="Arial" w:hAnsi="Arial"/>
                <w:b w:val="0"/>
                <w:sz w:val="14"/>
              </w:rPr>
              <w:t>Identifies traditional regulatory compliance coverage gaps (e.g., RCCS-04 Record-Keeping, RCCS-06 Human Oversight)</w:t>
            </w:r>
          </w:p>
        </w:tc>
        <w:tc>
          <w:tcPr>
            <w:tcW w:type="dxa" w:w="2045"/>
          </w:tcPr>
          <w:p>
            <w:pPr>
              <w:spacing w:after="0"/>
            </w:pPr>
            <w:r>
              <w:rPr>
                <w:rFonts w:ascii="Arial" w:hAnsi="Arial"/>
                <w:b w:val="0"/>
                <w:sz w:val="14"/>
              </w:rPr>
              <w:t>Identifies where regulatory obligations are not yet expressible through MROs</w:t>
            </w:r>
          </w:p>
        </w:tc>
        <w:tc>
          <w:tcPr>
            <w:tcW w:type="dxa" w:w="2045"/>
          </w:tcPr>
          <w:p>
            <w:pPr>
              <w:spacing w:after="0"/>
            </w:pPr>
            <w:r>
              <w:rPr>
                <w:rFonts w:ascii="Arial" w:hAnsi="Arial"/>
                <w:b w:val="0"/>
                <w:sz w:val="14"/>
              </w:rPr>
              <w:t>Identifies lifecycle responsibility object gaps (e.g., ALCS-02 Delegated Authority Boundary, ALCS-04 Accepted Outcome Compliance, ALCS-06 Responsibility Transfer Across Agents)</w:t>
            </w:r>
          </w:p>
        </w:tc>
        <w:tc>
          <w:tcPr>
            <w:tcW w:type="dxa" w:w="2045"/>
          </w:tcPr>
          <w:p>
            <w:pPr>
              <w:spacing w:after="0"/>
            </w:pPr>
            <w:r>
              <w:rPr>
                <w:rFonts w:ascii="Arial" w:hAnsi="Arial"/>
                <w:b w:val="0"/>
                <w:sz w:val="14"/>
              </w:rPr>
              <w:t>RCCS-T/RCCS-M/ALCS are analytical tools, not legal compliance scores; gaps require organizational interpretation and legal review</w:t>
            </w:r>
          </w:p>
        </w:tc>
      </w:tr>
      <w:tr>
        <w:tc>
          <w:tcPr>
            <w:tcW w:type="dxa" w:w="2045"/>
          </w:tcPr>
          <w:p>
            <w:pPr>
              <w:spacing w:after="0"/>
            </w:pPr>
            <w:r>
              <w:rPr>
                <w:rFonts w:ascii="Arial" w:hAnsi="Arial"/>
                <w:b w:val="0"/>
                <w:sz w:val="14"/>
              </w:rPr>
              <w:t>Pilot project baseline</w:t>
            </w:r>
          </w:p>
        </w:tc>
        <w:tc>
          <w:tcPr>
            <w:tcW w:type="dxa" w:w="2045"/>
          </w:tcPr>
          <w:p>
            <w:pPr>
              <w:spacing w:after="0"/>
            </w:pPr>
            <w:r>
              <w:rPr>
                <w:rFonts w:ascii="Arial" w:hAnsi="Arial"/>
                <w:b w:val="0"/>
                <w:sz w:val="14"/>
              </w:rPr>
              <w:t>Measures regulatory compliance coverage before and after pilot</w:t>
            </w:r>
          </w:p>
        </w:tc>
        <w:tc>
          <w:tcPr>
            <w:tcW w:type="dxa" w:w="2045"/>
          </w:tcPr>
          <w:p>
            <w:pPr>
              <w:spacing w:after="0"/>
            </w:pPr>
            <w:r>
              <w:rPr>
                <w:rFonts w:ascii="Arial" w:hAnsi="Arial"/>
                <w:b w:val="0"/>
                <w:sz w:val="14"/>
              </w:rPr>
              <w:t>Measures MRO-adjusted regulatory coverage before and after pilot</w:t>
            </w:r>
          </w:p>
        </w:tc>
        <w:tc>
          <w:tcPr>
            <w:tcW w:type="dxa" w:w="2045"/>
          </w:tcPr>
          <w:p>
            <w:pPr>
              <w:spacing w:after="0"/>
            </w:pPr>
            <w:r>
              <w:rPr>
                <w:rFonts w:ascii="Arial" w:hAnsi="Arial"/>
                <w:b w:val="0"/>
                <w:sz w:val="14"/>
              </w:rPr>
              <w:t>Measures lifecycle responsibility object maturity before and after pilot</w:t>
            </w:r>
          </w:p>
        </w:tc>
        <w:tc>
          <w:tcPr>
            <w:tcW w:type="dxa" w:w="2045"/>
          </w:tcPr>
          <w:p>
            <w:pPr>
              <w:spacing w:after="0"/>
            </w:pPr>
            <w:r>
              <w:rPr>
                <w:rFonts w:ascii="Arial" w:hAnsi="Arial"/>
                <w:b w:val="0"/>
                <w:sz w:val="14"/>
              </w:rPr>
              <w:t>Baselines are internal analytical tools; they do not prove legal compliance or regulatory approval</w:t>
            </w:r>
          </w:p>
        </w:tc>
      </w:tr>
      <w:tr>
        <w:tc>
          <w:tcPr>
            <w:tcW w:type="dxa" w:w="2045"/>
          </w:tcPr>
          <w:p>
            <w:pPr>
              <w:spacing w:after="0"/>
            </w:pPr>
            <w:r>
              <w:rPr>
                <w:rFonts w:ascii="Arial" w:hAnsi="Arial"/>
                <w:b w:val="0"/>
                <w:sz w:val="14"/>
              </w:rPr>
              <w:t>System evaluation</w:t>
            </w:r>
          </w:p>
        </w:tc>
        <w:tc>
          <w:tcPr>
            <w:tcW w:type="dxa" w:w="2045"/>
          </w:tcPr>
          <w:p>
            <w:pPr>
              <w:spacing w:after="0"/>
            </w:pPr>
            <w:r>
              <w:rPr>
                <w:rFonts w:ascii="Arial" w:hAnsi="Arial"/>
                <w:b w:val="0"/>
                <w:sz w:val="14"/>
              </w:rPr>
              <w:t>Helps evaluate whether a system provides regulatory compliance coverage primitives</w:t>
            </w:r>
          </w:p>
        </w:tc>
        <w:tc>
          <w:tcPr>
            <w:tcW w:type="dxa" w:w="2045"/>
          </w:tcPr>
          <w:p>
            <w:pPr>
              <w:spacing w:after="0"/>
            </w:pPr>
            <w:r>
              <w:rPr>
                <w:rFonts w:ascii="Arial" w:hAnsi="Arial"/>
                <w:b w:val="0"/>
                <w:sz w:val="14"/>
              </w:rPr>
              <w:t>Helps evaluate whether a system expresses those primitives as lifecycle responsibility objects</w:t>
            </w:r>
          </w:p>
        </w:tc>
        <w:tc>
          <w:tcPr>
            <w:tcW w:type="dxa" w:w="2045"/>
          </w:tcPr>
          <w:p>
            <w:pPr>
              <w:spacing w:after="0"/>
            </w:pPr>
            <w:r>
              <w:rPr>
                <w:rFonts w:ascii="Arial" w:hAnsi="Arial"/>
                <w:b w:val="0"/>
                <w:sz w:val="14"/>
              </w:rPr>
              <w:t>Helps evaluate whether a system provides lifecycle responsibility object primitives</w:t>
            </w:r>
          </w:p>
        </w:tc>
        <w:tc>
          <w:tcPr>
            <w:tcW w:type="dxa" w:w="2045"/>
          </w:tcPr>
          <w:p>
            <w:pPr>
              <w:spacing w:after="0"/>
            </w:pPr>
            <w:r>
              <w:rPr>
                <w:rFonts w:ascii="Arial" w:hAnsi="Arial"/>
                <w:b w:val="0"/>
                <w:sz w:val="14"/>
              </w:rPr>
              <w:t>Postures are analytical tools for system posture review (Chapters 11-12); they are not product rankings, certifications, or procurement recommendations</w:t>
            </w:r>
          </w:p>
        </w:tc>
      </w:tr>
      <w:tr>
        <w:tc>
          <w:tcPr>
            <w:tcW w:type="dxa" w:w="2045"/>
          </w:tcPr>
          <w:p>
            <w:pPr>
              <w:spacing w:after="0"/>
            </w:pPr>
            <w:r>
              <w:rPr>
                <w:rFonts w:ascii="Arial" w:hAnsi="Arial"/>
                <w:b w:val="0"/>
                <w:sz w:val="14"/>
              </w:rPr>
              <w:t>Audit readiness</w:t>
            </w:r>
          </w:p>
        </w:tc>
        <w:tc>
          <w:tcPr>
            <w:tcW w:type="dxa" w:w="2045"/>
          </w:tcPr>
          <w:p>
            <w:pPr>
              <w:spacing w:after="0"/>
            </w:pPr>
            <w:r>
              <w:rPr>
                <w:rFonts w:ascii="Arial" w:hAnsi="Arial"/>
                <w:b w:val="0"/>
                <w:sz w:val="14"/>
              </w:rPr>
              <w:t>Maps traditional dimensions to audit control objectives</w:t>
            </w:r>
          </w:p>
        </w:tc>
        <w:tc>
          <w:tcPr>
            <w:tcW w:type="dxa" w:w="2045"/>
          </w:tcPr>
          <w:p>
            <w:pPr>
              <w:spacing w:after="0"/>
            </w:pPr>
            <w:r>
              <w:rPr>
                <w:rFonts w:ascii="Arial" w:hAnsi="Arial"/>
                <w:b w:val="0"/>
                <w:sz w:val="14"/>
              </w:rPr>
              <w:t>Maps MRO-adjusted coverage to evidence objects auditors may request</w:t>
            </w:r>
          </w:p>
        </w:tc>
        <w:tc>
          <w:tcPr>
            <w:tcW w:type="dxa" w:w="2045"/>
          </w:tcPr>
          <w:p>
            <w:pPr>
              <w:spacing w:after="0"/>
            </w:pPr>
            <w:r>
              <w:rPr>
                <w:rFonts w:ascii="Arial" w:hAnsi="Arial"/>
                <w:b w:val="0"/>
                <w:sz w:val="14"/>
              </w:rPr>
              <w:t>Maps lifecycle responsibility objects to evidence reconstruction needs</w:t>
            </w:r>
          </w:p>
        </w:tc>
        <w:tc>
          <w:tcPr>
            <w:tcW w:type="dxa" w:w="2045"/>
          </w:tcPr>
          <w:p>
            <w:pPr>
              <w:spacing w:after="0"/>
            </w:pPr>
            <w:r>
              <w:rPr>
                <w:rFonts w:ascii="Arial" w:hAnsi="Arial"/>
                <w:b w:val="0"/>
                <w:sz w:val="14"/>
              </w:rPr>
              <w:t>Scores help prepare for audit but do not replace audit opinions, assurance reports, or legal compliance determinations</w:t>
            </w:r>
          </w:p>
        </w:tc>
      </w:tr>
      <w:tr>
        <w:tc>
          <w:tcPr>
            <w:tcW w:type="dxa" w:w="2045"/>
          </w:tcPr>
          <w:p>
            <w:pPr>
              <w:spacing w:after="0"/>
            </w:pPr>
            <w:r>
              <w:rPr>
                <w:rFonts w:ascii="Arial" w:hAnsi="Arial"/>
                <w:b w:val="0"/>
                <w:sz w:val="14"/>
              </w:rPr>
              <w:t>Evidence-based validation</w:t>
            </w:r>
          </w:p>
        </w:tc>
        <w:tc>
          <w:tcPr>
            <w:tcW w:type="dxa" w:w="2045"/>
          </w:tcPr>
          <w:p>
            <w:pPr>
              <w:spacing w:after="0"/>
            </w:pPr>
            <w:r>
              <w:rPr>
                <w:rFonts w:ascii="Arial" w:hAnsi="Arial"/>
                <w:b w:val="0"/>
                <w:sz w:val="14"/>
              </w:rPr>
              <w:t>Identifies what regulatory compliance evidence should be validated</w:t>
            </w:r>
          </w:p>
        </w:tc>
        <w:tc>
          <w:tcPr>
            <w:tcW w:type="dxa" w:w="2045"/>
          </w:tcPr>
          <w:p>
            <w:pPr>
              <w:spacing w:after="0"/>
            </w:pPr>
            <w:r>
              <w:rPr>
                <w:rFonts w:ascii="Arial" w:hAnsi="Arial"/>
                <w:b w:val="0"/>
                <w:sz w:val="14"/>
              </w:rPr>
              <w:t>Identifies what MRO-adjusted coverage should be validated</w:t>
            </w:r>
          </w:p>
        </w:tc>
        <w:tc>
          <w:tcPr>
            <w:tcW w:type="dxa" w:w="2045"/>
          </w:tcPr>
          <w:p>
            <w:pPr>
              <w:spacing w:after="0"/>
            </w:pPr>
            <w:r>
              <w:rPr>
                <w:rFonts w:ascii="Arial" w:hAnsi="Arial"/>
                <w:b w:val="0"/>
                <w:sz w:val="14"/>
              </w:rPr>
              <w:t>Identifies what lifecycle responsibility objects should be validated</w:t>
            </w:r>
          </w:p>
        </w:tc>
        <w:tc>
          <w:tcPr>
            <w:tcW w:type="dxa" w:w="2045"/>
          </w:tcPr>
          <w:p>
            <w:pPr>
              <w:spacing w:after="0"/>
            </w:pPr>
            <w:r>
              <w:rPr>
                <w:rFonts w:ascii="Arial" w:hAnsi="Arial"/>
                <w:b w:val="0"/>
                <w:sz w:val="14"/>
              </w:rPr>
              <w:t>Scores help scope validation but do not replace validation protocols, validation providers, or validation results</w:t>
            </w:r>
          </w:p>
        </w:tc>
      </w:tr>
      <w:tr>
        <w:tc>
          <w:tcPr>
            <w:tcW w:type="dxa" w:w="2045"/>
          </w:tcPr>
          <w:p>
            <w:pPr>
              <w:spacing w:after="0"/>
            </w:pPr>
            <w:r>
              <w:rPr>
                <w:rFonts w:ascii="Arial" w:hAnsi="Arial"/>
                <w:b w:val="0"/>
                <w:sz w:val="14"/>
              </w:rPr>
              <w:t>Continuous improvement</w:t>
            </w:r>
          </w:p>
        </w:tc>
        <w:tc>
          <w:tcPr>
            <w:tcW w:type="dxa" w:w="2045"/>
          </w:tcPr>
          <w:p>
            <w:pPr>
              <w:spacing w:after="0"/>
            </w:pPr>
            <w:r>
              <w:rPr>
                <w:rFonts w:ascii="Arial" w:hAnsi="Arial"/>
                <w:b w:val="0"/>
                <w:sz w:val="14"/>
              </w:rPr>
              <w:t>Monitors regulatory compliance coverage over time</w:t>
            </w:r>
          </w:p>
        </w:tc>
        <w:tc>
          <w:tcPr>
            <w:tcW w:type="dxa" w:w="2045"/>
          </w:tcPr>
          <w:p>
            <w:pPr>
              <w:spacing w:after="0"/>
            </w:pPr>
            <w:r>
              <w:rPr>
                <w:rFonts w:ascii="Arial" w:hAnsi="Arial"/>
                <w:b w:val="0"/>
                <w:sz w:val="14"/>
              </w:rPr>
              <w:t>Monitors whether coverage is becoming more lifecycle-object expressible</w:t>
            </w:r>
          </w:p>
        </w:tc>
        <w:tc>
          <w:tcPr>
            <w:tcW w:type="dxa" w:w="2045"/>
          </w:tcPr>
          <w:p>
            <w:pPr>
              <w:spacing w:after="0"/>
            </w:pPr>
            <w:r>
              <w:rPr>
                <w:rFonts w:ascii="Arial" w:hAnsi="Arial"/>
                <w:b w:val="0"/>
                <w:sz w:val="14"/>
              </w:rPr>
              <w:t>Monitors lifecycle responsibility object maturity over time</w:t>
            </w:r>
          </w:p>
        </w:tc>
        <w:tc>
          <w:tcPr>
            <w:tcW w:type="dxa" w:w="2045"/>
          </w:tcPr>
          <w:p>
            <w:pPr>
              <w:spacing w:after="0"/>
            </w:pPr>
            <w:r>
              <w:rPr>
                <w:rFonts w:ascii="Arial" w:hAnsi="Arial"/>
                <w:b w:val="0"/>
                <w:sz w:val="14"/>
              </w:rPr>
              <w:t>Scores are monitoring tools, not legal compliance scores; continuous improvement requires organizational governance, not just scoring</w:t>
            </w:r>
          </w:p>
        </w:tc>
      </w:tr>
    </w:tbl>
    <w:p>
      <w:pPr>
        <w:spacing w:after="56"/>
      </w:pPr>
      <w:r>
        <w:t>Interpretation: RCCS-T, RCCS-M, and ALCS are analytical tools that help enterprises measure progress and identify gaps. They are not legal compliance scores, certifications, or regulatory approvals. RCCS-M is author analytical and forward-looking, not current law or a regulator-approved benchmark. Enterprises should use RCCS-T/RCCS-M/ALCS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RCCS-T/RCCS-M/ALCS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RCCS-T/RCCS-M/ALCS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RCCS-T, RCCS-M,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RCCS-T / RCCS-M — Traditional and MRO-Adjusted Regulatory Compliance Coverage Scores (Chapter 7)</w:t>
            </w:r>
          </w:p>
        </w:tc>
        <w:tc>
          <w:tcPr>
            <w:tcW w:type="dxa" w:w="2556"/>
          </w:tcPr>
          <w:p>
            <w:pPr>
              <w:spacing w:after="0"/>
            </w:pPr>
            <w:r>
              <w:rPr>
                <w:rFonts w:ascii="Arial" w:hAnsi="Arial"/>
                <w:b w:val="0"/>
                <w:sz w:val="14"/>
              </w:rPr>
              <w:t>Distinguish existing regulatory/governance coverage from MRO-adjusted regulatory coverage</w:t>
            </w:r>
          </w:p>
        </w:tc>
        <w:tc>
          <w:tcPr>
            <w:tcW w:type="dxa" w:w="2556"/>
          </w:tcPr>
          <w:p>
            <w:pPr>
              <w:spacing w:after="0"/>
            </w:pPr>
            <w:r>
              <w:rPr>
                <w:rFonts w:ascii="Arial" w:hAnsi="Arial"/>
                <w:b w:val="0"/>
                <w:sz w:val="14"/>
              </w:rPr>
              <w:t>Enterprises can use RCCS-T to identify traditional governance coverage gaps and RCCS-M to test whether obligations can be expressed through lifecycle responsibility objects</w:t>
            </w:r>
          </w:p>
        </w:tc>
        <w:tc>
          <w:tcPr>
            <w:tcW w:type="dxa" w:w="2556"/>
          </w:tcPr>
          <w:p>
            <w:pPr>
              <w:spacing w:after="0"/>
            </w:pPr>
            <w:r>
              <w:rPr>
                <w:rFonts w:ascii="Arial" w:hAnsi="Arial"/>
                <w:b w:val="0"/>
                <w:sz w:val="14"/>
              </w:rPr>
              <w:t>RCCS-T and RCCS-M are analytical tools, not legal compliance scores; RCCS-M is author analytical and not current law, certification, regulator-approved benchmark, or procurement recommendation</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categories by RCCS-T/RCCS-M/ALCS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RCCS-T/RCCS-M/ALCS measure coverage and conformance gaps</w:t>
            </w:r>
          </w:p>
        </w:tc>
        <w:tc>
          <w:tcPr>
            <w:tcW w:type="dxa" w:w="3408"/>
          </w:tcPr>
          <w:p>
            <w:pPr>
              <w:spacing w:after="0"/>
            </w:pPr>
            <w:r>
              <w:rPr>
                <w:rFonts w:ascii="Arial" w:hAnsi="Arial"/>
                <w:b w:val="0"/>
                <w:sz w:val="14"/>
              </w:rPr>
              <w:t>This paper proves legal compliance; high RCCS-T/RCCS-M/ALCS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RCCS-T/RCCS-M/ALCS as analytical tools; evidence-based validation can support qualified review</w:t>
            </w:r>
          </w:p>
        </w:tc>
        <w:tc>
          <w:tcPr>
            <w:tcW w:type="dxa" w:w="3408"/>
          </w:tcPr>
          <w:p>
            <w:pPr>
              <w:spacing w:after="0"/>
            </w:pPr>
            <w:r>
              <w:rPr>
                <w:rFonts w:ascii="Arial" w:hAnsi="Arial"/>
                <w:b w:val="0"/>
                <w:sz w:val="14"/>
              </w:rPr>
              <w:t>This paper is a certification program; RCCS-T/RCCS-M/ALCS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RCCS-T/RCCS-M/ALCS;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with limited RCCS-T product-platform coverage and strong author-analytical RCCS-M/ALCS mapping where protocol semantics express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 MPLP is superior to other systems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RCCS-T/RCCS-M/ALCS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This paper does not merely compare current AI governance systems. It proposes that agentic and MAS compliance requires a new regulatory object layer: RCCS-T names traditional regulatory coverage; MRO names the missing lifecycle responsibility object layer; RCCS-M names MRO-adjusted regulatory coverage; ALCS names lifecycle conformance. Together, they show why future AI agent compliance must move from model compliance to lifecycle responsibility compliance.</w:t>
      </w:r>
    </w:p>
    <w:p>
      <w:pPr>
        <w:spacing w:after="56"/>
      </w:pPr>
      <w:r>
        <w:t>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RCCS-T / RCCS-M / ALCS scorecard templates for system evaluation and gap analysis. These templates are analytical tools, not legal compliance scores, certifications, or regulatory approvals. The three-profile view is primary; optional composite views are worksheet aids only.</w:t>
      </w:r>
    </w:p>
    <w:p>
      <w:pPr>
        <w:spacing w:after="56"/>
      </w:pPr>
      <w:r>
        <w:t>Boundary statement:</w:t>
      </w:r>
    </w:p>
    <w:p>
      <w:pPr>
        <w:pStyle w:val="ListBullet"/>
        <w:spacing w:after="56"/>
      </w:pPr>
      <w:r>
        <w:t>Scorecards are analytical tools only. RCCS-T measures traditional regulatory compliance coverage, RCCS-M measures MRO-adjusted regulatory coverage, and ALCS measures lifecycle responsibility object maturity. They do not prove legal compliance, regulatory approval, or certification.</w:t>
      </w:r>
    </w:p>
    <w:p>
      <w:pPr>
        <w:pStyle w:val="ListBullet"/>
        <w:spacing w:after="56"/>
      </w:pPr>
      <w:r>
        <w:t>High scores do not guarantee compliance. A high RCCS-T, RCCS-M,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RCCS-T, RCCS-M, or ALCS score indicates gaps in traditional regulatory coverage, MRO-adjusted coverage, or lifecycle responsibility object maturity. It does not prove that the system is non-compliant, unsafe, or unsuitable for deployment.</w:t>
      </w:r>
    </w:p>
    <w:p>
      <w:pPr>
        <w:pStyle w:val="ListBullet"/>
        <w:spacing w:after="56"/>
      </w:pPr>
      <w:r>
        <w:t>Scores are context-independent. RCCS-T, RCCS-M,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RCCS-T, RCCS-M, and ALCS dimensions.</w:t>
      </w:r>
    </w:p>
    <w:p>
      <w:pPr>
        <w:keepNext/>
      </w:pPr>
      <w:r>
        <w:rPr>
          <w:b/>
          <w:sz w:val="16"/>
        </w:rPr>
        <w:t>Table T-B-01: RCCS-T / RCCS-M / 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Three-Profile and Optional Composite Template</w:t>
      </w:r>
    </w:p>
    <w:p>
      <w:pPr>
        <w:spacing w:after="56"/>
      </w:pPr>
      <w:r>
        <w:t>The following template supports the primary three-profile view and optional composite calculations. A single composite score should not be used as the main result display because it can hide the difference between traditional governance coverage and MRO-adjusted lifecycle coverage.</w:t>
      </w:r>
    </w:p>
    <w:p>
      <w:pPr>
        <w:keepNext/>
      </w:pPr>
      <w:r>
        <w:rPr>
          <w:b/>
          <w:sz w:val="16"/>
        </w:rPr>
        <w:t>Table T-B-02: Three-Profile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RCCS-T 0-100</w:t>
            </w:r>
          </w:p>
        </w:tc>
        <w:tc>
          <w:tcPr>
            <w:tcW w:type="dxa" w:w="1461"/>
          </w:tcPr>
          <w:p>
            <w:pPr>
              <w:spacing w:after="0"/>
            </w:pPr>
            <w:r>
              <w:rPr>
                <w:rFonts w:ascii="Arial" w:hAnsi="Arial"/>
                <w:b/>
                <w:sz w:val="12"/>
              </w:rPr>
              <w:t>RCCS-M 0-100</w:t>
            </w:r>
          </w:p>
        </w:tc>
        <w:tc>
          <w:tcPr>
            <w:tcW w:type="dxa" w:w="1461"/>
          </w:tcPr>
          <w:p>
            <w:pPr>
              <w:spacing w:after="0"/>
            </w:pPr>
            <w:r>
              <w:rPr>
                <w:rFonts w:ascii="Arial" w:hAnsi="Arial"/>
                <w:b/>
                <w:sz w:val="12"/>
              </w:rPr>
              <w:t>ALCS 0-100</w:t>
            </w:r>
          </w:p>
        </w:tc>
        <w:tc>
          <w:tcPr>
            <w:tcW w:type="dxa" w:w="1461"/>
          </w:tcPr>
          <w:p>
            <w:pPr>
              <w:spacing w:after="0"/>
            </w:pPr>
            <w:r>
              <w:rPr>
                <w:rFonts w:ascii="Arial" w:hAnsi="Arial"/>
                <w:b/>
                <w:sz w:val="12"/>
              </w:rPr>
              <w:t>Optional Traditional Composite</w:t>
            </w:r>
          </w:p>
        </w:tc>
        <w:tc>
          <w:tcPr>
            <w:tcW w:type="dxa" w:w="1461"/>
          </w:tcPr>
          <w:p>
            <w:pPr>
              <w:spacing w:after="0"/>
            </w:pPr>
            <w:r>
              <w:rPr>
                <w:rFonts w:ascii="Arial" w:hAnsi="Arial"/>
                <w:b/>
                <w:sz w:val="12"/>
              </w:rPr>
              <w:t>Optional Agentic Composite</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61.8</w:t>
            </w:r>
          </w:p>
        </w:tc>
        <w:tc>
          <w:tcPr>
            <w:tcW w:type="dxa" w:w="1461"/>
          </w:tcPr>
          <w:p>
            <w:pPr>
              <w:spacing w:after="0"/>
            </w:pPr>
            <w:r>
              <w:rPr>
                <w:rFonts w:ascii="Arial" w:hAnsi="Arial"/>
                <w:b w:val="0"/>
                <w:sz w:val="12"/>
              </w:rPr>
              <w:t>Analytical worksheet view;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82.0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58.0</w:t>
            </w:r>
          </w:p>
        </w:tc>
        <w:tc>
          <w:tcPr>
            <w:tcW w:type="dxa" w:w="1461"/>
          </w:tcPr>
          <w:p>
            <w:pPr>
              <w:spacing w:after="0"/>
            </w:pPr>
            <w:r>
              <w:rPr>
                <w:rFonts w:ascii="Arial" w:hAnsi="Arial"/>
                <w:b w:val="0"/>
                <w:sz w:val="12"/>
              </w:rPr>
              <w:t>67.6</w:t>
            </w:r>
          </w:p>
        </w:tc>
        <w:tc>
          <w:tcPr>
            <w:tcW w:type="dxa" w:w="1461"/>
          </w:tcPr>
          <w:p>
            <w:pPr>
              <w:spacing w:after="0"/>
            </w:pPr>
            <w:r>
              <w:rPr>
                <w:rFonts w:ascii="Arial" w:hAnsi="Arial"/>
                <w:b w:val="0"/>
                <w:sz w:val="12"/>
              </w:rPr>
              <w:t>58.8</w:t>
            </w:r>
          </w:p>
        </w:tc>
        <w:tc>
          <w:tcPr>
            <w:tcW w:type="dxa" w:w="1461"/>
          </w:tcPr>
          <w:p>
            <w:pPr>
              <w:spacing w:after="0"/>
            </w:pPr>
            <w:r>
              <w:rPr>
                <w:rFonts w:ascii="Arial" w:hAnsi="Arial"/>
                <w:b w:val="0"/>
                <w:sz w:val="12"/>
              </w:rPr>
              <w:t>Analytical worksheet view;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78.0</w:t>
            </w:r>
          </w:p>
        </w:tc>
        <w:tc>
          <w:tcPr>
            <w:tcW w:type="dxa" w:w="1461"/>
          </w:tcPr>
          <w:p>
            <w:pPr>
              <w:spacing w:after="0"/>
            </w:pPr>
            <w:r>
              <w:rPr>
                <w:rFonts w:ascii="Arial" w:hAnsi="Arial"/>
                <w:b w:val="0"/>
                <w:sz w:val="12"/>
              </w:rPr>
              <w:t>80.0</w:t>
            </w:r>
          </w:p>
        </w:tc>
        <w:tc>
          <w:tcPr>
            <w:tcW w:type="dxa" w:w="1461"/>
          </w:tcPr>
          <w:p>
            <w:pPr>
              <w:spacing w:after="0"/>
            </w:pPr>
            <w:r>
              <w:rPr>
                <w:rFonts w:ascii="Arial" w:hAnsi="Arial"/>
                <w:b w:val="0"/>
                <w:sz w:val="12"/>
              </w:rPr>
              <w:t>67.2</w:t>
            </w:r>
          </w:p>
        </w:tc>
        <w:tc>
          <w:tcPr>
            <w:tcW w:type="dxa" w:w="1461"/>
          </w:tcPr>
          <w:p>
            <w:pPr>
              <w:spacing w:after="0"/>
            </w:pPr>
            <w:r>
              <w:rPr>
                <w:rFonts w:ascii="Arial" w:hAnsi="Arial"/>
                <w:b w:val="0"/>
                <w:sz w:val="12"/>
              </w:rPr>
              <w:t>79.2</w:t>
            </w:r>
          </w:p>
        </w:tc>
        <w:tc>
          <w:tcPr>
            <w:tcW w:type="dxa" w:w="1461"/>
          </w:tcPr>
          <w:p>
            <w:pPr>
              <w:spacing w:after="0"/>
            </w:pPr>
            <w:r>
              <w:rPr>
                <w:rFonts w:ascii="Arial" w:hAnsi="Arial"/>
                <w:b w:val="0"/>
                <w:sz w:val="12"/>
              </w:rPr>
              <w:t>Analytical worksheet view; not vendor ranking or certification signal</w:t>
            </w:r>
          </w:p>
        </w:tc>
      </w:tr>
    </w:tbl>
    <w:p>
      <w:pPr>
        <w:spacing w:after="56"/>
      </w:pPr>
      <w:r>
        <w:t>Optional composite formulas:</w:t>
      </w:r>
    </w:p>
    <w:p>
      <w:pPr>
        <w:spacing w:after="56"/>
      </w:pPr>
      <w:r>
        <w:t>Traditional Composite = (RCCS-T × 0.40) + (ALCS × 0.60)</w:t>
        <w:br/>
        <w:t>Agentic Composite = (RCCS-M × 0.40) + (ALCS × 0.60)</w:t>
      </w:r>
    </w:p>
    <w:p>
      <w:pPr>
        <w:spacing w:after="56"/>
      </w:pPr>
      <w:r>
        <w:t>Interpretation guidance:</w:t>
      </w:r>
    </w:p>
    <w:p>
      <w:pPr>
        <w:pStyle w:val="ListBullet"/>
        <w:spacing w:after="56"/>
      </w:pPr>
      <w:r>
        <w:t>RCCS-T: Traditional regulatory and governance coverage</w:t>
      </w:r>
    </w:p>
    <w:p>
      <w:pPr>
        <w:pStyle w:val="ListBullet"/>
        <w:spacing w:after="56"/>
      </w:pPr>
      <w:r>
        <w:t>RCCS-M: MRO-adjusted regulatory coverage; author analytical and forward-looking</w:t>
      </w:r>
    </w:p>
    <w:p>
      <w:pPr>
        <w:pStyle w:val="ListBullet"/>
        <w:spacing w:after="56"/>
      </w:pPr>
      <w:r>
        <w:t>ALCS: Lifecycle responsibility conformance maturity</w:t>
      </w:r>
    </w:p>
    <w:p>
      <w:pPr>
        <w:pStyle w:val="ListBullet"/>
        <w:spacing w:after="56"/>
      </w:pPr>
      <w:r>
        <w:t>Optional composites: Secondary worksheet views only; never a ranking, final vendor score, legal compliance proof, certification signal, regulatory approval signal, or procurement recommendation</w:t>
      </w:r>
    </w:p>
    <w:p>
      <w:pPr>
        <w:spacing w:after="56"/>
      </w:pPr>
      <w:r>
        <w:t>Any numerical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RCCS-T/RCCS-M/ALCS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RCCS-T/RCCS-M/ALCS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AUTHOR-INFERENCE-RCCS-M</w:t>
            </w:r>
          </w:p>
        </w:tc>
        <w:tc>
          <w:tcPr>
            <w:tcW w:type="dxa" w:w="2045"/>
          </w:tcPr>
          <w:p>
            <w:pPr>
              <w:spacing w:after="0"/>
            </w:pPr>
            <w:r>
              <w:rPr>
                <w:rFonts w:ascii="Arial" w:hAnsi="Arial"/>
                <w:b w:val="0"/>
                <w:sz w:val="14"/>
              </w:rPr>
              <w:t>RCCS-M — MRO-Adjusted Regulatory Compliance Coverage Score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6-9, Evaluation Results</w:t>
            </w:r>
          </w:p>
        </w:tc>
        <w:tc>
          <w:tcPr>
            <w:tcW w:type="dxa" w:w="2045"/>
          </w:tcPr>
          <w:p>
            <w:pPr>
              <w:spacing w:after="0"/>
            </w:pPr>
            <w:r>
              <w:rPr>
                <w:rFonts w:ascii="Arial" w:hAnsi="Arial"/>
                <w:b w:val="0"/>
                <w:sz w:val="14"/>
              </w:rPr>
              <w:t>✓ Marked as L5; forward-looking author analytical model</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RCCS-T / traditional RCCS framework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AUTHOR-INFERENCE-RCCS-M</w:t>
            </w:r>
          </w:p>
        </w:tc>
        <w:tc>
          <w:tcPr>
            <w:tcW w:type="dxa" w:w="1704"/>
          </w:tcPr>
          <w:p>
            <w:pPr>
              <w:spacing w:after="0"/>
            </w:pPr>
            <w:r>
              <w:rPr>
                <w:rFonts w:ascii="Arial" w:hAnsi="Arial"/>
                <w:b w:val="0"/>
                <w:sz w:val="12"/>
              </w:rPr>
              <w:t>RCCS-M — MRO-Adjusted Regulatory Compliance Coverage Score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6-9, Evaluation Results</w:t>
            </w:r>
          </w:p>
        </w:tc>
        <w:tc>
          <w:tcPr>
            <w:tcW w:type="dxa" w:w="1704"/>
          </w:tcPr>
          <w:p>
            <w:pPr>
              <w:spacing w:after="0"/>
            </w:pPr>
            <w:r>
              <w:rPr>
                <w:rFonts w:ascii="Arial" w:hAnsi="Arial"/>
                <w:b w:val="0"/>
                <w:sz w:val="12"/>
              </w:rPr>
              <w:t>✓ Marked as L5; author analytical, forward-looking, not current law</w:t>
            </w:r>
          </w:p>
        </w:tc>
        <w:tc>
          <w:tcPr>
            <w:tcW w:type="dxa" w:w="1704"/>
          </w:tcPr>
          <w:p>
            <w:pPr>
              <w:spacing w:after="0"/>
            </w:pPr>
            <w:r>
              <w:rPr>
                <w:rFonts w:ascii="Arial" w:hAnsi="Arial"/>
                <w:b w:val="0"/>
                <w:sz w:val="12"/>
              </w:rPr>
              <w:t>Preserve boundary wording and MPLP COI</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RCCS-T, RCCS-M, ALCS, optional composite views, System Mapping, Failure Scenarios). These sources are marked as author inference and do not replace evidence-based analysis.</w:t>
      </w:r>
    </w:p>
    <w:p>
      <w:pPr>
        <w:pStyle w:val="ListBullet"/>
        <w:spacing w:after="56"/>
      </w:pPr>
      <w:r>
        <w:t>AUTHOR-INFERENCE-RCCS-M marks the MRO-adjusted regulatory coverage model. RCCS-M is an author analytical, forward-looking model grounded in MRO analysis. It is not current law, certification, legal compliance proof, a regulator-approved benchmark, a procurement benchmark, a final vendor score, or an official standard.</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RCCS-T / RCCS-M distinction:</w:t>
      </w:r>
    </w:p>
    <w:p>
      <w:pPr>
        <w:pStyle w:val="ListBullet"/>
        <w:spacing w:after="56"/>
      </w:pPr>
      <w:r>
        <w:t>RCCS-T measures traditional regulatory compliance coverage primitives (risk management, data governance, documentation, record-keeping, transparency, human oversight, security, accountability, contestability, monitoring)</w:t>
      </w:r>
    </w:p>
    <w:p>
      <w:pPr>
        <w:pStyle w:val="ListBullet"/>
        <w:spacing w:after="56"/>
      </w:pPr>
      <w:r>
        <w:t>RCCS-M measures whether regulatory obligations can be expressed through Missing Regulatory Objects and lifecycle responsibility semantics</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RCCS-T focuses on traditional regulatory compliance coverage capabilities</w:t>
      </w:r>
    </w:p>
    <w:p>
      <w:pPr>
        <w:pStyle w:val="ListBullet"/>
        <w:spacing w:after="56"/>
      </w:pPr>
      <w:r>
        <w:t>RCCS-M focuses on MRO-adjusted regulatory coverage</w:t>
      </w:r>
    </w:p>
    <w:p>
      <w:pPr>
        <w:pStyle w:val="ListBullet"/>
        <w:spacing w:after="56"/>
      </w:pPr>
      <w:r>
        <w:t>ALCS focuses on agentic lifecycle responsibility tracking and accountability capabilities</w:t>
      </w:r>
    </w:p>
    <w:p>
      <w:pPr>
        <w:pStyle w:val="ListBullet"/>
        <w:spacing w:after="56"/>
      </w:pPr>
      <w:r>
        <w:t>All three profiles are analytical tools, not legal compliance scores</w:t>
      </w:r>
    </w:p>
    <w:p>
      <w:pPr>
        <w:spacing w:after="56"/>
      </w:pPr>
      <w:r>
        <w:t>Optional composite worksheet formulas:</w:t>
      </w:r>
    </w:p>
    <w:p>
      <w:pPr>
        <w:spacing w:after="56"/>
      </w:pPr>
      <w:r>
        <w:t>Traditional Composite = 0.40 × RCCS-T + 0.60 × ALCS</w:t>
        <w:br/>
        <w:t>Agentic Composite = 0.40 × RCCS-M + 0.60 × ALCS</w:t>
        <w:br/>
        <w:br/>
        <w:t>Where:</w:t>
        <w:br/>
        <w:t>RCCS-T = Average of traditional RCCS dimension scores (0-100)</w:t>
        <w:br/>
        <w:t>RCCS-M = MRO-adjusted regulatory coverage score (0-100)</w:t>
        <w:br/>
        <w:t>ALCS = Average of 15 ALCS dimension scores (0-100)</w:t>
        <w:br/>
        <w:t>Optional composites = Weighted worksheet views (0-100), not the main result display</w:t>
      </w:r>
    </w:p>
    <w:p>
      <w:pPr>
        <w:spacing w:after="56"/>
      </w:pPr>
      <w:r>
        <w:t>Example:</w:t>
      </w:r>
    </w:p>
    <w:p>
      <w:pPr>
        <w:spacing w:after="56"/>
      </w:pPr>
      <w:r>
        <w:t>RCCS-T Adjusted Score: 65.0 (across 10 dimensions, 0-100)</w:t>
        <w:br/>
        <w:t>RCCS-M Adjusted Score: 72.0 (MRO-adjusted, 0-100)</w:t>
        <w:br/>
        <w:t>ALCS Adjusted Score: 55.0 (across 15 dimensions, 0-100)</w:t>
        <w:br/>
        <w:t>Traditional Composite: 0.40 × 65.0 + 0.60 × 55.0 = 26.0 + 33.0 = 59.0</w:t>
        <w:br/>
        <w:t>Agentic Composite: 0.40 × 72.0 + 0.60 × 55.0 = 28.8 + 33.0 = 61.8</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(RCCS-T/RCCS-M/ALCS), not legal compliance, regulatory approval, or certification status.</w:t>
      </w:r>
    </w:p>
    <w:p>
      <w:pPr>
        <w:pStyle w:val="ListBullet"/>
        <w:spacing w:after="56"/>
      </w:pPr>
      <w:r>
        <w:t>Numerical profiles are not in Appendix G. Numeric RCCS-T / RCCS-M / ALCS profiles appear only in the Evaluation Results section. Appendix G remains qualitative, provisional, and no-score.</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Traditional Regulatory Compliance Coverage Primitives (RCCS-T-aligned): Risk management, data governance, documentation, record-keeping, transparency, human oversight, security, accountability, contestability, monitoring</w:t>
      </w:r>
    </w:p>
    <w:p>
      <w:pPr>
        <w:pStyle w:val="ListNumber"/>
        <w:spacing w:after="56"/>
      </w:pPr>
      <w:r>
        <w:t>MRO-Adjusted Regulatory Coverage (RCCS-M-aligned): Whether traditional governance obligations are expressible through Missing Regulatory Objects such as authority boundaries, accepted outcomes, evidence partitioning, responsibility transfer, privacy lifecycle mapping, substitution conformance, and remediation closure</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limited traditional RCCS-T product-platform coverage and strong provisional RCCS-M /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RCCS-T, RCCS-M,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RCCS-T, RCCS-M, and ALCS dimensions as analytical prompts. It must not be read as proof that a vendor, platform, protocol, or implementation is legally compliant, operationally effective, enterprise-ready, certified, or regulator-approved. RCCS-M remains author analytical and forward-looking, not current law or a procurement benchmark.</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RCCS-T, RCCS-M,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RCCS-T/RCCS-M/ALCS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RCCS-T/RCCS-M/ALCS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final vendor score,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RCCS-T/RCCS-M/ALCS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 RCCS-M marked as author analytical and forward-looking</w:t>
            </w:r>
          </w:p>
        </w:tc>
        <w:tc>
          <w:tcPr>
            <w:tcW w:type="dxa" w:w="2045"/>
          </w:tcPr>
          <w:p>
            <w:pPr>
              <w:spacing w:after="0"/>
            </w:pPr>
            <w:r>
              <w:rPr>
                <w:rFonts w:ascii="Arial" w:hAnsi="Arial"/>
                <w:b w:val="0"/>
                <w:sz w:val="14"/>
              </w:rPr>
              <w:t>Phase 1D-13B consistency review completed; verify in final proof</w:t>
            </w:r>
          </w:p>
        </w:tc>
        <w:tc>
          <w:tcPr>
            <w:tcW w:type="dxa" w:w="2045"/>
          </w:tcPr>
          <w:p>
            <w:pPr>
              <w:spacing w:after="0"/>
            </w:pPr>
            <w:r>
              <w:rPr>
                <w:rFonts w:ascii="Arial" w:hAnsi="Arial"/>
                <w:b w:val="0"/>
                <w:sz w:val="14"/>
              </w:rPr>
              <w:t>Phase 1A / 1B / 1D-13B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